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w:t>
      </w:r>
      <w:r>
        <w:rPr>
          <w:color w:val="auto"/>
          <w:highlight w:val="none"/>
        </w:rPr>
        <w:drawing>
          <wp:inline distT="0" distB="0" distL="114300" distR="114300">
            <wp:extent cx="1671320" cy="436245"/>
            <wp:effectExtent l="0" t="0" r="5080" b="190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671320" cy="436245"/>
                    </a:xfrm>
                    <a:prstGeom prst="rect">
                      <a:avLst/>
                    </a:prstGeom>
                    <a:noFill/>
                    <a:ln>
                      <a:noFill/>
                    </a:ln>
                  </pic:spPr>
                </pic:pic>
              </a:graphicData>
            </a:graphic>
          </wp:inline>
        </w:drawing>
      </w:r>
      <w:r>
        <w:rPr>
          <w:rFonts w:hint="eastAsia" w:ascii="仿宋" w:hAnsi="仿宋" w:eastAsia="仿宋" w:cs="仿宋_GB2312"/>
          <w:color w:val="auto"/>
          <w:sz w:val="24"/>
          <w:highlight w:val="none"/>
          <w:lang w:val="en-US" w:eastAsia="zh-CN"/>
        </w:rPr>
        <w:t xml:space="preserve">                                                                                                                                                                                                                                                                                                                                                                                                                                                                                                                                                                                                                                                                                                                                                                                                                                                           </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eastAsia="zh-CN"/>
        </w:rPr>
        <w:t>浙江省温州市自然灾害应急能力提升工程基层防灾项目（组合式防洪板、防洪子堤）</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eastAsia="zh-CN"/>
        </w:rPr>
        <w:t>招标</w:t>
      </w:r>
      <w:r>
        <w:rPr>
          <w:rFonts w:hint="eastAsia" w:ascii="仿宋" w:hAnsi="仿宋" w:eastAsia="仿宋" w:cs="仿宋_GB2312"/>
          <w:b/>
          <w:color w:val="auto"/>
          <w:sz w:val="48"/>
          <w:szCs w:val="48"/>
          <w:highlight w:val="none"/>
        </w:rPr>
        <w:t>文件</w:t>
      </w: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ind w:firstLine="1800" w:firstLineChars="600"/>
        <w:jc w:val="left"/>
        <w:rPr>
          <w:rFonts w:ascii="仿宋" w:hAnsi="仿宋" w:eastAsia="仿宋" w:cs="仿宋_GB2312"/>
          <w:color w:val="auto"/>
          <w:sz w:val="30"/>
          <w:szCs w:val="30"/>
          <w:highlight w:val="none"/>
        </w:rPr>
      </w:pPr>
    </w:p>
    <w:p>
      <w:pPr>
        <w:snapToGrid w:val="0"/>
        <w:spacing w:line="360" w:lineRule="auto"/>
        <w:ind w:firstLine="1800" w:firstLineChars="600"/>
        <w:jc w:val="left"/>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u w:val="single"/>
          <w:lang w:eastAsia="zh-CN"/>
        </w:rPr>
        <w:t>JKDL【2024】第038号</w:t>
      </w:r>
    </w:p>
    <w:p>
      <w:pPr>
        <w:snapToGrid w:val="0"/>
        <w:spacing w:line="360" w:lineRule="auto"/>
        <w:ind w:firstLine="1800" w:firstLineChars="6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single"/>
        </w:rPr>
        <w:t>公开招标</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pStyle w:val="51"/>
        <w:rPr>
          <w:color w:val="auto"/>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bCs/>
          <w:color w:val="auto"/>
          <w:sz w:val="32"/>
          <w:szCs w:val="32"/>
          <w:highlight w:val="none"/>
          <w:u w:val="single"/>
          <w:lang w:eastAsia="zh-CN"/>
        </w:rPr>
        <w:t>温州市应急管理局</w:t>
      </w:r>
    </w:p>
    <w:p>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lang w:eastAsia="zh-CN"/>
        </w:rPr>
        <w:t>浙江建科工程项目管理有限公司</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eastAsia="zh-CN"/>
        </w:rPr>
        <w:t>六</w:t>
      </w:r>
      <w:r>
        <w:rPr>
          <w:rFonts w:hint="eastAsia" w:ascii="仿宋" w:hAnsi="仿宋" w:eastAsia="仿宋" w:cs="仿宋_GB2312"/>
          <w:bCs/>
          <w:color w:val="auto"/>
          <w:sz w:val="32"/>
          <w:szCs w:val="32"/>
          <w:highlight w:val="none"/>
        </w:rPr>
        <w:t>月</w:t>
      </w:r>
    </w:p>
    <w:p>
      <w:pPr>
        <w:widowControl/>
        <w:adjustRightInd/>
        <w:jc w:val="left"/>
        <w:rPr>
          <w:color w:val="auto"/>
          <w:highlight w:val="none"/>
        </w:rPr>
      </w:pPr>
      <w:r>
        <w:rPr>
          <w:color w:val="auto"/>
          <w:highlight w:val="none"/>
        </w:rPr>
        <w:br w:type="page"/>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应提交的有关格式范例</w:t>
      </w:r>
    </w:p>
    <w:p>
      <w:pPr>
        <w:spacing w:line="360" w:lineRule="auto"/>
        <w:ind w:firstLine="1280" w:firstLineChars="400"/>
        <w:rPr>
          <w:rFonts w:ascii="仿宋" w:hAnsi="仿宋" w:eastAsia="仿宋" w:cs="仿宋_GB2312"/>
          <w:color w:val="auto"/>
          <w:sz w:val="32"/>
          <w:szCs w:val="32"/>
          <w:highlight w:val="none"/>
        </w:rPr>
      </w:pPr>
      <w:bookmarkStart w:id="0" w:name="_Hlt91233176"/>
      <w:bookmarkEnd w:id="0"/>
      <w:r>
        <w:rPr>
          <w:rFonts w:hint="eastAsia" w:ascii="仿宋" w:hAnsi="仿宋" w:eastAsia="仿宋" w:cs="仿宋_GB2312"/>
          <w:color w:val="auto"/>
          <w:sz w:val="32"/>
          <w:szCs w:val="32"/>
          <w:highlight w:val="none"/>
        </w:rPr>
        <w:t>第六部分  评标办法</w:t>
      </w:r>
    </w:p>
    <w:p>
      <w:pPr>
        <w:spacing w:line="360" w:lineRule="auto"/>
        <w:ind w:firstLine="549" w:firstLineChars="229"/>
        <w:rPr>
          <w:rFonts w:ascii="仿宋" w:hAnsi="仿宋" w:eastAsia="仿宋" w:cs="仿宋_GB2312"/>
          <w:color w:val="auto"/>
          <w:sz w:val="24"/>
          <w:highlight w:val="none"/>
        </w:rPr>
      </w:pPr>
    </w:p>
    <w:p>
      <w:pPr>
        <w:widowControl/>
        <w:adjustRightInd/>
        <w:jc w:val="left"/>
        <w:rPr>
          <w:color w:val="auto"/>
          <w:highlight w:val="none"/>
        </w:rPr>
      </w:pPr>
      <w:r>
        <w:rPr>
          <w:color w:val="auto"/>
          <w:highlight w:val="none"/>
        </w:rPr>
        <w:br w:type="page"/>
      </w: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  招标公告</w:t>
      </w:r>
    </w:p>
    <w:p>
      <w:pPr>
        <w:widowControl/>
        <w:snapToGrid w:val="0"/>
        <w:spacing w:line="360" w:lineRule="auto"/>
        <w:jc w:val="left"/>
        <w:outlineLvl w:val="0"/>
        <w:rPr>
          <w:rFonts w:ascii="宋体" w:hAnsi="宋体"/>
          <w:iCs/>
          <w:color w:val="auto"/>
          <w:kern w:val="0"/>
          <w:szCs w:val="21"/>
          <w:highlight w:val="none"/>
          <w:u w:val="single"/>
        </w:rPr>
      </w:pPr>
    </w:p>
    <w:p>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lang w:eastAsia="zh-CN"/>
        </w:rPr>
        <w:t>浙江建科工程项目管理有限公司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lang w:eastAsia="zh-CN"/>
        </w:rPr>
        <w:t>浙江省温州市自然灾害应急能力提升工程基层防灾项目（组合式防洪板、防洪子堤）</w:t>
      </w:r>
      <w:r>
        <w:rPr>
          <w:rFonts w:hint="eastAsia" w:ascii="仿宋" w:hAnsi="仿宋" w:eastAsia="仿宋" w:cs="宋体"/>
          <w:b/>
          <w:bCs/>
          <w:color w:val="auto"/>
          <w:kern w:val="0"/>
          <w:sz w:val="28"/>
          <w:szCs w:val="28"/>
          <w:highlight w:val="none"/>
        </w:rPr>
        <w:t>的公开招标公告</w:t>
      </w:r>
    </w:p>
    <w:p>
      <w:pPr>
        <w:widowControl/>
        <w:adjustRightInd/>
        <w:jc w:val="center"/>
        <w:rPr>
          <w:rFonts w:ascii="仿宋" w:hAnsi="仿宋" w:eastAsia="仿宋" w:cs="宋体"/>
          <w:b/>
          <w:bCs/>
          <w:color w:val="auto"/>
          <w:kern w:val="0"/>
          <w:sz w:val="24"/>
          <w:highlight w:val="none"/>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pPr>
              <w:widowControl/>
              <w:snapToGrid w:val="0"/>
              <w:spacing w:beforeLines="50"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项目概况</w:t>
            </w:r>
          </w:p>
          <w:p>
            <w:pPr>
              <w:widowControl/>
              <w:snapToGrid w:val="0"/>
              <w:spacing w:line="360" w:lineRule="auto"/>
              <w:ind w:firstLine="480" w:firstLineChars="200"/>
              <w:jc w:val="left"/>
              <w:rPr>
                <w:rFonts w:ascii="仿宋" w:hAnsi="仿宋" w:eastAsia="仿宋" w:cs="宋体"/>
                <w:b/>
                <w:bCs/>
                <w:color w:val="auto"/>
                <w:kern w:val="0"/>
                <w:sz w:val="24"/>
                <w:highlight w:val="none"/>
              </w:rPr>
            </w:pPr>
            <w:r>
              <w:rPr>
                <w:rFonts w:hint="eastAsia" w:ascii="仿宋" w:hAnsi="仿宋" w:eastAsia="仿宋" w:cs="宋体"/>
                <w:color w:val="auto"/>
                <w:kern w:val="0"/>
                <w:sz w:val="24"/>
                <w:highlight w:val="none"/>
                <w:u w:val="single"/>
                <w:lang w:eastAsia="zh-CN"/>
              </w:rPr>
              <w:t>浙江省温州市自然灾害应急能力提升工程基层防灾项目（组合式防洪板、防洪子堤）</w:t>
            </w:r>
            <w:r>
              <w:rPr>
                <w:rFonts w:ascii="仿宋" w:hAnsi="仿宋" w:eastAsia="仿宋" w:cs="宋体"/>
                <w:color w:val="auto"/>
                <w:kern w:val="0"/>
                <w:sz w:val="24"/>
                <w:highlight w:val="none"/>
              </w:rPr>
              <w:t>的潜在投标人应在政采云</w:t>
            </w:r>
            <w:r>
              <w:rPr>
                <w:rFonts w:hint="eastAsia" w:ascii="仿宋" w:hAnsi="仿宋" w:eastAsia="仿宋" w:cs="宋体"/>
                <w:color w:val="auto"/>
                <w:kern w:val="0"/>
                <w:sz w:val="24"/>
                <w:highlight w:val="none"/>
                <w:lang w:eastAsia="zh-CN"/>
              </w:rPr>
              <w:t>台</w:t>
            </w:r>
            <w:r>
              <w:rPr>
                <w:rFonts w:ascii="仿宋" w:hAnsi="仿宋" w:eastAsia="仿宋" w:cs="宋体"/>
                <w:color w:val="auto"/>
                <w:kern w:val="0"/>
                <w:sz w:val="24"/>
                <w:highlight w:val="none"/>
              </w:rPr>
              <w:t>https://www.zcygov.cn/获取（下载）</w:t>
            </w:r>
            <w:r>
              <w:rPr>
                <w:rFonts w:hint="eastAsia" w:ascii="仿宋" w:hAnsi="仿宋" w:eastAsia="仿宋" w:cs="宋体"/>
                <w:color w:val="auto"/>
                <w:kern w:val="0"/>
                <w:sz w:val="24"/>
                <w:highlight w:val="none"/>
                <w:lang w:eastAsia="zh-CN"/>
              </w:rPr>
              <w:t>招标</w:t>
            </w:r>
            <w:r>
              <w:rPr>
                <w:rFonts w:ascii="仿宋" w:hAnsi="仿宋" w:eastAsia="仿宋" w:cs="宋体"/>
                <w:color w:val="auto"/>
                <w:kern w:val="0"/>
                <w:sz w:val="24"/>
                <w:highlight w:val="none"/>
              </w:rPr>
              <w:t>文件，并于</w:t>
            </w:r>
            <w:r>
              <w:rPr>
                <w:rFonts w:hint="eastAsia" w:ascii="仿宋" w:hAnsi="仿宋" w:eastAsia="仿宋" w:cs="宋体"/>
                <w:color w:val="auto"/>
                <w:kern w:val="0"/>
                <w:sz w:val="24"/>
                <w:highlight w:val="none"/>
                <w:lang w:eastAsia="zh-CN"/>
              </w:rPr>
              <w:t>2024年</w:t>
            </w:r>
            <w:r>
              <w:rPr>
                <w:rFonts w:hint="eastAsia" w:ascii="仿宋" w:hAnsi="仿宋" w:eastAsia="仿宋" w:cs="宋体"/>
                <w:color w:val="auto"/>
                <w:kern w:val="0"/>
                <w:sz w:val="24"/>
                <w:highlight w:val="none"/>
                <w:lang w:val="en-US" w:eastAsia="zh-CN"/>
              </w:rPr>
              <w:t>6</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28</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（北京时间）前递交（上传）投标文件。</w:t>
            </w:r>
          </w:p>
        </w:tc>
      </w:tr>
    </w:tbl>
    <w:p>
      <w:pPr>
        <w:widowControl/>
        <w:snapToGrid w:val="0"/>
        <w:spacing w:line="360" w:lineRule="auto"/>
        <w:jc w:val="center"/>
        <w:rPr>
          <w:rFonts w:ascii="仿宋" w:hAnsi="仿宋" w:eastAsia="仿宋" w:cs="宋体"/>
          <w:b/>
          <w:bCs/>
          <w:color w:val="auto"/>
          <w:kern w:val="0"/>
          <w:sz w:val="24"/>
          <w:highlight w:val="none"/>
        </w:rPr>
      </w:pP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pPr>
        <w:widowControl/>
        <w:snapToGrid w:val="0"/>
        <w:spacing w:line="360" w:lineRule="auto"/>
        <w:jc w:val="left"/>
        <w:rPr>
          <w:rFonts w:hint="eastAsia" w:ascii="仿宋" w:hAnsi="仿宋" w:eastAsia="仿宋" w:cs="仿宋_GB2312"/>
          <w:color w:val="auto"/>
          <w:sz w:val="30"/>
          <w:szCs w:val="30"/>
          <w:highlight w:val="none"/>
          <w:u w:val="single"/>
          <w:lang w:eastAsia="zh-CN"/>
        </w:rPr>
      </w:pPr>
      <w:r>
        <w:rPr>
          <w:rFonts w:ascii="仿宋" w:hAnsi="仿宋" w:eastAsia="仿宋" w:cs="宋体"/>
          <w:color w:val="auto"/>
          <w:kern w:val="0"/>
          <w:sz w:val="24"/>
          <w:highlight w:val="none"/>
        </w:rPr>
        <w:t>项目编号：</w:t>
      </w:r>
      <w:r>
        <w:rPr>
          <w:rFonts w:hint="eastAsia" w:ascii="仿宋" w:hAnsi="仿宋" w:eastAsia="仿宋" w:cs="宋体"/>
          <w:color w:val="auto"/>
          <w:kern w:val="0"/>
          <w:sz w:val="24"/>
          <w:highlight w:val="none"/>
          <w:lang w:eastAsia="zh-CN"/>
        </w:rPr>
        <w:t>JKDL【2024】第038号</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lang w:eastAsia="zh-CN"/>
        </w:rPr>
        <w:t>浙江省温州市自然灾害应急</w:t>
      </w:r>
      <w:bookmarkStart w:id="230" w:name="_GoBack"/>
      <w:bookmarkEnd w:id="230"/>
      <w:r>
        <w:rPr>
          <w:rFonts w:hint="eastAsia" w:ascii="仿宋" w:hAnsi="仿宋" w:eastAsia="仿宋" w:cs="宋体"/>
          <w:color w:val="auto"/>
          <w:kern w:val="0"/>
          <w:sz w:val="24"/>
          <w:highlight w:val="none"/>
          <w:lang w:eastAsia="zh-CN"/>
        </w:rPr>
        <w:t>能力提升工程基层防灾项目（组合式防洪板、防洪子堤）</w:t>
      </w:r>
    </w:p>
    <w:p>
      <w:pPr>
        <w:widowControl/>
        <w:snapToGrid w:val="0"/>
        <w:spacing w:line="360" w:lineRule="auto"/>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val="en-US" w:eastAsia="zh-CN"/>
        </w:rPr>
        <w:t>733000</w:t>
      </w:r>
    </w:p>
    <w:p>
      <w:pPr>
        <w:widowControl/>
        <w:snapToGrid w:val="0"/>
        <w:spacing w:line="360" w:lineRule="auto"/>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最高限价（元）：</w:t>
      </w:r>
      <w:r>
        <w:rPr>
          <w:rFonts w:hint="eastAsia" w:ascii="仿宋" w:hAnsi="仿宋" w:eastAsia="仿宋" w:cs="宋体"/>
          <w:color w:val="auto"/>
          <w:kern w:val="0"/>
          <w:sz w:val="24"/>
          <w:highlight w:val="none"/>
          <w:lang w:val="en-US" w:eastAsia="zh-CN"/>
        </w:rPr>
        <w:t>733000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pPr>
        <w:widowControl/>
        <w:snapToGrid w:val="0"/>
        <w:spacing w:line="360" w:lineRule="auto"/>
        <w:ind w:left="420" w:leftChars="200"/>
        <w:jc w:val="left"/>
        <w:rPr>
          <w:rFonts w:ascii="仿宋_GB2312" w:hAnsi="仿宋_GB2312" w:eastAsia="仿宋_GB2312" w:cs="仿宋_GB2312"/>
          <w:bCs/>
          <w:color w:val="auto"/>
          <w:sz w:val="24"/>
          <w:highlight w:val="none"/>
          <w:u w:val="single"/>
        </w:rPr>
      </w:pPr>
      <w:r>
        <w:rPr>
          <w:rFonts w:ascii="仿宋" w:hAnsi="仿宋" w:eastAsia="仿宋" w:cs="宋体"/>
          <w:color w:val="auto"/>
          <w:kern w:val="0"/>
          <w:sz w:val="24"/>
          <w:highlight w:val="none"/>
        </w:rPr>
        <w:t>标项名称:</w:t>
      </w:r>
      <w:r>
        <w:rPr>
          <w:rFonts w:hint="eastAsia" w:ascii="仿宋" w:hAnsi="仿宋" w:eastAsia="仿宋" w:cs="宋体"/>
          <w:color w:val="auto"/>
          <w:kern w:val="0"/>
          <w:sz w:val="24"/>
          <w:highlight w:val="none"/>
          <w:lang w:eastAsia="zh-CN"/>
        </w:rPr>
        <w:t>浙江省温州市自然灾害应急能力提升工程基层防灾项目（组合式防洪板、防洪子堤）</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数量:</w:t>
      </w:r>
      <w:r>
        <w:rPr>
          <w:rFonts w:hint="eastAsia" w:ascii="仿宋" w:hAnsi="仿宋" w:eastAsia="仿宋" w:cs="宋体"/>
          <w:color w:val="auto"/>
          <w:kern w:val="0"/>
          <w:sz w:val="24"/>
          <w:highlight w:val="none"/>
        </w:rPr>
        <w:t>不限</w:t>
      </w:r>
    </w:p>
    <w:p>
      <w:pPr>
        <w:widowControl/>
        <w:snapToGrid w:val="0"/>
        <w:spacing w:line="360" w:lineRule="auto"/>
        <w:ind w:left="420" w:leftChars="2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val="en-US" w:eastAsia="zh-CN"/>
        </w:rPr>
        <w:t>733000</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u w:val="single"/>
          <w:lang w:eastAsia="zh-CN"/>
        </w:rPr>
        <w:t>浙江省温州市自然灾害应急能力提升工程基层防灾项目（组合式防洪板、防洪子堤）</w:t>
      </w:r>
      <w:r>
        <w:rPr>
          <w:rFonts w:hint="eastAsia" w:ascii="仿宋" w:hAnsi="仿宋" w:eastAsia="仿宋" w:cs="宋体"/>
          <w:color w:val="auto"/>
          <w:kern w:val="0"/>
          <w:sz w:val="24"/>
          <w:highlight w:val="none"/>
          <w:u w:val="single"/>
        </w:rPr>
        <w:t>等</w:t>
      </w:r>
      <w:r>
        <w:rPr>
          <w:rFonts w:hint="eastAsia" w:ascii="仿宋" w:hAnsi="仿宋" w:eastAsia="仿宋" w:cs="宋体"/>
          <w:color w:val="auto"/>
          <w:kern w:val="0"/>
          <w:sz w:val="24"/>
          <w:highlight w:val="none"/>
          <w:u w:val="single"/>
          <w:lang w:eastAsia="zh-CN"/>
        </w:rPr>
        <w:t>，具体详见采购需求</w:t>
      </w:r>
      <w:r>
        <w:rPr>
          <w:rFonts w:hint="eastAsia" w:ascii="仿宋" w:hAnsi="仿宋" w:eastAsia="仿宋" w:cs="宋体"/>
          <w:color w:val="auto"/>
          <w:kern w:val="0"/>
          <w:sz w:val="24"/>
          <w:highlight w:val="none"/>
          <w:u w:val="single"/>
        </w:rPr>
        <w:t>；</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备注：</w:t>
      </w:r>
      <w:r>
        <w:rPr>
          <w:rFonts w:hint="eastAsia" w:ascii="仿宋_GB2312" w:hAnsi="仿宋_GB2312" w:eastAsia="仿宋_GB2312" w:cs="仿宋_GB2312"/>
          <w:bCs/>
          <w:color w:val="auto"/>
          <w:sz w:val="24"/>
          <w:highlight w:val="none"/>
        </w:rPr>
        <w:t>/</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合同履约期限：标项</w:t>
      </w:r>
      <w:r>
        <w:rPr>
          <w:rFonts w:hint="eastAsia" w:ascii="仿宋" w:hAnsi="仿宋" w:eastAsia="仿宋" w:cs="宋体"/>
          <w:color w:val="auto"/>
          <w:kern w:val="0"/>
          <w:sz w:val="24"/>
          <w:highlight w:val="none"/>
          <w:u w:val="none"/>
          <w:lang w:val="en-US" w:eastAsia="zh-CN"/>
        </w:rPr>
        <w:t>1</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具体详见采购需求</w:t>
      </w:r>
      <w:r>
        <w:rPr>
          <w:rFonts w:hint="eastAsia" w:ascii="仿宋" w:hAnsi="仿宋" w:eastAsia="仿宋" w:cs="宋体"/>
          <w:color w:val="auto"/>
          <w:kern w:val="0"/>
          <w:sz w:val="24"/>
          <w:highlight w:val="none"/>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hint="eastAsia" w:ascii="仿宋" w:hAnsi="仿宋" w:eastAsia="仿宋" w:cs="宋体"/>
          <w:color w:val="auto"/>
          <w:kern w:val="0"/>
          <w:sz w:val="24"/>
          <w:highlight w:val="none"/>
          <w:lang w:eastAsia="zh-CN"/>
        </w:rPr>
        <w:t>否</w:t>
      </w:r>
      <w:r>
        <w:rPr>
          <w:rFonts w:ascii="仿宋" w:hAnsi="仿宋" w:eastAsia="仿宋" w:cs="宋体"/>
          <w:color w:val="auto"/>
          <w:kern w:val="0"/>
          <w:sz w:val="24"/>
          <w:highlight w:val="none"/>
        </w:rPr>
        <w:t>）接受联合体投标。</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2.落实政府采购政策需满足的资格要求：</w:t>
      </w:r>
      <w:r>
        <w:rPr>
          <w:rFonts w:hint="eastAsia" w:ascii="仿宋" w:hAnsi="仿宋" w:eastAsia="仿宋" w:cs="宋体"/>
          <w:b/>
          <w:bCs/>
          <w:color w:val="auto"/>
          <w:kern w:val="0"/>
          <w:sz w:val="24"/>
          <w:highlight w:val="none"/>
          <w:u w:val="single"/>
        </w:rPr>
        <w:t>专门面向中小企业，</w:t>
      </w:r>
      <w:r>
        <w:rPr>
          <w:rFonts w:hint="eastAsia" w:ascii="仿宋" w:hAnsi="仿宋" w:eastAsia="仿宋" w:cs="宋体"/>
          <w:b/>
          <w:bCs/>
          <w:color w:val="auto"/>
          <w:kern w:val="0"/>
          <w:sz w:val="24"/>
          <w:highlight w:val="none"/>
          <w:u w:val="single"/>
          <w:lang w:eastAsia="zh-CN"/>
        </w:rPr>
        <w:t>须</w:t>
      </w:r>
      <w:r>
        <w:rPr>
          <w:rFonts w:hint="eastAsia" w:ascii="仿宋" w:hAnsi="仿宋" w:eastAsia="仿宋" w:cs="宋体"/>
          <w:b/>
          <w:bCs/>
          <w:color w:val="auto"/>
          <w:kern w:val="0"/>
          <w:sz w:val="24"/>
          <w:highlight w:val="none"/>
          <w:u w:val="single"/>
        </w:rPr>
        <w:t>提供中小企业声明函</w:t>
      </w:r>
      <w:r>
        <w:rPr>
          <w:rFonts w:hint="eastAsia" w:ascii="仿宋" w:hAnsi="仿宋" w:eastAsia="仿宋" w:cs="宋体"/>
          <w:color w:val="auto"/>
          <w:kern w:val="0"/>
          <w:sz w:val="24"/>
          <w:highlight w:val="none"/>
          <w:u w:val="none"/>
        </w:rPr>
        <w:t>。</w:t>
      </w:r>
    </w:p>
    <w:p>
      <w:pPr>
        <w:widowControl/>
        <w:snapToGrid w:val="0"/>
        <w:spacing w:line="360" w:lineRule="auto"/>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3.本项目的特定资格要求：</w:t>
      </w:r>
      <w:r>
        <w:rPr>
          <w:rFonts w:hint="eastAsia" w:ascii="仿宋" w:hAnsi="仿宋" w:eastAsia="仿宋" w:cs="宋体"/>
          <w:color w:val="auto"/>
          <w:kern w:val="0"/>
          <w:sz w:val="24"/>
          <w:highlight w:val="none"/>
          <w:lang w:eastAsia="zh-CN"/>
        </w:rPr>
        <w:t>无</w:t>
      </w:r>
      <w:r>
        <w:rPr>
          <w:rFonts w:hint="eastAsia" w:ascii="仿宋" w:hAnsi="仿宋" w:eastAsia="仿宋" w:cs="宋体"/>
          <w:color w:val="auto"/>
          <w:kern w:val="0"/>
          <w:sz w:val="24"/>
          <w:highlight w:val="none"/>
          <w:u w:val="none"/>
          <w:lang w:eastAsia="zh-CN"/>
        </w:rPr>
        <w:t>。</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w:t>
      </w:r>
      <w:r>
        <w:rPr>
          <w:rFonts w:hint="eastAsia" w:ascii="仿宋" w:hAnsi="仿宋" w:eastAsia="仿宋" w:cs="宋体"/>
          <w:color w:val="auto"/>
          <w:kern w:val="0"/>
          <w:sz w:val="24"/>
          <w:highlight w:val="none"/>
          <w:lang w:eastAsia="zh-CN"/>
        </w:rPr>
        <w:t>公告发布之日</w:t>
      </w:r>
      <w:r>
        <w:rPr>
          <w:rFonts w:ascii="仿宋" w:hAnsi="仿宋" w:eastAsia="仿宋" w:cs="宋体"/>
          <w:color w:val="auto"/>
          <w:kern w:val="0"/>
          <w:sz w:val="24"/>
          <w:highlight w:val="none"/>
        </w:rPr>
        <w:t>至</w:t>
      </w:r>
      <w:r>
        <w:rPr>
          <w:rFonts w:hint="eastAsia" w:ascii="仿宋" w:hAnsi="仿宋" w:eastAsia="仿宋" w:cs="宋体"/>
          <w:color w:val="auto"/>
          <w:kern w:val="0"/>
          <w:sz w:val="24"/>
          <w:highlight w:val="none"/>
          <w:lang w:eastAsia="zh-CN"/>
        </w:rPr>
        <w:t>投标截止</w:t>
      </w:r>
      <w:r>
        <w:rPr>
          <w:rFonts w:ascii="仿宋" w:hAnsi="仿宋" w:eastAsia="仿宋" w:cs="宋体"/>
          <w:color w:val="auto"/>
          <w:kern w:val="0"/>
          <w:sz w:val="24"/>
          <w:highlight w:val="none"/>
        </w:rPr>
        <w:t>，每天上午00:00至12:00，下午12:00至23:59（北京时间，线上获取法定节假日均可，线下获取文件法定节假日除外）</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地点（网址）：政采云平台https://www.zcygov.cn/</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方式：投标人登录政采云平台https://www.zcygov.cn/在线申请获取招标文件（进入“项目采购”应用，在获取招标文件菜单中选择项目，申请获取招标文件）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售价（元）：0</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w:t>
      </w:r>
      <w:r>
        <w:rPr>
          <w:rFonts w:hint="eastAsia" w:ascii="仿宋" w:hAnsi="仿宋" w:eastAsia="仿宋" w:cs="宋体"/>
          <w:color w:val="auto"/>
          <w:kern w:val="0"/>
          <w:sz w:val="24"/>
          <w:highlight w:val="none"/>
          <w:lang w:eastAsia="zh-CN"/>
        </w:rPr>
        <w:t>2024年</w:t>
      </w:r>
      <w:r>
        <w:rPr>
          <w:rFonts w:hint="eastAsia" w:ascii="仿宋" w:hAnsi="仿宋" w:eastAsia="仿宋" w:cs="宋体"/>
          <w:color w:val="auto"/>
          <w:kern w:val="0"/>
          <w:sz w:val="24"/>
          <w:highlight w:val="none"/>
          <w:lang w:val="en-US" w:eastAsia="zh-CN"/>
        </w:rPr>
        <w:t>6</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28</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投标地点（网址）：政采云平台（</w:t>
      </w:r>
      <w:r>
        <w:rPr>
          <w:color w:val="auto"/>
          <w:highlight w:val="none"/>
          <w:u w:val="none"/>
        </w:rPr>
        <w:fldChar w:fldCharType="begin"/>
      </w:r>
      <w:r>
        <w:rPr>
          <w:color w:val="auto"/>
          <w:highlight w:val="none"/>
          <w:u w:val="none"/>
        </w:rPr>
        <w:instrText xml:space="preserve"> HYPERLINK "https://www.zcygov.cn/）" </w:instrText>
      </w:r>
      <w:r>
        <w:rPr>
          <w:color w:val="auto"/>
          <w:highlight w:val="none"/>
          <w:u w:val="none"/>
        </w:rPr>
        <w:fldChar w:fldCharType="separate"/>
      </w:r>
      <w:r>
        <w:rPr>
          <w:rStyle w:val="71"/>
          <w:rFonts w:ascii="仿宋" w:hAnsi="仿宋" w:eastAsia="仿宋" w:cs="宋体"/>
          <w:color w:val="auto"/>
          <w:kern w:val="0"/>
          <w:sz w:val="24"/>
          <w:highlight w:val="none"/>
          <w:u w:val="none"/>
        </w:rPr>
        <w:t>https://www.zcygov.cn/）</w:t>
      </w:r>
      <w:r>
        <w:rPr>
          <w:rStyle w:val="71"/>
          <w:rFonts w:ascii="仿宋" w:hAnsi="仿宋" w:eastAsia="仿宋" w:cs="宋体"/>
          <w:color w:val="auto"/>
          <w:kern w:val="0"/>
          <w:sz w:val="24"/>
          <w:highlight w:val="none"/>
          <w:u w:val="none"/>
        </w:rPr>
        <w:fldChar w:fldCharType="end"/>
      </w:r>
    </w:p>
    <w:p>
      <w:pPr>
        <w:widowControl/>
        <w:snapToGrid w:val="0"/>
        <w:spacing w:line="360" w:lineRule="auto"/>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五、开标时间和地点</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w:t>
      </w:r>
      <w:r>
        <w:rPr>
          <w:rFonts w:hint="eastAsia" w:ascii="仿宋" w:hAnsi="仿宋" w:eastAsia="仿宋" w:cs="宋体"/>
          <w:color w:val="auto"/>
          <w:kern w:val="0"/>
          <w:sz w:val="24"/>
          <w:highlight w:val="none"/>
          <w:lang w:eastAsia="zh-CN"/>
        </w:rPr>
        <w:t>2024年</w:t>
      </w:r>
      <w:r>
        <w:rPr>
          <w:rFonts w:hint="eastAsia" w:ascii="仿宋" w:hAnsi="仿宋" w:eastAsia="仿宋" w:cs="宋体"/>
          <w:color w:val="auto"/>
          <w:kern w:val="0"/>
          <w:sz w:val="24"/>
          <w:highlight w:val="none"/>
          <w:lang w:val="en-US" w:eastAsia="zh-CN"/>
        </w:rPr>
        <w:t>6</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28</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w:t>
      </w:r>
    </w:p>
    <w:p>
      <w:pPr>
        <w:widowControl/>
        <w:snapToGrid w:val="0"/>
        <w:spacing w:line="360" w:lineRule="auto"/>
        <w:rPr>
          <w:rFonts w:hint="eastAsia" w:ascii="仿宋" w:hAnsi="仿宋" w:eastAsia="仿宋" w:cs="宋体"/>
          <w:b w:val="0"/>
          <w:bCs w:val="0"/>
          <w:color w:val="auto"/>
          <w:kern w:val="0"/>
          <w:sz w:val="24"/>
          <w:highlight w:val="none"/>
        </w:rPr>
      </w:pPr>
      <w:r>
        <w:rPr>
          <w:rFonts w:ascii="仿宋" w:hAnsi="仿宋" w:eastAsia="仿宋" w:cs="宋体"/>
          <w:color w:val="auto"/>
          <w:kern w:val="0"/>
          <w:sz w:val="24"/>
          <w:highlight w:val="none"/>
        </w:rPr>
        <w:t>开标地点（网址）：政采云平台（https://www.zcygov.cn/）</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六、公告期限</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七、其他补充事宜</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2.其他事项：</w:t>
      </w:r>
      <w:r>
        <w:rPr>
          <w:rFonts w:hint="eastAsia" w:ascii="仿宋" w:hAnsi="仿宋" w:eastAsia="仿宋" w:cs="宋体"/>
          <w:iCs/>
          <w:color w:val="auto"/>
          <w:kern w:val="0"/>
          <w:sz w:val="24"/>
          <w:highlight w:val="none"/>
          <w:u w:val="none"/>
        </w:rPr>
        <w:t>（1）</w:t>
      </w:r>
      <w:r>
        <w:rPr>
          <w:rFonts w:ascii="仿宋" w:hAnsi="仿宋" w:eastAsia="仿宋" w:cs="宋体"/>
          <w:iCs/>
          <w:color w:val="auto"/>
          <w:kern w:val="0"/>
          <w:sz w:val="24"/>
          <w:highlight w:val="none"/>
          <w:u w:val="none"/>
        </w:rPr>
        <w:t>电子招投标：本项目以数据电文形式，依托“政采云平台（www.zcygov.cn）”进行招投标活动，各投标人应按照本项目招标文件和政采云平台的要求编制、加密并递交投标文件，不接受纸质投标文件。</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（2）</w:t>
      </w:r>
      <w:r>
        <w:rPr>
          <w:rFonts w:ascii="仿宋" w:hAnsi="仿宋" w:eastAsia="仿宋" w:cs="宋体"/>
          <w:iCs/>
          <w:color w:val="auto"/>
          <w:kern w:val="0"/>
          <w:sz w:val="24"/>
          <w:highlight w:val="none"/>
          <w:u w:val="none"/>
        </w:rPr>
        <w:t>投标准备：</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1)注册账号--点击“商家入驻”，进行政府采购供应商资料填写，通过审核后可成为正式供应商；</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办理流程详见:《CA证书办理操作指南》https://service.zcygov.cn/#/knowledges/cm2eqWwBFdiHxlNd_otq/lwV6GXABiyELHE-oVMj3</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CA热点问题汇总：https://service.zcygov.cn/#/knowledges/depk120BkjoVoiMyPhAJ/8QejCnEBiyELHE-ohzp-</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（3）</w:t>
      </w:r>
      <w:r>
        <w:rPr>
          <w:rFonts w:ascii="仿宋" w:hAnsi="仿宋" w:eastAsia="仿宋" w:cs="宋体"/>
          <w:iCs/>
          <w:color w:val="auto"/>
          <w:kern w:val="0"/>
          <w:sz w:val="24"/>
          <w:highlight w:val="none"/>
          <w:u w:val="none"/>
        </w:rPr>
        <w:t>投标文件的制作：在“政采云电子交易客户端”中完成“填写基本信息”、“导入投标文件”、“标书关联”、“标书检查”、“电子签名”、“生成电子标书”等操作。</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（4）</w:t>
      </w:r>
      <w:r>
        <w:rPr>
          <w:rFonts w:ascii="仿宋" w:hAnsi="仿宋" w:eastAsia="仿宋" w:cs="宋体"/>
          <w:iCs/>
          <w:color w:val="auto"/>
          <w:kern w:val="0"/>
          <w:sz w:val="24"/>
          <w:highlight w:val="none"/>
          <w:u w:val="none"/>
        </w:rPr>
        <w:t>投标文件的传输递交：投标人在投标截止时间前将加密的投标文件上传至政采云平台。</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（5）</w:t>
      </w:r>
      <w:r>
        <w:rPr>
          <w:rFonts w:ascii="仿宋" w:hAnsi="仿宋" w:eastAsia="仿宋" w:cs="宋体"/>
          <w:iCs/>
          <w:color w:val="auto"/>
          <w:kern w:val="0"/>
          <w:sz w:val="24"/>
          <w:highlight w:val="none"/>
          <w:u w:val="none"/>
        </w:rPr>
        <w:t>投标文件的解密：投标人按照平台提示和招标文件的规定在开标时间起30分钟内完成在线解密。</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（6）</w:t>
      </w:r>
      <w:r>
        <w:rPr>
          <w:rFonts w:ascii="仿宋" w:hAnsi="仿宋" w:eastAsia="仿宋" w:cs="宋体"/>
          <w:iCs/>
          <w:color w:val="auto"/>
          <w:kern w:val="0"/>
          <w:sz w:val="24"/>
          <w:highlight w:val="none"/>
          <w:u w:val="none"/>
        </w:rPr>
        <w:t>具体操作指南：详见政采云平台“服务中心-帮助文档-项目采购-操作流程-电子招投标-政府采购项目电子交易管理操作指南-供应商”：浙江省政府采购项目政采云平台学习专题</w:t>
      </w:r>
      <w:r>
        <w:rPr>
          <w:color w:val="auto"/>
          <w:highlight w:val="none"/>
          <w:u w:val="none"/>
        </w:rPr>
        <w:fldChar w:fldCharType="begin"/>
      </w:r>
      <w:r>
        <w:rPr>
          <w:color w:val="auto"/>
          <w:highlight w:val="none"/>
          <w:u w:val="none"/>
        </w:rPr>
        <w:instrText xml:space="preserve"> HYPERLINK "https://edu.zcygov.cn/luban/e-biding" </w:instrText>
      </w:r>
      <w:r>
        <w:rPr>
          <w:color w:val="auto"/>
          <w:highlight w:val="none"/>
          <w:u w:val="none"/>
        </w:rPr>
        <w:fldChar w:fldCharType="separate"/>
      </w:r>
      <w:r>
        <w:rPr>
          <w:rStyle w:val="71"/>
          <w:rFonts w:ascii="仿宋" w:hAnsi="仿宋" w:eastAsia="仿宋" w:cs="宋体"/>
          <w:iCs/>
          <w:color w:val="auto"/>
          <w:kern w:val="0"/>
          <w:sz w:val="24"/>
          <w:highlight w:val="none"/>
          <w:u w:val="none"/>
        </w:rPr>
        <w:t>https://edu.zcygov.cn/luban/e-biding</w:t>
      </w:r>
      <w:r>
        <w:rPr>
          <w:rStyle w:val="71"/>
          <w:rFonts w:ascii="仿宋" w:hAnsi="仿宋" w:eastAsia="仿宋" w:cs="宋体"/>
          <w:iCs/>
          <w:color w:val="auto"/>
          <w:kern w:val="0"/>
          <w:sz w:val="24"/>
          <w:highlight w:val="none"/>
          <w:u w:val="none"/>
        </w:rPr>
        <w:fldChar w:fldCharType="end"/>
      </w:r>
      <w:r>
        <w:rPr>
          <w:rFonts w:ascii="仿宋" w:hAnsi="仿宋" w:eastAsia="仿宋" w:cs="宋体"/>
          <w:iCs/>
          <w:color w:val="auto"/>
          <w:kern w:val="0"/>
          <w:sz w:val="24"/>
          <w:highlight w:val="none"/>
          <w:u w:val="none"/>
        </w:rPr>
        <w:t>。</w:t>
      </w:r>
      <w:r>
        <w:rPr>
          <w:rFonts w:ascii="仿宋" w:hAnsi="仿宋" w:eastAsia="仿宋" w:cs="宋体"/>
          <w:i/>
          <w:color w:val="auto"/>
          <w:kern w:val="0"/>
          <w:sz w:val="24"/>
          <w:highlight w:val="none"/>
          <w:u w:val="single"/>
        </w:rPr>
        <w:br w:type="textWrapping"/>
      </w:r>
      <w:r>
        <w:rPr>
          <w:rFonts w:hint="eastAsia" w:ascii="仿宋" w:hAnsi="仿宋" w:eastAsia="仿宋" w:cs="宋体"/>
          <w:b/>
          <w:bCs/>
          <w:color w:val="auto"/>
          <w:kern w:val="0"/>
          <w:sz w:val="24"/>
          <w:highlight w:val="none"/>
        </w:rPr>
        <w:t>八、对本次采购提出询问、质疑、投诉，请按以下方式联系</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温州市应急管理局</w:t>
      </w:r>
    </w:p>
    <w:p>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温州市行政管理中心发展大楼9号楼</w:t>
      </w:r>
    </w:p>
    <w:p>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0577-88965155</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val="en-US" w:eastAsia="zh-CN"/>
        </w:rPr>
        <w:t>苏先生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0577-88962800</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rPr>
        <w:t>程先生</w:t>
      </w:r>
    </w:p>
    <w:p>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0577-88965155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2.采购代理机构信息</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浙江建科工程项目管理有限公司</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温州市鹿城区车站大道金泰大厦主楼2楼</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0577-86</w:t>
      </w:r>
      <w:r>
        <w:rPr>
          <w:rFonts w:hint="eastAsia" w:ascii="仿宋" w:hAnsi="仿宋" w:eastAsia="仿宋" w:cs="宋体"/>
          <w:color w:val="auto"/>
          <w:kern w:val="0"/>
          <w:sz w:val="24"/>
          <w:highlight w:val="none"/>
          <w:lang w:val="en-US" w:eastAsia="zh-CN"/>
        </w:rPr>
        <w:t>071199</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eastAsia="zh-CN"/>
        </w:rPr>
        <w:t>陈</w:t>
      </w:r>
      <w:r>
        <w:rPr>
          <w:rFonts w:hint="eastAsia" w:ascii="仿宋" w:hAnsi="仿宋" w:eastAsia="仿宋" w:cs="宋体"/>
          <w:color w:val="auto"/>
          <w:kern w:val="0"/>
          <w:sz w:val="24"/>
          <w:highlight w:val="none"/>
        </w:rPr>
        <w:t>先生</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0577-8</w:t>
      </w:r>
      <w:r>
        <w:rPr>
          <w:rFonts w:hint="eastAsia" w:ascii="仿宋" w:hAnsi="仿宋" w:eastAsia="仿宋" w:cs="宋体"/>
          <w:color w:val="auto"/>
          <w:kern w:val="0"/>
          <w:sz w:val="24"/>
          <w:highlight w:val="none"/>
          <w:lang w:val="en-US" w:eastAsia="zh-CN"/>
        </w:rPr>
        <w:t>8987555/15868502470</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val="en-US" w:eastAsia="zh-CN"/>
        </w:rPr>
        <w:t xml:space="preserve"> 池先生</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w:t>
      </w:r>
      <w:r>
        <w:rPr>
          <w:rFonts w:hint="eastAsia" w:ascii="仿宋" w:hAnsi="仿宋" w:eastAsia="仿宋" w:cs="宋体"/>
          <w:color w:val="auto"/>
          <w:kern w:val="0"/>
          <w:sz w:val="24"/>
          <w:highlight w:val="none"/>
          <w:lang w:val="en-US" w:eastAsia="zh-CN"/>
        </w:rPr>
        <w:t>8987555/13600672377</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3.同级政府采购监督管理部门</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名 称：温州市财政局政府采购监管处</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地 址：温州市鹿城区绣山路 299 号</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传 真：/</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联系人 ：项先生、蔡女士</w:t>
      </w:r>
    </w:p>
    <w:p>
      <w:pPr>
        <w:widowControl/>
        <w:snapToGrid w:val="0"/>
        <w:spacing w:line="360" w:lineRule="auto"/>
        <w:jc w:val="left"/>
        <w:rPr>
          <w:rFonts w:ascii="仿宋" w:hAnsi="仿宋" w:eastAsia="仿宋" w:cs="宋体"/>
          <w:color w:val="auto"/>
          <w:kern w:val="0"/>
          <w:sz w:val="24"/>
          <w:highlight w:val="none"/>
        </w:rPr>
      </w:pPr>
      <w:r>
        <w:rPr>
          <w:rFonts w:hint="eastAsia" w:ascii="宋体" w:hAnsi="宋体" w:eastAsia="仿宋" w:cs="宋体"/>
          <w:color w:val="auto"/>
          <w:kern w:val="0"/>
          <w:sz w:val="24"/>
          <w:highlight w:val="none"/>
        </w:rPr>
        <w:t>监督投诉电话：0577-88532725、88521948</w:t>
      </w:r>
      <w:r>
        <w:rPr>
          <w:rFonts w:hint="eastAsia" w:ascii="仿宋" w:hAnsi="仿宋" w:eastAsia="仿宋" w:cs="宋体"/>
          <w:color w:val="auto"/>
          <w:kern w:val="0"/>
          <w:sz w:val="24"/>
          <w:highlight w:val="none"/>
        </w:rPr>
        <w:t xml:space="preserve"> </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若对项目采购电子交易系统操作有疑问，可登录政采云（</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ascii="仿宋" w:hAnsi="仿宋" w:eastAsia="仿宋" w:cs="宋体"/>
          <w:color w:val="auto"/>
          <w:kern w:val="0"/>
          <w:sz w:val="24"/>
          <w:highlight w:val="none"/>
        </w:rPr>
        <w:t>https://www.zcygov.cn/</w:t>
      </w:r>
      <w:r>
        <w:rPr>
          <w:rStyle w:val="71"/>
          <w:rFonts w:ascii="仿宋" w:hAnsi="仿宋" w:eastAsia="仿宋" w:cs="宋体"/>
          <w:color w:val="auto"/>
          <w:kern w:val="0"/>
          <w:sz w:val="24"/>
          <w:highlight w:val="none"/>
        </w:rPr>
        <w:fldChar w:fldCharType="end"/>
      </w:r>
      <w:r>
        <w:rPr>
          <w:rFonts w:ascii="仿宋" w:hAnsi="仿宋" w:eastAsia="仿宋" w:cs="宋体"/>
          <w:color w:val="auto"/>
          <w:kern w:val="0"/>
          <w:sz w:val="24"/>
          <w:highlight w:val="none"/>
        </w:rPr>
        <w:t>），点击右侧咨询小采，获取采小蜜智能服务管家帮助，或拨打政采云服务热线400-881-7190获取热线服务帮助。</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CA问题联系电话（人工）：汇信CA400-888-4636；天谷CA400-087-8198。</w:t>
      </w:r>
    </w:p>
    <w:p>
      <w:pPr>
        <w:widowControl/>
        <w:snapToGrid w:val="0"/>
        <w:spacing w:line="360" w:lineRule="auto"/>
        <w:jc w:val="center"/>
        <w:outlineLvl w:val="0"/>
        <w:rPr>
          <w:rFonts w:hint="eastAsia" w:ascii="仿宋" w:hAnsi="仿宋" w:eastAsia="仿宋"/>
          <w:b/>
          <w:color w:val="auto"/>
          <w:sz w:val="36"/>
          <w:szCs w:val="36"/>
          <w:highlight w:val="none"/>
        </w:rPr>
      </w:pPr>
    </w:p>
    <w:p>
      <w:pPr>
        <w:widowControl/>
        <w:snapToGrid w:val="0"/>
        <w:spacing w:line="360" w:lineRule="auto"/>
        <w:jc w:val="center"/>
        <w:outlineLvl w:val="0"/>
        <w:rPr>
          <w:rFonts w:hint="eastAsia" w:ascii="仿宋" w:hAnsi="仿宋" w:eastAsia="仿宋"/>
          <w:b/>
          <w:color w:val="auto"/>
          <w:sz w:val="36"/>
          <w:szCs w:val="36"/>
          <w:highlight w:val="none"/>
        </w:rPr>
      </w:pPr>
    </w:p>
    <w:p>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br w:type="page"/>
      </w:r>
      <w:r>
        <w:rPr>
          <w:rFonts w:hint="eastAsia" w:ascii="仿宋" w:hAnsi="仿宋" w:eastAsia="仿宋"/>
          <w:b/>
          <w:color w:val="auto"/>
          <w:sz w:val="36"/>
          <w:szCs w:val="36"/>
          <w:highlight w:val="none"/>
        </w:rPr>
        <w:t>第二部分  投标人须知</w:t>
      </w:r>
    </w:p>
    <w:p>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采购标的对应的中小企业划分标准所属行业：</w:t>
            </w:r>
          </w:p>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w:t>
            </w:r>
            <w:r>
              <w:rPr>
                <w:rFonts w:ascii="仿宋" w:hAnsi="仿宋" w:eastAsia="仿宋" w:cs="Arial"/>
                <w:color w:val="auto"/>
                <w:kern w:val="0"/>
                <w:szCs w:val="21"/>
                <w:highlight w:val="none"/>
              </w:rPr>
              <w:t>1</w:t>
            </w:r>
            <w:r>
              <w:rPr>
                <w:rFonts w:hint="eastAsia" w:ascii="仿宋" w:hAnsi="仿宋" w:eastAsia="仿宋" w:cs="Arial"/>
                <w:color w:val="auto"/>
                <w:kern w:val="0"/>
                <w:szCs w:val="21"/>
                <w:highlight w:val="none"/>
              </w:rPr>
              <w:t>）标的：</w:t>
            </w:r>
            <w:r>
              <w:rPr>
                <w:rFonts w:hint="eastAsia" w:ascii="仿宋" w:hAnsi="仿宋" w:eastAsia="仿宋" w:cs="Arial"/>
                <w:color w:val="auto"/>
                <w:kern w:val="0"/>
                <w:szCs w:val="21"/>
                <w:highlight w:val="none"/>
                <w:u w:val="single"/>
                <w:lang w:eastAsia="zh-CN"/>
              </w:rPr>
              <w:t>抗洪抢险装备</w:t>
            </w:r>
            <w:r>
              <w:rPr>
                <w:rFonts w:hint="eastAsia" w:ascii="仿宋" w:hAnsi="仿宋" w:eastAsia="仿宋" w:cs="Arial"/>
                <w:color w:val="auto"/>
                <w:kern w:val="0"/>
                <w:szCs w:val="21"/>
                <w:highlight w:val="none"/>
              </w:rPr>
              <w:t>，属于</w:t>
            </w:r>
            <w:r>
              <w:rPr>
                <w:rFonts w:hint="eastAsia" w:ascii="仿宋" w:hAnsi="仿宋" w:eastAsia="仿宋" w:cs="Arial"/>
                <w:color w:val="auto"/>
                <w:kern w:val="0"/>
                <w:szCs w:val="21"/>
                <w:highlight w:val="none"/>
                <w:u w:val="single"/>
                <w:lang w:eastAsia="zh-CN"/>
              </w:rPr>
              <w:t>工业</w:t>
            </w:r>
            <w:r>
              <w:rPr>
                <w:rFonts w:hint="eastAsia" w:ascii="仿宋" w:hAnsi="仿宋" w:eastAsia="仿宋" w:cs="Arial"/>
                <w:color w:val="auto"/>
                <w:kern w:val="0"/>
                <w:szCs w:val="21"/>
                <w:highlight w:val="none"/>
              </w:rPr>
              <w:t>；工业包括采矿业，制造业，电力、热力、燃气及水生产和供应业</w:t>
            </w:r>
            <w:r>
              <w:rPr>
                <w:rFonts w:hint="eastAsia" w:ascii="仿宋" w:hAnsi="仿宋" w:eastAsia="仿宋" w:cs="Arial"/>
                <w:color w:val="auto"/>
                <w:kern w:val="0"/>
                <w:szCs w:val="21"/>
                <w:highlight w:val="non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s="Arial"/>
                <w:color w:val="auto"/>
                <w:kern w:val="0"/>
                <w:szCs w:val="21"/>
                <w:highlight w:val="none"/>
                <w:lang w:eastAsia="zh-CN"/>
              </w:rPr>
              <w:t>货物</w:t>
            </w:r>
            <w:r>
              <w:rPr>
                <w:rFonts w:hint="eastAsia" w:ascii="仿宋" w:hAnsi="仿宋" w:eastAsia="仿宋" w:cs="Arial"/>
                <w:color w:val="auto"/>
                <w:kern w:val="0"/>
                <w:szCs w:val="21"/>
                <w:highlight w:val="none"/>
              </w:rPr>
              <w:t>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rPr>
                <w:rFonts w:hint="eastAsia" w:ascii="仿宋" w:hAnsi="仿宋" w:eastAsia="仿宋"/>
                <w:color w:val="auto"/>
                <w:kern w:val="0"/>
                <w:szCs w:val="21"/>
                <w:highlight w:val="none"/>
                <w:lang w:eastAsia="zh-CN"/>
              </w:rPr>
            </w:pPr>
            <w:r>
              <w:rPr>
                <w:rFonts w:hint="eastAsia" w:ascii="仿宋" w:hAnsi="仿宋" w:eastAsia="仿宋"/>
                <w:color w:val="auto"/>
                <w:kern w:val="0"/>
                <w:szCs w:val="21"/>
                <w:highlight w:val="none"/>
              </w:rPr>
              <w:t>投标</w:t>
            </w:r>
            <w:r>
              <w:rPr>
                <w:rFonts w:hint="eastAsia" w:ascii="仿宋" w:hAnsi="仿宋" w:eastAsia="仿宋"/>
                <w:color w:val="auto"/>
                <w:kern w:val="0"/>
                <w:szCs w:val="21"/>
                <w:highlight w:val="none"/>
                <w:lang w:val="zh-CN"/>
              </w:rPr>
              <w:t>报价包含的内容：设备设施费、运杂费、保险费、安装及调试费、验收费、合同包含的所有风险责任等各项费用及不可预见费、服务期和质保期内免费服务等所需的全部费用</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招标代理服务费等，投标人综合考虑相应风险，包含在投标总价中</w:t>
            </w:r>
            <w:r>
              <w:rPr>
                <w:rFonts w:hint="eastAsia" w:ascii="仿宋" w:hAnsi="仿宋" w:eastAsia="仿宋"/>
                <w:color w:val="auto"/>
                <w:kern w:val="0"/>
                <w:szCs w:val="21"/>
                <w:highlight w:val="none"/>
                <w:lang w:val="en-US" w:eastAsia="zh-CN"/>
              </w:rPr>
              <w:t>。</w:t>
            </w:r>
          </w:p>
          <w:p>
            <w:pPr>
              <w:numPr>
                <w:ilvl w:val="0"/>
                <w:numId w:val="1"/>
              </w:numPr>
              <w:snapToGrid w:val="0"/>
              <w:rPr>
                <w:rFonts w:ascii="仿宋" w:hAnsi="仿宋" w:eastAsia="仿宋"/>
                <w:color w:val="auto"/>
                <w:kern w:val="0"/>
                <w:szCs w:val="21"/>
                <w:highlight w:val="none"/>
              </w:rPr>
            </w:pPr>
            <w:r>
              <w:rPr>
                <w:rFonts w:hint="eastAsia" w:ascii="仿宋" w:hAnsi="仿宋" w:eastAsia="仿宋"/>
                <w:color w:val="auto"/>
                <w:kern w:val="0"/>
                <w:szCs w:val="21"/>
                <w:highlight w:val="none"/>
              </w:rPr>
              <w:t>采购代理服务费，收费标准：按计价格【2002】1980号《招标代理服务收费管理办法》规定的服务招标收费标准</w:t>
            </w:r>
            <w:r>
              <w:rPr>
                <w:rFonts w:hint="eastAsia" w:ascii="仿宋" w:hAnsi="仿宋" w:eastAsia="仿宋"/>
                <w:color w:val="auto"/>
                <w:kern w:val="0"/>
                <w:szCs w:val="21"/>
                <w:highlight w:val="none"/>
                <w:lang w:eastAsia="zh-CN"/>
              </w:rPr>
              <w:t>的</w:t>
            </w:r>
            <w:r>
              <w:rPr>
                <w:rFonts w:hint="eastAsia" w:ascii="仿宋" w:hAnsi="仿宋" w:eastAsia="仿宋"/>
                <w:color w:val="auto"/>
                <w:kern w:val="0"/>
                <w:szCs w:val="21"/>
                <w:highlight w:val="none"/>
                <w:lang w:val="en-US" w:eastAsia="zh-CN"/>
              </w:rPr>
              <w:t>6折计取</w:t>
            </w:r>
            <w:r>
              <w:rPr>
                <w:rFonts w:hint="eastAsia" w:ascii="仿宋" w:hAnsi="仿宋" w:eastAsia="仿宋"/>
                <w:color w:val="auto"/>
                <w:kern w:val="0"/>
                <w:szCs w:val="21"/>
                <w:highlight w:val="none"/>
              </w:rPr>
              <w:t>，由中标人在领取中标通知书之前支付给招标代理机构，代理服务费包含在报价总价中。</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u w:val="single"/>
              </w:rPr>
            </w:pPr>
            <w:r>
              <w:rPr>
                <w:rFonts w:ascii="仿宋" w:hAnsi="仿宋" w:eastAsia="仿宋"/>
                <w:color w:val="auto"/>
                <w:szCs w:val="21"/>
                <w:highlight w:val="none"/>
                <w:u w:val="single"/>
              </w:rPr>
              <w:sym w:font="Wingdings" w:char="F0FE"/>
            </w:r>
            <w:r>
              <w:rPr>
                <w:rFonts w:hint="eastAsia" w:ascii="仿宋" w:hAnsi="仿宋" w:eastAsia="仿宋"/>
                <w:color w:val="auto"/>
                <w:szCs w:val="21"/>
                <w:highlight w:val="none"/>
                <w:u w:val="singl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w:t>
            </w:r>
            <w:r>
              <w:rPr>
                <w:rFonts w:ascii="仿宋" w:hAnsi="仿宋" w:eastAsia="仿宋" w:cs="新宋体"/>
                <w:color w:val="auto"/>
                <w:kern w:val="0"/>
                <w:szCs w:val="21"/>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新宋体"/>
                <w:color w:val="auto"/>
                <w:kern w:val="0"/>
                <w:szCs w:val="21"/>
                <w:highlight w:val="none"/>
                <w:u w:val="single"/>
                <w:lang w:eastAsia="zh-CN"/>
              </w:rPr>
            </w:pPr>
            <w:r>
              <w:rPr>
                <w:rFonts w:hint="eastAsia" w:ascii="仿宋" w:hAnsi="仿宋" w:eastAsia="仿宋" w:cs="仿宋_GB2312"/>
                <w:color w:val="auto"/>
                <w:szCs w:val="21"/>
                <w:highlight w:val="none"/>
                <w:lang w:val="zh-CN"/>
              </w:rPr>
              <w:t>在投标截止时间前发送到</w:t>
            </w:r>
            <w:r>
              <w:rPr>
                <w:rFonts w:hint="eastAsia" w:ascii="仿宋" w:hAnsi="仿宋" w:eastAsia="仿宋" w:cs="仿宋_GB2312"/>
                <w:color w:val="auto"/>
                <w:szCs w:val="21"/>
                <w:highlight w:val="none"/>
              </w:rPr>
              <w:t>邮箱：</w:t>
            </w:r>
            <w:r>
              <w:rPr>
                <w:rFonts w:hint="eastAsia" w:ascii="仿宋" w:hAnsi="仿宋" w:eastAsia="仿宋" w:cs="仿宋_GB2312"/>
                <w:color w:val="auto"/>
                <w:szCs w:val="21"/>
                <w:highlight w:val="none"/>
                <w:lang w:val="en-US" w:eastAsia="zh-CN"/>
              </w:rPr>
              <w:t>197601202</w:t>
            </w:r>
            <w:r>
              <w:rPr>
                <w:rFonts w:hint="eastAsia" w:ascii="仿宋" w:hAnsi="仿宋" w:eastAsia="仿宋" w:cs="仿宋_GB2312"/>
                <w:color w:val="auto"/>
                <w:szCs w:val="21"/>
                <w:highlight w:val="none"/>
                <w:lang w:eastAsia="zh-CN"/>
              </w:rPr>
              <w:t>@qq.com</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snapToGrid w:val="0"/>
                <w:color w:val="auto"/>
                <w:szCs w:val="21"/>
                <w:highlight w:val="none"/>
              </w:rPr>
              <w:t>需</w:t>
            </w:r>
            <w:r>
              <w:rPr>
                <w:rFonts w:hint="eastAsia" w:ascii="仿宋" w:hAnsi="仿宋" w:eastAsia="仿宋" w:cs="新宋体"/>
                <w:color w:val="auto"/>
                <w:szCs w:val="21"/>
                <w:highlight w:val="none"/>
              </w:rPr>
              <w:t>要，中标人需提供</w:t>
            </w:r>
            <w:r>
              <w:rPr>
                <w:rFonts w:hint="eastAsia" w:ascii="仿宋" w:hAnsi="仿宋" w:eastAsia="仿宋" w:cs="新宋体"/>
                <w:color w:val="auto"/>
                <w:szCs w:val="21"/>
                <w:highlight w:val="none"/>
                <w:lang w:eastAsia="zh-CN"/>
              </w:rPr>
              <w:t>合同价的</w:t>
            </w:r>
            <w:r>
              <w:rPr>
                <w:rFonts w:hint="eastAsia" w:ascii="仿宋" w:hAnsi="仿宋" w:eastAsia="仿宋" w:cs="新宋体"/>
                <w:color w:val="auto"/>
                <w:szCs w:val="21"/>
                <w:highlight w:val="none"/>
                <w:lang w:val="en-US" w:eastAsia="zh-CN"/>
              </w:rPr>
              <w:t>1%</w:t>
            </w:r>
            <w:r>
              <w:rPr>
                <w:rFonts w:hint="eastAsia" w:ascii="仿宋" w:hAnsi="仿宋" w:eastAsia="仿宋" w:cs="新宋体"/>
                <w:color w:val="auto"/>
                <w:szCs w:val="21"/>
                <w:highlight w:val="none"/>
              </w:rPr>
              <w:t>作为履约保证金。</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rPr>
              <w:t>招标文件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中出现的措辞“发包人”和“承包人”，或者“甲方”和“乙方”（或“中标供应商”）等，在采购阶段应当分别按“采购人”和“投标人”进行理解，其中“中标供应商”与“中标人”同义。</w:t>
            </w:r>
          </w:p>
          <w:p>
            <w:pPr>
              <w:snapToGrid w:val="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构成本</w:t>
            </w:r>
            <w:r>
              <w:rPr>
                <w:rFonts w:hint="eastAsia" w:ascii="仿宋" w:hAnsi="仿宋" w:eastAsia="仿宋"/>
                <w:color w:val="auto"/>
                <w:szCs w:val="21"/>
                <w:highlight w:val="none"/>
              </w:rPr>
              <w:t>招标</w:t>
            </w:r>
            <w:r>
              <w:rPr>
                <w:rFonts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p>
            <w:pPr>
              <w:snapToGrid w:val="0"/>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pPr>
              <w:snapToGrid w:val="0"/>
              <w:rPr>
                <w:rFonts w:ascii="仿宋" w:hAnsi="仿宋" w:eastAsia="仿宋" w:cs="新宋体"/>
                <w:bCs/>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hint="eastAsia" w:ascii="仿宋" w:hAnsi="仿宋" w:eastAsia="仿宋" w:cs="新宋体"/>
                <w:bCs/>
                <w:color w:val="auto"/>
                <w:szCs w:val="21"/>
                <w:highlight w:val="none"/>
              </w:rPr>
              <w:t>中标人在领取中标通知书时应提供与电子投标文件内容一致的纸质投标文件（一正二副）。</w:t>
            </w:r>
          </w:p>
        </w:tc>
      </w:tr>
    </w:tbl>
    <w:p>
      <w:pPr>
        <w:rPr>
          <w:color w:val="auto"/>
          <w:highlight w:val="none"/>
        </w:rPr>
      </w:pPr>
      <w:bookmarkStart w:id="1" w:name="_Toc241404199"/>
      <w:bookmarkStart w:id="2" w:name="_Toc221423616"/>
      <w:bookmarkStart w:id="3" w:name="_Toc221356948"/>
      <w:bookmarkStart w:id="4" w:name="_Toc265529380"/>
      <w:bookmarkStart w:id="5" w:name="_Toc221374623"/>
      <w:bookmarkStart w:id="6" w:name="_Toc223715995"/>
      <w:bookmarkStart w:id="7" w:name="_Toc239145351"/>
      <w:bookmarkStart w:id="8" w:name="_Toc221356883"/>
      <w:bookmarkStart w:id="9" w:name="_Toc222114876"/>
      <w:bookmarkStart w:id="10" w:name="_Toc34508130"/>
      <w:r>
        <w:rPr>
          <w:color w:val="auto"/>
          <w:highlight w:val="none"/>
        </w:rPr>
        <w:br w:type="page"/>
      </w:r>
    </w:p>
    <w:p>
      <w:pPr>
        <w:spacing w:line="360" w:lineRule="auto"/>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新宋体"/>
          <w:b/>
          <w:color w:val="auto"/>
          <w:sz w:val="28"/>
          <w:szCs w:val="28"/>
          <w:highlight w:val="none"/>
        </w:rPr>
        <w:t>总则</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本项目采购是按照《中华人民共和国政府采购法》《中华人民共和国政府采购法实施条例》《关于进一步规范政府采购活动的若干意见》等法律及有关法规组织和实施的。</w:t>
      </w:r>
    </w:p>
    <w:p>
      <w:pPr>
        <w:tabs>
          <w:tab w:val="left" w:pos="540"/>
          <w:tab w:val="left" w:pos="900"/>
        </w:tabs>
        <w:snapToGrid w:val="0"/>
        <w:spacing w:line="360" w:lineRule="auto"/>
        <w:rPr>
          <w:rFonts w:ascii="仿宋" w:hAnsi="仿宋" w:eastAsia="仿宋"/>
          <w:b/>
          <w:color w:val="auto"/>
          <w:sz w:val="24"/>
          <w:highlight w:val="none"/>
        </w:rPr>
      </w:pPr>
      <w:bookmarkStart w:id="11"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p>
      <w:pPr>
        <w:snapToGrid w:val="0"/>
        <w:spacing w:line="360" w:lineRule="auto"/>
        <w:ind w:firstLine="480" w:firstLineChars="200"/>
        <w:rPr>
          <w:rFonts w:ascii="仿宋" w:hAnsi="仿宋" w:eastAsia="仿宋" w:cs="新宋体"/>
          <w:bCs/>
          <w:color w:val="auto"/>
          <w:spacing w:val="6"/>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货物类是否允许采购进口产品、是否要求节能/环境标志产品等情况见投标人须知前附表。</w:t>
      </w:r>
      <w:bookmarkEnd w:id="11"/>
    </w:p>
    <w:p>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ascii="仿宋" w:hAnsi="仿宋" w:eastAsia="仿宋" w:cs="新宋体"/>
          <w:b/>
          <w:color w:val="auto"/>
          <w:sz w:val="24"/>
          <w:highlight w:val="none"/>
        </w:rPr>
      </w:pPr>
      <w:bookmarkStart w:id="12" w:name="_Hlk93148567"/>
      <w:r>
        <w:rPr>
          <w:rFonts w:hint="eastAsia" w:ascii="仿宋" w:hAnsi="仿宋" w:eastAsia="仿宋" w:cs="新宋体"/>
          <w:b/>
          <w:color w:val="auto"/>
          <w:sz w:val="24"/>
          <w:highlight w:val="none"/>
        </w:rPr>
        <w:t>5.保密</w:t>
      </w:r>
    </w:p>
    <w:p>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2"/>
    <w:p>
      <w:pPr>
        <w:snapToGrid w:val="0"/>
        <w:spacing w:line="360" w:lineRule="auto"/>
        <w:rPr>
          <w:rFonts w:ascii="仿宋" w:hAnsi="仿宋" w:eastAsia="仿宋" w:cs="新宋体"/>
          <w:b/>
          <w:bCs/>
          <w:color w:val="auto"/>
          <w:spacing w:val="6"/>
          <w:sz w:val="24"/>
          <w:highlight w:val="none"/>
        </w:rPr>
      </w:pPr>
      <w:bookmarkStart w:id="14" w:name="_Hlk93148676"/>
      <w:r>
        <w:rPr>
          <w:rFonts w:hint="eastAsia" w:ascii="仿宋" w:hAnsi="仿宋" w:eastAsia="仿宋" w:cs="新宋体"/>
          <w:b/>
          <w:bCs/>
          <w:color w:val="auto"/>
          <w:spacing w:val="6"/>
          <w:sz w:val="24"/>
          <w:highlight w:val="none"/>
        </w:rPr>
        <w:t>7.落实政府采购政策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7.2支持绿色发展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color w:val="auto"/>
          <w:spacing w:val="6"/>
          <w:sz w:val="24"/>
          <w:highlight w:val="none"/>
        </w:rPr>
        <w:t>。</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w:t>
      </w:r>
      <w:r>
        <w:rPr>
          <w:rFonts w:ascii="仿宋" w:hAnsi="仿宋" w:eastAsia="仿宋" w:cs="新宋体"/>
          <w:bCs/>
          <w:color w:val="auto"/>
          <w:spacing w:val="6"/>
          <w:sz w:val="24"/>
          <w:highlight w:val="none"/>
        </w:rPr>
        <w:t>2</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bookmarkEnd w:id="14"/>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7.3支持中小企业发展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7.3.2在政府采购活动中，供应商提供的货物、工程或者服务符合下列情形的，享受中小企业扶持政策：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在货物采购项目中，供应商提供的货物既有中小企业制造货物，也有大型企业制造货物的，不享受中小企业扶持政策。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新宋体"/>
          <w:bCs/>
          <w:color w:val="auto"/>
          <w:spacing w:val="6"/>
          <w:sz w:val="24"/>
          <w:highlight w:val="none"/>
          <w:lang w:val="en-US" w:eastAsia="zh-CN"/>
        </w:rPr>
        <w:t>10-20</w:t>
      </w:r>
      <w:r>
        <w:rPr>
          <w:rFonts w:hint="eastAsia" w:ascii="仿宋" w:hAnsi="仿宋" w:eastAsia="仿宋" w:cs="新宋体"/>
          <w:bCs/>
          <w:color w:val="auto"/>
          <w:spacing w:val="6"/>
          <w:sz w:val="24"/>
          <w:highlight w:val="none"/>
        </w:rPr>
        <w:t>%（工程项目为</w:t>
      </w:r>
      <w:r>
        <w:rPr>
          <w:rFonts w:hint="eastAsia" w:ascii="仿宋" w:hAnsi="仿宋" w:eastAsia="仿宋" w:cs="新宋体"/>
          <w:bCs/>
          <w:color w:val="auto"/>
          <w:spacing w:val="6"/>
          <w:sz w:val="24"/>
          <w:highlight w:val="none"/>
          <w:lang w:val="en-US" w:eastAsia="zh-CN"/>
        </w:rPr>
        <w:t>3%-5</w:t>
      </w:r>
      <w:r>
        <w:rPr>
          <w:rFonts w:hint="eastAsia" w:ascii="仿宋" w:hAnsi="仿宋" w:eastAsia="仿宋" w:cs="新宋体"/>
          <w:bCs/>
          <w:color w:val="auto"/>
          <w:spacing w:val="6"/>
          <w:sz w:val="24"/>
          <w:highlight w:val="none"/>
        </w:rPr>
        <w:t>%）的扣除，用扣除后的价格参加评审。</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新宋体"/>
          <w:bCs/>
          <w:color w:val="auto"/>
          <w:spacing w:val="6"/>
          <w:sz w:val="24"/>
          <w:highlight w:val="none"/>
          <w:lang w:val="en-US" w:eastAsia="zh-CN"/>
        </w:rPr>
        <w:t>4%—6%</w:t>
      </w:r>
      <w:r>
        <w:rPr>
          <w:rFonts w:hint="eastAsia" w:ascii="仿宋" w:hAnsi="仿宋" w:eastAsia="仿宋" w:cs="新宋体"/>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新宋体"/>
          <w:bCs/>
          <w:color w:val="auto"/>
          <w:spacing w:val="6"/>
          <w:sz w:val="24"/>
          <w:highlight w:val="none"/>
          <w:lang w:val="en-US" w:eastAsia="zh-CN"/>
        </w:rPr>
        <w:t>4-6</w:t>
      </w:r>
      <w:r>
        <w:rPr>
          <w:rFonts w:hint="eastAsia" w:ascii="仿宋" w:hAnsi="仿宋" w:eastAsia="仿宋" w:cs="新宋体"/>
          <w:bCs/>
          <w:color w:val="auto"/>
          <w:spacing w:val="6"/>
          <w:sz w:val="24"/>
          <w:highlight w:val="none"/>
        </w:rPr>
        <w:t>%（工程项目为</w:t>
      </w:r>
      <w:r>
        <w:rPr>
          <w:rFonts w:hint="eastAsia" w:ascii="仿宋" w:hAnsi="仿宋" w:eastAsia="仿宋" w:cs="新宋体"/>
          <w:bCs/>
          <w:color w:val="auto"/>
          <w:spacing w:val="6"/>
          <w:sz w:val="24"/>
          <w:highlight w:val="none"/>
          <w:lang w:val="en-US" w:eastAsia="zh-CN"/>
        </w:rPr>
        <w:t>1%-2</w:t>
      </w:r>
      <w:r>
        <w:rPr>
          <w:rFonts w:hint="eastAsia" w:ascii="仿宋" w:hAnsi="仿宋" w:eastAsia="仿宋" w:cs="新宋体"/>
          <w:bCs/>
          <w:color w:val="auto"/>
          <w:spacing w:val="6"/>
          <w:sz w:val="24"/>
          <w:highlight w:val="none"/>
        </w:rPr>
        <w:t>%）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见采购文件第六部分评审办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ascii="仿宋" w:hAnsi="仿宋" w:eastAsia="仿宋" w:cs="新宋体"/>
          <w:bCs/>
          <w:color w:val="auto"/>
          <w:spacing w:val="6"/>
          <w:sz w:val="24"/>
          <w:highlight w:val="none"/>
        </w:rPr>
        <w:t>4</w:t>
      </w:r>
      <w:r>
        <w:rPr>
          <w:rFonts w:hint="eastAsia" w:ascii="仿宋" w:hAnsi="仿宋" w:eastAsia="仿宋" w:cs="新宋体"/>
          <w:bCs/>
          <w:color w:val="auto"/>
          <w:spacing w:val="6"/>
          <w:sz w:val="24"/>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7.5加大支持科技创新力度</w:t>
      </w:r>
    </w:p>
    <w:p>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7.5.1.</w:t>
      </w:r>
      <w:r>
        <w:rPr>
          <w:rFonts w:ascii="仿宋" w:hAnsi="仿宋" w:eastAsia="仿宋" w:cs="新宋体"/>
          <w:bCs/>
          <w:color w:val="auto"/>
          <w:spacing w:val="6"/>
          <w:sz w:val="24"/>
          <w:highlight w:val="none"/>
        </w:rPr>
        <w:t>优先推荐专精特新中小企业、创新产品参加政府采购活动。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7.5.2.</w:t>
      </w:r>
      <w:r>
        <w:rPr>
          <w:rFonts w:ascii="仿宋" w:hAnsi="仿宋" w:eastAsia="仿宋" w:cs="新宋体"/>
          <w:bCs/>
          <w:color w:val="auto"/>
          <w:spacing w:val="6"/>
          <w:sz w:val="24"/>
          <w:highlight w:val="none"/>
        </w:rPr>
        <w:t>对省级以上主管部门认定的首台套产品，自纳入《省推广应用指导目录》起三年内参加政府采购活动，视同已具备相应销售业绩，业绩分为满分。</w:t>
      </w:r>
    </w:p>
    <w:p>
      <w:pPr>
        <w:snapToGrid w:val="0"/>
        <w:spacing w:line="360" w:lineRule="auto"/>
        <w:rPr>
          <w:rFonts w:ascii="仿宋" w:hAnsi="仿宋" w:eastAsia="仿宋" w:cs="新宋体"/>
          <w:b/>
          <w:bCs/>
          <w:color w:val="auto"/>
          <w:spacing w:val="6"/>
          <w:sz w:val="24"/>
          <w:highlight w:val="none"/>
        </w:rPr>
      </w:pPr>
      <w:bookmarkStart w:id="15" w:name="_Hlk93148897"/>
      <w:r>
        <w:rPr>
          <w:rFonts w:hint="eastAsia" w:ascii="仿宋" w:hAnsi="仿宋" w:eastAsia="仿宋" w:cs="新宋体"/>
          <w:b/>
          <w:bCs/>
          <w:color w:val="auto"/>
          <w:spacing w:val="6"/>
          <w:sz w:val="24"/>
          <w:highlight w:val="none"/>
        </w:rPr>
        <w:t>8.询问、质疑、投诉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8.2.1提出质疑的投标人应当是参与所质疑项目采购活动的供应商。潜在投标人已依法获取其可质疑的招标文件的，可以对该文件提出质疑。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pPr>
        <w:snapToGrid w:val="0"/>
        <w:spacing w:line="360" w:lineRule="auto"/>
        <w:ind w:firstLine="504" w:firstLineChars="200"/>
        <w:rPr>
          <w:rFonts w:ascii="仿宋" w:hAnsi="仿宋" w:eastAsia="仿宋" w:cs="新宋体"/>
          <w:bCs/>
          <w:color w:val="auto"/>
          <w:spacing w:val="6"/>
          <w:sz w:val="24"/>
          <w:highlight w:val="none"/>
        </w:rPr>
      </w:pPr>
    </w:p>
    <w:p>
      <w:pPr>
        <w:snapToGrid w:val="0"/>
        <w:spacing w:line="360" w:lineRule="auto"/>
        <w:jc w:val="center"/>
        <w:rPr>
          <w:rFonts w:ascii="仿宋" w:hAnsi="仿宋" w:eastAsia="仿宋" w:cs="新宋体"/>
          <w:b/>
          <w:color w:val="auto"/>
          <w:sz w:val="28"/>
          <w:szCs w:val="28"/>
          <w:highlight w:val="none"/>
        </w:rPr>
      </w:pPr>
      <w:bookmarkStart w:id="16" w:name="_Toc239145352"/>
      <w:bookmarkStart w:id="17" w:name="_Toc265529381"/>
      <w:bookmarkStart w:id="18" w:name="_Toc241404200"/>
      <w:bookmarkStart w:id="19" w:name="_Toc222114877"/>
      <w:bookmarkStart w:id="20" w:name="_Toc221356884"/>
      <w:bookmarkStart w:id="21" w:name="_Toc221374624"/>
      <w:bookmarkStart w:id="22" w:name="_Toc221356949"/>
      <w:bookmarkStart w:id="23" w:name="_Toc223715996"/>
      <w:bookmarkStart w:id="24" w:name="_Toc34508131"/>
      <w:bookmarkStart w:id="25" w:name="_Toc221423617"/>
      <w:r>
        <w:rPr>
          <w:rFonts w:hint="eastAsia" w:ascii="仿宋" w:hAnsi="仿宋" w:eastAsia="仿宋" w:cs="新宋体"/>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26" w:name="_Hlk93148980"/>
      <w:r>
        <w:rPr>
          <w:rFonts w:hint="eastAsia" w:ascii="仿宋" w:hAnsi="仿宋" w:eastAsia="仿宋" w:cs="新宋体"/>
          <w:color w:val="auto"/>
          <w:sz w:val="24"/>
          <w:highlight w:val="none"/>
        </w:rPr>
        <w:t>获取招标文件的时间期限、地点、方式及招标文件售价等情况详见招标公告。</w:t>
      </w:r>
      <w:bookmarkEnd w:id="26"/>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pPr>
        <w:tabs>
          <w:tab w:val="left" w:pos="540"/>
        </w:tabs>
        <w:snapToGrid w:val="0"/>
        <w:spacing w:line="360" w:lineRule="auto"/>
        <w:ind w:firstLine="480" w:firstLineChars="200"/>
        <w:rPr>
          <w:rFonts w:ascii="仿宋" w:hAnsi="仿宋" w:eastAsia="仿宋" w:cs="新宋体"/>
          <w:color w:val="auto"/>
          <w:sz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27" w:name="_Toc221423618"/>
      <w:bookmarkStart w:id="28" w:name="_Toc223715997"/>
      <w:bookmarkStart w:id="29" w:name="_Toc241404201"/>
      <w:bookmarkStart w:id="30" w:name="_Toc239145353"/>
      <w:bookmarkStart w:id="31" w:name="_Toc221356950"/>
      <w:bookmarkStart w:id="32" w:name="_Toc34508132"/>
      <w:bookmarkStart w:id="33" w:name="_Toc222114878"/>
      <w:bookmarkStart w:id="34" w:name="_Toc221374625"/>
      <w:bookmarkStart w:id="35" w:name="_Toc265529382"/>
      <w:bookmarkStart w:id="36" w:name="_Toc221356885"/>
      <w:r>
        <w:rPr>
          <w:rFonts w:hint="eastAsia" w:ascii="仿宋" w:hAnsi="仿宋" w:eastAsia="仿宋" w:cs="新宋体"/>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pPr>
        <w:snapToGrid w:val="0"/>
        <w:spacing w:line="360" w:lineRule="auto"/>
        <w:rPr>
          <w:rFonts w:ascii="仿宋" w:hAnsi="仿宋" w:eastAsia="仿宋" w:cs="新宋体"/>
          <w:b/>
          <w:bCs/>
          <w:snapToGrid w:val="0"/>
          <w:color w:val="auto"/>
          <w:sz w:val="24"/>
          <w:highlight w:val="none"/>
        </w:rPr>
      </w:pPr>
      <w:bookmarkStart w:id="37" w:name="_Toc221356886"/>
      <w:bookmarkStart w:id="38"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采购供应商廉洁自律承诺书</w:t>
      </w:r>
      <w:r>
        <w:rPr>
          <w:rFonts w:ascii="仿宋" w:hAnsi="仿宋" w:eastAsia="仿宋" w:cs="仿宋_GB2312"/>
          <w:color w:val="auto"/>
          <w:sz w:val="24"/>
          <w:highlight w:val="none"/>
        </w:rPr>
        <w:t>。</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w:t>
      </w:r>
      <w:r>
        <w:rPr>
          <w:rFonts w:hint="eastAsia" w:ascii="仿宋" w:hAnsi="仿宋" w:eastAsia="仿宋" w:cs="仿宋_GB2312"/>
          <w:color w:val="auto"/>
          <w:sz w:val="24"/>
          <w:highlight w:val="none"/>
          <w:lang w:val="zh-CN"/>
        </w:rPr>
        <w:t>0</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6</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10.4 要求投标人提供样品、讲解或演示的，见投标人须知前附表。</w:t>
      </w:r>
    </w:p>
    <w:bookmarkEnd w:id="37"/>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11.2投标人应当按照本部分“投标文件的构成”规定的内容及顺序在“政采云电子交易客户端”编制投标文件。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pPr>
        <w:pStyle w:val="89"/>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.3</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对投标文件签署、盖章的要求适用于电子签名。</w:t>
      </w:r>
      <w:bookmarkEnd w:id="38"/>
    </w:p>
    <w:p>
      <w:pPr>
        <w:tabs>
          <w:tab w:val="left" w:pos="540"/>
        </w:tabs>
        <w:snapToGrid w:val="0"/>
        <w:spacing w:line="360" w:lineRule="auto"/>
        <w:rPr>
          <w:rFonts w:ascii="仿宋" w:hAnsi="仿宋" w:eastAsia="仿宋" w:cs="新宋体"/>
          <w:b/>
          <w:color w:val="auto"/>
          <w:sz w:val="24"/>
          <w:highlight w:val="none"/>
        </w:rPr>
      </w:pPr>
      <w:bookmarkStart w:id="39" w:name="_Hlk93149637"/>
      <w:r>
        <w:rPr>
          <w:rFonts w:hint="eastAsia" w:ascii="仿宋" w:hAnsi="仿宋" w:eastAsia="仿宋" w:cs="新宋体"/>
          <w:b/>
          <w:bCs/>
          <w:color w:val="auto"/>
          <w:sz w:val="24"/>
          <w:highlight w:val="none"/>
        </w:rPr>
        <w:t>13.投标报价</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投标报价其他要求见投标人须知前附表。</w:t>
      </w:r>
      <w:bookmarkEnd w:id="39"/>
    </w:p>
    <w:p>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0" w:name="_Toc239145354"/>
      <w:bookmarkStart w:id="41" w:name="_Toc265529383"/>
      <w:bookmarkStart w:id="42" w:name="_Toc223715998"/>
      <w:bookmarkStart w:id="43" w:name="_Toc221356887"/>
      <w:bookmarkStart w:id="44" w:name="_Toc241404202"/>
      <w:bookmarkStart w:id="45" w:name="_Toc221374626"/>
      <w:bookmarkStart w:id="46" w:name="_Toc222114879"/>
      <w:bookmarkStart w:id="47" w:name="_Toc221423619"/>
      <w:bookmarkStart w:id="48" w:name="_Toc221356951"/>
      <w:r>
        <w:rPr>
          <w:rFonts w:hint="eastAsia" w:ascii="仿宋" w:hAnsi="仿宋" w:eastAsia="仿宋" w:cs="新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（2）中标人在收到中标通知书后，无正当理由不与采购人订立合同，在签订合同时向采购人提出附加条件，或者不按照招标文件要求提交履约保证金。</w:t>
      </w:r>
    </w:p>
    <w:p>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49"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pPr>
        <w:pStyle w:val="89"/>
        <w:snapToGrid w:val="0"/>
        <w:spacing w:before="0"/>
        <w:ind w:firstLine="0" w:firstLineChars="0"/>
        <w:rPr>
          <w:rFonts w:ascii="仿宋" w:hAnsi="仿宋" w:eastAsia="仿宋" w:cs="仿宋_GB2312"/>
          <w:b/>
          <w:color w:val="auto"/>
          <w:szCs w:val="24"/>
          <w:highlight w:val="none"/>
        </w:rPr>
      </w:pPr>
      <w:bookmarkStart w:id="50"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pPr>
        <w:pStyle w:val="32"/>
        <w:snapToGrid w:val="0"/>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pPr>
        <w:pStyle w:val="32"/>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在政采云平台传输递交投标文件后，还可以在投标截止时间前直接提交或者以邮政快递方式</w:t>
      </w:r>
      <w:r>
        <w:rPr>
          <w:rFonts w:hint="eastAsia" w:ascii="仿宋" w:hAnsi="仿宋" w:eastAsia="仿宋" w:cs="仿宋_GB2312"/>
          <w:color w:val="auto"/>
          <w:sz w:val="24"/>
          <w:szCs w:val="24"/>
          <w:highlight w:val="none"/>
        </w:rPr>
        <w:t>（递交地点见投标人须知前附表）</w:t>
      </w:r>
      <w:r>
        <w:rPr>
          <w:rFonts w:ascii="仿宋" w:hAnsi="仿宋" w:eastAsia="仿宋" w:cs="仿宋_GB2312"/>
          <w:color w:val="auto"/>
          <w:sz w:val="24"/>
          <w:szCs w:val="24"/>
          <w:highlight w:val="none"/>
        </w:rPr>
        <w:t>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pPr>
        <w:pStyle w:val="32"/>
        <w:snapToGrid w:val="0"/>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szCs w:val="24"/>
          <w:highlight w:val="none"/>
        </w:rPr>
        <w:t>光盘</w:t>
      </w:r>
      <w:r>
        <w:rPr>
          <w:rFonts w:hint="eastAsia" w:ascii="仿宋" w:hAnsi="仿宋" w:eastAsia="仿宋"/>
          <w:color w:val="auto"/>
          <w:sz w:val="24"/>
          <w:szCs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r>
        <w:rPr>
          <w:rFonts w:hint="eastAsia" w:ascii="仿宋" w:hAnsi="仿宋" w:eastAsia="仿宋" w:cs="仿宋_GB2312"/>
          <w:color w:val="auto"/>
          <w:sz w:val="24"/>
          <w:szCs w:val="24"/>
          <w:highlight w:val="none"/>
        </w:rPr>
        <w:t>采用</w:t>
      </w:r>
      <w:r>
        <w:rPr>
          <w:rFonts w:ascii="仿宋" w:hAnsi="仿宋" w:eastAsia="仿宋" w:cs="仿宋_GB2312"/>
          <w:color w:val="auto"/>
          <w:sz w:val="24"/>
          <w:szCs w:val="24"/>
          <w:highlight w:val="none"/>
        </w:rPr>
        <w:t>邮政快递方式递交备份投标文件的，</w:t>
      </w:r>
      <w:r>
        <w:rPr>
          <w:rFonts w:hint="eastAsia" w:ascii="仿宋" w:hAnsi="仿宋" w:eastAsia="仿宋" w:cs="仿宋_GB2312"/>
          <w:color w:val="auto"/>
          <w:sz w:val="24"/>
          <w:szCs w:val="24"/>
          <w:highlight w:val="none"/>
        </w:rPr>
        <w:t>送达时间以签收人签收时间为准。邮寄过程中，备份投标文件发生泄露、遗失、损坏或延期送达等情况的，由投标人自行负责。</w:t>
      </w:r>
    </w:p>
    <w:p>
      <w:pPr>
        <w:pStyle w:val="32"/>
        <w:snapToGrid w:val="0"/>
        <w:spacing w:line="360" w:lineRule="auto"/>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pPr>
        <w:pStyle w:val="25"/>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0"/>
    </w:p>
    <w:p>
      <w:pPr>
        <w:pStyle w:val="25"/>
        <w:adjustRightInd w:val="0"/>
        <w:snapToGrid w:val="0"/>
        <w:spacing w:line="360" w:lineRule="auto"/>
        <w:ind w:left="0" w:firstLine="480" w:firstLineChars="200"/>
        <w:rPr>
          <w:rFonts w:ascii="仿宋" w:hAnsi="仿宋" w:eastAsia="仿宋" w:cs="仿宋_GB2312"/>
          <w:color w:val="auto"/>
          <w:highlight w:val="none"/>
        </w:rPr>
      </w:pPr>
    </w:p>
    <w:p>
      <w:pPr>
        <w:pStyle w:val="89"/>
        <w:snapToGrid w:val="0"/>
        <w:spacing w:before="0"/>
        <w:ind w:firstLine="0" w:firstLineChars="0"/>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四、开标、资格审查与信用信息查询</w:t>
      </w:r>
    </w:p>
    <w:p>
      <w:pPr>
        <w:pStyle w:val="92"/>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公布符合性审查、商务技术评审无效投标人名称及理由，公布有效投标人名称及其商务技术部分得分情况，再公布有效投标人开标一览表及有关内容，制作开标记录，投标人应当在</w:t>
      </w:r>
      <w:r>
        <w:rPr>
          <w:rFonts w:hint="eastAsia" w:ascii="仿宋" w:hAnsi="仿宋" w:eastAsia="仿宋" w:cs="仿宋_GB2312"/>
          <w:b/>
          <w:bCs/>
          <w:color w:val="auto"/>
          <w:kern w:val="0"/>
          <w:sz w:val="24"/>
          <w:highlight w:val="none"/>
        </w:rPr>
        <w:t>30分钟</w:t>
      </w:r>
      <w:r>
        <w:rPr>
          <w:rFonts w:hint="eastAsia" w:ascii="仿宋" w:hAnsi="仿宋" w:eastAsia="仿宋" w:cs="仿宋_GB2312"/>
          <w:color w:val="auto"/>
          <w:kern w:val="0"/>
          <w:sz w:val="24"/>
          <w:highlight w:val="none"/>
        </w:rPr>
        <w:t>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ascii="仿宋" w:hAnsi="仿宋" w:eastAsia="仿宋" w:cs="仿宋_GB2312"/>
          <w:b/>
          <w:color w:val="auto"/>
          <w:szCs w:val="24"/>
          <w:highlight w:val="none"/>
        </w:rPr>
        <w:t>、信用信息查询</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的信用记录、查询结果经确认后将与招标文件一起存档。</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pPr>
        <w:pStyle w:val="89"/>
        <w:snapToGrid w:val="0"/>
        <w:spacing w:before="0"/>
        <w:ind w:firstLine="480"/>
        <w:rPr>
          <w:rFonts w:ascii="仿宋" w:hAnsi="仿宋" w:eastAsia="仿宋" w:cs="仿宋_GB2312"/>
          <w:color w:val="auto"/>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51" w:name="_Toc34221900"/>
      <w:bookmarkStart w:id="52" w:name="_Toc34508135"/>
      <w:r>
        <w:rPr>
          <w:rFonts w:hint="eastAsia" w:ascii="仿宋" w:hAnsi="仿宋" w:eastAsia="仿宋" w:cs="新宋体"/>
          <w:b/>
          <w:color w:val="auto"/>
          <w:sz w:val="28"/>
          <w:szCs w:val="28"/>
          <w:highlight w:val="none"/>
        </w:rPr>
        <w:t>五、评标</w:t>
      </w:r>
      <w:bookmarkEnd w:id="51"/>
      <w:bookmarkEnd w:id="52"/>
    </w:p>
    <w:p>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23.评标程序</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六、定标</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pPr>
        <w:pStyle w:val="8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.3公告期限为1个工作日。</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七、合同授予</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pPr>
        <w:pStyle w:val="89"/>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人拒绝与采购人签订合同的，采购人可以按照评审报告推荐的中标候选人名单排序，确定下一候选人为中标人，也可以重新开展政府采购活动。</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w:t>
      </w:r>
      <w:r>
        <w:rPr>
          <w:rFonts w:hint="eastAsia" w:ascii="仿宋" w:hAnsi="仿宋" w:eastAsia="仿宋" w:cs="仿宋_GB2312"/>
          <w:color w:val="auto"/>
          <w:szCs w:val="24"/>
          <w:highlight w:val="none"/>
          <w:lang w:eastAsia="zh-CN"/>
        </w:rPr>
        <w:t>中标人</w:t>
      </w:r>
      <w:r>
        <w:rPr>
          <w:rFonts w:hint="eastAsia" w:ascii="仿宋" w:hAnsi="仿宋" w:eastAsia="仿宋" w:cs="仿宋_GB2312"/>
          <w:color w:val="auto"/>
          <w:szCs w:val="24"/>
          <w:highlight w:val="none"/>
        </w:rPr>
        <w:t>服务、项目验收等重要关节，如实填写《合同验收报告》（或考核资料），并及时向同级财政部门报告验收过程中遇到的问题。</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olor w:val="auto"/>
          <w:sz w:val="24"/>
          <w:highlight w:val="none"/>
        </w:rPr>
        <w:t>。履约保证金的数额为</w:t>
      </w:r>
      <w:r>
        <w:rPr>
          <w:rFonts w:hint="eastAsia" w:ascii="仿宋" w:hAnsi="仿宋" w:eastAsia="仿宋"/>
          <w:color w:val="auto"/>
          <w:sz w:val="24"/>
          <w:highlight w:val="none"/>
          <w:lang w:eastAsia="zh-CN"/>
        </w:rPr>
        <w:t>合同价的</w:t>
      </w: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w:t>
      </w:r>
      <w:r>
        <w:rPr>
          <w:rFonts w:hint="eastAsia" w:ascii="仿宋" w:hAnsi="仿宋" w:eastAsia="仿宋" w:cs="Helvetica"/>
          <w:color w:val="auto"/>
          <w:kern w:val="0"/>
          <w:sz w:val="24"/>
          <w:highlight w:val="none"/>
        </w:rPr>
        <w:t>形式提供履约保证金。</w:t>
      </w:r>
      <w:r>
        <w:rPr>
          <w:rFonts w:hint="eastAsia" w:ascii="仿宋" w:hAnsi="仿宋" w:eastAsia="仿宋" w:cs="Helvetica"/>
          <w:b/>
          <w:bCs/>
          <w:color w:val="auto"/>
          <w:kern w:val="0"/>
          <w:sz w:val="24"/>
          <w:highlight w:val="none"/>
        </w:rPr>
        <w:t>采购人不得拒收履约保函</w:t>
      </w:r>
      <w:r>
        <w:rPr>
          <w:rFonts w:hint="eastAsia" w:ascii="仿宋" w:hAnsi="仿宋" w:eastAsia="仿宋" w:cs="Helvetica"/>
          <w:color w:val="auto"/>
          <w:kern w:val="0"/>
          <w:sz w:val="24"/>
          <w:highlight w:val="none"/>
        </w:rPr>
        <w:t>。</w:t>
      </w:r>
    </w:p>
    <w:p>
      <w:pPr>
        <w:snapToGrid w:val="0"/>
        <w:spacing w:line="360" w:lineRule="auto"/>
        <w:rPr>
          <w:rFonts w:ascii="仿宋" w:hAnsi="仿宋" w:eastAsia="仿宋" w:cs="Helvetica"/>
          <w:color w:val="auto"/>
          <w:kern w:val="0"/>
          <w:sz w:val="24"/>
          <w:highlight w:val="none"/>
        </w:rPr>
      </w:pPr>
    </w:p>
    <w:p>
      <w:pPr>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cs="仿宋_GB2312"/>
          <w:b/>
          <w:color w:val="auto"/>
          <w:sz w:val="28"/>
          <w:szCs w:val="28"/>
          <w:highlight w:val="none"/>
        </w:rPr>
        <w:t>八、电子交易活动的中止</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pPr>
        <w:pStyle w:val="89"/>
        <w:snapToGrid w:val="0"/>
        <w:spacing w:before="0"/>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5"/>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的，重新开展政府采购活动。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政府采购合同已签订但尚未履行的，撤销合同，从合格的中标候选人中另行确定中标或者中标人；没有合格的中标候选人的，重新开展政府采购活动。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pPr>
        <w:tabs>
          <w:tab w:val="left" w:pos="0"/>
        </w:tabs>
        <w:snapToGrid w:val="0"/>
        <w:spacing w:line="360" w:lineRule="auto"/>
        <w:ind w:firstLine="480" w:firstLineChars="200"/>
        <w:rPr>
          <w:rFonts w:ascii="仿宋" w:hAnsi="仿宋" w:eastAsia="仿宋"/>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九、验收</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pPr>
        <w:tabs>
          <w:tab w:val="left" w:pos="0"/>
        </w:tabs>
        <w:snapToGrid w:val="0"/>
        <w:spacing w:line="360" w:lineRule="auto"/>
        <w:ind w:firstLine="480" w:firstLineChars="200"/>
        <w:rPr>
          <w:rFonts w:ascii="仿宋" w:hAnsi="仿宋" w:eastAsia="仿宋" w:cs="Helvetica"/>
          <w:color w:val="auto"/>
          <w:kern w:val="0"/>
          <w:sz w:val="24"/>
          <w:highlight w:val="none"/>
        </w:rPr>
      </w:pPr>
      <w:bookmarkStart w:id="53" w:name="_Hlk93169321"/>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pPr>
        <w:widowControl/>
        <w:snapToGrid w:val="0"/>
        <w:spacing w:line="360" w:lineRule="auto"/>
        <w:ind w:firstLine="480" w:firstLineChars="200"/>
        <w:jc w:val="left"/>
        <w:rPr>
          <w:rFonts w:ascii="仿宋" w:hAnsi="仿宋" w:eastAsia="仿宋" w:cs="新宋体"/>
          <w:color w:val="auto"/>
          <w:sz w:val="24"/>
          <w:highlight w:val="none"/>
        </w:rPr>
      </w:pPr>
      <w:bookmarkStart w:id="54"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ascii="新宋体" w:hAnsi="新宋体" w:eastAsia="新宋体" w:cs="新宋体"/>
          <w:color w:val="auto"/>
          <w:sz w:val="22"/>
          <w:szCs w:val="22"/>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十、其他说明</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54"/>
    </w:p>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numPr>
          <w:ilvl w:val="0"/>
          <w:numId w:val="2"/>
        </w:numPr>
        <w:snapToGrid w:val="0"/>
        <w:spacing w:beforeLines="100"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pPr>
        <w:ind w:firstLine="241" w:firstLineChars="100"/>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bidi="ar"/>
        </w:rPr>
        <w:t>一、</w:t>
      </w:r>
      <w:r>
        <w:rPr>
          <w:rFonts w:hint="eastAsia" w:ascii="仿宋" w:hAnsi="仿宋" w:eastAsia="仿宋" w:cs="仿宋"/>
          <w:b/>
          <w:bCs/>
          <w:color w:val="auto"/>
          <w:kern w:val="0"/>
          <w:sz w:val="24"/>
          <w:szCs w:val="24"/>
          <w:highlight w:val="none"/>
          <w:lang w:eastAsia="zh-CN" w:bidi="ar"/>
        </w:rPr>
        <w:t>采购参数清单及数量</w:t>
      </w:r>
    </w:p>
    <w:tbl>
      <w:tblPr>
        <w:tblStyle w:val="5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573"/>
        <w:gridCol w:w="1202"/>
        <w:gridCol w:w="1098"/>
        <w:gridCol w:w="111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6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2573"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货物名称</w:t>
            </w:r>
          </w:p>
        </w:tc>
        <w:tc>
          <w:tcPr>
            <w:tcW w:w="1202"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使用单位</w:t>
            </w:r>
          </w:p>
        </w:tc>
        <w:tc>
          <w:tcPr>
            <w:tcW w:w="109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数量</w:t>
            </w:r>
          </w:p>
        </w:tc>
        <w:tc>
          <w:tcPr>
            <w:tcW w:w="1118" w:type="dxa"/>
            <w:noWrap w:val="0"/>
            <w:vAlign w:val="center"/>
          </w:tcPr>
          <w:p>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单位</w:t>
            </w:r>
          </w:p>
        </w:tc>
        <w:tc>
          <w:tcPr>
            <w:tcW w:w="2118" w:type="dxa"/>
            <w:noWrap w:val="0"/>
            <w:vAlign w:val="center"/>
          </w:tcPr>
          <w:p>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8"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573"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组合式防洪板</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瑞安市</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45</w:t>
            </w:r>
          </w:p>
        </w:tc>
        <w:tc>
          <w:tcPr>
            <w:tcW w:w="1118" w:type="dxa"/>
            <w:noWrap w:val="0"/>
            <w:vAlign w:val="center"/>
          </w:tcPr>
          <w:p>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8"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组合式防洪板</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瑞安市</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8"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组合式防洪板</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龙港市</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组合式防洪板</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洞头区</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60</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组合式防洪板</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龙湾区</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45</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组合式防洪板</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永嘉县</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套</w:t>
            </w:r>
          </w:p>
        </w:tc>
        <w:tc>
          <w:tcPr>
            <w:tcW w:w="211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防洪子堤</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瑞安市</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2573"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防洪子堤</w:t>
            </w:r>
            <w:r>
              <w:rPr>
                <w:rFonts w:hint="eastAsia" w:ascii="仿宋" w:hAnsi="仿宋" w:eastAsia="仿宋" w:cs="仿宋"/>
                <w:color w:val="auto"/>
                <w:sz w:val="24"/>
                <w:szCs w:val="24"/>
                <w:highlight w:val="none"/>
                <w:vertAlign w:val="baseline"/>
                <w:lang w:eastAsia="zh-CN"/>
              </w:rPr>
              <w:t>（型号</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w:t>
            </w:r>
          </w:p>
        </w:tc>
        <w:tc>
          <w:tcPr>
            <w:tcW w:w="1202"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瑞安市</w:t>
            </w:r>
          </w:p>
        </w:tc>
        <w:tc>
          <w:tcPr>
            <w:tcW w:w="109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111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套</w:t>
            </w:r>
          </w:p>
        </w:tc>
        <w:tc>
          <w:tcPr>
            <w:tcW w:w="211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r>
    </w:tbl>
    <w:p>
      <w:pPr>
        <w:ind w:firstLine="241" w:firstLineChars="100"/>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highlight w:val="none"/>
          <w:lang w:eastAsia="zh-CN" w:bidi="ar"/>
        </w:rPr>
        <w:t>二、招标技术要求</w:t>
      </w:r>
    </w:p>
    <w:tbl>
      <w:tblPr>
        <w:tblStyle w:val="57"/>
        <w:tblW w:w="9137" w:type="dxa"/>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1938"/>
        <w:gridCol w:w="1523"/>
        <w:gridCol w:w="1316"/>
        <w:gridCol w:w="3545"/>
        <w:gridCol w:w="22"/>
        <w:gridCol w:w="2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9093" w:type="dxa"/>
            <w:gridSpan w:val="5"/>
            <w:noWrap w:val="0"/>
            <w:vAlign w:val="center"/>
          </w:tcPr>
          <w:p>
            <w:pPr>
              <w:widowControl/>
              <w:jc w:val="center"/>
              <w:rPr>
                <w:rFonts w:hint="default" w:ascii="仿宋" w:hAnsi="仿宋" w:eastAsia="仿宋" w:cs="仿宋"/>
                <w:b/>
                <w:bCs/>
                <w:kern w:val="0"/>
                <w:szCs w:val="21"/>
                <w:highlight w:val="none"/>
                <w:lang w:val="en-US" w:eastAsia="zh-CN"/>
              </w:rPr>
            </w:pPr>
            <w:r>
              <w:rPr>
                <w:rFonts w:hint="eastAsia" w:ascii="仿宋" w:hAnsi="仿宋" w:eastAsia="仿宋" w:cs="仿宋"/>
                <w:b/>
                <w:bCs/>
                <w:kern w:val="0"/>
                <w:szCs w:val="21"/>
                <w:highlight w:val="none"/>
              </w:rPr>
              <w:t>1、组合式防洪板（型号</w:t>
            </w:r>
            <w:r>
              <w:rPr>
                <w:rFonts w:hint="eastAsia" w:ascii="仿宋" w:hAnsi="仿宋" w:eastAsia="仿宋" w:cs="仿宋"/>
                <w:b/>
                <w:bCs/>
                <w:kern w:val="0"/>
                <w:szCs w:val="21"/>
                <w:highlight w:val="none"/>
                <w:lang w:val="en-US" w:eastAsia="zh-CN"/>
              </w:rPr>
              <w:t>2</w:t>
            </w:r>
            <w:r>
              <w:rPr>
                <w:rFonts w:hint="eastAsia" w:ascii="仿宋" w:hAnsi="仿宋" w:eastAsia="仿宋" w:cs="仿宋"/>
                <w:b/>
                <w:bCs/>
                <w:kern w:val="0"/>
                <w:szCs w:val="21"/>
                <w:highlight w:val="non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规格（功能）指标类型</w:t>
            </w:r>
          </w:p>
        </w:tc>
        <w:tc>
          <w:tcPr>
            <w:tcW w:w="6384" w:type="dxa"/>
            <w:gridSpan w:val="3"/>
            <w:tcBorders>
              <w:lef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技术</w:t>
            </w:r>
            <w:r>
              <w:rPr>
                <w:rFonts w:hint="eastAsia" w:ascii="仿宋" w:hAnsi="仿宋" w:eastAsia="仿宋" w:cs="仿宋"/>
                <w:b/>
                <w:bCs/>
                <w:kern w:val="0"/>
                <w:szCs w:val="21"/>
                <w:highlight w:val="none"/>
                <w:lang w:eastAsia="zh-CN"/>
              </w:rPr>
              <w:t>参数</w:t>
            </w:r>
            <w:r>
              <w:rPr>
                <w:rFonts w:hint="eastAsia" w:ascii="仿宋" w:hAnsi="仿宋" w:eastAsia="仿宋" w:cs="仿宋"/>
                <w:b/>
                <w:bCs/>
                <w:kern w:val="0"/>
                <w:szCs w:val="21"/>
                <w:highlight w:val="none"/>
              </w:rPr>
              <w:t>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总体要求</w:t>
            </w:r>
          </w:p>
        </w:tc>
        <w:tc>
          <w:tcPr>
            <w:tcW w:w="6384" w:type="dxa"/>
            <w:gridSpan w:val="3"/>
            <w:tcBorders>
              <w:lef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t>用于堤防漫溢险情和地下车库、地下通道等临时加高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2</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结构类型</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L型结构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3</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材质</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高强度复合材质（材料全部都是“新料”，无“再生料”），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2</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有效挡水高度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≥0.</w:t>
            </w:r>
            <w:r>
              <w:rPr>
                <w:rFonts w:hint="eastAsia" w:ascii="仿宋" w:hAnsi="仿宋" w:eastAsia="仿宋" w:cs="仿宋"/>
                <w:highlight w:val="none"/>
                <w:lang w:val="en-US" w:eastAsia="zh-CN"/>
              </w:rPr>
              <w:t>5</w:t>
            </w:r>
            <w:r>
              <w:rPr>
                <w:rFonts w:hint="eastAsia" w:ascii="仿宋" w:hAnsi="仿宋" w:eastAsia="仿宋" w:cs="仿宋"/>
                <w:highlight w:val="none"/>
              </w:rPr>
              <w:t>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4</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底边长</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≥0.</w:t>
            </w:r>
            <w:r>
              <w:rPr>
                <w:rFonts w:hint="eastAsia" w:ascii="仿宋" w:hAnsi="仿宋" w:eastAsia="仿宋" w:cs="仿宋"/>
                <w:highlight w:val="none"/>
                <w:lang w:val="en-US" w:eastAsia="zh-CN"/>
              </w:rPr>
              <w:t>7</w:t>
            </w:r>
            <w:r>
              <w:rPr>
                <w:rFonts w:hint="eastAsia" w:ascii="仿宋" w:hAnsi="仿宋" w:eastAsia="仿宋" w:cs="仿宋"/>
                <w:highlight w:val="none"/>
              </w:rPr>
              <w:t>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938" w:type="dxa"/>
            <w:tcBorders>
              <w:right w:val="single" w:color="auto" w:sz="4" w:space="0"/>
            </w:tcBorders>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eastAsia="zh-CN"/>
              </w:rPr>
              <w:t>宽度</w:t>
            </w:r>
          </w:p>
        </w:tc>
        <w:tc>
          <w:tcPr>
            <w:tcW w:w="6384" w:type="dxa"/>
            <w:gridSpan w:val="3"/>
            <w:tcBorders>
              <w:left w:val="single" w:color="auto" w:sz="4" w:space="0"/>
            </w:tcBorders>
            <w:noWrap w:val="0"/>
            <w:vAlign w:val="center"/>
          </w:tcPr>
          <w:p>
            <w:pPr>
              <w:rPr>
                <w:rFonts w:hint="eastAsia" w:ascii="仿宋" w:hAnsi="仿宋" w:eastAsia="仿宋" w:cs="仿宋"/>
                <w:highlight w:val="none"/>
                <w:lang w:eastAsia="zh-CN"/>
              </w:rPr>
            </w:pPr>
            <w:r>
              <w:rPr>
                <w:rFonts w:hint="eastAsia" w:ascii="仿宋" w:hAnsi="仿宋" w:eastAsia="仿宋" w:cs="仿宋"/>
                <w:highlight w:val="none"/>
              </w:rPr>
              <w:t>≥0.</w:t>
            </w:r>
            <w:r>
              <w:rPr>
                <w:rFonts w:hint="eastAsia" w:ascii="仿宋" w:hAnsi="仿宋" w:eastAsia="仿宋" w:cs="仿宋"/>
                <w:highlight w:val="none"/>
                <w:lang w:val="en-US" w:eastAsia="zh-CN"/>
              </w:rPr>
              <w:t>7</w:t>
            </w:r>
            <w:r>
              <w:rPr>
                <w:rFonts w:hint="eastAsia" w:ascii="仿宋" w:hAnsi="仿宋" w:eastAsia="仿宋" w:cs="仿宋"/>
                <w:highlight w:val="none"/>
              </w:rPr>
              <w:t>m</w:t>
            </w:r>
            <w:r>
              <w:rPr>
                <w:rFonts w:hint="eastAsia" w:ascii="仿宋" w:hAnsi="仿宋" w:eastAsia="仿宋" w:cs="仿宋"/>
                <w:highlight w:val="none"/>
                <w:lang w:eastAsia="zh-CN"/>
              </w:rPr>
              <w:t>，适当间距配备弯板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弯曲强度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65</w:t>
            </w:r>
            <w:r>
              <w:rPr>
                <w:rFonts w:hint="eastAsia" w:ascii="仿宋" w:hAnsi="仿宋" w:eastAsia="仿宋" w:cs="仿宋"/>
                <w:highlight w:val="none"/>
              </w:rPr>
              <w:t>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拉伸强度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35</w:t>
            </w:r>
            <w:r>
              <w:rPr>
                <w:rFonts w:hint="eastAsia" w:ascii="仿宋" w:hAnsi="仿宋" w:eastAsia="仿宋" w:cs="仿宋"/>
                <w:highlight w:val="none"/>
              </w:rPr>
              <w:t>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连接方式</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每块板上都有卡扣和连接结构，可进行拼接组合且牢固、设止水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9</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包装</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多块装箱包装，便于运输和储存，每箱包装内放置产品合格证 1 份、操作保养手册 1 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9093" w:type="dxa"/>
            <w:gridSpan w:val="5"/>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2、组合式防洪板（型号</w:t>
            </w:r>
            <w:r>
              <w:rPr>
                <w:rFonts w:hint="eastAsia" w:ascii="仿宋" w:hAnsi="仿宋" w:eastAsia="仿宋" w:cs="仿宋"/>
                <w:b/>
                <w:bCs/>
                <w:kern w:val="0"/>
                <w:szCs w:val="21"/>
                <w:highlight w:val="none"/>
                <w:lang w:val="en-US" w:eastAsia="zh-CN"/>
              </w:rPr>
              <w:t>1</w:t>
            </w:r>
            <w:r>
              <w:rPr>
                <w:rFonts w:hint="eastAsia" w:ascii="仿宋" w:hAnsi="仿宋" w:eastAsia="仿宋" w:cs="仿宋"/>
                <w:b/>
                <w:bCs/>
                <w:kern w:val="0"/>
                <w:szCs w:val="21"/>
                <w:highlight w:val="non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规格（功能）指标类型</w:t>
            </w:r>
          </w:p>
        </w:tc>
        <w:tc>
          <w:tcPr>
            <w:tcW w:w="6384" w:type="dxa"/>
            <w:gridSpan w:val="3"/>
            <w:tcBorders>
              <w:lef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技术</w:t>
            </w:r>
            <w:r>
              <w:rPr>
                <w:rFonts w:hint="eastAsia" w:ascii="仿宋" w:hAnsi="仿宋" w:eastAsia="仿宋" w:cs="仿宋"/>
                <w:b/>
                <w:bCs/>
                <w:kern w:val="0"/>
                <w:szCs w:val="21"/>
                <w:highlight w:val="none"/>
                <w:lang w:eastAsia="zh-CN"/>
              </w:rPr>
              <w:t>参数</w:t>
            </w:r>
            <w:r>
              <w:rPr>
                <w:rFonts w:hint="eastAsia" w:ascii="仿宋" w:hAnsi="仿宋" w:eastAsia="仿宋" w:cs="仿宋"/>
                <w:b/>
                <w:bCs/>
                <w:kern w:val="0"/>
                <w:szCs w:val="21"/>
                <w:highlight w:val="none"/>
              </w:rPr>
              <w:t>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总体要求</w:t>
            </w:r>
          </w:p>
        </w:tc>
        <w:tc>
          <w:tcPr>
            <w:tcW w:w="6384" w:type="dxa"/>
            <w:gridSpan w:val="3"/>
            <w:tcBorders>
              <w:lef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t>组合式防洪板主要由挡水面、承水部、防渗件和防滑垫四大功能单元组成，整体采用L型断面设计，承水部表面配置可拆卸的鱼鳍式多阻肋防渗件，承水部底面设有柔性高摩擦防滑垫。迎水面为曲面体型</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相邻单元拼接方式：弹簧锁扣式</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承水部端部设有可拆卸的鱼鳍式多阻肋防渗件</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承水部底面设有柔性高摩擦防滑垫。</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2</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单元尺寸</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高≥</w:t>
            </w:r>
            <w:r>
              <w:rPr>
                <w:rFonts w:hint="eastAsia" w:ascii="仿宋" w:hAnsi="仿宋" w:eastAsia="仿宋" w:cs="仿宋"/>
                <w:highlight w:val="none"/>
                <w:lang w:val="en-US" w:eastAsia="zh-CN"/>
              </w:rPr>
              <w:t>100</w:t>
            </w:r>
            <w:r>
              <w:rPr>
                <w:rFonts w:hint="eastAsia" w:ascii="仿宋" w:hAnsi="仿宋" w:eastAsia="仿宋" w:cs="仿宋"/>
                <w:highlight w:val="none"/>
              </w:rPr>
              <w:t>cmx宽≥10</w:t>
            </w:r>
            <w:r>
              <w:rPr>
                <w:rFonts w:hint="eastAsia" w:ascii="仿宋" w:hAnsi="仿宋" w:eastAsia="仿宋" w:cs="仿宋"/>
                <w:highlight w:val="none"/>
                <w:lang w:val="en-US" w:eastAsia="zh-CN"/>
              </w:rPr>
              <w:t>5</w:t>
            </w:r>
            <w:r>
              <w:rPr>
                <w:rFonts w:hint="eastAsia" w:ascii="仿宋" w:hAnsi="仿宋" w:eastAsia="仿宋" w:cs="仿宋"/>
                <w:highlight w:val="none"/>
              </w:rPr>
              <w:t>cmx长≥</w:t>
            </w:r>
            <w:r>
              <w:rPr>
                <w:rFonts w:hint="eastAsia" w:ascii="仿宋" w:hAnsi="仿宋" w:eastAsia="仿宋" w:cs="仿宋"/>
                <w:highlight w:val="none"/>
                <w:lang w:val="en-US" w:eastAsia="zh-CN"/>
              </w:rPr>
              <w:t>102</w:t>
            </w:r>
            <w:r>
              <w:rPr>
                <w:rFonts w:hint="eastAsia" w:ascii="仿宋" w:hAnsi="仿宋" w:eastAsia="仿宋" w:cs="仿宋"/>
                <w:highlight w:val="none"/>
              </w:rPr>
              <w:t>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3</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单元质量</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14.5 kg（±5%）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4</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平均厚度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4.8 mm（±0.5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5</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弯曲强度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55</w:t>
            </w:r>
            <w:r>
              <w:rPr>
                <w:rFonts w:hint="eastAsia" w:ascii="仿宋" w:hAnsi="仿宋" w:eastAsia="仿宋" w:cs="仿宋"/>
                <w:highlight w:val="none"/>
              </w:rPr>
              <w:t>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6</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拉伸强度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35</w:t>
            </w:r>
            <w:r>
              <w:rPr>
                <w:rFonts w:hint="eastAsia" w:ascii="仿宋" w:hAnsi="仿宋" w:eastAsia="仿宋" w:cs="仿宋"/>
                <w:highlight w:val="none"/>
              </w:rPr>
              <w:t>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7</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简支梁无缺口冲击强度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40</w:t>
            </w:r>
            <w:r>
              <w:rPr>
                <w:rFonts w:hint="eastAsia" w:ascii="仿宋" w:hAnsi="仿宋" w:eastAsia="仿宋" w:cs="仿宋"/>
                <w:highlight w:val="none"/>
              </w:rPr>
              <w:t>kJ/m</w:t>
            </w:r>
            <w:r>
              <w:rPr>
                <w:rFonts w:ascii="Calibri" w:hAnsi="Calibri" w:eastAsia="仿宋" w:cs="Calibri"/>
                <w:highlight w:val="none"/>
              </w:rPr>
              <w:t>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val="en-US" w:eastAsia="zh-CN"/>
              </w:rPr>
            </w:pPr>
            <w:bookmarkStart w:id="55" w:name="_Hlk167222330"/>
            <w:r>
              <w:rPr>
                <w:rFonts w:hint="eastAsia" w:ascii="仿宋" w:hAnsi="仿宋" w:eastAsia="仿宋" w:cs="仿宋"/>
                <w:highlight w:val="none"/>
                <w:lang w:val="en-US" w:eastAsia="zh-CN"/>
              </w:rPr>
              <w:t>8</w:t>
            </w:r>
          </w:p>
        </w:tc>
        <w:tc>
          <w:tcPr>
            <w:tcW w:w="1938" w:type="dxa"/>
            <w:tcBorders>
              <w:right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挡水高度</w:t>
            </w:r>
          </w:p>
        </w:tc>
        <w:tc>
          <w:tcPr>
            <w:tcW w:w="6384" w:type="dxa"/>
            <w:gridSpan w:val="3"/>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100</w:t>
            </w:r>
            <w:r>
              <w:rPr>
                <w:rFonts w:hint="eastAsia" w:ascii="仿宋" w:hAnsi="仿宋" w:eastAsia="仿宋" w:cs="仿宋"/>
                <w:highlight w:val="none"/>
              </w:rPr>
              <w:t>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9093" w:type="dxa"/>
            <w:gridSpan w:val="5"/>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3、防洪子堤</w:t>
            </w:r>
            <w:r>
              <w:rPr>
                <w:rFonts w:hint="eastAsia" w:ascii="仿宋" w:hAnsi="仿宋" w:eastAsia="仿宋" w:cs="仿宋"/>
                <w:b/>
                <w:bCs/>
                <w:kern w:val="0"/>
                <w:szCs w:val="21"/>
                <w:highlight w:val="none"/>
                <w:lang w:eastAsia="zh-CN"/>
              </w:rPr>
              <w:t>（型号</w:t>
            </w:r>
            <w:r>
              <w:rPr>
                <w:rFonts w:hint="eastAsia" w:ascii="仿宋" w:hAnsi="仿宋" w:eastAsia="仿宋" w:cs="仿宋"/>
                <w:b/>
                <w:bCs/>
                <w:kern w:val="0"/>
                <w:szCs w:val="21"/>
                <w:highlight w:val="none"/>
                <w:lang w:val="en-US" w:eastAsia="zh-CN"/>
              </w:rPr>
              <w:t>1</w:t>
            </w:r>
            <w:r>
              <w:rPr>
                <w:rFonts w:hint="eastAsia" w:ascii="仿宋" w:hAnsi="仿宋" w:eastAsia="仿宋" w:cs="仿宋"/>
                <w:b/>
                <w:bCs/>
                <w:kern w:val="0"/>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规格（功能）指标类型</w:t>
            </w:r>
          </w:p>
        </w:tc>
        <w:tc>
          <w:tcPr>
            <w:tcW w:w="6384" w:type="dxa"/>
            <w:gridSpan w:val="3"/>
            <w:tcBorders>
              <w:lef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技术</w:t>
            </w:r>
            <w:r>
              <w:rPr>
                <w:rFonts w:hint="eastAsia" w:ascii="仿宋" w:hAnsi="仿宋" w:eastAsia="仿宋" w:cs="仿宋"/>
                <w:b/>
                <w:bCs/>
                <w:kern w:val="0"/>
                <w:szCs w:val="21"/>
                <w:highlight w:val="none"/>
                <w:lang w:eastAsia="zh-CN"/>
              </w:rPr>
              <w:t>参数</w:t>
            </w:r>
            <w:r>
              <w:rPr>
                <w:rFonts w:hint="eastAsia" w:ascii="仿宋" w:hAnsi="仿宋" w:eastAsia="仿宋" w:cs="仿宋"/>
                <w:b/>
                <w:bCs/>
                <w:kern w:val="0"/>
                <w:szCs w:val="21"/>
                <w:highlight w:val="none"/>
              </w:rPr>
              <w:t>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总体要求</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防汛子堤，引用面板坝原理，主要用于抢护堤防和大坝的漫溢浪坎险情，防止洪水漫溢成灾；防止在汛期高水位，由于遭受强风大浪，江河库水翻越堤顶而造成局部堤段浪坎险情。应具有组装快捷、装配灵活、适应性强、稳定性好，储运方便、可重复使用、耐磨、抗腐蚀、绿色环保等特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结构组成</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每套（长度不低于</w:t>
            </w:r>
            <w:r>
              <w:rPr>
                <w:rFonts w:hint="eastAsia" w:ascii="仿宋" w:hAnsi="仿宋" w:eastAsia="仿宋" w:cs="仿宋"/>
                <w:highlight w:val="none"/>
                <w:lang w:val="en-US" w:eastAsia="zh-CN"/>
              </w:rPr>
              <w:t>30</w:t>
            </w:r>
            <w:r>
              <w:rPr>
                <w:rFonts w:hint="eastAsia" w:ascii="仿宋" w:hAnsi="仿宋" w:eastAsia="仿宋" w:cs="仿宋"/>
                <w:highlight w:val="none"/>
              </w:rPr>
              <w:t>米）防汛子堤应主要由挡水面板、三角支架、横梁、止水件、定位固定件等部件连接紧固形成刚性子堤坝体。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2.1</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挡水面板</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主体应为波纹形式玻璃钢板，横梁与三角支架通过螺栓固定成一体。每两块面板之间采用不锈钢合页相连，一侧面板背部固定三角支架。面板凹凸部分宽度保持一致，保证挡水面板在使用过程中所受压力均匀，不易出现局部损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2.2</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三角支架</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由铝合金型材连接而成，平时可折叠存放，使用时可快速展开作为坝体的支撑框架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2.3</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横梁</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由铝合金型材与专用蝴蝶螺丝连接而成，作为坝体的连接支撑件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2.4</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止水弹性体</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由具有弹性功能的EPDM材料制成。面板组装时通过左右两侧卡槽紧密镶嵌在一起，接缝填充EPDM止水弹性体材料，保证接缝无水渗漏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2.5</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定位固定件</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在软质堤基应用时倒置于沟槽中起抗位移作用；在硬质堤基应用时起定位挡水防渗板和压实止水弹性体的作用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2.6</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highlight w:val="none"/>
              </w:rPr>
            </w:pPr>
            <w:r>
              <w:rPr>
                <w:rFonts w:hint="eastAsia" w:ascii="仿宋" w:hAnsi="仿宋" w:eastAsia="仿宋" w:cs="仿宋"/>
                <w:highlight w:val="none"/>
              </w:rPr>
              <w:t>挡水防渗布</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应为二布一膜的土工膜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3</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★子堤单元宽度</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100±5cm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4</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★子堤单元面板高度：</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子堤单元面板高度：≥1.3 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★外观</w:t>
            </w:r>
          </w:p>
        </w:tc>
        <w:tc>
          <w:tcPr>
            <w:tcW w:w="6384" w:type="dxa"/>
            <w:gridSpan w:val="3"/>
            <w:tcBorders>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表面应光滑，无气泡、无皱纹、无裂纹、无污渍、颜色须均一，防汛子堤铝合金支架接口处切割边缘光滑，连接处安装牢固、灵活，子堤无破损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340" w:hRule="atLeast"/>
        </w:trPr>
        <w:tc>
          <w:tcPr>
            <w:tcW w:w="771" w:type="dxa"/>
            <w:vMerge w:val="restart"/>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938" w:type="dxa"/>
            <w:vMerge w:val="restart"/>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波浪形挡水面板</w:t>
            </w:r>
          </w:p>
        </w:tc>
        <w:tc>
          <w:tcPr>
            <w:tcW w:w="2839" w:type="dxa"/>
            <w:gridSpan w:val="2"/>
            <w:tcBorders>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★挡水面板厚度：</w:t>
            </w:r>
          </w:p>
        </w:tc>
        <w:tc>
          <w:tcPr>
            <w:tcW w:w="3545" w:type="dxa"/>
            <w:tcBorders>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≥5.5mm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150"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挡水面板材质：</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内：玻璃钢（中碱布或无碱布）；外：胶衣（不饱和树脂）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185"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挡水面板形式：</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波纹形式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102"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外观：</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表面应平滑，无气泡、无皱纹、无裂纹、无污渍、颜色须均一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垂直向弯曲强度：</w:t>
            </w:r>
          </w:p>
        </w:tc>
        <w:tc>
          <w:tcPr>
            <w:tcW w:w="3589" w:type="dxa"/>
            <w:gridSpan w:val="3"/>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≥314Mpa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69"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平行向冲击强度：</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≥34KJ/m2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27"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 xml:space="preserve">平直度： </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0.5 mm≤d≤ 0.1mm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35"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纵向拉伸强度：</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≥200Mpa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01"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横向拉伸强度：</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≥120Mpa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210"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吸水率：</w:t>
            </w:r>
          </w:p>
        </w:tc>
        <w:tc>
          <w:tcPr>
            <w:tcW w:w="3567" w:type="dxa"/>
            <w:gridSpan w:val="2"/>
            <w:tcBorders>
              <w:top w:val="single" w:color="auto" w:sz="4" w:space="0"/>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 xml:space="preserve">≤0.57%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592" w:hRule="atLeast"/>
        </w:trPr>
        <w:tc>
          <w:tcPr>
            <w:tcW w:w="771" w:type="dxa"/>
            <w:vMerge w:val="restart"/>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938" w:type="dxa"/>
            <w:vMerge w:val="restart"/>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防汛子堤支架</w:t>
            </w:r>
          </w:p>
        </w:tc>
        <w:tc>
          <w:tcPr>
            <w:tcW w:w="2839" w:type="dxa"/>
            <w:gridSpan w:val="2"/>
            <w:tcBorders>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支架外观：</w:t>
            </w:r>
          </w:p>
        </w:tc>
        <w:tc>
          <w:tcPr>
            <w:tcW w:w="3545" w:type="dxa"/>
            <w:tcBorders>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防汛子堤铝合金支架接口处切割边缘光滑，连接处安装牢固、灵活，子堤无破损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45"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支架材质：铝合金</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22"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★截面壁厚：</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长边≥1.2mm；宽边≥2.0mm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47"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6384" w:type="dxa"/>
            <w:gridSpan w:val="3"/>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★经过24h盐雾试验后须未出现肉眼可见锈蚀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38"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★维氏硬度（HV5）</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≥58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343"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★抗拉强度</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≥160MPa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377"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挡水深度：</w:t>
            </w:r>
          </w:p>
        </w:tc>
        <w:tc>
          <w:tcPr>
            <w:tcW w:w="3545" w:type="dxa"/>
            <w:tcBorders>
              <w:top w:val="single" w:color="auto" w:sz="4" w:space="0"/>
              <w:left w:val="single" w:color="auto" w:sz="4" w:space="0"/>
              <w:bottom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65-100cm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292"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设计风速：</w:t>
            </w:r>
          </w:p>
        </w:tc>
        <w:tc>
          <w:tcPr>
            <w:tcW w:w="3545" w:type="dxa"/>
            <w:tcBorders>
              <w:top w:val="single" w:color="auto" w:sz="4" w:space="0"/>
              <w:left w:val="single" w:color="auto" w:sz="4" w:space="0"/>
            </w:tcBorders>
            <w:noWrap w:val="0"/>
            <w:vAlign w:val="center"/>
          </w:tcPr>
          <w:p>
            <w:pPr>
              <w:widowControl/>
              <w:jc w:val="both"/>
              <w:rPr>
                <w:rFonts w:hint="eastAsia" w:ascii="仿宋" w:hAnsi="仿宋" w:eastAsia="仿宋" w:cs="仿宋"/>
                <w:highlight w:val="none"/>
              </w:rPr>
            </w:pPr>
            <w:r>
              <w:rPr>
                <w:rFonts w:hint="eastAsia" w:ascii="仿宋" w:hAnsi="仿宋" w:eastAsia="仿宋" w:cs="仿宋"/>
                <w:highlight w:val="none"/>
              </w:rPr>
              <w:t>6.0m/s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162" w:hRule="atLeast"/>
        </w:trPr>
        <w:tc>
          <w:tcPr>
            <w:tcW w:w="771" w:type="dxa"/>
            <w:vMerge w:val="restart"/>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8</w:t>
            </w:r>
          </w:p>
        </w:tc>
        <w:tc>
          <w:tcPr>
            <w:tcW w:w="1938" w:type="dxa"/>
            <w:vMerge w:val="restart"/>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不锈钢合页</w:t>
            </w:r>
          </w:p>
        </w:tc>
        <w:tc>
          <w:tcPr>
            <w:tcW w:w="2839" w:type="dxa"/>
            <w:gridSpan w:val="2"/>
            <w:tcBorders>
              <w:left w:val="single" w:color="auto" w:sz="4" w:space="0"/>
              <w:bottom w:val="single" w:color="auto" w:sz="4" w:space="0"/>
              <w:right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★拉断力</w:t>
            </w:r>
          </w:p>
        </w:tc>
        <w:tc>
          <w:tcPr>
            <w:tcW w:w="3545" w:type="dxa"/>
            <w:tcBorders>
              <w:left w:val="single" w:color="auto" w:sz="4" w:space="0"/>
              <w:bottom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≥4kN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175"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★维氏硬度（HV30）</w:t>
            </w:r>
          </w:p>
        </w:tc>
        <w:tc>
          <w:tcPr>
            <w:tcW w:w="3545" w:type="dxa"/>
            <w:tcBorders>
              <w:top w:val="single" w:color="auto" w:sz="4" w:space="0"/>
              <w:left w:val="single" w:color="auto" w:sz="4" w:space="0"/>
              <w:bottom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≤250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112" w:hRule="atLeast"/>
        </w:trPr>
        <w:tc>
          <w:tcPr>
            <w:tcW w:w="771" w:type="dxa"/>
            <w:vMerge w:val="continue"/>
            <w:noWrap w:val="0"/>
            <w:vAlign w:val="center"/>
          </w:tcPr>
          <w:p>
            <w:pPr>
              <w:jc w:val="center"/>
              <w:rPr>
                <w:rFonts w:hint="eastAsia" w:ascii="仿宋" w:hAnsi="仿宋" w:eastAsia="仿宋" w:cs="仿宋"/>
                <w:highlight w:val="none"/>
                <w:lang w:val="en-US" w:eastAsia="zh-CN"/>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6384" w:type="dxa"/>
            <w:gridSpan w:val="3"/>
            <w:tcBorders>
              <w:top w:val="single" w:color="auto" w:sz="4" w:space="0"/>
              <w:left w:val="single" w:color="auto" w:sz="4" w:space="0"/>
              <w:bottom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★经过24h盐雾试验后须未出现肉眼可见锈蚀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铆钉</w:t>
            </w:r>
          </w:p>
        </w:tc>
        <w:tc>
          <w:tcPr>
            <w:tcW w:w="6384" w:type="dxa"/>
            <w:gridSpan w:val="3"/>
            <w:tcBorders>
              <w:left w:val="single" w:color="auto" w:sz="4" w:space="0"/>
            </w:tcBorders>
            <w:noWrap w:val="0"/>
            <w:vAlign w:val="center"/>
          </w:tcPr>
          <w:p>
            <w:pPr>
              <w:jc w:val="both"/>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★经过24h盐雾试验后须未出现肉眼可见锈蚀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restart"/>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1938" w:type="dxa"/>
            <w:vMerge w:val="restart"/>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止水弹性体</w:t>
            </w:r>
          </w:p>
        </w:tc>
        <w:tc>
          <w:tcPr>
            <w:tcW w:w="2839" w:type="dxa"/>
            <w:gridSpan w:val="2"/>
            <w:tcBorders>
              <w:left w:val="single" w:color="auto" w:sz="4" w:space="0"/>
              <w:right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止水弹性体材质：</w:t>
            </w:r>
          </w:p>
        </w:tc>
        <w:tc>
          <w:tcPr>
            <w:tcW w:w="3545" w:type="dxa"/>
            <w:tcBorders>
              <w:left w:val="single" w:color="auto" w:sz="4" w:space="0"/>
            </w:tcBorders>
            <w:noWrap w:val="0"/>
            <w:vAlign w:val="center"/>
          </w:tcPr>
          <w:p>
            <w:pPr>
              <w:jc w:val="both"/>
              <w:rPr>
                <w:rFonts w:hint="eastAsia" w:ascii="仿宋" w:hAnsi="仿宋" w:eastAsia="仿宋" w:cs="仿宋"/>
                <w:highlight w:val="none"/>
              </w:rPr>
            </w:pPr>
            <w:r>
              <w:rPr>
                <w:rFonts w:hint="eastAsia" w:ascii="仿宋" w:hAnsi="仿宋" w:eastAsia="仿宋" w:cs="仿宋"/>
                <w:highlight w:val="none"/>
              </w:rPr>
              <w:t>EPDM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noWrap w:val="0"/>
            <w:vAlign w:val="center"/>
          </w:tcPr>
          <w:p>
            <w:pPr>
              <w:jc w:val="center"/>
              <w:rPr>
                <w:rFonts w:hint="eastAsia" w:ascii="仿宋" w:hAnsi="仿宋" w:eastAsia="仿宋" w:cs="仿宋"/>
                <w:highlight w:val="none"/>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left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硬度（邵尔A），度</w:t>
            </w:r>
          </w:p>
        </w:tc>
        <w:tc>
          <w:tcPr>
            <w:tcW w:w="3545" w:type="dxa"/>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60±5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noWrap w:val="0"/>
            <w:vAlign w:val="center"/>
          </w:tcPr>
          <w:p>
            <w:pPr>
              <w:jc w:val="center"/>
              <w:rPr>
                <w:rFonts w:hint="eastAsia" w:ascii="仿宋" w:hAnsi="仿宋" w:eastAsia="仿宋" w:cs="仿宋"/>
                <w:highlight w:val="none"/>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left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拉伸强度，MPa</w:t>
            </w:r>
          </w:p>
        </w:tc>
        <w:tc>
          <w:tcPr>
            <w:tcW w:w="3545" w:type="dxa"/>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noWrap w:val="0"/>
            <w:vAlign w:val="center"/>
          </w:tcPr>
          <w:p>
            <w:pPr>
              <w:jc w:val="center"/>
              <w:rPr>
                <w:rFonts w:hint="eastAsia" w:ascii="仿宋" w:hAnsi="仿宋" w:eastAsia="仿宋" w:cs="仿宋"/>
                <w:highlight w:val="none"/>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left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扯断伸长率</w:t>
            </w:r>
          </w:p>
        </w:tc>
        <w:tc>
          <w:tcPr>
            <w:tcW w:w="3545" w:type="dxa"/>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≧375%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noWrap w:val="0"/>
            <w:vAlign w:val="center"/>
          </w:tcPr>
          <w:p>
            <w:pPr>
              <w:jc w:val="center"/>
              <w:rPr>
                <w:rFonts w:hint="eastAsia" w:ascii="仿宋" w:hAnsi="仿宋" w:eastAsia="仿宋" w:cs="仿宋"/>
                <w:highlight w:val="none"/>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2839" w:type="dxa"/>
            <w:gridSpan w:val="2"/>
            <w:tcBorders>
              <w:left w:val="single" w:color="auto" w:sz="4" w:space="0"/>
              <w:right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rPr>
              <w:t>压缩永久变形（70℃x24h，%）</w:t>
            </w:r>
          </w:p>
        </w:tc>
        <w:tc>
          <w:tcPr>
            <w:tcW w:w="3545" w:type="dxa"/>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≦35</w:t>
            </w:r>
            <w:r>
              <w:rPr>
                <w:rFonts w:hint="eastAsia" w:ascii="仿宋" w:hAnsi="仿宋" w:eastAsia="仿宋" w:cs="仿宋"/>
                <w:highlight w:val="none"/>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11</w:t>
            </w:r>
          </w:p>
        </w:tc>
        <w:tc>
          <w:tcPr>
            <w:tcW w:w="1938" w:type="dxa"/>
            <w:tcBorders>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包装</w:t>
            </w:r>
          </w:p>
        </w:tc>
        <w:tc>
          <w:tcPr>
            <w:tcW w:w="6384" w:type="dxa"/>
            <w:gridSpan w:val="3"/>
            <w:tcBorders>
              <w:left w:val="single" w:color="auto" w:sz="4" w:space="0"/>
            </w:tcBorders>
            <w:noWrap w:val="0"/>
            <w:vAlign w:val="center"/>
          </w:tcPr>
          <w:p>
            <w:pPr>
              <w:adjustRightInd/>
              <w:rPr>
                <w:rFonts w:hint="eastAsia" w:ascii="仿宋" w:hAnsi="仿宋" w:eastAsia="仿宋" w:cs="仿宋"/>
                <w:highlight w:val="none"/>
              </w:rPr>
            </w:pPr>
            <w:r>
              <w:rPr>
                <w:rFonts w:hint="eastAsia" w:ascii="仿宋" w:hAnsi="仿宋" w:eastAsia="仿宋" w:cs="仿宋"/>
                <w:highlight w:val="none"/>
                <w:lang w:val="en-US" w:eastAsia="zh-CN"/>
              </w:rPr>
              <w:t>20</w:t>
            </w:r>
            <w:r>
              <w:rPr>
                <w:rFonts w:hint="eastAsia" w:ascii="仿宋" w:hAnsi="仿宋" w:eastAsia="仿宋" w:cs="仿宋"/>
                <w:highlight w:val="none"/>
              </w:rPr>
              <w:t>米/套，每套防洪子堤装箱包装，便于运输和储存，每箱包装内放置产品合格证1份、操作保养手册1份。</w:t>
            </w:r>
          </w:p>
        </w:tc>
      </w:tr>
      <w:bookmarkEnd w:id="55"/>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9093" w:type="dxa"/>
            <w:gridSpan w:val="5"/>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4、防洪子堤（型号</w:t>
            </w:r>
            <w:r>
              <w:rPr>
                <w:rFonts w:hint="eastAsia" w:ascii="仿宋" w:hAnsi="仿宋" w:eastAsia="仿宋" w:cs="仿宋"/>
                <w:b/>
                <w:bCs/>
                <w:kern w:val="0"/>
                <w:szCs w:val="21"/>
                <w:highlight w:val="none"/>
                <w:lang w:val="en-US" w:eastAsia="zh-CN"/>
              </w:rPr>
              <w:t>2</w:t>
            </w:r>
            <w:r>
              <w:rPr>
                <w:rFonts w:hint="eastAsia" w:ascii="仿宋" w:hAnsi="仿宋" w:eastAsia="仿宋" w:cs="仿宋"/>
                <w:b/>
                <w:bCs/>
                <w:kern w:val="0"/>
                <w:szCs w:val="21"/>
                <w:highlight w:val="non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1938" w:type="dxa"/>
            <w:tcBorders>
              <w:left w:val="single" w:color="auto" w:sz="4" w:space="0"/>
              <w:righ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规格（功能）指标类型</w:t>
            </w:r>
          </w:p>
        </w:tc>
        <w:tc>
          <w:tcPr>
            <w:tcW w:w="6384" w:type="dxa"/>
            <w:gridSpan w:val="3"/>
            <w:tcBorders>
              <w:left w:val="single" w:color="auto" w:sz="4" w:space="0"/>
            </w:tcBorders>
            <w:noWrap w:val="0"/>
            <w:vAlign w:val="center"/>
          </w:tcPr>
          <w:p>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技术</w:t>
            </w:r>
            <w:r>
              <w:rPr>
                <w:rFonts w:hint="eastAsia" w:ascii="仿宋" w:hAnsi="仿宋" w:eastAsia="仿宋" w:cs="仿宋"/>
                <w:b/>
                <w:bCs/>
                <w:kern w:val="0"/>
                <w:szCs w:val="21"/>
                <w:highlight w:val="none"/>
                <w:lang w:eastAsia="zh-CN"/>
              </w:rPr>
              <w:t>参数</w:t>
            </w:r>
            <w:r>
              <w:rPr>
                <w:rFonts w:hint="eastAsia" w:ascii="仿宋" w:hAnsi="仿宋" w:eastAsia="仿宋" w:cs="仿宋"/>
                <w:b/>
                <w:bCs/>
                <w:kern w:val="0"/>
                <w:szCs w:val="21"/>
                <w:highlight w:val="none"/>
              </w:rPr>
              <w:t>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restart"/>
            <w:tcBorders>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1938" w:type="dxa"/>
            <w:vMerge w:val="restart"/>
            <w:tcBorders>
              <w:left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总体要求</w:t>
            </w:r>
          </w:p>
        </w:tc>
        <w:tc>
          <w:tcPr>
            <w:tcW w:w="1523" w:type="dxa"/>
            <w:tcBorders>
              <w:left w:val="single" w:color="auto" w:sz="4" w:space="0"/>
              <w:right w:val="single" w:color="auto" w:sz="4" w:space="0"/>
            </w:tcBorders>
            <w:noWrap w:val="0"/>
            <w:vAlign w:val="center"/>
          </w:tcPr>
          <w:p>
            <w:pP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构成要求</w:t>
            </w:r>
          </w:p>
        </w:tc>
        <w:tc>
          <w:tcPr>
            <w:tcW w:w="4861" w:type="dxa"/>
            <w:gridSpan w:val="2"/>
            <w:tcBorders>
              <w:left w:val="single" w:color="auto" w:sz="4" w:space="0"/>
            </w:tcBorders>
            <w:noWrap w:val="0"/>
            <w:vAlign w:val="center"/>
          </w:tcPr>
          <w:p>
            <w:pP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L型挡水板由直板、内弯板、外弯板构成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tcBorders>
              <w:right w:val="single" w:color="auto" w:sz="4" w:space="0"/>
            </w:tcBorders>
            <w:noWrap w:val="0"/>
            <w:vAlign w:val="center"/>
          </w:tcPr>
          <w:p>
            <w:pPr>
              <w:widowControl/>
              <w:jc w:val="center"/>
              <w:rPr>
                <w:rFonts w:hint="eastAsia" w:ascii="仿宋" w:hAnsi="仿宋" w:eastAsia="仿宋" w:cs="仿宋"/>
                <w:kern w:val="0"/>
                <w:szCs w:val="21"/>
                <w:highlight w:val="none"/>
              </w:rPr>
            </w:pPr>
          </w:p>
        </w:tc>
        <w:tc>
          <w:tcPr>
            <w:tcW w:w="193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highlight w:val="none"/>
                <w:lang w:val="en-US" w:eastAsia="zh-CN" w:bidi="ar-SA"/>
              </w:rPr>
            </w:pPr>
          </w:p>
        </w:tc>
        <w:tc>
          <w:tcPr>
            <w:tcW w:w="1523" w:type="dxa"/>
            <w:tcBorders>
              <w:left w:val="single" w:color="auto" w:sz="4" w:space="0"/>
              <w:right w:val="single" w:color="auto" w:sz="4" w:space="0"/>
            </w:tcBorders>
            <w:noWrap w:val="0"/>
            <w:vAlign w:val="center"/>
          </w:tcPr>
          <w:p>
            <w:pP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防护作用要求</w:t>
            </w:r>
          </w:p>
        </w:tc>
        <w:tc>
          <w:tcPr>
            <w:tcW w:w="4861" w:type="dxa"/>
            <w:gridSpan w:val="2"/>
            <w:tcBorders>
              <w:left w:val="single" w:color="auto" w:sz="4" w:space="0"/>
            </w:tcBorders>
            <w:noWrap w:val="0"/>
            <w:vAlign w:val="center"/>
          </w:tcPr>
          <w:p>
            <w:pP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L型结构红色 ABS 材质可拆卸防洪板，挡板上用金属扣卡榫式安装结构，底部有防滑胶条和密封阻水条。卡扣锁紧后结实不松动，两块板间密封效果良好，相邻的两片防洪板对接时严密贴合，保证在有效挡水高度内两个单件体间不易产生漏水情况。挡水板连接密封胶条宽度≥25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restart"/>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2</w:t>
            </w:r>
          </w:p>
        </w:tc>
        <w:tc>
          <w:tcPr>
            <w:tcW w:w="1938" w:type="dxa"/>
            <w:vMerge w:val="restart"/>
            <w:tcBorders>
              <w:right w:val="single" w:color="auto" w:sz="4" w:space="0"/>
            </w:tcBorders>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eastAsia="zh-CN"/>
              </w:rPr>
              <w:t>★产品规格</w:t>
            </w:r>
          </w:p>
        </w:tc>
        <w:tc>
          <w:tcPr>
            <w:tcW w:w="1523" w:type="dxa"/>
            <w:tcBorders>
              <w:left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挡水板高度</w:t>
            </w:r>
          </w:p>
        </w:tc>
        <w:tc>
          <w:tcPr>
            <w:tcW w:w="4861" w:type="dxa"/>
            <w:gridSpan w:val="2"/>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≥80cm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noWrap w:val="0"/>
            <w:vAlign w:val="center"/>
          </w:tcPr>
          <w:p>
            <w:pPr>
              <w:jc w:val="center"/>
              <w:rPr>
                <w:rFonts w:hint="eastAsia" w:ascii="仿宋" w:hAnsi="仿宋" w:eastAsia="仿宋" w:cs="仿宋"/>
                <w:highlight w:val="none"/>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1523" w:type="dxa"/>
            <w:tcBorders>
              <w:left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挡水板底板长(底侧面长度)</w:t>
            </w:r>
          </w:p>
        </w:tc>
        <w:tc>
          <w:tcPr>
            <w:tcW w:w="4861" w:type="dxa"/>
            <w:gridSpan w:val="2"/>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≥95cm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noWrap w:val="0"/>
            <w:vAlign w:val="center"/>
          </w:tcPr>
          <w:p>
            <w:pPr>
              <w:jc w:val="center"/>
              <w:rPr>
                <w:rFonts w:hint="eastAsia" w:ascii="仿宋" w:hAnsi="仿宋" w:eastAsia="仿宋" w:cs="仿宋"/>
                <w:highlight w:val="none"/>
              </w:rPr>
            </w:pPr>
          </w:p>
        </w:tc>
        <w:tc>
          <w:tcPr>
            <w:tcW w:w="1938" w:type="dxa"/>
            <w:vMerge w:val="continue"/>
            <w:tcBorders>
              <w:right w:val="single" w:color="auto" w:sz="4" w:space="0"/>
            </w:tcBorders>
            <w:noWrap w:val="0"/>
            <w:vAlign w:val="center"/>
          </w:tcPr>
          <w:p>
            <w:pPr>
              <w:jc w:val="center"/>
              <w:rPr>
                <w:rFonts w:hint="eastAsia" w:ascii="仿宋" w:hAnsi="仿宋" w:eastAsia="仿宋" w:cs="仿宋"/>
                <w:highlight w:val="none"/>
              </w:rPr>
            </w:pPr>
          </w:p>
        </w:tc>
        <w:tc>
          <w:tcPr>
            <w:tcW w:w="1523" w:type="dxa"/>
            <w:tcBorders>
              <w:left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材料厚度</w:t>
            </w:r>
          </w:p>
        </w:tc>
        <w:tc>
          <w:tcPr>
            <w:tcW w:w="4861" w:type="dxa"/>
            <w:gridSpan w:val="2"/>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vMerge w:val="continue"/>
            <w:tcBorders>
              <w:bottom w:val="single" w:color="auto" w:sz="4" w:space="0"/>
            </w:tcBorders>
            <w:noWrap w:val="0"/>
            <w:vAlign w:val="center"/>
          </w:tcPr>
          <w:p>
            <w:pPr>
              <w:jc w:val="center"/>
              <w:rPr>
                <w:rFonts w:hint="eastAsia" w:ascii="仿宋" w:hAnsi="仿宋" w:eastAsia="仿宋" w:cs="仿宋"/>
                <w:highlight w:val="none"/>
                <w:lang w:val="en-US" w:eastAsia="zh-CN"/>
              </w:rPr>
            </w:pPr>
          </w:p>
        </w:tc>
        <w:tc>
          <w:tcPr>
            <w:tcW w:w="1938" w:type="dxa"/>
            <w:vMerge w:val="continue"/>
            <w:tcBorders>
              <w:bottom w:val="single" w:color="auto" w:sz="4" w:space="0"/>
              <w:right w:val="single" w:color="auto" w:sz="4" w:space="0"/>
            </w:tcBorders>
            <w:noWrap w:val="0"/>
            <w:vAlign w:val="center"/>
          </w:tcPr>
          <w:p>
            <w:pPr>
              <w:jc w:val="center"/>
              <w:rPr>
                <w:rFonts w:hint="eastAsia" w:ascii="仿宋" w:hAnsi="仿宋" w:eastAsia="仿宋" w:cs="仿宋"/>
                <w:highlight w:val="none"/>
              </w:rPr>
            </w:pPr>
          </w:p>
        </w:tc>
        <w:tc>
          <w:tcPr>
            <w:tcW w:w="1523"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有效挡水高度</w:t>
            </w:r>
          </w:p>
        </w:tc>
        <w:tc>
          <w:tcPr>
            <w:tcW w:w="4861" w:type="dxa"/>
            <w:gridSpan w:val="2"/>
            <w:tcBorders>
              <w:left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≥75cm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vertAlign w:val="baseline"/>
              </w:rPr>
              <w:t>★</w:t>
            </w:r>
            <w:r>
              <w:rPr>
                <w:rFonts w:hint="eastAsia" w:ascii="仿宋" w:hAnsi="仿宋" w:eastAsia="仿宋" w:cs="仿宋"/>
                <w:highlight w:val="none"/>
              </w:rPr>
              <w:t>挡水强度</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坡比(高度/底长)≤0.85，具有良好的挡水压水抗阻效果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vertAlign w:val="baseline"/>
              </w:rPr>
              <w:t>★</w:t>
            </w:r>
            <w:r>
              <w:rPr>
                <w:rFonts w:hint="eastAsia" w:ascii="仿宋" w:hAnsi="仿宋" w:eastAsia="仿宋" w:cs="仿宋"/>
                <w:highlight w:val="none"/>
              </w:rPr>
              <w:t>弯曲强度</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rPr>
            </w:pPr>
            <w:r>
              <w:rPr>
                <w:rFonts w:hint="eastAsia" w:ascii="仿宋" w:hAnsi="仿宋" w:eastAsia="仿宋" w:cs="仿宋"/>
                <w:highlight w:val="none"/>
              </w:rPr>
              <w:t>≥75Mpa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vertAlign w:val="baseline"/>
              </w:rPr>
              <w:t>★</w:t>
            </w:r>
            <w:r>
              <w:rPr>
                <w:rFonts w:hint="eastAsia" w:ascii="仿宋" w:hAnsi="仿宋" w:eastAsia="仿宋" w:cs="仿宋"/>
                <w:highlight w:val="none"/>
              </w:rPr>
              <w:t>拉伸强度</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≥40Mpa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vertAlign w:val="baseline"/>
              </w:rPr>
              <w:t>★</w:t>
            </w:r>
            <w:r>
              <w:rPr>
                <w:rFonts w:hint="eastAsia" w:ascii="仿宋" w:hAnsi="仿宋" w:eastAsia="仿宋" w:cs="仿宋"/>
                <w:highlight w:val="none"/>
              </w:rPr>
              <w:t>简支梁冲击强度</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≥24KJ/㎡</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vertAlign w:val="baseline"/>
              </w:rPr>
              <w:t>★</w:t>
            </w:r>
            <w:r>
              <w:rPr>
                <w:rFonts w:hint="eastAsia" w:ascii="仿宋" w:hAnsi="仿宋" w:eastAsia="仿宋" w:cs="仿宋"/>
                <w:highlight w:val="none"/>
              </w:rPr>
              <w:t>邵氏硬度</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应能达到85 Shore 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8</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稳定性能</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折合重量&gt;9.6Kg/米，挡水板底部和贴地面折筋宽度≥100mm，折筋到直角垂直长度&gt;180mm，有较强的稳定结构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外观要求</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外形应为L型挡板，顶部应有卡扣和紧缩结构，颜色应为橙色，产品表面应有 U0涂层。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整体强度</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5块连接成一组后可整体搬运，应无松散、断开现象。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11</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紫外老化</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测试后，样品表面应无明显变化，无开裂、无粉化、无起泡。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耐高温老化</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80℃下存放 24h 样品表面应无明显变化，无开裂、无起泡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13</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收纳方式</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可堆叠收纳，收纳后的整体应保持水平、便于存放，占用空间小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4" w:type="dxa"/>
          <w:trHeight w:val="454" w:hRule="atLeast"/>
        </w:trPr>
        <w:tc>
          <w:tcPr>
            <w:tcW w:w="771" w:type="dxa"/>
            <w:tcBorders>
              <w:top w:val="single" w:color="auto" w:sz="4" w:space="0"/>
              <w:bottom w:val="single" w:color="auto" w:sz="4" w:space="0"/>
            </w:tcBorders>
            <w:noWrap w:val="0"/>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14</w:t>
            </w:r>
          </w:p>
        </w:tc>
        <w:tc>
          <w:tcPr>
            <w:tcW w:w="193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eastAsia="zh-CN"/>
              </w:rPr>
              <w:t>其他要求</w:t>
            </w:r>
          </w:p>
        </w:tc>
        <w:tc>
          <w:tcPr>
            <w:tcW w:w="6384" w:type="dxa"/>
            <w:gridSpan w:val="3"/>
            <w:tcBorders>
              <w:top w:val="single" w:color="auto" w:sz="4" w:space="0"/>
              <w:left w:val="single" w:color="auto" w:sz="4" w:space="0"/>
              <w:bottom w:val="single" w:color="auto" w:sz="4" w:space="0"/>
            </w:tcBorders>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防洪板及其部件材料切(削)面儒倒角去毛刺，无尖角或利角表面光滑、整齐，直板挡水板背面中间部位根据采购方需要印制相关1ogo 或文字信息。</w:t>
            </w:r>
          </w:p>
        </w:tc>
      </w:tr>
    </w:tbl>
    <w:p>
      <w:pPr>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kern w:val="0"/>
          <w:sz w:val="24"/>
          <w:highlight w:val="none"/>
          <w:lang w:bidi="ar"/>
        </w:rPr>
        <w:t>以上★标注的关键技术参数，供应商必须提供国家认可的第三方检测报告（具有CMA或CNAS检测标识）证明相关参数符合要求。</w:t>
      </w:r>
    </w:p>
    <w:p>
      <w:pP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三</w:t>
      </w:r>
      <w:r>
        <w:rPr>
          <w:rFonts w:hint="eastAsia" w:ascii="仿宋" w:hAnsi="仿宋" w:eastAsia="仿宋" w:cs="仿宋"/>
          <w:b/>
          <w:bCs/>
          <w:color w:val="auto"/>
          <w:kern w:val="0"/>
          <w:sz w:val="24"/>
          <w:szCs w:val="24"/>
          <w:highlight w:val="none"/>
          <w:lang w:bidi="ar"/>
        </w:rPr>
        <w:t>、商务要求</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天内完成供货，如未按要求完成供货，对采购方造成的损失有中标方负责</w:t>
      </w:r>
      <w:r>
        <w:rPr>
          <w:rFonts w:hint="eastAsia" w:ascii="仿宋" w:hAnsi="仿宋" w:eastAsia="仿宋" w:cs="仿宋"/>
          <w:color w:val="auto"/>
          <w:sz w:val="24"/>
          <w:szCs w:val="24"/>
          <w:highlight w:val="none"/>
          <w:lang w:eastAsia="zh-CN"/>
        </w:rPr>
        <w:t>（货物在采购、运输、保管等过程中产生的损失等，均由成交供应商承担）</w:t>
      </w:r>
      <w:r>
        <w:rPr>
          <w:rFonts w:hint="eastAsia" w:ascii="仿宋" w:hAnsi="仿宋" w:eastAsia="仿宋" w:cs="仿宋"/>
          <w:color w:val="auto"/>
          <w:sz w:val="24"/>
          <w:szCs w:val="24"/>
          <w:highlight w:val="none"/>
        </w:rPr>
        <w:t>。</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整体质保期不少于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年。原厂保修服务内容必须是其标准的产品服务和投标承诺的服务。</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:合同签订后5个工作日内</w:t>
      </w:r>
      <w:r>
        <w:rPr>
          <w:rFonts w:hint="eastAsia" w:ascii="仿宋" w:hAnsi="仿宋" w:eastAsia="仿宋" w:cs="仿宋"/>
          <w:color w:val="auto"/>
          <w:sz w:val="24"/>
          <w:szCs w:val="24"/>
          <w:highlight w:val="none"/>
        </w:rPr>
        <w:t>乙方提交合同金额的1%履约保证金，甲方收到乙方出具相应金额的增值税发票及具备付款条件后7个工作日内，向乙方支付合同总额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0%的预付款，乙方完成全部货物，甲方验收合格并收到乙方出具相应金额增值税发票后7个工作日内，甲方支付剩余的合同款并退还履约保证金。</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.验收标准：</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货物交付前，供应商应对货物的质量、数量等方面进行详细、全面的检验，并向采购人出具证明货物符合合同约定的文件；货物交付时，采购人在合同规定时间内组织验收，并可依法邀请相关方参加，验收应出具验收书。</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合同期满或者履行完毕后，采购人有权组织（包括依法邀请国家认可的质量检测机构参加）对供应商履约的验收，即：按照合同约定的技术、服务、安全标准，组织对每一项技术、服务、安全标准的履约情况的验收，并出具验收书。</w:t>
      </w:r>
    </w:p>
    <w:p>
      <w:pPr>
        <w:numPr>
          <w:ilvl w:val="0"/>
          <w:numId w:val="3"/>
        </w:numP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其他约定</w:t>
      </w:r>
    </w:p>
    <w:p>
      <w:pPr>
        <w:pStyle w:val="22"/>
        <w:numPr>
          <w:ilvl w:val="0"/>
          <w:numId w:val="0"/>
        </w:numPr>
        <w:rPr>
          <w:rFonts w:hint="default" w:eastAsia="宋体"/>
          <w:highlight w:val="none"/>
          <w:lang w:val="en-US" w:eastAsia="zh-CN"/>
        </w:rPr>
      </w:pPr>
      <w:r>
        <w:rPr>
          <w:rFonts w:hint="eastAsia"/>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1、本次采购中标后，成交供应商与各使用单位分别就各自的货物数量签订合同进行供货。</w:t>
      </w:r>
    </w:p>
    <w:p>
      <w:pPr>
        <w:pStyle w:val="25"/>
        <w:rPr>
          <w:color w:val="auto"/>
          <w:highlight w:val="none"/>
        </w:rPr>
      </w:pPr>
    </w:p>
    <w:p>
      <w:pPr>
        <w:pStyle w:val="14"/>
        <w:rPr>
          <w:color w:val="auto"/>
          <w:highlight w:val="none"/>
        </w:rPr>
      </w:pPr>
    </w:p>
    <w:p>
      <w:pPr>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rPr>
          <w:rFonts w:hint="eastAsia" w:ascii="仿宋" w:hAnsi="仿宋" w:eastAsia="仿宋" w:cs="仿宋_GB2312"/>
          <w:b/>
          <w:color w:val="auto"/>
          <w:sz w:val="36"/>
          <w:szCs w:val="36"/>
          <w:highlight w:val="none"/>
        </w:rPr>
      </w:pPr>
      <w:bookmarkStart w:id="56" w:name="_Toc221356898"/>
      <w:bookmarkStart w:id="57" w:name="_Toc221356961"/>
      <w:r>
        <w:rPr>
          <w:rFonts w:hint="eastAsia" w:ascii="仿宋" w:hAnsi="仿宋" w:eastAsia="仿宋" w:cs="仿宋_GB2312"/>
          <w:b/>
          <w:color w:val="auto"/>
          <w:sz w:val="36"/>
          <w:szCs w:val="36"/>
          <w:highlight w:val="none"/>
        </w:rPr>
        <w:br w:type="page"/>
      </w:r>
    </w:p>
    <w:p>
      <w:pPr>
        <w:snapToGrid w:val="0"/>
        <w:spacing w:beforeLines="150" w:afterLines="5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  拟签订的合同文本（参考格式）</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rPr>
          <w:rFonts w:hint="eastAsia" w:ascii="仿宋" w:hAnsi="仿宋" w:eastAsia="仿宋" w:cs="仿宋"/>
          <w:b/>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100"/>
        <w:rPr>
          <w:rFonts w:hint="eastAsia" w:ascii="仿宋" w:hAnsi="仿宋" w:eastAsia="仿宋" w:cs="仿宋"/>
          <w:color w:val="auto"/>
          <w:szCs w:val="24"/>
          <w:highlight w:val="none"/>
        </w:rPr>
      </w:pPr>
    </w:p>
    <w:p>
      <w:pPr>
        <w:pStyle w:val="100"/>
        <w:rPr>
          <w:rFonts w:hint="eastAsia" w:ascii="仿宋" w:hAnsi="仿宋" w:eastAsia="仿宋" w:cs="仿宋"/>
          <w:color w:val="auto"/>
          <w:szCs w:val="24"/>
          <w:highlight w:val="none"/>
        </w:rPr>
      </w:pPr>
    </w:p>
    <w:p>
      <w:pPr>
        <w:pStyle w:val="100"/>
        <w:jc w:val="center"/>
        <w:rPr>
          <w:rFonts w:hint="eastAsia" w:ascii="仿宋" w:hAnsi="仿宋" w:eastAsia="仿宋" w:cs="仿宋"/>
          <w:color w:val="auto"/>
          <w:szCs w:val="24"/>
          <w:highlight w:val="none"/>
        </w:rPr>
      </w:pPr>
    </w:p>
    <w:p>
      <w:pPr>
        <w:pStyle w:val="1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10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101"/>
        <w:spacing w:before="120" w:line="22" w:lineRule="atLeast"/>
        <w:rPr>
          <w:rFonts w:hint="eastAsia" w:ascii="仿宋" w:hAnsi="仿宋" w:eastAsia="仿宋" w:cs="仿宋"/>
          <w:color w:val="auto"/>
          <w:szCs w:val="24"/>
          <w:highlight w:val="none"/>
        </w:rPr>
      </w:pPr>
    </w:p>
    <w:p>
      <w:pPr>
        <w:pStyle w:val="101"/>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footerReference r:id="rId3" w:type="default"/>
          <w:pgSz w:w="11907" w:h="16840"/>
          <w:pgMar w:top="1474" w:right="1814" w:bottom="1474" w:left="1814" w:header="851" w:footer="851" w:gutter="0"/>
          <w:pgNumType w:fmt="decimal"/>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温州市应急管理局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为该项目中标或者成交供应商。现于中标或者成交通知书发出之日起30日内，按照采购文件等确定的事项签订本合同。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温州市应急管理局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58" w:name="_Toc2232"/>
      <w:bookmarkStart w:id="59" w:name="_Toc3029"/>
      <w:bookmarkStart w:id="60" w:name="_Toc24059"/>
      <w:r>
        <w:rPr>
          <w:rFonts w:hint="eastAsia" w:ascii="仿宋" w:hAnsi="仿宋" w:eastAsia="仿宋" w:cs="仿宋"/>
          <w:b/>
          <w:color w:val="auto"/>
          <w:sz w:val="24"/>
          <w:highlight w:val="none"/>
        </w:rPr>
        <w:t>1.1 合同组成部分</w:t>
      </w:r>
      <w:bookmarkEnd w:id="58"/>
      <w:bookmarkEnd w:id="59"/>
      <w:bookmarkEnd w:id="6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61" w:name="_Toc27126"/>
      <w:bookmarkStart w:id="62" w:name="_Toc21295"/>
      <w:bookmarkStart w:id="63" w:name="_Toc24300"/>
      <w:r>
        <w:rPr>
          <w:rFonts w:hint="eastAsia" w:ascii="仿宋" w:hAnsi="仿宋" w:eastAsia="仿宋" w:cs="仿宋"/>
          <w:b/>
          <w:color w:val="auto"/>
          <w:sz w:val="24"/>
          <w:highlight w:val="none"/>
        </w:rPr>
        <w:t>1.2 货物</w:t>
      </w:r>
      <w:bookmarkEnd w:id="61"/>
      <w:bookmarkEnd w:id="62"/>
      <w:bookmarkEnd w:id="63"/>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560" w:lineRule="exact"/>
        <w:ind w:firstLine="482" w:firstLineChars="200"/>
        <w:outlineLvl w:val="0"/>
        <w:rPr>
          <w:rFonts w:hint="eastAsia" w:ascii="仿宋" w:hAnsi="仿宋" w:eastAsia="仿宋" w:cs="仿宋"/>
          <w:b/>
          <w:color w:val="auto"/>
          <w:sz w:val="24"/>
          <w:highlight w:val="none"/>
        </w:rPr>
      </w:pPr>
      <w:bookmarkStart w:id="64" w:name="_Toc23292"/>
      <w:bookmarkStart w:id="65" w:name="_Toc21551"/>
      <w:bookmarkStart w:id="66" w:name="_Toc21631"/>
      <w:r>
        <w:rPr>
          <w:rFonts w:hint="eastAsia" w:ascii="仿宋" w:hAnsi="仿宋" w:eastAsia="仿宋" w:cs="仿宋"/>
          <w:b/>
          <w:color w:val="auto"/>
          <w:sz w:val="24"/>
          <w:highlight w:val="none"/>
        </w:rPr>
        <w:t>1.3 价款</w:t>
      </w:r>
      <w:bookmarkEnd w:id="64"/>
      <w:bookmarkEnd w:id="65"/>
      <w:bookmarkEnd w:id="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bl>
    <w:p>
      <w:pPr>
        <w:pStyle w:val="102"/>
        <w:spacing w:before="0" w:beforeAutospacing="0" w:after="0" w:afterAutospacing="0" w:line="360" w:lineRule="auto"/>
        <w:ind w:firstLine="480"/>
        <w:rPr>
          <w:rFonts w:hint="eastAsia" w:ascii="仿宋" w:hAnsi="仿宋" w:eastAsia="仿宋" w:cs="仿宋"/>
          <w:b/>
          <w:color w:val="auto"/>
          <w:highlight w:val="none"/>
        </w:rPr>
      </w:pPr>
      <w:bookmarkStart w:id="67" w:name="_Toc22618"/>
      <w:bookmarkStart w:id="68" w:name="_Toc10340"/>
      <w:bookmarkStart w:id="69" w:name="_Toc1814"/>
      <w:r>
        <w:rPr>
          <w:rFonts w:hint="eastAsia" w:ascii="仿宋" w:hAnsi="仿宋" w:eastAsia="仿宋" w:cs="仿宋"/>
          <w:b/>
          <w:color w:val="auto"/>
          <w:highlight w:val="none"/>
        </w:rPr>
        <w:t>1.4履约保证金</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tabs>
          <w:tab w:val="left" w:pos="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67"/>
      <w:bookmarkEnd w:id="68"/>
      <w:bookmarkEnd w:id="69"/>
      <w:r>
        <w:rPr>
          <w:rFonts w:hint="eastAsia" w:ascii="仿宋" w:hAnsi="仿宋" w:eastAsia="仿宋" w:cs="仿宋"/>
          <w:b/>
          <w:color w:val="auto"/>
          <w:sz w:val="24"/>
          <w:highlight w:val="none"/>
        </w:rPr>
        <w:t>预付款</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0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0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70" w:name="_Toc2846"/>
      <w:bookmarkStart w:id="71" w:name="_Toc32071"/>
      <w:bookmarkStart w:id="72" w:name="_Toc19304"/>
      <w:r>
        <w:rPr>
          <w:rFonts w:hint="eastAsia" w:ascii="仿宋" w:hAnsi="仿宋" w:eastAsia="仿宋" w:cs="仿宋"/>
          <w:b/>
          <w:color w:val="auto"/>
          <w:sz w:val="24"/>
          <w:highlight w:val="none"/>
        </w:rPr>
        <w:t>1.7货物交付期限、地点和方式</w:t>
      </w:r>
      <w:bookmarkEnd w:id="70"/>
      <w:bookmarkEnd w:id="71"/>
      <w:bookmarkEnd w:id="7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73" w:name="_Toc21423"/>
      <w:bookmarkStart w:id="74" w:name="_Toc27250"/>
      <w:bookmarkStart w:id="75" w:name="_Toc19554"/>
      <w:r>
        <w:rPr>
          <w:rFonts w:hint="eastAsia" w:ascii="仿宋" w:hAnsi="仿宋" w:eastAsia="仿宋" w:cs="仿宋"/>
          <w:b/>
          <w:color w:val="auto"/>
          <w:sz w:val="24"/>
          <w:highlight w:val="none"/>
        </w:rPr>
        <w:t>1.8违约责任</w:t>
      </w:r>
      <w:bookmarkEnd w:id="73"/>
      <w:bookmarkEnd w:id="74"/>
      <w:bookmarkEnd w:id="7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76" w:name="_Toc16021"/>
      <w:bookmarkStart w:id="77" w:name="_Toc15583"/>
      <w:bookmarkStart w:id="78" w:name="_Toc28375"/>
      <w:r>
        <w:rPr>
          <w:rFonts w:hint="eastAsia" w:ascii="仿宋" w:hAnsi="仿宋" w:eastAsia="仿宋" w:cs="仿宋"/>
          <w:b/>
          <w:color w:val="auto"/>
          <w:sz w:val="24"/>
          <w:highlight w:val="none"/>
        </w:rPr>
        <w:t>1.9合同争议的解决</w:t>
      </w:r>
      <w:bookmarkEnd w:id="76"/>
      <w:bookmarkEnd w:id="77"/>
      <w:bookmarkEnd w:id="78"/>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79" w:name="_Toc11173"/>
      <w:bookmarkStart w:id="80" w:name="_Toc15322"/>
      <w:bookmarkStart w:id="81" w:name="_Toc7245"/>
      <w:r>
        <w:rPr>
          <w:rFonts w:hint="eastAsia" w:ascii="仿宋" w:hAnsi="仿宋" w:eastAsia="仿宋" w:cs="仿宋"/>
          <w:b/>
          <w:color w:val="auto"/>
          <w:sz w:val="24"/>
          <w:highlight w:val="none"/>
        </w:rPr>
        <w:t>2.0 合同生效</w:t>
      </w:r>
      <w:bookmarkEnd w:id="79"/>
      <w:bookmarkEnd w:id="80"/>
      <w:bookmarkEnd w:id="81"/>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rPr>
          <w:rFonts w:hint="eastAsia" w:ascii="仿宋" w:hAnsi="仿宋" w:eastAsia="仿宋" w:cs="仿宋"/>
          <w:color w:val="auto"/>
          <w:sz w:val="24"/>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titlePg/>
          <w:docGrid w:linePitch="312" w:charSpace="0"/>
        </w:sectPr>
      </w:pPr>
    </w:p>
    <w:p>
      <w:pPr>
        <w:rPr>
          <w:rFonts w:hint="eastAsia" w:ascii="仿宋" w:hAnsi="仿宋" w:eastAsia="仿宋" w:cs="仿宋"/>
          <w:color w:val="auto"/>
          <w:sz w:val="24"/>
          <w:highlight w:val="none"/>
        </w:rPr>
      </w:pPr>
    </w:p>
    <w:p>
      <w:pPr>
        <w:pStyle w:val="1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82" w:name="_Ref467378463"/>
      <w:bookmarkStart w:id="83" w:name="_Toc279701240"/>
      <w:bookmarkStart w:id="84" w:name="_Toc487900349"/>
      <w:bookmarkStart w:id="85" w:name="_Ref467379195"/>
      <w:bookmarkStart w:id="86" w:name="_Ref467378499"/>
      <w:bookmarkStart w:id="87" w:name="_Ref467379214"/>
      <w:bookmarkStart w:id="88" w:name="_Ref467379109"/>
      <w:bookmarkStart w:id="89" w:name="_Toc28763"/>
      <w:bookmarkStart w:id="90" w:name="_Ref467379225"/>
      <w:bookmarkStart w:id="91" w:name="_Ref467378404"/>
      <w:bookmarkStart w:id="92" w:name="_Toc19614"/>
      <w:bookmarkStart w:id="93" w:name="_Toc16917"/>
      <w:bookmarkStart w:id="94" w:name="_Ref467379101"/>
      <w:bookmarkStart w:id="95" w:name="_Ref467379205"/>
      <w:bookmarkStart w:id="96" w:name="_Toc259093669"/>
      <w:bookmarkStart w:id="97" w:name="_Ref467379094"/>
      <w:r>
        <w:rPr>
          <w:rFonts w:hint="eastAsia" w:ascii="仿宋" w:hAnsi="仿宋" w:eastAsia="仿宋" w:cs="仿宋"/>
          <w:b/>
          <w:color w:val="auto"/>
          <w:sz w:val="24"/>
          <w:highlight w:val="none"/>
        </w:rPr>
        <w:t>2.1 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98" w:name="_Ref467378840"/>
      <w:r>
        <w:rPr>
          <w:rFonts w:hint="eastAsia" w:ascii="仿宋" w:hAnsi="仿宋" w:eastAsia="仿宋" w:cs="仿宋"/>
          <w:color w:val="auto"/>
          <w:sz w:val="24"/>
          <w:highlight w:val="none"/>
        </w:rPr>
        <w:t>2.1.4 “甲方”系指与中标或成交供应商签署合同的采购人</w:t>
      </w:r>
      <w:bookmarkEnd w:id="98"/>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99" w:name="_Ref467379400"/>
      <w:r>
        <w:rPr>
          <w:rFonts w:hint="eastAsia" w:ascii="仿宋" w:hAnsi="仿宋" w:eastAsia="仿宋" w:cs="仿宋"/>
          <w:color w:val="auto"/>
          <w:sz w:val="24"/>
          <w:highlight w:val="none"/>
        </w:rPr>
        <w:t>2.1.5 “乙方”系指根据合同约定交付货物的中标或成交供应商</w:t>
      </w:r>
      <w:bookmarkEnd w:id="99"/>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100" w:name="_Ref467379436"/>
      <w:r>
        <w:rPr>
          <w:rFonts w:hint="eastAsia" w:ascii="仿宋" w:hAnsi="仿宋" w:eastAsia="仿宋" w:cs="仿宋"/>
          <w:color w:val="auto"/>
          <w:sz w:val="24"/>
          <w:highlight w:val="none"/>
        </w:rPr>
        <w:t>2.1.6 “现场”系指合同约定货物将要运至或者安装的地点。</w:t>
      </w:r>
      <w:bookmarkEnd w:id="100"/>
    </w:p>
    <w:p>
      <w:pPr>
        <w:spacing w:line="560" w:lineRule="exact"/>
        <w:ind w:firstLine="482" w:firstLineChars="200"/>
        <w:outlineLvl w:val="0"/>
        <w:rPr>
          <w:rFonts w:hint="eastAsia" w:ascii="仿宋" w:hAnsi="仿宋" w:eastAsia="仿宋" w:cs="仿宋"/>
          <w:b/>
          <w:color w:val="auto"/>
          <w:sz w:val="24"/>
          <w:highlight w:val="none"/>
        </w:rPr>
      </w:pPr>
      <w:bookmarkStart w:id="101" w:name="_Toc279701241"/>
      <w:bookmarkStart w:id="102" w:name="_Toc259093670"/>
      <w:bookmarkStart w:id="103" w:name="_Toc32504"/>
      <w:bookmarkStart w:id="104" w:name="_Toc487900350"/>
      <w:bookmarkStart w:id="105" w:name="_Toc27635"/>
      <w:bookmarkStart w:id="106" w:name="_Toc13336"/>
      <w:r>
        <w:rPr>
          <w:rFonts w:hint="eastAsia" w:ascii="仿宋" w:hAnsi="仿宋" w:eastAsia="仿宋" w:cs="仿宋"/>
          <w:b/>
          <w:color w:val="auto"/>
          <w:sz w:val="24"/>
          <w:highlight w:val="none"/>
        </w:rPr>
        <w:t>2.2 技术规范</w:t>
      </w:r>
      <w:bookmarkEnd w:id="101"/>
      <w:bookmarkEnd w:id="102"/>
      <w:bookmarkEnd w:id="103"/>
      <w:bookmarkEnd w:id="104"/>
      <w:bookmarkEnd w:id="105"/>
      <w:bookmarkEnd w:id="1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107" w:name="_Toc259093671"/>
      <w:bookmarkStart w:id="108" w:name="_Toc31634"/>
      <w:bookmarkStart w:id="109" w:name="_Toc27853"/>
      <w:bookmarkStart w:id="110" w:name="_Toc9829"/>
      <w:bookmarkStart w:id="111" w:name="_Toc279701242"/>
      <w:bookmarkStart w:id="112" w:name="_Toc487900351"/>
      <w:r>
        <w:rPr>
          <w:rFonts w:hint="eastAsia" w:ascii="仿宋" w:hAnsi="仿宋" w:eastAsia="仿宋" w:cs="仿宋"/>
          <w:b/>
          <w:color w:val="auto"/>
          <w:sz w:val="24"/>
          <w:highlight w:val="none"/>
        </w:rPr>
        <w:t>2.3 知识产权</w:t>
      </w:r>
      <w:bookmarkEnd w:id="107"/>
      <w:bookmarkEnd w:id="108"/>
      <w:bookmarkEnd w:id="109"/>
      <w:bookmarkEnd w:id="110"/>
      <w:bookmarkEnd w:id="111"/>
      <w:bookmarkEnd w:id="1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13" w:name="_Toc11932"/>
      <w:bookmarkStart w:id="114" w:name="_Toc4194"/>
      <w:bookmarkStart w:id="115" w:name="_Toc29149"/>
      <w:r>
        <w:rPr>
          <w:rFonts w:hint="eastAsia" w:ascii="仿宋" w:hAnsi="仿宋" w:eastAsia="仿宋" w:cs="仿宋"/>
          <w:b/>
          <w:color w:val="auto"/>
          <w:sz w:val="24"/>
          <w:highlight w:val="none"/>
        </w:rPr>
        <w:t>2.4 包装和装运</w:t>
      </w:r>
      <w:bookmarkEnd w:id="113"/>
      <w:bookmarkEnd w:id="114"/>
      <w:bookmarkEnd w:id="11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16" w:name="_Ref467379527"/>
      <w:bookmarkStart w:id="117" w:name="_Toc259093674"/>
      <w:bookmarkStart w:id="118" w:name="_Toc487900354"/>
      <w:bookmarkStart w:id="119" w:name="_Ref467379542"/>
      <w:bookmarkStart w:id="120" w:name="_Ref467378541"/>
      <w:bookmarkStart w:id="121" w:name="_Ref467379536"/>
      <w:bookmarkStart w:id="122" w:name="_Toc279701245"/>
      <w:bookmarkStart w:id="123" w:name="_Ref467378591"/>
      <w:bookmarkStart w:id="124" w:name="_Toc19074"/>
      <w:bookmarkStart w:id="125" w:name="_Toc30272"/>
      <w:bookmarkStart w:id="126" w:name="_Toc26182"/>
      <w:r>
        <w:rPr>
          <w:rFonts w:hint="eastAsia" w:ascii="仿宋" w:hAnsi="仿宋" w:eastAsia="仿宋" w:cs="仿宋"/>
          <w:b/>
          <w:color w:val="auto"/>
          <w:sz w:val="24"/>
          <w:highlight w:val="none"/>
        </w:rPr>
        <w:t>2.</w:t>
      </w:r>
      <w:bookmarkEnd w:id="116"/>
      <w:bookmarkEnd w:id="117"/>
      <w:bookmarkEnd w:id="118"/>
      <w:bookmarkEnd w:id="119"/>
      <w:bookmarkEnd w:id="120"/>
      <w:bookmarkEnd w:id="121"/>
      <w:bookmarkEnd w:id="122"/>
      <w:bookmarkEnd w:id="123"/>
      <w:r>
        <w:rPr>
          <w:rFonts w:hint="eastAsia" w:ascii="仿宋" w:hAnsi="仿宋" w:eastAsia="仿宋" w:cs="仿宋"/>
          <w:b/>
          <w:color w:val="auto"/>
          <w:sz w:val="24"/>
          <w:highlight w:val="none"/>
        </w:rPr>
        <w:t>5 履约检查和问题反馈</w:t>
      </w:r>
      <w:bookmarkEnd w:id="124"/>
      <w:bookmarkEnd w:id="125"/>
      <w:bookmarkEnd w:id="126"/>
    </w:p>
    <w:p>
      <w:pPr>
        <w:spacing w:line="560" w:lineRule="exact"/>
        <w:ind w:firstLine="480" w:firstLineChars="200"/>
        <w:rPr>
          <w:rFonts w:hint="eastAsia" w:ascii="仿宋" w:hAnsi="仿宋" w:eastAsia="仿宋" w:cs="仿宋"/>
          <w:color w:val="auto"/>
          <w:sz w:val="24"/>
          <w:highlight w:val="none"/>
        </w:rPr>
      </w:pPr>
      <w:bookmarkStart w:id="127" w:name="_Ref467379657"/>
      <w:r>
        <w:rPr>
          <w:rFonts w:hint="eastAsia" w:ascii="仿宋" w:hAnsi="仿宋" w:eastAsia="仿宋" w:cs="仿宋"/>
          <w:color w:val="auto"/>
          <w:sz w:val="24"/>
          <w:highlight w:val="none"/>
        </w:rPr>
        <w:t>2.5.1</w:t>
      </w:r>
      <w:bookmarkEnd w:id="127"/>
      <w:bookmarkStart w:id="128" w:name="_Toc186431854"/>
      <w:bookmarkStart w:id="129" w:name="_Toc259093676"/>
      <w:bookmarkStart w:id="130" w:name="_Toc279701247"/>
      <w:bookmarkStart w:id="131" w:name="_Ref467379807"/>
      <w:bookmarkStart w:id="132" w:name="_Ref467379793"/>
      <w:bookmarkStart w:id="133"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28"/>
      <w:bookmarkStart w:id="134" w:name="_Toc186431855"/>
      <w:r>
        <w:rPr>
          <w:rFonts w:hint="eastAsia" w:ascii="仿宋" w:hAnsi="仿宋" w:eastAsia="仿宋" w:cs="仿宋"/>
          <w:color w:val="auto"/>
          <w:sz w:val="24"/>
          <w:highlight w:val="none"/>
        </w:rPr>
        <w:t>。</w:t>
      </w:r>
    </w:p>
    <w:bookmarkEnd w:id="129"/>
    <w:bookmarkEnd w:id="130"/>
    <w:bookmarkEnd w:id="131"/>
    <w:bookmarkEnd w:id="132"/>
    <w:bookmarkEnd w:id="133"/>
    <w:bookmarkEnd w:id="134"/>
    <w:p>
      <w:pPr>
        <w:spacing w:line="560" w:lineRule="exact"/>
        <w:ind w:firstLine="482" w:firstLineChars="200"/>
        <w:outlineLvl w:val="0"/>
        <w:rPr>
          <w:rFonts w:hint="eastAsia" w:ascii="仿宋" w:hAnsi="仿宋" w:eastAsia="仿宋" w:cs="仿宋"/>
          <w:b/>
          <w:color w:val="auto"/>
          <w:sz w:val="24"/>
          <w:highlight w:val="none"/>
        </w:rPr>
      </w:pPr>
      <w:bookmarkStart w:id="135" w:name="_Toc279701248"/>
      <w:bookmarkStart w:id="136" w:name="_Toc259093677"/>
      <w:bookmarkStart w:id="137" w:name="_Ref467379923"/>
      <w:bookmarkStart w:id="138" w:name="_Ref467379852"/>
      <w:bookmarkStart w:id="139" w:name="_Ref467379863"/>
      <w:bookmarkStart w:id="140" w:name="_Toc487900358"/>
      <w:bookmarkStart w:id="141" w:name="_Toc3225"/>
      <w:bookmarkStart w:id="142" w:name="_Toc16110"/>
      <w:bookmarkStart w:id="143" w:name="_Toc774"/>
      <w:r>
        <w:rPr>
          <w:rFonts w:hint="eastAsia" w:ascii="仿宋" w:hAnsi="仿宋" w:eastAsia="仿宋" w:cs="仿宋"/>
          <w:b/>
          <w:color w:val="auto"/>
          <w:sz w:val="24"/>
          <w:highlight w:val="none"/>
        </w:rPr>
        <w:t>2.6 技术资料</w:t>
      </w:r>
      <w:bookmarkEnd w:id="135"/>
      <w:bookmarkEnd w:id="136"/>
      <w:bookmarkEnd w:id="137"/>
      <w:bookmarkEnd w:id="138"/>
      <w:bookmarkEnd w:id="139"/>
      <w:bookmarkEnd w:id="140"/>
      <w:r>
        <w:rPr>
          <w:rFonts w:hint="eastAsia" w:ascii="仿宋" w:hAnsi="仿宋" w:eastAsia="仿宋" w:cs="仿宋"/>
          <w:b/>
          <w:color w:val="auto"/>
          <w:sz w:val="24"/>
          <w:highlight w:val="none"/>
        </w:rPr>
        <w:t>和保密义务</w:t>
      </w:r>
      <w:bookmarkEnd w:id="141"/>
      <w:bookmarkEnd w:id="142"/>
      <w:bookmarkEnd w:id="1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144" w:name="_Toc7860"/>
      <w:r>
        <w:rPr>
          <w:rFonts w:hint="eastAsia" w:ascii="仿宋" w:hAnsi="仿宋" w:eastAsia="仿宋" w:cs="仿宋"/>
          <w:b/>
          <w:color w:val="auto"/>
          <w:sz w:val="24"/>
          <w:highlight w:val="none"/>
        </w:rPr>
        <w:t>2.7 质量保证</w:t>
      </w:r>
      <w:bookmarkEnd w:id="14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145" w:name="_Toc17244"/>
      <w:bookmarkStart w:id="146" w:name="_Toc259093681"/>
      <w:bookmarkStart w:id="147" w:name="_Toc279701252"/>
      <w:bookmarkStart w:id="148" w:name="_Toc487900362"/>
      <w:r>
        <w:rPr>
          <w:rFonts w:hint="eastAsia" w:ascii="仿宋" w:hAnsi="仿宋" w:eastAsia="仿宋" w:cs="仿宋"/>
          <w:b/>
          <w:color w:val="auto"/>
          <w:sz w:val="24"/>
          <w:highlight w:val="none"/>
        </w:rPr>
        <w:t>2.8 货物的风险负担</w:t>
      </w:r>
      <w:bookmarkEnd w:id="145"/>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49" w:name="_Toc14055"/>
      <w:r>
        <w:rPr>
          <w:rFonts w:hint="eastAsia" w:ascii="仿宋" w:hAnsi="仿宋" w:eastAsia="仿宋" w:cs="仿宋"/>
          <w:b/>
          <w:color w:val="auto"/>
          <w:sz w:val="24"/>
          <w:highlight w:val="none"/>
        </w:rPr>
        <w:t>2.9 延迟交货</w:t>
      </w:r>
      <w:bookmarkEnd w:id="146"/>
      <w:bookmarkEnd w:id="147"/>
      <w:bookmarkEnd w:id="148"/>
      <w:bookmarkEnd w:id="14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150" w:name="_Toc7502"/>
      <w:bookmarkStart w:id="151" w:name="_Toc259093683"/>
      <w:bookmarkStart w:id="152" w:name="_Ref467378121"/>
      <w:bookmarkStart w:id="153" w:name="_Toc279701254"/>
      <w:bookmarkStart w:id="154" w:name="_Toc487900364"/>
      <w:r>
        <w:rPr>
          <w:rFonts w:hint="eastAsia" w:ascii="仿宋" w:hAnsi="仿宋" w:eastAsia="仿宋" w:cs="仿宋"/>
          <w:b/>
          <w:color w:val="auto"/>
          <w:sz w:val="24"/>
          <w:highlight w:val="none"/>
        </w:rPr>
        <w:t>2.10 合同变更</w:t>
      </w:r>
      <w:bookmarkEnd w:id="15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55" w:name="_Toc259093688"/>
      <w:bookmarkStart w:id="156" w:name="_Toc487900369"/>
      <w:bookmarkStart w:id="157" w:name="_Toc279701259"/>
    </w:p>
    <w:p>
      <w:pPr>
        <w:spacing w:line="560" w:lineRule="exact"/>
        <w:ind w:firstLine="482" w:firstLineChars="200"/>
        <w:outlineLvl w:val="0"/>
        <w:rPr>
          <w:rFonts w:hint="eastAsia" w:ascii="仿宋" w:hAnsi="仿宋" w:eastAsia="仿宋" w:cs="仿宋"/>
          <w:b/>
          <w:color w:val="auto"/>
          <w:sz w:val="24"/>
          <w:highlight w:val="none"/>
        </w:rPr>
      </w:pPr>
      <w:bookmarkStart w:id="158" w:name="_Toc10366"/>
      <w:bookmarkStart w:id="159" w:name="_Toc22955"/>
      <w:bookmarkStart w:id="160" w:name="_Toc15237"/>
      <w:r>
        <w:rPr>
          <w:rFonts w:hint="eastAsia" w:ascii="仿宋" w:hAnsi="仿宋" w:eastAsia="仿宋" w:cs="仿宋"/>
          <w:b/>
          <w:color w:val="auto"/>
          <w:sz w:val="24"/>
          <w:highlight w:val="none"/>
        </w:rPr>
        <w:t>2.11 合同转让</w:t>
      </w:r>
      <w:bookmarkEnd w:id="155"/>
      <w:bookmarkEnd w:id="156"/>
      <w:bookmarkEnd w:id="157"/>
      <w:r>
        <w:rPr>
          <w:rFonts w:hint="eastAsia" w:ascii="仿宋" w:hAnsi="仿宋" w:eastAsia="仿宋" w:cs="仿宋"/>
          <w:b/>
          <w:color w:val="auto"/>
          <w:sz w:val="24"/>
          <w:highlight w:val="none"/>
        </w:rPr>
        <w:t>和分包</w:t>
      </w:r>
      <w:bookmarkEnd w:id="158"/>
      <w:bookmarkEnd w:id="159"/>
      <w:bookmarkEnd w:id="16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161" w:name="_Toc14066"/>
      <w:bookmarkStart w:id="162" w:name="_Toc16508"/>
      <w:bookmarkStart w:id="163" w:name="_Toc13566"/>
      <w:r>
        <w:rPr>
          <w:rFonts w:hint="eastAsia" w:ascii="仿宋" w:hAnsi="仿宋" w:eastAsia="仿宋" w:cs="仿宋"/>
          <w:b/>
          <w:color w:val="auto"/>
          <w:sz w:val="24"/>
          <w:highlight w:val="none"/>
        </w:rPr>
        <w:t>2.12 不可抗力</w:t>
      </w:r>
      <w:bookmarkEnd w:id="161"/>
      <w:bookmarkEnd w:id="162"/>
      <w:bookmarkEnd w:id="1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164" w:name="_Toc689"/>
      <w:bookmarkStart w:id="165" w:name="_Toc259093684"/>
      <w:bookmarkStart w:id="166" w:name="_Toc30676"/>
      <w:bookmarkStart w:id="167" w:name="_Toc487900365"/>
      <w:bookmarkStart w:id="168" w:name="_Toc6969"/>
      <w:bookmarkStart w:id="169" w:name="_Toc279701255"/>
      <w:r>
        <w:rPr>
          <w:rFonts w:hint="eastAsia" w:ascii="仿宋" w:hAnsi="仿宋" w:eastAsia="仿宋" w:cs="仿宋"/>
          <w:b/>
          <w:color w:val="auto"/>
          <w:sz w:val="24"/>
          <w:highlight w:val="none"/>
        </w:rPr>
        <w:t>2.13 税费</w:t>
      </w:r>
      <w:bookmarkEnd w:id="164"/>
      <w:bookmarkEnd w:id="165"/>
      <w:bookmarkEnd w:id="166"/>
      <w:bookmarkEnd w:id="167"/>
      <w:bookmarkEnd w:id="168"/>
      <w:bookmarkEnd w:id="16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170" w:name="_Toc259093687"/>
      <w:bookmarkStart w:id="171" w:name="_Toc279701258"/>
      <w:bookmarkStart w:id="172" w:name="_Toc8298"/>
      <w:bookmarkStart w:id="173" w:name="_Toc7102"/>
      <w:bookmarkStart w:id="174" w:name="_Toc16959"/>
      <w:bookmarkStart w:id="175" w:name="_Toc487900368"/>
      <w:r>
        <w:rPr>
          <w:rFonts w:hint="eastAsia" w:ascii="仿宋" w:hAnsi="仿宋" w:eastAsia="仿宋" w:cs="仿宋"/>
          <w:b/>
          <w:color w:val="auto"/>
          <w:sz w:val="24"/>
          <w:highlight w:val="none"/>
        </w:rPr>
        <w:t>2.14乙方破产</w:t>
      </w:r>
      <w:bookmarkEnd w:id="170"/>
      <w:bookmarkEnd w:id="171"/>
      <w:bookmarkEnd w:id="172"/>
      <w:bookmarkEnd w:id="173"/>
      <w:bookmarkEnd w:id="174"/>
      <w:bookmarkEnd w:id="17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176" w:name="_Toc6134"/>
      <w:bookmarkStart w:id="177" w:name="_Toc15387"/>
      <w:bookmarkStart w:id="178" w:name="_Toc29333"/>
      <w:r>
        <w:rPr>
          <w:rFonts w:hint="eastAsia" w:ascii="仿宋" w:hAnsi="仿宋" w:eastAsia="仿宋" w:cs="仿宋"/>
          <w:b/>
          <w:color w:val="auto"/>
          <w:sz w:val="24"/>
          <w:highlight w:val="none"/>
        </w:rPr>
        <w:t>2.15 合同中止、终止</w:t>
      </w:r>
      <w:bookmarkEnd w:id="176"/>
      <w:bookmarkEnd w:id="177"/>
      <w:bookmarkEnd w:id="17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179" w:name="_Toc1125"/>
      <w:bookmarkStart w:id="180" w:name="_Toc6596"/>
      <w:bookmarkStart w:id="181" w:name="_Toc14563"/>
      <w:r>
        <w:rPr>
          <w:rFonts w:hint="eastAsia" w:ascii="仿宋" w:hAnsi="仿宋" w:eastAsia="仿宋" w:cs="仿宋"/>
          <w:b/>
          <w:color w:val="auto"/>
          <w:sz w:val="24"/>
          <w:highlight w:val="none"/>
        </w:rPr>
        <w:t>2.16检验和验收</w:t>
      </w:r>
      <w:bookmarkEnd w:id="179"/>
      <w:bookmarkEnd w:id="180"/>
      <w:bookmarkEnd w:id="181"/>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51"/>
    <w:bookmarkEnd w:id="152"/>
    <w:bookmarkEnd w:id="153"/>
    <w:bookmarkEnd w:id="154"/>
    <w:p>
      <w:pPr>
        <w:spacing w:line="560" w:lineRule="exact"/>
        <w:ind w:firstLine="482" w:firstLineChars="200"/>
        <w:outlineLvl w:val="0"/>
        <w:rPr>
          <w:rFonts w:hint="eastAsia" w:ascii="仿宋" w:hAnsi="仿宋" w:eastAsia="仿宋" w:cs="仿宋"/>
          <w:b/>
          <w:color w:val="auto"/>
          <w:sz w:val="24"/>
          <w:highlight w:val="none"/>
        </w:rPr>
      </w:pPr>
      <w:bookmarkStart w:id="182" w:name="_Toc279701261"/>
      <w:bookmarkStart w:id="183" w:name="_Toc259093690"/>
      <w:bookmarkStart w:id="184" w:name="_Toc487900371"/>
      <w:bookmarkStart w:id="185" w:name="_Toc19604"/>
      <w:bookmarkStart w:id="186" w:name="_Toc11284"/>
      <w:bookmarkStart w:id="187" w:name="_Toc25182"/>
      <w:r>
        <w:rPr>
          <w:rFonts w:hint="eastAsia" w:ascii="仿宋" w:hAnsi="仿宋" w:eastAsia="仿宋" w:cs="仿宋"/>
          <w:b/>
          <w:color w:val="auto"/>
          <w:sz w:val="24"/>
          <w:highlight w:val="none"/>
        </w:rPr>
        <w:t>2.17 通知</w:t>
      </w:r>
      <w:bookmarkEnd w:id="182"/>
      <w:bookmarkEnd w:id="183"/>
      <w:bookmarkEnd w:id="184"/>
      <w:r>
        <w:rPr>
          <w:rFonts w:hint="eastAsia" w:ascii="仿宋" w:hAnsi="仿宋" w:eastAsia="仿宋" w:cs="仿宋"/>
          <w:b/>
          <w:color w:val="auto"/>
          <w:sz w:val="24"/>
          <w:highlight w:val="none"/>
        </w:rPr>
        <w:t>和送达</w:t>
      </w:r>
      <w:bookmarkEnd w:id="185"/>
      <w:bookmarkEnd w:id="186"/>
      <w:bookmarkEnd w:id="187"/>
    </w:p>
    <w:p>
      <w:pPr>
        <w:spacing w:line="560" w:lineRule="exact"/>
        <w:ind w:firstLine="480" w:firstLineChars="200"/>
        <w:rPr>
          <w:rFonts w:hint="eastAsia" w:ascii="仿宋" w:hAnsi="仿宋" w:eastAsia="仿宋" w:cs="仿宋"/>
          <w:color w:val="auto"/>
          <w:sz w:val="24"/>
          <w:highlight w:val="none"/>
        </w:rPr>
      </w:pPr>
      <w:bookmarkStart w:id="188" w:name="_Toc6698"/>
      <w:bookmarkStart w:id="189" w:name="_Toc3135"/>
      <w:bookmarkStart w:id="190" w:name="_Toc259093691"/>
      <w:bookmarkStart w:id="191" w:name="_Toc279701262"/>
      <w:bookmarkStart w:id="192" w:name="_Toc487900372"/>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88"/>
      <w:bookmarkEnd w:id="189"/>
    </w:p>
    <w:p>
      <w:pPr>
        <w:spacing w:line="560" w:lineRule="exact"/>
        <w:ind w:firstLine="480" w:firstLineChars="200"/>
        <w:rPr>
          <w:rFonts w:hint="eastAsia" w:ascii="仿宋" w:hAnsi="仿宋" w:eastAsia="仿宋" w:cs="仿宋"/>
          <w:color w:val="auto"/>
          <w:sz w:val="24"/>
          <w:highlight w:val="none"/>
        </w:rPr>
      </w:pPr>
      <w:bookmarkStart w:id="193" w:name="_Toc23128"/>
      <w:bookmarkStart w:id="194"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3"/>
      <w:bookmarkEnd w:id="194"/>
    </w:p>
    <w:p>
      <w:pPr>
        <w:spacing w:line="560" w:lineRule="exact"/>
        <w:ind w:firstLine="482" w:firstLineChars="200"/>
        <w:outlineLvl w:val="0"/>
        <w:rPr>
          <w:rFonts w:hint="eastAsia" w:ascii="仿宋" w:hAnsi="仿宋" w:eastAsia="仿宋" w:cs="仿宋"/>
          <w:b/>
          <w:color w:val="auto"/>
          <w:sz w:val="24"/>
          <w:highlight w:val="none"/>
        </w:rPr>
      </w:pPr>
      <w:bookmarkStart w:id="195" w:name="_Toc18540"/>
      <w:bookmarkStart w:id="196" w:name="_Toc4355"/>
      <w:bookmarkStart w:id="197" w:name="_Toc30599"/>
      <w:r>
        <w:rPr>
          <w:rFonts w:hint="eastAsia" w:ascii="仿宋" w:hAnsi="仿宋" w:eastAsia="仿宋" w:cs="仿宋"/>
          <w:b/>
          <w:color w:val="auto"/>
          <w:sz w:val="24"/>
          <w:highlight w:val="none"/>
        </w:rPr>
        <w:t>2.18 计量单位</w:t>
      </w:r>
      <w:bookmarkEnd w:id="190"/>
      <w:bookmarkEnd w:id="191"/>
      <w:bookmarkEnd w:id="192"/>
      <w:bookmarkEnd w:id="195"/>
      <w:bookmarkEnd w:id="196"/>
      <w:bookmarkEnd w:id="1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198" w:name="_Toc18567"/>
      <w:bookmarkStart w:id="199" w:name="_Toc259093692"/>
      <w:bookmarkStart w:id="200" w:name="_Toc12773"/>
      <w:bookmarkStart w:id="201" w:name="_Toc487900373"/>
      <w:bookmarkStart w:id="202" w:name="_Toc279701263"/>
      <w:bookmarkStart w:id="203" w:name="_Toc10330"/>
      <w:r>
        <w:rPr>
          <w:rFonts w:hint="eastAsia" w:ascii="仿宋" w:hAnsi="仿宋" w:eastAsia="仿宋" w:cs="仿宋"/>
          <w:b/>
          <w:color w:val="auto"/>
          <w:sz w:val="24"/>
          <w:highlight w:val="none"/>
        </w:rPr>
        <w:t>2.19 合同使用的文字和适用的法律</w:t>
      </w:r>
      <w:bookmarkEnd w:id="198"/>
      <w:bookmarkEnd w:id="199"/>
      <w:bookmarkEnd w:id="200"/>
      <w:bookmarkEnd w:id="201"/>
      <w:bookmarkEnd w:id="202"/>
      <w:bookmarkEnd w:id="20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204" w:name="_Toc6885"/>
      <w:bookmarkStart w:id="205" w:name="_Toc14001"/>
      <w:bookmarkStart w:id="206" w:name="_Toc19890"/>
      <w:r>
        <w:rPr>
          <w:rFonts w:hint="eastAsia" w:ascii="仿宋" w:hAnsi="仿宋" w:eastAsia="仿宋" w:cs="仿宋"/>
          <w:b/>
          <w:color w:val="auto"/>
          <w:sz w:val="24"/>
          <w:highlight w:val="none"/>
        </w:rPr>
        <w:t>2.20 合同份数</w:t>
      </w:r>
      <w:bookmarkEnd w:id="204"/>
      <w:bookmarkEnd w:id="205"/>
      <w:bookmarkEnd w:id="2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卖方5个工作日内支付合同金额的1%作为履约保证金（提交方式：转账、支票、汇票、本票或者金融机构、担保机构出具的保函等形式），合同期满后买方按程序在7个工作日内无息退还（保函有效期不少于合同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5个工作日内乙方提交合同金额的1%履约保证金，甲方收到乙方出具相应金额的增值税发票及具备付款条件后7个工作日内，向乙方支付合同总额40%的预付款，乙方完成全部货物，甲方验收合格并收到乙方出具相应金额增值税发票后7个工作日内，甲方支付剩余的合同款并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按合同约定扣款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按合同约定扣款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后，甲方收到乙方出具相应金额的增值税发票及具备付款条件后7个工作日内，向乙方支付合同总额40%的预付款，乙方完成全部服务，甲方验收合格并收到乙方出具相应金额增值税发票后7个工作日内，甲方支付剩余的合同款并退还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合同签订后，</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eastAsia="zh-Hans"/>
              </w:rPr>
              <w:t>供货商</w:t>
            </w:r>
            <w:r>
              <w:rPr>
                <w:rFonts w:hint="eastAsia" w:ascii="仿宋" w:hAnsi="仿宋" w:eastAsia="仿宋" w:cs="仿宋"/>
                <w:color w:val="auto"/>
                <w:sz w:val="24"/>
                <w:highlight w:val="none"/>
              </w:rPr>
              <w:t>30</w:t>
            </w:r>
            <w:r>
              <w:rPr>
                <w:rFonts w:hint="eastAsia" w:ascii="仿宋" w:hAnsi="仿宋" w:eastAsia="仿宋" w:cs="仿宋"/>
                <w:color w:val="auto"/>
                <w:sz w:val="24"/>
                <w:highlight w:val="none"/>
                <w:lang w:eastAsia="zh-CN"/>
              </w:rPr>
              <w:t>日历</w:t>
            </w:r>
            <w:r>
              <w:rPr>
                <w:rFonts w:hint="eastAsia" w:ascii="仿宋" w:hAnsi="仿宋" w:eastAsia="仿宋" w:cs="仿宋"/>
                <w:color w:val="auto"/>
                <w:sz w:val="24"/>
                <w:highlight w:val="none"/>
              </w:rPr>
              <w:t>天</w:t>
            </w:r>
            <w:r>
              <w:rPr>
                <w:rFonts w:hint="eastAsia" w:ascii="仿宋" w:hAnsi="仿宋" w:eastAsia="仿宋" w:cs="仿宋"/>
                <w:color w:val="auto"/>
                <w:sz w:val="24"/>
                <w:highlight w:val="none"/>
                <w:lang w:eastAsia="zh-Hans"/>
              </w:rPr>
              <w:t>内将货物及时送达甲方指定的地点并完成设备安装和调试，如未按采购人指定时间完成安装调试，采购方有权终止合同。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现场交货：乙方负责办理运输和保险，将货物运抵甲方指定的现场并落地就位。有关运输和保险的一切费用由乙方承担。所有货物</w:t>
            </w:r>
            <w:r>
              <w:rPr>
                <w:rFonts w:hint="eastAsia" w:ascii="仿宋" w:hAnsi="仿宋" w:eastAsia="仿宋" w:cs="仿宋"/>
                <w:color w:val="auto"/>
                <w:sz w:val="24"/>
                <w:highlight w:val="none"/>
                <w:lang w:eastAsia="zh-Hans"/>
              </w:rPr>
              <w:t>安装和调试完成</w:t>
            </w:r>
            <w:r>
              <w:rPr>
                <w:rFonts w:hint="eastAsia" w:ascii="仿宋" w:hAnsi="仿宋" w:eastAsia="仿宋" w:cs="仿宋"/>
                <w:color w:val="auto"/>
                <w:sz w:val="24"/>
                <w:highlight w:val="none"/>
              </w:rPr>
              <w:t>日期为交货日期。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1、甲方无正当理由拒收货物的，甲方向乙方偿付拒收货款总值的百分之五违约金。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2、甲方无故逾期验收和办理货款支付手续的,甲方应按逾期付款总额每日万分之五向乙方支付违约金。</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3、乙方逾期交付货物的，乙方应按逾期交货总额每日</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向甲方支付违约金，由甲方从待付货款中扣除。逾期超过约定日期5个工作日不能交货的，甲方可解除本合同。乙方因逾期交货或因其他违约行为导致甲方解除合同的，乙方应向甲方支付合同总值</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%的违约金，如造成甲方损失超过违约金的，超出部分由乙方继续承担赔偿责任。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乙方应保证所提供的货物或其任何一部分均不会侵犯任何第三方的知识产权，若有则由乙方全权负责。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原厂原装，</w:t>
            </w:r>
            <w:r>
              <w:rPr>
                <w:rFonts w:hint="eastAsia" w:ascii="仿宋" w:hAnsi="仿宋" w:eastAsia="仿宋" w:cs="仿宋"/>
                <w:color w:val="auto"/>
                <w:sz w:val="24"/>
                <w:highlight w:val="none"/>
                <w:lang w:eastAsia="zh-Hans"/>
              </w:rPr>
              <w:t>不接受拆改配第三方配件。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pPr>
              <w:spacing w:line="360" w:lineRule="auto"/>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为了保证设备在长途运输和装卸过程中的安全，产品包装应符合国家或专业（部）标准规定。由于包装不善导致设备锈蚀、失缺或损坏，由乙方承担一切责任。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pPr>
              <w:spacing w:line="360" w:lineRule="auto"/>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pPr>
              <w:spacing w:line="360" w:lineRule="auto"/>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甲方按政府采购验收程序进行验收，并可邀请第三方参与验收。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本合同壹式肆份，具有同等法律效力，甲、乙双方各执贰份。</w:t>
            </w:r>
          </w:p>
        </w:tc>
      </w:tr>
    </w:tbl>
    <w:p>
      <w:pPr>
        <w:rPr>
          <w:color w:val="auto"/>
          <w:highlight w:val="none"/>
        </w:rPr>
      </w:pPr>
    </w:p>
    <w:p>
      <w:pPr>
        <w:spacing w:line="360" w:lineRule="auto"/>
        <w:ind w:firstLine="3845" w:firstLineChars="1197"/>
        <w:outlineLvl w:val="0"/>
        <w:rPr>
          <w:rFonts w:ascii="宋体" w:hAnsi="宋体" w:cs="宋体"/>
          <w:b/>
          <w:color w:val="auto"/>
          <w:sz w:val="32"/>
          <w:szCs w:val="20"/>
          <w:highlight w:val="none"/>
        </w:rPr>
      </w:pPr>
    </w:p>
    <w:p>
      <w:pPr>
        <w:pStyle w:val="32"/>
        <w:spacing w:line="400" w:lineRule="exact"/>
        <w:ind w:firstLine="542" w:firstLineChars="150"/>
        <w:jc w:val="center"/>
        <w:rPr>
          <w:rFonts w:hint="eastAsia" w:ascii="仿宋" w:hAnsi="仿宋" w:eastAsia="仿宋" w:cs="仿宋_GB2312"/>
          <w:b/>
          <w:color w:val="auto"/>
          <w:sz w:val="36"/>
          <w:szCs w:val="20"/>
          <w:highlight w:val="none"/>
        </w:rPr>
      </w:pPr>
    </w:p>
    <w:p>
      <w:pPr>
        <w:pStyle w:val="32"/>
        <w:spacing w:line="400" w:lineRule="exact"/>
        <w:ind w:firstLine="542" w:firstLineChars="150"/>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第五部分  应提交的有关格式范例</w:t>
      </w:r>
    </w:p>
    <w:p>
      <w:pPr>
        <w:rPr>
          <w:rFonts w:ascii="仿宋_GB2312" w:hAnsi="仿宋" w:eastAsia="仿宋_GB2312" w:cs="仿宋_GB2312"/>
          <w:b/>
          <w:color w:val="auto"/>
          <w:kern w:val="0"/>
          <w:sz w:val="36"/>
          <w:szCs w:val="36"/>
          <w:highlight w:val="none"/>
        </w:rPr>
      </w:pPr>
    </w:p>
    <w:p>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w:t>
      </w:r>
      <w:r>
        <w:rPr>
          <w:rFonts w:ascii="仿宋" w:hAnsi="仿宋" w:eastAsia="仿宋" w:cs="仿宋_GB2312"/>
          <w:color w:val="auto"/>
          <w:sz w:val="24"/>
          <w:highlight w:val="none"/>
        </w:rPr>
        <w:t>）</w:t>
      </w:r>
      <w:r>
        <w:rPr>
          <w:rFonts w:hint="eastAsia" w:ascii="仿宋" w:hAnsi="仿宋" w:eastAsia="仿宋" w:cs="仿宋"/>
          <w:color w:val="auto"/>
          <w:sz w:val="24"/>
          <w:highlight w:val="none"/>
        </w:rPr>
        <w:t>采购供应商廉洁自律承诺书</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_GB2312"/>
          <w:color w:val="auto"/>
          <w:sz w:val="24"/>
          <w:highlight w:val="none"/>
        </w:rPr>
      </w:pP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ascii="仿宋" w:hAnsi="仿宋" w:eastAsia="仿宋" w:cs="Arial"/>
          <w:color w:val="auto"/>
          <w:szCs w:val="21"/>
          <w:highlight w:val="none"/>
        </w:rPr>
      </w:pPr>
    </w:p>
    <w:p>
      <w:pPr>
        <w:snapToGrid w:val="0"/>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jc w:val="left"/>
        <w:rPr>
          <w:rFonts w:ascii="仿宋_GB2312" w:hAnsi="仿宋" w:eastAsia="仿宋_GB2312" w:cs="仿宋_GB2312"/>
          <w:color w:val="auto"/>
          <w:kern w:val="0"/>
          <w:sz w:val="28"/>
          <w:szCs w:val="28"/>
          <w:highlight w:val="none"/>
        </w:rPr>
      </w:pPr>
      <w:r>
        <w:rPr>
          <w:rFonts w:ascii="仿宋_GB2312" w:hAnsi="仿宋" w:eastAsia="仿宋_GB2312" w:cs="仿宋_GB2312"/>
          <w:color w:val="auto"/>
          <w:kern w:val="0"/>
          <w:sz w:val="28"/>
          <w:szCs w:val="28"/>
          <w:highlight w:val="none"/>
        </w:rPr>
        <w:br w:type="page"/>
      </w:r>
    </w:p>
    <w:p>
      <w:pPr>
        <w:widowControl/>
        <w:adjustRightInd/>
        <w:jc w:val="left"/>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pPr>
        <w:snapToGrid w:val="0"/>
        <w:spacing w:before="50" w:after="50"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A</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0" w:firstLineChars="196"/>
        <w:jc w:val="left"/>
        <w:rPr>
          <w:rFonts w:ascii="仿宋" w:hAnsi="仿宋" w:eastAsia="仿宋" w:cs="仿宋_GB2312"/>
          <w:color w:val="auto"/>
          <w:sz w:val="24"/>
          <w:highlight w:val="none"/>
        </w:rPr>
      </w:pPr>
    </w:p>
    <w:p>
      <w:pPr>
        <w:widowControl/>
        <w:adjustRightInd/>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pStyle w:val="842"/>
        <w:keepNext w:val="0"/>
        <w:pageBreakBefore w:val="0"/>
        <w:tabs>
          <w:tab w:val="clear" w:pos="720"/>
        </w:tabs>
        <w:snapToGrid w:val="0"/>
        <w:spacing w:before="120" w:after="120"/>
        <w:jc w:val="both"/>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附件1</w:t>
      </w:r>
    </w:p>
    <w:p>
      <w:pPr>
        <w:widowControl/>
        <w:adjustRightInd/>
        <w:jc w:val="left"/>
        <w:rPr>
          <w:rFonts w:ascii="仿宋_GB2312" w:hAnsi="仿宋" w:eastAsia="仿宋_GB2312"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（1）中小企业声明函</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货物</w:t>
      </w:r>
      <w:r>
        <w:rPr>
          <w:rFonts w:hint="eastAsia" w:ascii="仿宋" w:hAnsi="仿宋" w:eastAsia="仿宋"/>
          <w:b/>
          <w:color w:val="auto"/>
          <w:sz w:val="32"/>
          <w:szCs w:val="32"/>
          <w:highlight w:val="none"/>
        </w:rPr>
        <w:t>）</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采购活动，提供的货物全部由符合政策要求的中小企业制造（或者：服务全部由符合政策要求的中小企业承接）。相关企业（含联合体中的中小企业、签订分包意向协议的中小企业）的具体情况如下：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left"/>
        <w:rPr>
          <w:rFonts w:ascii="仿宋" w:hAnsi="仿宋" w:eastAsia="仿宋"/>
          <w:b/>
          <w:color w:val="auto"/>
          <w:szCs w:val="21"/>
          <w:highlight w:val="none"/>
        </w:rPr>
      </w:pP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注：1、从业人员、营业收入、资产总额填报上一年度数据，无上一年度数据的新成立企业可不填报。</w:t>
      </w:r>
    </w:p>
    <w:p>
      <w:pPr>
        <w:spacing w:line="360" w:lineRule="auto"/>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w:t>
      </w:r>
      <w:r>
        <w:rPr>
          <w:rFonts w:ascii="仿宋" w:hAnsi="仿宋" w:eastAsia="仿宋"/>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bCs/>
          <w:color w:val="auto"/>
          <w:sz w:val="24"/>
          <w:szCs w:val="22"/>
          <w:highlight w:val="none"/>
        </w:rPr>
      </w:pPr>
      <w:r>
        <w:rPr>
          <w:rFonts w:ascii="宋体" w:hAnsi="宋体" w:cs="宋体"/>
          <w:b/>
          <w:bCs/>
          <w:color w:val="auto"/>
          <w:sz w:val="24"/>
          <w:szCs w:val="22"/>
          <w:highlight w:val="none"/>
        </w:rPr>
        <w:br w:type="page"/>
      </w:r>
    </w:p>
    <w:p>
      <w:pPr>
        <w:spacing w:line="360" w:lineRule="auto"/>
        <w:jc w:val="center"/>
        <w:rPr>
          <w:rFonts w:ascii="宋体" w:hAnsi="宋体" w:cs="新宋体"/>
          <w:b/>
          <w:bCs/>
          <w:color w:val="auto"/>
          <w:sz w:val="22"/>
          <w:szCs w:val="22"/>
          <w:highlight w:val="none"/>
        </w:rPr>
      </w:pPr>
    </w:p>
    <w:p>
      <w:pPr>
        <w:spacing w:line="360" w:lineRule="auto"/>
        <w:jc w:val="center"/>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（2）残疾人福利性单位声明函</w:t>
      </w:r>
    </w:p>
    <w:p>
      <w:pPr>
        <w:spacing w:line="360" w:lineRule="auto"/>
        <w:jc w:val="center"/>
        <w:rPr>
          <w:rFonts w:ascii="仿宋" w:hAnsi="仿宋" w:eastAsia="仿宋" w:cs="Arial"/>
          <w:bCs/>
          <w:color w:val="auto"/>
          <w:sz w:val="28"/>
          <w:szCs w:val="28"/>
          <w:highlight w:val="none"/>
        </w:rPr>
      </w:pPr>
      <w:r>
        <w:rPr>
          <w:rFonts w:hint="eastAsia" w:ascii="仿宋" w:hAnsi="仿宋" w:eastAsia="仿宋" w:cs="Arial"/>
          <w:bCs/>
          <w:color w:val="auto"/>
          <w:sz w:val="28"/>
          <w:szCs w:val="28"/>
          <w:highlight w:val="none"/>
        </w:rPr>
        <w:t>（如有）</w:t>
      </w:r>
    </w:p>
    <w:p>
      <w:pPr>
        <w:spacing w:line="588" w:lineRule="exact"/>
        <w:jc w:val="left"/>
        <w:rPr>
          <w:rFonts w:ascii="仿宋" w:hAnsi="仿宋" w:eastAsia="仿宋" w:cs="宋体"/>
          <w:b/>
          <w:color w:val="auto"/>
          <w:spacing w:val="6"/>
          <w:sz w:val="30"/>
          <w:szCs w:val="30"/>
          <w:highlight w:val="none"/>
        </w:rPr>
      </w:pPr>
    </w:p>
    <w:p>
      <w:pPr>
        <w:spacing w:line="480" w:lineRule="auto"/>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宋体"/>
          <w:color w:val="auto"/>
          <w:sz w:val="24"/>
          <w:highlight w:val="none"/>
        </w:rPr>
        <w:t>〔2017〕 141</w:t>
      </w:r>
      <w:r>
        <w:rPr>
          <w:rFonts w:hint="eastAsia" w:ascii="仿宋" w:hAnsi="仿宋" w:eastAsia="仿宋"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本单位对上述声明的真实性负责。如有虚假，将依法承担相应责任。</w:t>
      </w:r>
    </w:p>
    <w:p>
      <w:pPr>
        <w:spacing w:line="480" w:lineRule="auto"/>
        <w:ind w:firstLine="504" w:firstLineChars="200"/>
        <w:jc w:val="left"/>
        <w:rPr>
          <w:rFonts w:ascii="仿宋" w:hAnsi="仿宋" w:eastAsia="仿宋" w:cs="宋体"/>
          <w:color w:val="auto"/>
          <w:spacing w:val="6"/>
          <w:sz w:val="24"/>
          <w:highlight w:val="none"/>
        </w:rPr>
      </w:pPr>
    </w:p>
    <w:p>
      <w:pPr>
        <w:tabs>
          <w:tab w:val="left" w:pos="4860"/>
        </w:tabs>
        <w:spacing w:line="480" w:lineRule="auto"/>
        <w:ind w:right="1191" w:firstLine="3828" w:firstLineChars="1595"/>
        <w:jc w:val="left"/>
        <w:rPr>
          <w:rFonts w:ascii="仿宋" w:hAnsi="仿宋" w:eastAsia="仿宋" w:cs="宋体"/>
          <w:color w:val="auto"/>
          <w:spacing w:val="6"/>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left"/>
        <w:rPr>
          <w:rFonts w:ascii="仿宋" w:hAnsi="仿宋" w:eastAsia="仿宋" w:cs="宋体"/>
          <w:b/>
          <w:color w:val="auto"/>
          <w:sz w:val="24"/>
          <w:highlight w:val="none"/>
        </w:rPr>
      </w:pPr>
    </w:p>
    <w:p>
      <w:pPr>
        <w:tabs>
          <w:tab w:val="left" w:pos="312"/>
        </w:tabs>
        <w:spacing w:line="400" w:lineRule="exact"/>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4、供应商不属于残疾人福利性单位的，无需提供此声明函，如提供所引起的后果由供应商承担。</w:t>
      </w:r>
    </w:p>
    <w:p>
      <w:pPr>
        <w:widowControl/>
        <w:adjustRightInd/>
        <w:jc w:val="left"/>
        <w:rPr>
          <w:rFonts w:ascii="仿宋_GB2312" w:hAnsi="仿宋" w:eastAsia="仿宋_GB2312" w:cs="仿宋_GB2312"/>
          <w:b/>
          <w:color w:val="auto"/>
          <w:kern w:val="0"/>
          <w:sz w:val="32"/>
          <w:szCs w:val="32"/>
          <w:highlight w:val="none"/>
          <w:lang w:val="zh-CN"/>
        </w:rPr>
        <w:sectPr>
          <w:headerReference r:id="rId8" w:type="default"/>
          <w:footerReference r:id="rId9" w:type="default"/>
          <w:pgSz w:w="11907" w:h="16840"/>
          <w:pgMar w:top="1474" w:right="1814" w:bottom="1474" w:left="1814" w:header="851" w:footer="851" w:gutter="0"/>
          <w:pgNumType w:fmt="decimal"/>
          <w:cols w:space="720" w:num="1"/>
        </w:sectPr>
      </w:pPr>
      <w:r>
        <w:rPr>
          <w:rFonts w:ascii="仿宋_GB2312" w:hAnsi="仿宋" w:eastAsia="仿宋_GB2312" w:cs="仿宋_GB2312"/>
          <w:b/>
          <w:color w:val="auto"/>
          <w:kern w:val="0"/>
          <w:sz w:val="32"/>
          <w:szCs w:val="32"/>
          <w:highlight w:val="none"/>
          <w:lang w:val="zh-CN"/>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_GB2312"/>
          <w:b/>
          <w:color w:val="auto"/>
          <w:kern w:val="0"/>
          <w:sz w:val="32"/>
          <w:szCs w:val="32"/>
          <w:highlight w:val="none"/>
        </w:rPr>
        <w:t>三、</w:t>
      </w:r>
      <w:r>
        <w:rPr>
          <w:rFonts w:hint="eastAsia" w:ascii="仿宋" w:hAnsi="仿宋" w:eastAsia="仿宋" w:cs="仿宋"/>
          <w:b/>
          <w:color w:val="auto"/>
          <w:kern w:val="0"/>
          <w:sz w:val="32"/>
          <w:szCs w:val="32"/>
          <w:highlight w:val="none"/>
          <w:lang w:val="zh-CN"/>
        </w:rPr>
        <w:t>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温州市应急管理局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浙江建科工程项目管理有限公司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项目招标要求参加政府采购投标。在这次政府采购过程中和成交后，我们将严格遵守国家法律法规要求，并郑重承诺：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_GB2312"/>
          <w:color w:val="auto"/>
          <w:sz w:val="24"/>
          <w:highlight w:val="none"/>
        </w:rPr>
      </w:pPr>
    </w:p>
    <w:p>
      <w:pPr>
        <w:spacing w:line="480" w:lineRule="auto"/>
        <w:rPr>
          <w:rFonts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lang w:val="zh-CN"/>
        </w:rPr>
      </w:pPr>
    </w:p>
    <w:p>
      <w:pPr>
        <w:widowControl/>
        <w:adjustRightInd/>
        <w:jc w:val="left"/>
        <w:rPr>
          <w:rFonts w:ascii="仿宋_GB2312" w:hAnsi="仿宋" w:eastAsia="仿宋_GB2312" w:cs="仿宋_GB2312"/>
          <w:b/>
          <w:color w:val="auto"/>
          <w:kern w:val="0"/>
          <w:sz w:val="36"/>
          <w:szCs w:val="36"/>
          <w:highlight w:val="none"/>
        </w:rPr>
      </w:pPr>
    </w:p>
    <w:p>
      <w:pPr>
        <w:spacing w:line="360" w:lineRule="auto"/>
        <w:ind w:right="420"/>
        <w:jc w:val="center"/>
        <w:rPr>
          <w:rFonts w:ascii="仿宋" w:hAnsi="仿宋" w:eastAsia="仿宋" w:cs="仿宋_GB2312"/>
          <w:b/>
          <w:color w:val="auto"/>
          <w:kern w:val="0"/>
          <w:sz w:val="36"/>
          <w:szCs w:val="36"/>
          <w:highlight w:val="none"/>
        </w:rPr>
      </w:pPr>
      <w:bookmarkStart w:id="207" w:name="_Hlk93169794"/>
      <w:r>
        <w:rPr>
          <w:rFonts w:hint="eastAsia" w:ascii="仿宋" w:hAnsi="仿宋" w:eastAsia="仿宋" w:cs="仿宋_GB2312"/>
          <w:b/>
          <w:color w:val="auto"/>
          <w:kern w:val="0"/>
          <w:sz w:val="36"/>
          <w:szCs w:val="36"/>
          <w:highlight w:val="none"/>
        </w:rPr>
        <w:t>商务技术文件部分</w:t>
      </w:r>
      <w:bookmarkEnd w:id="207"/>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pPr>
        <w:snapToGrid w:val="0"/>
        <w:spacing w:line="360" w:lineRule="auto"/>
        <w:jc w:val="center"/>
        <w:outlineLvl w:val="0"/>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line="360" w:lineRule="auto"/>
        <w:jc w:val="left"/>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附件2</w:t>
      </w: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u w:val="single"/>
        </w:rPr>
        <w:t>（采购人）、（采购代理机构）</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】采购的有关活动，并对此项目进行投标。为此：</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1、我方承诺投标有效期从提交投标文件的截止之日起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2、我方的投标文件包括以下内容：</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2.1.2落实政府采购政策需满足的资格要求</w:t>
      </w:r>
      <w:r>
        <w:rPr>
          <w:rFonts w:hint="eastAsia" w:ascii="仿宋" w:hAnsi="仿宋" w:eastAsia="仿宋" w:cs="仿宋_GB2312"/>
          <w:color w:val="auto"/>
          <w:szCs w:val="21"/>
          <w:highlight w:val="none"/>
        </w:rPr>
        <w:t>（如有）；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2.1.3本项目的特定资格要求</w:t>
      </w:r>
      <w:r>
        <w:rPr>
          <w:rFonts w:hint="eastAsia" w:ascii="仿宋" w:hAnsi="仿宋" w:eastAsia="仿宋" w:cs="仿宋_GB2312"/>
          <w:color w:val="auto"/>
          <w:szCs w:val="21"/>
          <w:highlight w:val="none"/>
        </w:rPr>
        <w:t>（如有）。</w:t>
      </w:r>
    </w:p>
    <w:p>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符合性审查资料；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评标标准相应的商务技术资料；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5</w:t>
      </w:r>
      <w:r>
        <w:rPr>
          <w:rFonts w:ascii="仿宋" w:hAnsi="仿宋" w:eastAsia="仿宋" w:cs="仿宋_GB2312"/>
          <w:color w:val="auto"/>
          <w:szCs w:val="21"/>
          <w:highlight w:val="none"/>
        </w:rPr>
        <w:t>商务技术偏离表；</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360" w:lineRule="auto"/>
        <w:ind w:left="420" w:leftChars="200" w:firstLine="420" w:firstLineChars="200"/>
        <w:rPr>
          <w:rFonts w:ascii="仿宋" w:hAnsi="仿宋" w:eastAsia="仿宋" w:cs="仿宋_GB2312"/>
          <w:color w:val="auto"/>
          <w:szCs w:val="21"/>
          <w:highlight w:val="none"/>
        </w:rPr>
      </w:pPr>
      <w:bookmarkStart w:id="208" w:name="_Hlk93170136"/>
      <w:r>
        <w:rPr>
          <w:rFonts w:ascii="仿宋" w:hAnsi="仿宋" w:eastAsia="仿宋" w:cs="仿宋_GB2312"/>
          <w:color w:val="auto"/>
          <w:szCs w:val="21"/>
          <w:highlight w:val="none"/>
        </w:rPr>
        <w:t>2.3.1开标一览表（报价表）；</w:t>
      </w:r>
    </w:p>
    <w:p>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2.3.3</w:t>
      </w:r>
      <w:r>
        <w:rPr>
          <w:rFonts w:hint="eastAsia" w:ascii="仿宋" w:hAnsi="仿宋" w:eastAsia="仿宋" w:cs="仿宋_GB2312"/>
          <w:color w:val="auto"/>
          <w:szCs w:val="21"/>
          <w:highlight w:val="none"/>
        </w:rPr>
        <w:t>政府采购政策情况表。</w:t>
      </w:r>
      <w:bookmarkEnd w:id="208"/>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的全部要求。</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4.3按照</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 xml:space="preserve">要求提交履约保证金；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5、其他补充说明:</w:t>
      </w:r>
      <w:r>
        <w:rPr>
          <w:rFonts w:hint="eastAsia" w:ascii="仿宋" w:hAnsi="仿宋" w:eastAsia="仿宋" w:cs="仿宋_GB2312"/>
          <w:color w:val="auto"/>
          <w:szCs w:val="21"/>
          <w:highlight w:val="none"/>
        </w:rPr>
        <w:t>。</w:t>
      </w:r>
    </w:p>
    <w:p>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投标人名称（电子签名）：</w:t>
      </w:r>
    </w:p>
    <w:p>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jc w:val="left"/>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rPr>
        <w:t>3</w:t>
      </w: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hint="eastAsia" w:ascii="仿宋" w:hAnsi="仿宋" w:eastAsia="仿宋" w:cs="仿宋_GB2312"/>
          <w:color w:val="auto"/>
          <w:kern w:val="0"/>
          <w:sz w:val="24"/>
          <w:highlight w:val="none"/>
          <w:u w:val="single"/>
          <w:lang w:val="zh-CN"/>
        </w:rPr>
        <w:t>（姓名）</w:t>
      </w:r>
      <w:r>
        <w:rPr>
          <w:rFonts w:hint="eastAsia" w:ascii="仿宋" w:hAnsi="仿宋" w:eastAsia="仿宋" w:cs="仿宋_GB2312"/>
          <w:color w:val="auto"/>
          <w:kern w:val="0"/>
          <w:sz w:val="24"/>
          <w:highlight w:val="none"/>
          <w:lang w:val="zh-CN"/>
        </w:rPr>
        <w:t>为我方代理人（身份证号码：   ，手机：   ），以我方名义处理</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25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7"/>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正面：反面：</w:t>
            </w:r>
          </w:p>
          <w:p>
            <w:pPr>
              <w:pStyle w:val="257"/>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color w:val="auto"/>
          <w:kern w:val="0"/>
          <w:sz w:val="32"/>
          <w:szCs w:val="32"/>
          <w:highlight w:val="none"/>
        </w:rPr>
      </w:pPr>
      <w:r>
        <w:rPr>
          <w:rFonts w:ascii="仿宋" w:hAnsi="仿宋" w:eastAsia="仿宋" w:cs="仿宋_GB2312"/>
          <w:color w:val="auto"/>
          <w:kern w:val="0"/>
          <w:sz w:val="24"/>
          <w:highlight w:val="none"/>
          <w:lang w:val="zh-CN"/>
        </w:rPr>
        <w:t xml:space="preserve">                   日期：  年  月  日</w:t>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附件4</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三、符合性审查资料</w:t>
      </w:r>
    </w:p>
    <w:p>
      <w:pPr>
        <w:jc w:val="center"/>
        <w:rPr>
          <w:rFonts w:ascii="仿宋" w:hAnsi="仿宋" w:eastAsia="仿宋" w:cs="仿宋_GB2312"/>
          <w:b/>
          <w:color w:val="auto"/>
          <w:kern w:val="0"/>
          <w:sz w:val="32"/>
          <w:szCs w:val="32"/>
          <w:highlight w:val="none"/>
        </w:rPr>
      </w:pPr>
    </w:p>
    <w:tbl>
      <w:tblPr>
        <w:tblStyle w:val="5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94"/>
        <w:gridCol w:w="111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4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5394"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1113"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响应情况</w:t>
            </w:r>
          </w:p>
        </w:tc>
        <w:tc>
          <w:tcPr>
            <w:tcW w:w="1410" w:type="dxa"/>
            <w:vAlign w:val="center"/>
          </w:tcPr>
          <w:p>
            <w:pPr>
              <w:snapToGrid w:val="0"/>
              <w:spacing w:line="240" w:lineRule="atLeast"/>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41"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5394" w:type="dxa"/>
            <w:vAlign w:val="center"/>
          </w:tcPr>
          <w:p>
            <w:pPr>
              <w:jc w:val="center"/>
              <w:rPr>
                <w:rFonts w:ascii="仿宋" w:hAnsi="仿宋" w:eastAsia="仿宋" w:cs="仿宋_GB2312"/>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5394" w:type="dxa"/>
            <w:vAlign w:val="center"/>
          </w:tcPr>
          <w:p>
            <w:pPr>
              <w:jc w:val="center"/>
              <w:rPr>
                <w:rFonts w:ascii="仿宋" w:hAnsi="仿宋" w:eastAsia="仿宋" w:cs="仿宋_GB2312"/>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41"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bl>
    <w:p>
      <w:pPr>
        <w:rPr>
          <w:rFonts w:ascii="仿宋" w:hAnsi="仿宋" w:eastAsia="仿宋" w:cs="仿宋_GB2312"/>
          <w:color w:val="auto"/>
          <w:kern w:val="0"/>
          <w:szCs w:val="21"/>
          <w:highlight w:val="none"/>
        </w:rPr>
      </w:pPr>
    </w:p>
    <w:p>
      <w:pPr>
        <w:rPr>
          <w:rFonts w:ascii="仿宋" w:hAnsi="仿宋" w:eastAsia="仿宋" w:cs="仿宋_GB2312"/>
          <w:b/>
          <w:bCs/>
          <w:color w:val="auto"/>
          <w:kern w:val="0"/>
          <w:szCs w:val="21"/>
          <w:highlight w:val="none"/>
        </w:rPr>
      </w:pPr>
      <w:r>
        <w:rPr>
          <w:rFonts w:hint="eastAsia" w:ascii="仿宋" w:hAnsi="仿宋" w:eastAsia="仿宋" w:cs="仿宋_GB2312"/>
          <w:b/>
          <w:bCs/>
          <w:color w:val="auto"/>
          <w:kern w:val="0"/>
          <w:szCs w:val="21"/>
          <w:highlight w:val="none"/>
        </w:rPr>
        <w:t>注：根据招标文件第六部分“评标办法”第2.2款“符合性审查”的要求，逐条作出实质性响应。</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附件5</w:t>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四、评标标准相应的商务技术资料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pPr>
        <w:jc w:val="center"/>
        <w:rPr>
          <w:rFonts w:ascii="仿宋" w:hAnsi="仿宋" w:eastAsia="仿宋"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附件6</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五、商务技术偏离表</w:t>
      </w:r>
    </w:p>
    <w:p>
      <w:pPr>
        <w:jc w:val="center"/>
        <w:rPr>
          <w:rFonts w:ascii="仿宋" w:hAnsi="仿宋" w:eastAsia="仿宋" w:cs="仿宋_GB2312"/>
          <w:b/>
          <w:color w:val="auto"/>
          <w:kern w:val="0"/>
          <w:sz w:val="32"/>
          <w:szCs w:val="32"/>
          <w:highlight w:val="none"/>
        </w:rPr>
      </w:pP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402"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260"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投标人保证：除商务技术偏离表列出的偏离外，投标人响应招标响应文件的全部要求</w:t>
      </w:r>
    </w:p>
    <w:p>
      <w:pPr>
        <w:widowControl/>
        <w:adjustRightInd/>
        <w:jc w:val="left"/>
        <w:rPr>
          <w:rFonts w:ascii="仿宋_GB2312" w:hAnsi="仿宋" w:eastAsia="仿宋_GB2312" w:cs="仿宋_GB2312"/>
          <w:b/>
          <w:color w:val="auto"/>
          <w:kern w:val="0"/>
          <w:sz w:val="36"/>
          <w:szCs w:val="36"/>
          <w:highlight w:val="none"/>
        </w:rPr>
        <w:sectPr>
          <w:pgSz w:w="11907" w:h="16840"/>
          <w:pgMar w:top="1474" w:right="1814" w:bottom="1474" w:left="1814" w:header="851" w:footer="851" w:gutter="0"/>
          <w:pgNumType w:fmt="decimal"/>
          <w:cols w:space="720" w:num="1"/>
        </w:sectPr>
      </w:pP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页码</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页码</w:t>
      </w:r>
      <w:r>
        <w:rPr>
          <w:rFonts w:hint="eastAsia" w:ascii="仿宋" w:hAnsi="仿宋" w:eastAsia="仿宋" w:cs="仿宋_GB2312"/>
          <w:color w:val="auto"/>
          <w:sz w:val="24"/>
          <w:highlight w:val="none"/>
        </w:rPr>
        <w:t>）</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新宋体" w:hAnsi="新宋体" w:eastAsia="新宋体" w:cs="新宋体"/>
          <w:b/>
          <w:bCs/>
          <w:color w:val="auto"/>
          <w:kern w:val="0"/>
          <w:sz w:val="22"/>
          <w:szCs w:val="22"/>
          <w:highlight w:val="none"/>
          <w:lang w:val="zh-CN"/>
        </w:rPr>
      </w:pPr>
      <w:bookmarkStart w:id="209" w:name="_Toc25942242"/>
      <w:bookmarkStart w:id="210" w:name="_Toc14812100"/>
      <w:r>
        <w:rPr>
          <w:rFonts w:ascii="新宋体" w:hAnsi="新宋体" w:eastAsia="新宋体" w:cs="新宋体"/>
          <w:b/>
          <w:bCs/>
          <w:color w:val="auto"/>
          <w:kern w:val="0"/>
          <w:sz w:val="22"/>
          <w:szCs w:val="22"/>
          <w:highlight w:val="none"/>
          <w:lang w:val="zh-CN"/>
        </w:rPr>
        <w:br w:type="page"/>
      </w:r>
    </w:p>
    <w:p>
      <w:pPr>
        <w:autoSpaceDE w:val="0"/>
        <w:autoSpaceDN w:val="0"/>
        <w:spacing w:line="460" w:lineRule="atLeast"/>
        <w:jc w:val="left"/>
        <w:rPr>
          <w:rFonts w:hint="default" w:ascii="仿宋" w:hAnsi="仿宋" w:eastAsia="仿宋" w:cs="仿宋_GB2312"/>
          <w:b/>
          <w:color w:val="auto"/>
          <w:kern w:val="0"/>
          <w:sz w:val="28"/>
          <w:szCs w:val="28"/>
          <w:highlight w:val="none"/>
          <w:lang w:val="en-US" w:eastAsia="zh-CN"/>
        </w:rPr>
      </w:pPr>
      <w:bookmarkStart w:id="211" w:name="_Hlk93170250"/>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7</w:t>
      </w:r>
    </w:p>
    <w:p>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pPr>
        <w:pStyle w:val="25"/>
        <w:ind w:left="-420" w:leftChars="-200" w:firstLine="0" w:firstLineChars="0"/>
        <w:rPr>
          <w:rFonts w:ascii="仿宋" w:hAnsi="仿宋" w:eastAsia="仿宋" w:cs="新宋体"/>
          <w:color w:val="auto"/>
          <w:highlight w:val="none"/>
          <w:lang w:val="zh-CN"/>
        </w:rPr>
      </w:pP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投标报价单位：</w:t>
      </w:r>
      <w:r>
        <w:rPr>
          <w:rFonts w:hint="eastAsia" w:ascii="仿宋" w:hAnsi="仿宋" w:eastAsia="仿宋" w:cs="新宋体"/>
          <w:color w:val="auto"/>
          <w:sz w:val="22"/>
          <w:szCs w:val="22"/>
          <w:highlight w:val="none"/>
        </w:rPr>
        <w:t>（元/人民币）</w:t>
      </w:r>
    </w:p>
    <w:tbl>
      <w:tblPr>
        <w:tblStyle w:val="5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83"/>
        <w:gridCol w:w="233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179" w:type="dxa"/>
            <w:gridSpan w:val="2"/>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名称</w:t>
            </w:r>
          </w:p>
        </w:tc>
        <w:tc>
          <w:tcPr>
            <w:tcW w:w="2339" w:type="dxa"/>
            <w:vAlign w:val="center"/>
          </w:tcPr>
          <w:p>
            <w:pPr>
              <w:pStyle w:val="32"/>
              <w:jc w:val="center"/>
              <w:rPr>
                <w:rFonts w:hint="eastAsia" w:ascii="仿宋" w:hAnsi="仿宋" w:eastAsia="仿宋" w:cs="新宋体"/>
                <w:color w:val="auto"/>
                <w:sz w:val="22"/>
                <w:szCs w:val="22"/>
                <w:highlight w:val="none"/>
                <w:lang w:val="en-US" w:eastAsia="zh-CN"/>
              </w:rPr>
            </w:pPr>
            <w:r>
              <w:rPr>
                <w:rFonts w:hint="eastAsia" w:ascii="仿宋" w:hAnsi="仿宋" w:eastAsia="仿宋" w:cs="新宋体"/>
                <w:color w:val="auto"/>
                <w:sz w:val="22"/>
                <w:szCs w:val="22"/>
                <w:highlight w:val="none"/>
                <w:lang w:val="en-US" w:eastAsia="zh-CN"/>
              </w:rPr>
              <w:t>供货期限</w:t>
            </w:r>
          </w:p>
        </w:tc>
        <w:tc>
          <w:tcPr>
            <w:tcW w:w="1360" w:type="dxa"/>
            <w:vAlign w:val="center"/>
          </w:tcPr>
          <w:p>
            <w:pPr>
              <w:pStyle w:val="32"/>
              <w:jc w:val="center"/>
              <w:rPr>
                <w:rFonts w:hint="eastAsia" w:ascii="仿宋" w:hAnsi="仿宋" w:eastAsia="仿宋" w:cs="新宋体"/>
                <w:color w:val="auto"/>
                <w:sz w:val="22"/>
                <w:szCs w:val="22"/>
                <w:highlight w:val="none"/>
              </w:rPr>
            </w:pPr>
            <w:r>
              <w:rPr>
                <w:rFonts w:hint="eastAsia" w:ascii="仿宋" w:hAnsi="仿宋" w:eastAsia="仿宋"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179" w:type="dxa"/>
            <w:gridSpan w:val="2"/>
            <w:vAlign w:val="center"/>
          </w:tcPr>
          <w:p>
            <w:pPr>
              <w:pStyle w:val="32"/>
              <w:jc w:val="center"/>
              <w:rPr>
                <w:rFonts w:hint="eastAsia" w:ascii="仿宋" w:hAnsi="仿宋" w:eastAsia="仿宋" w:cs="新宋体"/>
                <w:color w:val="auto"/>
                <w:sz w:val="22"/>
                <w:szCs w:val="22"/>
                <w:highlight w:val="none"/>
                <w:lang w:val="en-US" w:eastAsia="zh-CN"/>
              </w:rPr>
            </w:pPr>
            <w:r>
              <w:rPr>
                <w:rFonts w:hint="eastAsia" w:ascii="仿宋" w:hAnsi="仿宋" w:eastAsia="仿宋" w:cs="宋体"/>
                <w:color w:val="auto"/>
                <w:kern w:val="0"/>
                <w:sz w:val="24"/>
                <w:highlight w:val="none"/>
                <w:lang w:eastAsia="zh-CN"/>
              </w:rPr>
              <w:t>浙江省温州市自然灾害应急能力提升工程基层防灾项目（组合式防洪板、防洪子堤）</w:t>
            </w:r>
          </w:p>
        </w:tc>
        <w:tc>
          <w:tcPr>
            <w:tcW w:w="2339" w:type="dxa"/>
            <w:vAlign w:val="center"/>
          </w:tcPr>
          <w:p>
            <w:pPr>
              <w:pStyle w:val="32"/>
              <w:jc w:val="center"/>
              <w:rPr>
                <w:rFonts w:hint="default" w:ascii="仿宋" w:hAnsi="仿宋" w:eastAsia="仿宋" w:cs="新宋体"/>
                <w:color w:val="auto"/>
                <w:sz w:val="22"/>
                <w:szCs w:val="22"/>
                <w:highlight w:val="none"/>
                <w:lang w:val="en-US" w:eastAsia="zh-CN"/>
              </w:rPr>
            </w:pPr>
          </w:p>
        </w:tc>
        <w:tc>
          <w:tcPr>
            <w:tcW w:w="1360" w:type="dxa"/>
            <w:vAlign w:val="center"/>
          </w:tcPr>
          <w:p>
            <w:pPr>
              <w:pStyle w:val="32"/>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3696"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投标报价（人民币元）</w:t>
            </w:r>
          </w:p>
        </w:tc>
        <w:tc>
          <w:tcPr>
            <w:tcW w:w="6182" w:type="dxa"/>
            <w:gridSpan w:val="3"/>
            <w:vAlign w:val="center"/>
          </w:tcPr>
          <w:p>
            <w:pPr>
              <w:pStyle w:val="32"/>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（大写）</w:t>
            </w:r>
          </w:p>
          <w:p>
            <w:pPr>
              <w:pStyle w:val="32"/>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（小写）</w:t>
            </w:r>
          </w:p>
        </w:tc>
      </w:tr>
    </w:tbl>
    <w:p>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p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w:t>
      </w:r>
      <w:r>
        <w:rPr>
          <w:rFonts w:hint="eastAsia" w:ascii="仿宋" w:hAnsi="仿宋" w:eastAsia="仿宋" w:cs="新宋体"/>
          <w:b/>
          <w:bCs/>
          <w:color w:val="auto"/>
          <w:sz w:val="22"/>
          <w:szCs w:val="22"/>
          <w:highlight w:val="none"/>
          <w:u w:val="single"/>
          <w:lang w:val="en-US" w:eastAsia="zh-CN"/>
        </w:rPr>
        <w:t>1、</w:t>
      </w:r>
      <w:r>
        <w:rPr>
          <w:rFonts w:hint="eastAsia" w:ascii="仿宋" w:hAnsi="仿宋" w:eastAsia="仿宋" w:cs="新宋体"/>
          <w:b/>
          <w:bCs/>
          <w:color w:val="auto"/>
          <w:sz w:val="22"/>
          <w:szCs w:val="22"/>
          <w:highlight w:val="none"/>
          <w:u w:val="single"/>
        </w:rPr>
        <w:t>本表中的投标报价包括</w:t>
      </w:r>
      <w:r>
        <w:rPr>
          <w:rFonts w:hint="eastAsia" w:ascii="仿宋" w:hAnsi="仿宋" w:eastAsia="仿宋" w:cs="新宋体"/>
          <w:b/>
          <w:bCs/>
          <w:color w:val="auto"/>
          <w:sz w:val="22"/>
          <w:szCs w:val="22"/>
          <w:highlight w:val="none"/>
          <w:u w:val="single"/>
          <w:lang w:eastAsia="zh-CN"/>
        </w:rPr>
        <w:t>设备设施费、运杂费、保险费、安装及调试费、验收费、合同包含的所有风险责任等各项费用及不可预见费、服务期和质保期内免费服务等所需的全部费用</w:t>
      </w:r>
      <w:r>
        <w:rPr>
          <w:rFonts w:hint="eastAsia" w:ascii="仿宋" w:hAnsi="仿宋" w:eastAsia="仿宋" w:cs="新宋体"/>
          <w:b/>
          <w:bCs/>
          <w:color w:val="auto"/>
          <w:sz w:val="22"/>
          <w:szCs w:val="22"/>
          <w:highlight w:val="none"/>
          <w:u w:val="single"/>
        </w:rPr>
        <w:t>。</w:t>
      </w:r>
    </w:p>
    <w:p>
      <w:pPr>
        <w:spacing w:line="380" w:lineRule="exact"/>
        <w:rPr>
          <w:rFonts w:ascii="仿宋" w:hAnsi="仿宋" w:eastAsia="仿宋" w:cs="新宋体"/>
          <w:b/>
          <w:bCs/>
          <w:color w:val="auto"/>
          <w:sz w:val="22"/>
          <w:szCs w:val="22"/>
          <w:highlight w:val="none"/>
          <w:u w:val="single"/>
        </w:rPr>
      </w:pPr>
      <w:r>
        <w:rPr>
          <w:rFonts w:hint="eastAsia" w:ascii="仿宋" w:hAnsi="仿宋" w:eastAsia="仿宋" w:cs="新宋体"/>
          <w:b/>
          <w:bCs/>
          <w:color w:val="auto"/>
          <w:sz w:val="22"/>
          <w:szCs w:val="22"/>
          <w:highlight w:val="none"/>
          <w:u w:val="single"/>
        </w:rPr>
        <w:t>▲</w:t>
      </w:r>
      <w:r>
        <w:rPr>
          <w:rFonts w:hint="eastAsia" w:ascii="仿宋" w:hAnsi="仿宋" w:eastAsia="仿宋" w:cs="新宋体"/>
          <w:b/>
          <w:bCs/>
          <w:color w:val="auto"/>
          <w:sz w:val="22"/>
          <w:szCs w:val="22"/>
          <w:highlight w:val="none"/>
          <w:u w:val="single"/>
          <w:lang w:val="en-US" w:eastAsia="zh-CN"/>
        </w:rPr>
        <w:t>2、不提供此表格的将视为没有实质性响应招标文件。</w:t>
      </w:r>
    </w:p>
    <w:p>
      <w:pPr>
        <w:autoSpaceDE w:val="0"/>
        <w:autoSpaceDN w:val="0"/>
        <w:spacing w:line="380" w:lineRule="atLeast"/>
        <w:ind w:left="36"/>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投标人名称(电子</w:t>
      </w:r>
      <w:r>
        <w:rPr>
          <w:rFonts w:hint="eastAsia" w:ascii="仿宋" w:hAnsi="仿宋" w:eastAsia="仿宋" w:cs="仿宋_GB2312"/>
          <w:color w:val="auto"/>
          <w:kern w:val="0"/>
          <w:sz w:val="24"/>
          <w:highlight w:val="none"/>
          <w:lang w:val="zh-CN"/>
        </w:rPr>
        <w:t>签章</w:t>
      </w:r>
      <w:r>
        <w:rPr>
          <w:rFonts w:ascii="仿宋" w:hAnsi="仿宋" w:eastAsia="仿宋" w:cs="仿宋_GB2312"/>
          <w:color w:val="auto"/>
          <w:kern w:val="0"/>
          <w:sz w:val="24"/>
          <w:highlight w:val="none"/>
          <w:lang w:val="zh-CN"/>
        </w:rPr>
        <w:t xml:space="preserve">)：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211"/>
    </w:p>
    <w:p>
      <w:pPr>
        <w:widowControl/>
        <w:adjustRightInd/>
        <w:jc w:val="left"/>
        <w:rPr>
          <w:rFonts w:ascii="仿宋" w:hAnsi="仿宋" w:eastAsia="仿宋"/>
          <w:color w:val="auto"/>
          <w:sz w:val="28"/>
          <w:szCs w:val="36"/>
          <w:highlight w:val="none"/>
        </w:rPr>
        <w:sectPr>
          <w:headerReference r:id="rId10" w:type="default"/>
          <w:footerReference r:id="rId11" w:type="default"/>
          <w:pgSz w:w="11907" w:h="16840"/>
          <w:pgMar w:top="1474" w:right="1814" w:bottom="1474" w:left="1814" w:header="851" w:footer="851" w:gutter="0"/>
          <w:pgNumType w:fmt="decimal"/>
          <w:cols w:space="720" w:num="1"/>
        </w:sectPr>
      </w:pPr>
      <w:r>
        <w:rPr>
          <w:rFonts w:ascii="仿宋" w:hAnsi="仿宋" w:eastAsia="仿宋"/>
          <w:color w:val="auto"/>
          <w:sz w:val="28"/>
          <w:szCs w:val="36"/>
          <w:highlight w:val="none"/>
        </w:rPr>
        <w:br w:type="page"/>
      </w:r>
    </w:p>
    <w:p>
      <w:pPr>
        <w:widowControl/>
        <w:adjustRightInd/>
        <w:jc w:val="left"/>
        <w:rPr>
          <w:rFonts w:hint="default" w:ascii="仿宋" w:hAnsi="仿宋" w:eastAsia="仿宋" w:cs="仿宋_GB2312"/>
          <w:b/>
          <w:bCs/>
          <w:color w:val="auto"/>
          <w:sz w:val="28"/>
          <w:szCs w:val="28"/>
          <w:highlight w:val="none"/>
          <w:lang w:val="en-US" w:eastAsia="zh-CN"/>
        </w:rPr>
      </w:pPr>
      <w:r>
        <w:rPr>
          <w:rFonts w:hint="eastAsia" w:ascii="仿宋" w:hAnsi="仿宋" w:eastAsia="仿宋" w:cs="仿宋_GB2312"/>
          <w:b/>
          <w:bCs/>
          <w:color w:val="auto"/>
          <w:sz w:val="28"/>
          <w:szCs w:val="28"/>
          <w:highlight w:val="none"/>
        </w:rPr>
        <w:t>附件</w:t>
      </w:r>
      <w:r>
        <w:rPr>
          <w:rFonts w:hint="eastAsia" w:ascii="仿宋" w:hAnsi="仿宋" w:eastAsia="仿宋" w:cs="仿宋_GB2312"/>
          <w:b/>
          <w:bCs/>
          <w:color w:val="auto"/>
          <w:sz w:val="28"/>
          <w:szCs w:val="28"/>
          <w:highlight w:val="none"/>
          <w:lang w:val="en-US" w:eastAsia="zh-CN"/>
        </w:rPr>
        <w:t>8</w:t>
      </w:r>
    </w:p>
    <w:p>
      <w:pPr>
        <w:pStyle w:val="25"/>
        <w:jc w:val="center"/>
        <w:rPr>
          <w:rFonts w:hint="eastAsia" w:ascii="仿宋" w:hAnsi="仿宋" w:eastAsia="仿宋" w:cs="仿宋"/>
          <w:color w:val="auto"/>
          <w:highlight w:val="none"/>
        </w:rPr>
      </w:pPr>
      <w:r>
        <w:rPr>
          <w:rFonts w:hint="eastAsia" w:ascii="仿宋" w:hAnsi="仿宋" w:eastAsia="仿宋" w:cs="宋体"/>
          <w:b/>
          <w:bCs/>
          <w:color w:val="auto"/>
          <w:kern w:val="36"/>
          <w:sz w:val="28"/>
          <w:szCs w:val="36"/>
          <w:highlight w:val="none"/>
        </w:rPr>
        <w:t>二、价格组成表</w:t>
      </w:r>
    </w:p>
    <w:bookmarkEnd w:id="209"/>
    <w:bookmarkEnd w:id="210"/>
    <w:p>
      <w:pPr>
        <w:pStyle w:val="22"/>
        <w:overflowPunct w:val="0"/>
        <w:spacing w:after="0" w:line="460" w:lineRule="exact"/>
        <w:jc w:val="center"/>
        <w:rPr>
          <w:rStyle w:val="77"/>
          <w:rFonts w:hint="eastAsia" w:ascii="仿宋" w:hAnsi="仿宋" w:eastAsia="仿宋" w:cs="新宋体"/>
          <w:color w:val="auto"/>
          <w:sz w:val="36"/>
          <w:szCs w:val="36"/>
          <w:highlight w:val="none"/>
        </w:rPr>
      </w:pPr>
    </w:p>
    <w:p>
      <w:pPr>
        <w:spacing w:line="380" w:lineRule="exact"/>
        <w:rPr>
          <w:rFonts w:hint="eastAsia" w:ascii="仿宋" w:hAnsi="仿宋" w:eastAsia="仿宋"/>
          <w:color w:val="auto"/>
          <w:sz w:val="24"/>
          <w:highlight w:val="none"/>
          <w:lang w:eastAsia="zh-CN"/>
        </w:rPr>
      </w:pPr>
      <w:r>
        <w:rPr>
          <w:rFonts w:hint="eastAsia" w:ascii="仿宋" w:hAnsi="仿宋" w:eastAsia="仿宋" w:cs="新宋体"/>
          <w:bCs/>
          <w:color w:val="auto"/>
          <w:sz w:val="22"/>
          <w:szCs w:val="22"/>
          <w:highlight w:val="none"/>
        </w:rPr>
        <w:t>项目名称：</w:t>
      </w:r>
    </w:p>
    <w:p>
      <w:pPr>
        <w:spacing w:line="380" w:lineRule="exact"/>
        <w:rPr>
          <w:rFonts w:hint="eastAsia" w:ascii="仿宋" w:hAnsi="仿宋" w:eastAsia="仿宋" w:cs="仿宋"/>
          <w:bCs/>
          <w:color w:val="auto"/>
          <w:sz w:val="24"/>
          <w:szCs w:val="24"/>
          <w:highlight w:val="none"/>
          <w:lang w:val="en-US" w:eastAsia="zh-CN"/>
        </w:rPr>
      </w:pPr>
      <w:r>
        <w:rPr>
          <w:rFonts w:hint="eastAsia" w:ascii="仿宋" w:hAnsi="仿宋" w:eastAsia="仿宋" w:cs="新宋体"/>
          <w:bCs/>
          <w:color w:val="auto"/>
          <w:sz w:val="22"/>
          <w:szCs w:val="22"/>
          <w:highlight w:val="none"/>
        </w:rPr>
        <w:t>项目编号：</w:t>
      </w:r>
      <w:r>
        <w:rPr>
          <w:rFonts w:hint="eastAsia" w:ascii="仿宋" w:hAnsi="仿宋" w:eastAsia="仿宋" w:cs="新宋体"/>
          <w:bCs/>
          <w:color w:val="auto"/>
          <w:sz w:val="22"/>
          <w:szCs w:val="22"/>
          <w:highlight w:val="none"/>
          <w:lang w:val="en-US" w:eastAsia="zh-CN"/>
        </w:rPr>
        <w:t xml:space="preserve">                                           </w:t>
      </w:r>
      <w:r>
        <w:rPr>
          <w:rFonts w:hint="eastAsia" w:ascii="仿宋" w:hAnsi="仿宋" w:eastAsia="仿宋" w:cs="仿宋"/>
          <w:b w:val="0"/>
          <w:color w:val="auto"/>
          <w:sz w:val="24"/>
          <w:szCs w:val="24"/>
          <w:highlight w:val="none"/>
        </w:rPr>
        <w:t>（价格单位：元/人民币）</w:t>
      </w:r>
    </w:p>
    <w:tbl>
      <w:tblPr>
        <w:tblStyle w:val="57"/>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160"/>
        <w:gridCol w:w="1160"/>
        <w:gridCol w:w="11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194" w:type="dxa"/>
            <w:tcBorders>
              <w:top w:val="single" w:color="auto" w:sz="12" w:space="0"/>
              <w:left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60"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60"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单价</w:t>
            </w:r>
          </w:p>
          <w:p>
            <w:pPr>
              <w:ind w:right="-11"/>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（含税）</w:t>
            </w:r>
          </w:p>
        </w:tc>
        <w:tc>
          <w:tcPr>
            <w:tcW w:w="1160"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总价</w:t>
            </w:r>
          </w:p>
          <w:p>
            <w:pPr>
              <w:ind w:right="-11"/>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（含税）</w:t>
            </w:r>
          </w:p>
        </w:tc>
        <w:tc>
          <w:tcPr>
            <w:tcW w:w="1162" w:type="dxa"/>
            <w:tcBorders>
              <w:top w:val="single" w:color="auto" w:sz="12" w:space="0"/>
              <w:bottom w:val="single" w:color="auto" w:sz="12" w:space="0"/>
              <w:right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9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1160" w:type="dxa"/>
            <w:vAlign w:val="center"/>
          </w:tcPr>
          <w:p>
            <w:pPr>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0" w:type="dxa"/>
            <w:vAlign w:val="center"/>
          </w:tcPr>
          <w:p>
            <w:pPr>
              <w:ind w:right="-11"/>
              <w:jc w:val="center"/>
              <w:rPr>
                <w:rFonts w:hint="eastAsia" w:ascii="仿宋" w:hAnsi="仿宋" w:eastAsia="仿宋" w:cs="仿宋"/>
                <w:b w:val="0"/>
                <w:color w:val="auto"/>
                <w:sz w:val="24"/>
                <w:szCs w:val="24"/>
                <w:highlight w:val="none"/>
              </w:rPr>
            </w:pPr>
          </w:p>
        </w:tc>
        <w:tc>
          <w:tcPr>
            <w:tcW w:w="1162" w:type="dxa"/>
            <w:tcBorders>
              <w:right w:val="single" w:color="auto" w:sz="12" w:space="0"/>
            </w:tcBorders>
            <w:vAlign w:val="center"/>
          </w:tcPr>
          <w:p>
            <w:pPr>
              <w:ind w:right="-11"/>
              <w:jc w:val="center"/>
              <w:rPr>
                <w:rFonts w:hint="eastAsia" w:ascii="仿宋" w:hAnsi="仿宋" w:eastAsia="仿宋" w:cs="仿宋"/>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194" w:type="dxa"/>
            <w:tcBorders>
              <w:left w:val="single" w:color="auto" w:sz="12" w:space="0"/>
            </w:tcBorders>
            <w:vAlign w:val="center"/>
          </w:tcPr>
          <w:p>
            <w:pPr>
              <w:ind w:right="-11"/>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培训费、技术服务费、售后服务费等</w:t>
            </w:r>
          </w:p>
        </w:tc>
        <w:tc>
          <w:tcPr>
            <w:tcW w:w="4642" w:type="dxa"/>
            <w:gridSpan w:val="4"/>
            <w:tcBorders>
              <w:right w:val="single" w:color="auto" w:sz="12" w:space="0"/>
            </w:tcBorders>
          </w:tcPr>
          <w:p>
            <w:pPr>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194" w:type="dxa"/>
            <w:tcBorders>
              <w:left w:val="single" w:color="auto" w:sz="12" w:space="0"/>
            </w:tcBorders>
            <w:vAlign w:val="center"/>
          </w:tcPr>
          <w:p>
            <w:pPr>
              <w:ind w:right="-11"/>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税金</w:t>
            </w:r>
          </w:p>
        </w:tc>
        <w:tc>
          <w:tcPr>
            <w:tcW w:w="4642" w:type="dxa"/>
            <w:gridSpan w:val="4"/>
            <w:tcBorders>
              <w:right w:val="single" w:color="auto" w:sz="12" w:space="0"/>
            </w:tcBorders>
          </w:tcPr>
          <w:p>
            <w:pPr>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194" w:type="dxa"/>
            <w:tcBorders>
              <w:left w:val="single" w:color="auto" w:sz="12" w:space="0"/>
            </w:tcBorders>
            <w:vAlign w:val="center"/>
          </w:tcPr>
          <w:p>
            <w:pPr>
              <w:ind w:right="-11"/>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其他相关费用</w:t>
            </w:r>
          </w:p>
        </w:tc>
        <w:tc>
          <w:tcPr>
            <w:tcW w:w="4642" w:type="dxa"/>
            <w:gridSpan w:val="4"/>
            <w:tcBorders>
              <w:right w:val="single" w:color="auto" w:sz="12" w:space="0"/>
            </w:tcBorders>
          </w:tcPr>
          <w:p>
            <w:pPr>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4194" w:type="dxa"/>
            <w:tcBorders>
              <w:left w:val="single" w:color="auto" w:sz="12" w:space="0"/>
              <w:bottom w:val="single" w:color="auto" w:sz="12" w:space="0"/>
            </w:tcBorders>
            <w:vAlign w:val="center"/>
          </w:tcPr>
          <w:p>
            <w:pPr>
              <w:ind w:right="-11"/>
              <w:rPr>
                <w:rFonts w:hint="eastAsia"/>
                <w:color w:val="auto"/>
                <w:highlight w:val="none"/>
              </w:rPr>
            </w:pPr>
            <w:r>
              <w:rPr>
                <w:rFonts w:hint="eastAsia" w:ascii="仿宋" w:hAnsi="仿宋" w:eastAsia="仿宋" w:cs="仿宋"/>
                <w:b w:val="0"/>
                <w:color w:val="auto"/>
                <w:sz w:val="24"/>
                <w:szCs w:val="24"/>
                <w:highlight w:val="none"/>
              </w:rPr>
              <w:t>投标报价合计</w:t>
            </w:r>
          </w:p>
        </w:tc>
        <w:tc>
          <w:tcPr>
            <w:tcW w:w="4642" w:type="dxa"/>
            <w:gridSpan w:val="4"/>
            <w:tcBorders>
              <w:bottom w:val="single" w:color="auto" w:sz="12" w:space="0"/>
              <w:right w:val="single" w:color="auto" w:sz="12" w:space="0"/>
            </w:tcBorders>
          </w:tcPr>
          <w:p>
            <w:pPr>
              <w:spacing w:line="340" w:lineRule="exact"/>
              <w:rPr>
                <w:rFonts w:hint="eastAsia" w:ascii="仿宋" w:hAnsi="仿宋" w:eastAsia="仿宋" w:cs="仿宋"/>
                <w:b w:val="0"/>
                <w:bCs/>
                <w:color w:val="auto"/>
                <w:sz w:val="24"/>
                <w:szCs w:val="24"/>
                <w:highlight w:val="none"/>
              </w:rPr>
            </w:pPr>
          </w:p>
        </w:tc>
      </w:tr>
    </w:tbl>
    <w:p>
      <w:pPr>
        <w:pStyle w:val="25"/>
        <w:rPr>
          <w:rFonts w:eastAsiaTheme="minorEastAsia"/>
          <w:color w:val="auto"/>
          <w:highlight w:val="none"/>
        </w:rPr>
      </w:pPr>
    </w:p>
    <w:p>
      <w:pPr>
        <w:keepNext w:val="0"/>
        <w:keepLines w:val="0"/>
        <w:pageBreakBefore w:val="0"/>
        <w:widowControl/>
        <w:kinsoku/>
        <w:wordWrap/>
        <w:overflowPunct/>
        <w:topLinePunct w:val="0"/>
        <w:bidi w:val="0"/>
        <w:adjustRightInd w:val="0"/>
        <w:snapToGrid/>
        <w:spacing w:line="240" w:lineRule="auto"/>
        <w:jc w:val="left"/>
        <w:textAlignment w:val="auto"/>
        <w:rPr>
          <w:rFonts w:hint="eastAsia" w:ascii="仿宋" w:hAnsi="仿宋" w:eastAsia="仿宋"/>
          <w:b/>
          <w:bCs w:val="0"/>
          <w:strike w:val="0"/>
          <w:dstrike w:val="0"/>
          <w:color w:val="auto"/>
          <w:sz w:val="24"/>
          <w:highlight w:val="none"/>
          <w:u w:val="single"/>
          <w:lang w:val="en-US" w:eastAsia="zh-CN"/>
        </w:rPr>
      </w:pPr>
      <w:r>
        <w:rPr>
          <w:rFonts w:hint="eastAsia" w:ascii="仿宋" w:hAnsi="仿宋" w:eastAsia="仿宋"/>
          <w:b/>
          <w:bCs w:val="0"/>
          <w:color w:val="auto"/>
          <w:sz w:val="24"/>
          <w:highlight w:val="none"/>
          <w:u w:val="none"/>
        </w:rPr>
        <w:t>▲注</w:t>
      </w:r>
      <w:r>
        <w:rPr>
          <w:rFonts w:ascii="仿宋" w:hAnsi="仿宋" w:eastAsia="仿宋"/>
          <w:b/>
          <w:bCs w:val="0"/>
          <w:color w:val="auto"/>
          <w:sz w:val="24"/>
          <w:highlight w:val="none"/>
          <w:u w:val="none"/>
        </w:rPr>
        <w:t>：</w:t>
      </w:r>
      <w:r>
        <w:rPr>
          <w:rFonts w:hint="eastAsia" w:ascii="仿宋" w:hAnsi="仿宋" w:eastAsia="仿宋"/>
          <w:b/>
          <w:bCs w:val="0"/>
          <w:strike w:val="0"/>
          <w:dstrike w:val="0"/>
          <w:color w:val="auto"/>
          <w:sz w:val="24"/>
          <w:highlight w:val="none"/>
          <w:u w:val="none"/>
          <w:lang w:val="en-US" w:eastAsia="zh-CN"/>
        </w:rPr>
        <w:t>1、</w:t>
      </w:r>
      <w:r>
        <w:rPr>
          <w:rFonts w:hint="eastAsia" w:ascii="仿宋" w:hAnsi="仿宋" w:eastAsia="仿宋"/>
          <w:b/>
          <w:bCs w:val="0"/>
          <w:strike w:val="0"/>
          <w:dstrike w:val="0"/>
          <w:color w:val="auto"/>
          <w:sz w:val="24"/>
          <w:highlight w:val="none"/>
          <w:u w:val="single"/>
          <w:lang w:val="en-US" w:eastAsia="zh-CN"/>
        </w:rPr>
        <w:t>不提供价格组成表将视为没有实质性响应招标文件，项目名称按采购清单内容；</w:t>
      </w:r>
    </w:p>
    <w:p>
      <w:pPr>
        <w:keepNext w:val="0"/>
        <w:keepLines w:val="0"/>
        <w:pageBreakBefore w:val="0"/>
        <w:widowControl/>
        <w:numPr>
          <w:ilvl w:val="0"/>
          <w:numId w:val="4"/>
        </w:numPr>
        <w:kinsoku/>
        <w:wordWrap/>
        <w:overflowPunct/>
        <w:topLinePunct w:val="0"/>
        <w:bidi w:val="0"/>
        <w:adjustRightInd w:val="0"/>
        <w:snapToGrid/>
        <w:spacing w:line="240" w:lineRule="auto"/>
        <w:ind w:firstLine="723" w:firstLineChars="300"/>
        <w:jc w:val="left"/>
        <w:textAlignment w:val="auto"/>
        <w:rPr>
          <w:rFonts w:ascii="仿宋" w:hAnsi="仿宋" w:eastAsia="仿宋"/>
          <w:b/>
          <w:bCs w:val="0"/>
          <w:strike w:val="0"/>
          <w:dstrike w:val="0"/>
          <w:color w:val="auto"/>
          <w:sz w:val="24"/>
          <w:highlight w:val="none"/>
          <w:u w:val="single"/>
        </w:rPr>
      </w:pPr>
      <w:r>
        <w:rPr>
          <w:rFonts w:ascii="仿宋" w:hAnsi="仿宋" w:eastAsia="仿宋"/>
          <w:b/>
          <w:bCs w:val="0"/>
          <w:strike w:val="0"/>
          <w:dstrike w:val="0"/>
          <w:color w:val="auto"/>
          <w:sz w:val="24"/>
          <w:highlight w:val="none"/>
          <w:u w:val="single"/>
        </w:rPr>
        <w:t>本</w:t>
      </w:r>
      <w:r>
        <w:rPr>
          <w:rFonts w:hint="eastAsia" w:ascii="仿宋" w:hAnsi="仿宋" w:eastAsia="仿宋"/>
          <w:b/>
          <w:bCs w:val="0"/>
          <w:strike w:val="0"/>
          <w:dstrike w:val="0"/>
          <w:color w:val="auto"/>
          <w:sz w:val="24"/>
          <w:highlight w:val="none"/>
          <w:u w:val="single"/>
        </w:rPr>
        <w:t>表</w:t>
      </w:r>
      <w:r>
        <w:rPr>
          <w:rFonts w:ascii="仿宋" w:hAnsi="仿宋" w:eastAsia="仿宋"/>
          <w:b/>
          <w:bCs w:val="0"/>
          <w:strike w:val="0"/>
          <w:dstrike w:val="0"/>
          <w:color w:val="auto"/>
          <w:sz w:val="24"/>
          <w:highlight w:val="none"/>
          <w:u w:val="single"/>
        </w:rPr>
        <w:t>中的</w:t>
      </w:r>
      <w:r>
        <w:rPr>
          <w:rFonts w:hint="eastAsia" w:ascii="仿宋" w:hAnsi="仿宋" w:eastAsia="仿宋"/>
          <w:b/>
          <w:bCs w:val="0"/>
          <w:strike w:val="0"/>
          <w:dstrike w:val="0"/>
          <w:color w:val="auto"/>
          <w:sz w:val="24"/>
          <w:highlight w:val="none"/>
          <w:u w:val="single"/>
        </w:rPr>
        <w:t>“</w:t>
      </w:r>
      <w:r>
        <w:rPr>
          <w:rFonts w:ascii="仿宋" w:hAnsi="仿宋" w:eastAsia="仿宋"/>
          <w:b/>
          <w:bCs w:val="0"/>
          <w:strike w:val="0"/>
          <w:dstrike w:val="0"/>
          <w:color w:val="auto"/>
          <w:sz w:val="24"/>
          <w:highlight w:val="none"/>
          <w:u w:val="single"/>
        </w:rPr>
        <w:t>投标报价合计</w:t>
      </w:r>
      <w:r>
        <w:rPr>
          <w:rFonts w:hint="eastAsia" w:ascii="仿宋" w:hAnsi="仿宋" w:eastAsia="仿宋"/>
          <w:b/>
          <w:bCs w:val="0"/>
          <w:strike w:val="0"/>
          <w:dstrike w:val="0"/>
          <w:color w:val="auto"/>
          <w:sz w:val="24"/>
          <w:highlight w:val="none"/>
          <w:u w:val="single"/>
        </w:rPr>
        <w:t>”</w:t>
      </w:r>
      <w:r>
        <w:rPr>
          <w:rFonts w:ascii="仿宋" w:hAnsi="仿宋" w:eastAsia="仿宋"/>
          <w:b/>
          <w:bCs w:val="0"/>
          <w:strike w:val="0"/>
          <w:dstrike w:val="0"/>
          <w:color w:val="auto"/>
          <w:sz w:val="24"/>
          <w:highlight w:val="none"/>
          <w:u w:val="single"/>
        </w:rPr>
        <w:t>与</w:t>
      </w:r>
      <w:r>
        <w:rPr>
          <w:rFonts w:hint="eastAsia" w:ascii="仿宋" w:hAnsi="仿宋" w:eastAsia="仿宋"/>
          <w:b/>
          <w:bCs w:val="0"/>
          <w:strike w:val="0"/>
          <w:dstrike w:val="0"/>
          <w:color w:val="auto"/>
          <w:sz w:val="24"/>
          <w:highlight w:val="none"/>
          <w:u w:val="single"/>
        </w:rPr>
        <w:t>开标</w:t>
      </w:r>
      <w:r>
        <w:rPr>
          <w:rFonts w:ascii="仿宋" w:hAnsi="仿宋" w:eastAsia="仿宋"/>
          <w:b/>
          <w:bCs w:val="0"/>
          <w:strike w:val="0"/>
          <w:dstrike w:val="0"/>
          <w:color w:val="auto"/>
          <w:sz w:val="24"/>
          <w:highlight w:val="none"/>
          <w:u w:val="single"/>
        </w:rPr>
        <w:t>一览表中的“</w:t>
      </w:r>
      <w:r>
        <w:rPr>
          <w:rFonts w:hint="eastAsia" w:ascii="仿宋" w:hAnsi="仿宋" w:eastAsia="仿宋"/>
          <w:b/>
          <w:bCs w:val="0"/>
          <w:strike w:val="0"/>
          <w:dstrike w:val="0"/>
          <w:color w:val="auto"/>
          <w:sz w:val="24"/>
          <w:highlight w:val="none"/>
          <w:u w:val="single"/>
        </w:rPr>
        <w:t>投标</w:t>
      </w:r>
      <w:r>
        <w:rPr>
          <w:rFonts w:ascii="仿宋" w:hAnsi="仿宋" w:eastAsia="仿宋"/>
          <w:b/>
          <w:bCs w:val="0"/>
          <w:strike w:val="0"/>
          <w:dstrike w:val="0"/>
          <w:color w:val="auto"/>
          <w:sz w:val="24"/>
          <w:highlight w:val="none"/>
          <w:u w:val="single"/>
        </w:rPr>
        <w:t>报价”</w:t>
      </w:r>
      <w:r>
        <w:rPr>
          <w:rFonts w:hint="eastAsia" w:ascii="仿宋" w:hAnsi="仿宋" w:eastAsia="仿宋"/>
          <w:b/>
          <w:bCs w:val="0"/>
          <w:strike w:val="0"/>
          <w:dstrike w:val="0"/>
          <w:color w:val="auto"/>
          <w:sz w:val="24"/>
          <w:highlight w:val="none"/>
          <w:u w:val="single"/>
        </w:rPr>
        <w:t>须</w:t>
      </w:r>
      <w:r>
        <w:rPr>
          <w:rFonts w:ascii="仿宋" w:hAnsi="仿宋" w:eastAsia="仿宋"/>
          <w:b/>
          <w:bCs w:val="0"/>
          <w:strike w:val="0"/>
          <w:dstrike w:val="0"/>
          <w:color w:val="auto"/>
          <w:sz w:val="24"/>
          <w:highlight w:val="none"/>
          <w:u w:val="single"/>
        </w:rPr>
        <w:t>一致</w:t>
      </w:r>
      <w:r>
        <w:rPr>
          <w:rFonts w:hint="eastAsia" w:ascii="仿宋" w:hAnsi="仿宋" w:eastAsia="仿宋"/>
          <w:b/>
          <w:bCs w:val="0"/>
          <w:strike w:val="0"/>
          <w:dstrike w:val="0"/>
          <w:color w:val="auto"/>
          <w:sz w:val="24"/>
          <w:highlight w:val="none"/>
          <w:u w:val="single"/>
        </w:rPr>
        <w:t>，否则否决</w:t>
      </w:r>
      <w:r>
        <w:rPr>
          <w:rFonts w:ascii="仿宋" w:hAnsi="仿宋" w:eastAsia="仿宋"/>
          <w:b/>
          <w:bCs w:val="0"/>
          <w:strike w:val="0"/>
          <w:dstrike w:val="0"/>
          <w:color w:val="auto"/>
          <w:sz w:val="24"/>
          <w:highlight w:val="none"/>
          <w:u w:val="single"/>
        </w:rPr>
        <w:t>其投标。</w:t>
      </w:r>
    </w:p>
    <w:p>
      <w:pPr>
        <w:keepNext w:val="0"/>
        <w:keepLines w:val="0"/>
        <w:pageBreakBefore w:val="0"/>
        <w:kinsoku/>
        <w:wordWrap/>
        <w:overflowPunct/>
        <w:topLinePunct w:val="0"/>
        <w:autoSpaceDE w:val="0"/>
        <w:autoSpaceDN w:val="0"/>
        <w:bidi w:val="0"/>
        <w:adjustRightInd w:val="0"/>
        <w:snapToGrid/>
        <w:spacing w:line="240" w:lineRule="auto"/>
        <w:ind w:firstLine="120" w:firstLineChars="50"/>
        <w:jc w:val="both"/>
        <w:textAlignment w:val="auto"/>
        <w:rPr>
          <w:rFonts w:hint="eastAsia" w:ascii="仿宋" w:hAnsi="仿宋" w:eastAsia="仿宋"/>
          <w:b/>
          <w:bCs w:val="0"/>
          <w:strike w:val="0"/>
          <w:dstrike w:val="0"/>
          <w:color w:val="auto"/>
          <w:sz w:val="24"/>
          <w:highlight w:val="none"/>
          <w:u w:val="none"/>
          <w:lang w:val="en-US" w:eastAsia="zh-CN"/>
        </w:rPr>
      </w:pPr>
      <w:r>
        <w:rPr>
          <w:rFonts w:hint="eastAsia" w:ascii="仿宋" w:hAnsi="仿宋" w:eastAsia="仿宋"/>
          <w:b/>
          <w:bCs w:val="0"/>
          <w:strike w:val="0"/>
          <w:dstrike w:val="0"/>
          <w:color w:val="auto"/>
          <w:sz w:val="24"/>
          <w:highlight w:val="none"/>
          <w:u w:val="none"/>
          <w:lang w:val="en-US" w:eastAsia="zh-CN"/>
        </w:rPr>
        <w:t xml:space="preserve">     3、</w:t>
      </w:r>
      <w:r>
        <w:rPr>
          <w:rFonts w:hint="eastAsia" w:ascii="仿宋" w:hAnsi="仿宋" w:eastAsia="仿宋"/>
          <w:b/>
          <w:bCs w:val="0"/>
          <w:strike w:val="0"/>
          <w:dstrike w:val="0"/>
          <w:color w:val="auto"/>
          <w:sz w:val="24"/>
          <w:highlight w:val="none"/>
          <w:u w:val="single"/>
          <w:lang w:val="en-US" w:eastAsia="zh-CN"/>
        </w:rPr>
        <w:t>如果免费请在该备注栏内注明“免”，如果含在产品价格中则填“含”，如无此项内容则填“无”，不留空白。</w:t>
      </w:r>
    </w:p>
    <w:p>
      <w:pPr>
        <w:keepNext w:val="0"/>
        <w:keepLines w:val="0"/>
        <w:pageBreakBefore w:val="0"/>
        <w:kinsoku/>
        <w:wordWrap/>
        <w:overflowPunct/>
        <w:topLinePunct w:val="0"/>
        <w:autoSpaceDE w:val="0"/>
        <w:autoSpaceDN w:val="0"/>
        <w:bidi w:val="0"/>
        <w:adjustRightInd w:val="0"/>
        <w:snapToGrid/>
        <w:spacing w:line="240" w:lineRule="auto"/>
        <w:ind w:firstLine="723" w:firstLineChars="300"/>
        <w:jc w:val="both"/>
        <w:textAlignment w:val="auto"/>
        <w:rPr>
          <w:rFonts w:ascii="仿宋" w:hAnsi="仿宋" w:eastAsia="仿宋" w:cs="仿宋_GB2312"/>
          <w:b w:val="0"/>
          <w:bCs/>
          <w:strike w:val="0"/>
          <w:dstrike w:val="0"/>
          <w:color w:val="auto"/>
          <w:kern w:val="0"/>
          <w:sz w:val="24"/>
          <w:highlight w:val="none"/>
          <w:u w:val="none"/>
        </w:rPr>
      </w:pPr>
      <w:r>
        <w:rPr>
          <w:rFonts w:hint="eastAsia" w:ascii="仿宋" w:hAnsi="仿宋" w:eastAsia="仿宋"/>
          <w:b/>
          <w:bCs w:val="0"/>
          <w:strike w:val="0"/>
          <w:dstrike w:val="0"/>
          <w:color w:val="auto"/>
          <w:sz w:val="24"/>
          <w:highlight w:val="none"/>
          <w:u w:val="single"/>
          <w:lang w:val="en-US" w:eastAsia="zh-CN"/>
        </w:rPr>
        <w:t>4、表格可以延续。</w:t>
      </w:r>
    </w:p>
    <w:p>
      <w:pPr>
        <w:autoSpaceDE w:val="0"/>
        <w:autoSpaceDN w:val="0"/>
        <w:spacing w:line="380" w:lineRule="atLeast"/>
        <w:ind w:firstLine="120" w:firstLineChars="50"/>
        <w:jc w:val="right"/>
        <w:rPr>
          <w:rFonts w:ascii="仿宋" w:hAnsi="仿宋" w:eastAsia="仿宋" w:cs="仿宋_GB2312"/>
          <w:color w:val="auto"/>
          <w:kern w:val="0"/>
          <w:sz w:val="24"/>
          <w:highlight w:val="none"/>
        </w:rPr>
      </w:pPr>
    </w:p>
    <w:p>
      <w:pPr>
        <w:autoSpaceDE w:val="0"/>
        <w:autoSpaceDN w:val="0"/>
        <w:spacing w:line="380" w:lineRule="atLeast"/>
        <w:ind w:firstLine="120" w:firstLineChars="50"/>
        <w:jc w:val="right"/>
        <w:rPr>
          <w:rFonts w:ascii="仿宋" w:hAnsi="仿宋" w:eastAsia="仿宋" w:cs="仿宋_GB2312"/>
          <w:color w:val="auto"/>
          <w:kern w:val="0"/>
          <w:sz w:val="24"/>
          <w:highlight w:val="none"/>
        </w:rPr>
      </w:pPr>
    </w:p>
    <w:p>
      <w:pPr>
        <w:autoSpaceDE w:val="0"/>
        <w:autoSpaceDN w:val="0"/>
        <w:spacing w:line="380" w:lineRule="atLeast"/>
        <w:ind w:firstLine="120" w:firstLineChars="50"/>
        <w:jc w:val="righ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pStyle w:val="22"/>
        <w:overflowPunct w:val="0"/>
        <w:spacing w:after="0" w:line="460" w:lineRule="exact"/>
        <w:jc w:val="right"/>
        <w:outlineLvl w:val="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bookmarkStart w:id="212" w:name="_Toc31357"/>
      <w:bookmarkStart w:id="213" w:name="_Toc6678"/>
      <w:r>
        <w:rPr>
          <w:rFonts w:ascii="仿宋" w:hAnsi="仿宋" w:eastAsia="仿宋" w:cs="仿宋_GB2312"/>
          <w:color w:val="auto"/>
          <w:kern w:val="0"/>
          <w:sz w:val="24"/>
          <w:highlight w:val="none"/>
          <w:lang w:val="zh-CN"/>
        </w:rPr>
        <w:t>日期：  年  月  日</w:t>
      </w:r>
      <w:bookmarkEnd w:id="212"/>
      <w:bookmarkEnd w:id="213"/>
    </w:p>
    <w:p>
      <w:pPr>
        <w:pStyle w:val="22"/>
        <w:overflowPunct w:val="0"/>
        <w:spacing w:after="0" w:line="460" w:lineRule="exact"/>
        <w:jc w:val="center"/>
        <w:rPr>
          <w:rStyle w:val="77"/>
          <w:rFonts w:hint="eastAsia" w:ascii="仿宋" w:hAnsi="仿宋" w:eastAsia="仿宋" w:cs="新宋体"/>
          <w:color w:val="auto"/>
          <w:sz w:val="36"/>
          <w:szCs w:val="36"/>
          <w:highlight w:val="none"/>
        </w:rPr>
      </w:pPr>
    </w:p>
    <w:p>
      <w:pPr>
        <w:pStyle w:val="22"/>
        <w:overflowPunct w:val="0"/>
        <w:spacing w:after="0" w:line="460" w:lineRule="exact"/>
        <w:jc w:val="center"/>
        <w:rPr>
          <w:rStyle w:val="77"/>
          <w:rFonts w:hint="eastAsia" w:ascii="仿宋" w:hAnsi="仿宋" w:eastAsia="仿宋" w:cs="新宋体"/>
          <w:color w:val="auto"/>
          <w:sz w:val="36"/>
          <w:szCs w:val="36"/>
          <w:highlight w:val="none"/>
        </w:rPr>
      </w:pPr>
    </w:p>
    <w:p>
      <w:pPr>
        <w:pStyle w:val="22"/>
        <w:overflowPunct w:val="0"/>
        <w:spacing w:after="0" w:line="460" w:lineRule="exact"/>
        <w:jc w:val="center"/>
        <w:rPr>
          <w:rStyle w:val="77"/>
          <w:rFonts w:hint="eastAsia" w:ascii="仿宋" w:hAnsi="仿宋" w:eastAsia="仿宋" w:cs="新宋体"/>
          <w:color w:val="auto"/>
          <w:sz w:val="36"/>
          <w:szCs w:val="36"/>
          <w:highlight w:val="none"/>
        </w:rPr>
      </w:pPr>
    </w:p>
    <w:p>
      <w:pPr>
        <w:pStyle w:val="22"/>
        <w:overflowPunct w:val="0"/>
        <w:spacing w:after="0" w:line="460" w:lineRule="exact"/>
        <w:jc w:val="center"/>
        <w:rPr>
          <w:rFonts w:ascii="仿宋" w:hAnsi="仿宋" w:eastAsia="仿宋" w:cs="新宋体"/>
          <w:b/>
          <w:color w:val="auto"/>
          <w:sz w:val="36"/>
          <w:szCs w:val="36"/>
          <w:highlight w:val="none"/>
        </w:rPr>
      </w:pPr>
      <w:r>
        <w:rPr>
          <w:rStyle w:val="77"/>
          <w:rFonts w:hint="eastAsia" w:ascii="仿宋" w:hAnsi="仿宋" w:eastAsia="仿宋" w:cs="新宋体"/>
          <w:color w:val="auto"/>
          <w:sz w:val="36"/>
          <w:szCs w:val="36"/>
          <w:highlight w:val="none"/>
        </w:rPr>
        <w:t>第六部分  评标办法</w:t>
      </w:r>
    </w:p>
    <w:p>
      <w:pPr>
        <w:pStyle w:val="22"/>
        <w:overflowPunct w:val="0"/>
        <w:spacing w:after="0" w:line="460" w:lineRule="exact"/>
        <w:rPr>
          <w:rFonts w:ascii="新宋体" w:hAnsi="新宋体" w:eastAsia="新宋体" w:cs="新宋体"/>
          <w:b/>
          <w:color w:val="auto"/>
          <w:highlight w:val="none"/>
        </w:rPr>
      </w:pPr>
    </w:p>
    <w:p>
      <w:pPr>
        <w:snapToGrid w:val="0"/>
        <w:spacing w:line="360" w:lineRule="auto"/>
        <w:jc w:val="center"/>
        <w:rPr>
          <w:rFonts w:ascii="仿宋" w:hAnsi="仿宋" w:eastAsia="仿宋" w:cs="仿宋_GB2312"/>
          <w:b/>
          <w:color w:val="auto"/>
          <w:sz w:val="28"/>
          <w:szCs w:val="28"/>
          <w:highlight w:val="none"/>
        </w:rPr>
      </w:pPr>
      <w:bookmarkStart w:id="214" w:name="_Hlk93170489"/>
      <w:r>
        <w:rPr>
          <w:rFonts w:hint="eastAsia" w:ascii="仿宋" w:hAnsi="仿宋" w:eastAsia="仿宋" w:cs="仿宋_GB2312"/>
          <w:b/>
          <w:color w:val="auto"/>
          <w:sz w:val="28"/>
          <w:szCs w:val="28"/>
          <w:highlight w:val="none"/>
        </w:rPr>
        <w:t>评标办法前附表</w:t>
      </w:r>
    </w:p>
    <w:tbl>
      <w:tblPr>
        <w:tblStyle w:val="57"/>
        <w:tblW w:w="90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6"/>
        <w:gridCol w:w="1052"/>
        <w:gridCol w:w="2363"/>
        <w:gridCol w:w="4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blHeader/>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条款号</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评审因素</w:t>
            </w:r>
          </w:p>
        </w:tc>
        <w:tc>
          <w:tcPr>
            <w:tcW w:w="4795" w:type="dxa"/>
            <w:tcBorders>
              <w:top w:val="single" w:color="auto" w:sz="4" w:space="0"/>
              <w:left w:val="single" w:color="auto" w:sz="4" w:space="0"/>
              <w:bottom w:val="single" w:color="auto" w:sz="4" w:space="0"/>
            </w:tcBorders>
            <w:vAlign w:val="center"/>
          </w:tcPr>
          <w:p>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3" w:type="dxa"/>
            <w:vMerge w:val="restart"/>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p>
        </w:tc>
        <w:tc>
          <w:tcPr>
            <w:tcW w:w="106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评标方法</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评标办法</w:t>
            </w:r>
          </w:p>
        </w:tc>
        <w:tc>
          <w:tcPr>
            <w:tcW w:w="4795" w:type="dxa"/>
            <w:tcBorders>
              <w:top w:val="single" w:color="auto" w:sz="4" w:space="0"/>
              <w:left w:val="single" w:color="auto" w:sz="4" w:space="0"/>
              <w:bottom w:val="single" w:color="auto" w:sz="4" w:space="0"/>
            </w:tcBorders>
            <w:vAlign w:val="center"/>
          </w:tcPr>
          <w:p>
            <w:pPr>
              <w:rPr>
                <w:rFonts w:ascii="仿宋" w:hAnsi="仿宋" w:eastAsia="仿宋"/>
                <w:color w:val="auto"/>
                <w:sz w:val="22"/>
                <w:szCs w:val="22"/>
                <w:highlight w:val="none"/>
              </w:rPr>
            </w:pPr>
            <w:r>
              <w:rPr>
                <w:rFonts w:hint="eastAsia" w:ascii="仿宋" w:hAnsi="仿宋" w:eastAsia="仿宋" w:cs="Arial"/>
                <w:color w:val="auto"/>
                <w:sz w:val="22"/>
                <w:szCs w:val="22"/>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53" w:type="dxa"/>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推荐中标候选人的数量</w:t>
            </w:r>
          </w:p>
        </w:tc>
        <w:tc>
          <w:tcPr>
            <w:tcW w:w="4795"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 w:val="22"/>
                <w:szCs w:val="22"/>
                <w:highlight w:val="none"/>
              </w:rPr>
            </w:pPr>
            <w:r>
              <w:rPr>
                <w:rFonts w:hint="eastAsia" w:ascii="仿宋" w:hAnsi="MS Gothic" w:eastAsia="仿宋" w:cs="Arial"/>
                <w:color w:val="auto"/>
                <w:kern w:val="0"/>
                <w:sz w:val="22"/>
                <w:szCs w:val="22"/>
                <w:highlight w:val="none"/>
                <w:lang w:val="en-US" w:eastAsia="zh-CN"/>
              </w:rPr>
              <w:t>1</w:t>
            </w:r>
            <w:r>
              <w:rPr>
                <w:rFonts w:hint="eastAsia" w:ascii="仿宋" w:hAnsi="MS Gothic" w:eastAsia="仿宋" w:cs="Arial"/>
                <w:color w:val="auto"/>
                <w:kern w:val="0"/>
                <w:sz w:val="22"/>
                <w:szCs w:val="22"/>
                <w:highlight w:val="none"/>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53" w:type="dxa"/>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综合评分、投标报价均相等时确定中标候选人排序的方式</w:t>
            </w:r>
          </w:p>
        </w:tc>
        <w:tc>
          <w:tcPr>
            <w:tcW w:w="4795"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 w:val="22"/>
                <w:szCs w:val="22"/>
                <w:highlight w:val="none"/>
              </w:rPr>
            </w:pPr>
            <w:r>
              <w:rPr>
                <w:rFonts w:hint="eastAsia" w:ascii="仿宋" w:hAnsi="仿宋" w:eastAsia="仿宋" w:cs="Arial"/>
                <w:color w:val="auto"/>
                <w:sz w:val="22"/>
                <w:szCs w:val="22"/>
                <w:highlight w:val="none"/>
              </w:rPr>
              <w:t>抽签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853"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2.1.2</w:t>
            </w:r>
          </w:p>
        </w:tc>
        <w:tc>
          <w:tcPr>
            <w:tcW w:w="106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资格审查</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落实政府采购政策需满足的资格要求</w:t>
            </w:r>
          </w:p>
        </w:tc>
        <w:tc>
          <w:tcPr>
            <w:tcW w:w="4795" w:type="dxa"/>
            <w:tcBorders>
              <w:top w:val="single" w:color="auto" w:sz="4" w:space="0"/>
              <w:left w:val="single" w:color="auto" w:sz="4" w:space="0"/>
              <w:bottom w:val="single" w:color="auto" w:sz="4" w:space="0"/>
            </w:tcBorders>
            <w:vAlign w:val="center"/>
          </w:tcPr>
          <w:p>
            <w:pP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专门面向中小企业，提供中小企业声明函。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atLeast"/>
        </w:trPr>
        <w:tc>
          <w:tcPr>
            <w:tcW w:w="853"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2.1.3</w:t>
            </w:r>
          </w:p>
        </w:tc>
        <w:tc>
          <w:tcPr>
            <w:tcW w:w="1068"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特定资格条件要求</w:t>
            </w:r>
          </w:p>
        </w:tc>
        <w:tc>
          <w:tcPr>
            <w:tcW w:w="4795" w:type="dxa"/>
            <w:tcBorders>
              <w:top w:val="single" w:color="auto" w:sz="4" w:space="0"/>
              <w:left w:val="single" w:color="auto" w:sz="4" w:space="0"/>
              <w:bottom w:val="single" w:color="auto" w:sz="4" w:space="0"/>
            </w:tcBorders>
            <w:vAlign w:val="center"/>
          </w:tcPr>
          <w:p>
            <w:pPr>
              <w:rPr>
                <w:rFonts w:hint="eastAsia" w:ascii="仿宋" w:hAnsi="仿宋" w:eastAsia="仿宋" w:cs="宋体"/>
                <w:color w:val="auto"/>
                <w:sz w:val="22"/>
                <w:szCs w:val="22"/>
                <w:highlight w:val="none"/>
                <w:u w:val="single"/>
                <w:lang w:eastAsia="zh-CN"/>
              </w:rPr>
            </w:pPr>
            <w:r>
              <w:rPr>
                <w:rFonts w:hint="eastAsia" w:ascii="仿宋" w:hAnsi="仿宋" w:eastAsia="仿宋" w:cs="宋体"/>
                <w:color w:val="auto"/>
                <w:kern w:val="0"/>
                <w:sz w:val="22"/>
                <w:szCs w:val="22"/>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1" w:hRule="atLeast"/>
        </w:trPr>
        <w:tc>
          <w:tcPr>
            <w:tcW w:w="853"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2.2</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符合性审查其他要求</w:t>
            </w:r>
          </w:p>
        </w:tc>
        <w:tc>
          <w:tcPr>
            <w:tcW w:w="4795" w:type="dxa"/>
            <w:tcBorders>
              <w:top w:val="single" w:color="auto" w:sz="4" w:space="0"/>
              <w:left w:val="single" w:color="auto" w:sz="4" w:space="0"/>
              <w:bottom w:val="single" w:color="auto" w:sz="4" w:space="0"/>
            </w:tcBorders>
            <w:vAlign w:val="center"/>
          </w:tcPr>
          <w:p>
            <w:pPr>
              <w:rPr>
                <w:rFonts w:hint="eastAsia" w:ascii="仿宋" w:hAnsi="仿宋" w:eastAsia="仿宋" w:cs="宋体"/>
                <w:color w:val="auto"/>
                <w:szCs w:val="21"/>
                <w:highlight w:val="none"/>
              </w:rPr>
            </w:pPr>
            <w:r>
              <w:rPr>
                <w:rFonts w:hint="eastAsia" w:ascii="仿宋" w:hAnsi="仿宋" w:eastAsia="仿宋" w:cs="宋体"/>
                <w:color w:val="auto"/>
                <w:szCs w:val="21"/>
                <w:highlight w:val="none"/>
                <w:lang w:eastAsia="zh-CN"/>
              </w:rPr>
              <w:t>评审</w:t>
            </w:r>
            <w:r>
              <w:rPr>
                <w:rFonts w:hint="eastAsia" w:ascii="仿宋" w:hAnsi="仿宋" w:eastAsia="仿宋" w:cs="宋体"/>
                <w:color w:val="auto"/>
                <w:szCs w:val="21"/>
                <w:highlight w:val="none"/>
              </w:rPr>
              <w:t>小组在评审过程中根据本“第</w:t>
            </w:r>
            <w:r>
              <w:rPr>
                <w:rFonts w:hint="eastAsia" w:ascii="仿宋" w:hAnsi="仿宋" w:eastAsia="仿宋" w:cs="宋体"/>
                <w:color w:val="auto"/>
                <w:szCs w:val="21"/>
                <w:highlight w:val="none"/>
                <w:lang w:eastAsia="zh-CN"/>
              </w:rPr>
              <w:t>六部分</w:t>
            </w:r>
            <w:r>
              <w:rPr>
                <w:rFonts w:hint="eastAsia" w:ascii="仿宋" w:hAnsi="仿宋" w:eastAsia="仿宋" w:cs="宋体"/>
                <w:color w:val="auto"/>
                <w:szCs w:val="21"/>
                <w:highlight w:val="none"/>
              </w:rPr>
              <w:t>评审办法”2.2.1~2.2.3条款规定的符合性审查内容要求对响应文件开启时间的有效性、完整性、响应文件开启时间的响应程度审查。</w:t>
            </w:r>
          </w:p>
          <w:p>
            <w:pPr>
              <w:rPr>
                <w:rFonts w:ascii="仿宋" w:hAnsi="仿宋" w:eastAsia="仿宋" w:cs="宋体"/>
                <w:color w:val="auto"/>
                <w:sz w:val="22"/>
                <w:szCs w:val="22"/>
                <w:highlight w:val="none"/>
              </w:rPr>
            </w:pPr>
            <w:r>
              <w:rPr>
                <w:rFonts w:hint="eastAsia" w:ascii="仿宋" w:hAnsi="仿宋" w:eastAsia="仿宋" w:cs="宋体"/>
                <w:color w:val="auto"/>
                <w:szCs w:val="21"/>
                <w:highlight w:val="none"/>
              </w:rPr>
              <w:t>符合性审查其他要求：</w:t>
            </w:r>
            <w:r>
              <w:rPr>
                <w:rFonts w:hint="eastAsia" w:ascii="仿宋" w:hAnsi="仿宋" w:eastAsia="仿宋" w:cs="宋体"/>
                <w:color w:val="auto"/>
                <w:szCs w:val="21"/>
                <w:highlight w:val="none"/>
                <w:u w:val="singl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分值权重构成</w:t>
            </w:r>
          </w:p>
        </w:tc>
        <w:tc>
          <w:tcPr>
            <w:tcW w:w="4795" w:type="dxa"/>
            <w:tcBorders>
              <w:top w:val="single" w:color="auto" w:sz="4" w:space="0"/>
              <w:left w:val="single" w:color="auto" w:sz="4" w:space="0"/>
              <w:bottom w:val="single" w:color="auto" w:sz="4" w:space="0"/>
            </w:tcBorders>
            <w:vAlign w:val="center"/>
          </w:tcPr>
          <w:p>
            <w:pPr>
              <w:snapToGrid w:val="0"/>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商务技术权重：</w:t>
            </w:r>
            <w:r>
              <w:rPr>
                <w:rFonts w:hint="eastAsia" w:ascii="仿宋" w:hAnsi="仿宋" w:eastAsia="仿宋" w:cs="宋体"/>
                <w:color w:val="auto"/>
                <w:sz w:val="22"/>
                <w:szCs w:val="22"/>
                <w:highlight w:val="none"/>
                <w:u w:val="single"/>
                <w:lang w:val="en-US" w:eastAsia="zh-CN"/>
              </w:rPr>
              <w:t>7</w:t>
            </w:r>
            <w:r>
              <w:rPr>
                <w:rFonts w:hint="eastAsia" w:ascii="仿宋" w:hAnsi="仿宋" w:eastAsia="仿宋" w:cs="宋体"/>
                <w:color w:val="auto"/>
                <w:sz w:val="22"/>
                <w:szCs w:val="22"/>
                <w:highlight w:val="none"/>
                <w:u w:val="single"/>
              </w:rPr>
              <w:t>0</w:t>
            </w:r>
            <w:r>
              <w:rPr>
                <w:rFonts w:hint="eastAsia" w:ascii="仿宋" w:hAnsi="仿宋" w:eastAsia="仿宋" w:cs="宋体"/>
                <w:color w:val="auto"/>
                <w:sz w:val="22"/>
                <w:szCs w:val="22"/>
                <w:highlight w:val="none"/>
              </w:rPr>
              <w:t>%</w:t>
            </w:r>
          </w:p>
          <w:p>
            <w:pPr>
              <w:snapToGrid w:val="0"/>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报价权重：</w:t>
            </w:r>
            <w:r>
              <w:rPr>
                <w:rFonts w:hint="eastAsia" w:ascii="仿宋" w:hAnsi="仿宋" w:eastAsia="仿宋" w:cs="宋体"/>
                <w:color w:val="auto"/>
                <w:sz w:val="22"/>
                <w:szCs w:val="22"/>
                <w:highlight w:val="none"/>
                <w:u w:val="single"/>
                <w:lang w:val="en-US" w:eastAsia="zh-CN"/>
              </w:rPr>
              <w:t>30</w:t>
            </w:r>
            <w:r>
              <w:rPr>
                <w:rFonts w:hint="eastAsia" w:ascii="仿宋" w:hAnsi="仿宋" w:eastAsia="仿宋"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869" w:type="dxa"/>
            <w:gridSpan w:val="2"/>
            <w:vMerge w:val="restart"/>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2.3.2</w:t>
            </w:r>
          </w:p>
        </w:tc>
        <w:tc>
          <w:tcPr>
            <w:tcW w:w="1052" w:type="dxa"/>
            <w:vMerge w:val="restart"/>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商务技术评分标准</w:t>
            </w:r>
          </w:p>
        </w:tc>
        <w:tc>
          <w:tcPr>
            <w:tcW w:w="2363"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评审因素</w:t>
            </w:r>
          </w:p>
        </w:tc>
        <w:tc>
          <w:tcPr>
            <w:tcW w:w="4795"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评审标准（分值）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69"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1052" w:type="dxa"/>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7158" w:type="dxa"/>
            <w:gridSpan w:val="2"/>
            <w:tcBorders>
              <w:top w:val="single" w:color="auto" w:sz="4" w:space="0"/>
              <w:left w:val="single" w:color="auto" w:sz="4" w:space="0"/>
              <w:bottom w:val="single" w:color="auto" w:sz="4" w:space="0"/>
            </w:tcBorders>
            <w:vAlign w:val="center"/>
          </w:tcPr>
          <w:p>
            <w:pPr>
              <w:autoSpaceDE w:val="0"/>
              <w:autoSpaceDN w:val="0"/>
              <w:jc w:val="left"/>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见附表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8" w:hRule="atLeast"/>
        </w:trPr>
        <w:tc>
          <w:tcPr>
            <w:tcW w:w="869" w:type="dxa"/>
            <w:gridSpan w:val="2"/>
            <w:vMerge w:val="continue"/>
            <w:tcBorders>
              <w:right w:val="single" w:color="auto" w:sz="4" w:space="0"/>
            </w:tcBorders>
            <w:vAlign w:val="center"/>
          </w:tcPr>
          <w:p>
            <w:pPr>
              <w:jc w:val="center"/>
              <w:rPr>
                <w:rFonts w:ascii="仿宋" w:hAnsi="仿宋" w:eastAsia="仿宋" w:cs="宋体"/>
                <w:color w:val="auto"/>
                <w:sz w:val="22"/>
                <w:szCs w:val="22"/>
                <w:highlight w:val="none"/>
              </w:rPr>
            </w:pPr>
          </w:p>
        </w:tc>
        <w:tc>
          <w:tcPr>
            <w:tcW w:w="1052" w:type="dxa"/>
            <w:vMerge w:val="continue"/>
            <w:tcBorders>
              <w:right w:val="single" w:color="auto" w:sz="4" w:space="0"/>
            </w:tcBorders>
            <w:vAlign w:val="center"/>
          </w:tcPr>
          <w:p>
            <w:pPr>
              <w:jc w:val="center"/>
              <w:rPr>
                <w:rFonts w:ascii="仿宋" w:hAnsi="仿宋" w:eastAsia="仿宋" w:cs="宋体"/>
                <w:color w:val="auto"/>
                <w:sz w:val="22"/>
                <w:szCs w:val="22"/>
                <w:highlight w:val="none"/>
              </w:rPr>
            </w:pPr>
          </w:p>
        </w:tc>
        <w:tc>
          <w:tcPr>
            <w:tcW w:w="7158" w:type="dxa"/>
            <w:gridSpan w:val="2"/>
            <w:tcBorders>
              <w:top w:val="single" w:color="auto" w:sz="4" w:space="0"/>
              <w:left w:val="single" w:color="auto" w:sz="4" w:space="0"/>
            </w:tcBorders>
          </w:tcPr>
          <w:p>
            <w:pPr>
              <w:tabs>
                <w:tab w:val="left" w:pos="0"/>
              </w:tabs>
              <w:rPr>
                <w:color w:val="auto"/>
                <w:highlight w:val="none"/>
              </w:rPr>
            </w:pPr>
            <w:r>
              <w:rPr>
                <w:rFonts w:hint="eastAsia" w:ascii="仿宋" w:hAnsi="仿宋" w:eastAsia="仿宋"/>
                <w:color w:val="auto"/>
                <w:sz w:val="22"/>
                <w:szCs w:val="22"/>
                <w:highlight w:val="none"/>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注：评审小组成员个人主观打分偏离所有评审小组成员主观打分平均值30%以上的，由评审委员会启动评分畸高、畸低行为认定程序，限制专家自由裁量权。如评委对各投标人的技术标分值出现明显偏高或偏低情况的，该评委需阐述理由，并向招标人提交书面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报价评分办法</w:t>
            </w:r>
          </w:p>
        </w:tc>
        <w:tc>
          <w:tcPr>
            <w:tcW w:w="4795" w:type="dxa"/>
            <w:tcBorders>
              <w:top w:val="single" w:color="auto" w:sz="4" w:space="0"/>
              <w:left w:val="single" w:color="auto" w:sz="4" w:space="0"/>
              <w:bottom w:val="single" w:color="auto" w:sz="4" w:space="0"/>
            </w:tcBorders>
            <w:vAlign w:val="center"/>
          </w:tcPr>
          <w:p>
            <w:pPr>
              <w:snapToGrid w:val="0"/>
              <w:rPr>
                <w:rFonts w:cs="Arial" w:asciiTheme="minorEastAsia" w:hAnsiTheme="minorEastAsia" w:eastAsiaTheme="minorEastAsia"/>
                <w:color w:val="auto"/>
                <w:kern w:val="0"/>
                <w:sz w:val="22"/>
                <w:szCs w:val="22"/>
                <w:highlight w:val="none"/>
              </w:rPr>
            </w:pPr>
            <w:r>
              <w:rPr>
                <w:rFonts w:hint="eastAsia" w:ascii="仿宋" w:hAnsi="仿宋" w:eastAsia="仿宋" w:cs="宋体"/>
                <w:color w:val="auto"/>
                <w:sz w:val="22"/>
                <w:szCs w:val="22"/>
                <w:highlight w:val="none"/>
              </w:rPr>
              <w:t>是否采用低价优先法：</w:t>
            </w:r>
          </w:p>
          <w:p>
            <w:pPr>
              <w:snapToGrid w:val="0"/>
              <w:rPr>
                <w:rFonts w:ascii="仿宋" w:hAnsi="仿宋" w:eastAsia="仿宋" w:cs="宋体"/>
                <w:color w:val="auto"/>
                <w:sz w:val="22"/>
                <w:szCs w:val="22"/>
                <w:highlight w:val="none"/>
              </w:rPr>
            </w:pPr>
            <w:r>
              <w:rPr>
                <w:rFonts w:cs="Arial" w:asciiTheme="minorEastAsia" w:hAnsiTheme="minorEastAsia" w:eastAsiaTheme="minorEastAsia"/>
                <w:color w:val="auto"/>
                <w:kern w:val="0"/>
                <w:sz w:val="22"/>
                <w:szCs w:val="22"/>
                <w:highlight w:val="none"/>
              </w:rPr>
              <w:sym w:font="Wingdings" w:char="F0FE"/>
            </w:r>
            <w:r>
              <w:rPr>
                <w:rFonts w:hint="eastAsia" w:ascii="仿宋" w:hAnsi="仿宋" w:eastAsia="仿宋" w:cs="宋体"/>
                <w:color w:val="auto"/>
                <w:sz w:val="22"/>
                <w:szCs w:val="22"/>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4"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w:t>
            </w:r>
            <w:r>
              <w:rPr>
                <w:rFonts w:ascii="仿宋" w:hAnsi="仿宋" w:eastAsia="仿宋" w:cs="宋体"/>
                <w:color w:val="auto"/>
                <w:sz w:val="22"/>
                <w:szCs w:val="22"/>
                <w:highlight w:val="none"/>
              </w:rPr>
              <w:t>.3.3</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报价评分标准</w:t>
            </w:r>
          </w:p>
        </w:tc>
        <w:tc>
          <w:tcPr>
            <w:tcW w:w="4795" w:type="dxa"/>
            <w:tcBorders>
              <w:top w:val="single" w:color="auto" w:sz="4" w:space="0"/>
              <w:left w:val="single" w:color="auto" w:sz="4" w:space="0"/>
              <w:bottom w:val="single" w:color="auto" w:sz="4" w:space="0"/>
            </w:tcBorders>
            <w:vAlign w:val="center"/>
          </w:tcPr>
          <w:p>
            <w:pPr>
              <w:snapToGrid w:val="0"/>
              <w:outlineLvl w:val="0"/>
              <w:rPr>
                <w:rFonts w:ascii="仿宋" w:hAnsi="仿宋" w:eastAsia="仿宋" w:cs="仿宋_GB2312"/>
                <w:color w:val="auto"/>
                <w:sz w:val="22"/>
                <w:szCs w:val="22"/>
                <w:highlight w:val="none"/>
              </w:rPr>
            </w:pPr>
            <w:r>
              <w:rPr>
                <w:rFonts w:hint="eastAsia" w:ascii="仿宋" w:hAnsi="仿宋" w:eastAsia="仿宋" w:cs="仿宋_GB2312"/>
                <w:color w:val="auto"/>
                <w:sz w:val="22"/>
                <w:szCs w:val="22"/>
                <w:highlight w:val="none"/>
              </w:rPr>
              <w:t>报价得分</w:t>
            </w:r>
            <w:r>
              <w:rPr>
                <w:rFonts w:ascii="仿宋" w:hAnsi="仿宋" w:eastAsia="仿宋" w:cs="仿宋_GB2312"/>
                <w:color w:val="auto"/>
                <w:sz w:val="22"/>
                <w:szCs w:val="22"/>
                <w:highlight w:val="none"/>
              </w:rPr>
              <w:t>=（评标基准价/</w:t>
            </w:r>
            <w:r>
              <w:rPr>
                <w:rFonts w:hint="eastAsia" w:ascii="仿宋" w:hAnsi="仿宋" w:eastAsia="仿宋" w:cs="仿宋_GB2312"/>
                <w:color w:val="auto"/>
                <w:sz w:val="22"/>
                <w:szCs w:val="22"/>
                <w:highlight w:val="none"/>
              </w:rPr>
              <w:t>评标价</w:t>
            </w:r>
            <w:r>
              <w:rPr>
                <w:rFonts w:ascii="仿宋" w:hAnsi="仿宋" w:eastAsia="仿宋" w:cs="仿宋_GB2312"/>
                <w:color w:val="auto"/>
                <w:sz w:val="22"/>
                <w:szCs w:val="22"/>
                <w:highlight w:val="none"/>
              </w:rPr>
              <w:t>）</w:t>
            </w:r>
            <w:r>
              <w:rPr>
                <w:rFonts w:hint="eastAsia" w:ascii="仿宋" w:hAnsi="仿宋" w:eastAsia="仿宋" w:cs="仿宋_GB2312"/>
                <w:color w:val="auto"/>
                <w:sz w:val="22"/>
                <w:szCs w:val="22"/>
                <w:highlight w:val="none"/>
              </w:rPr>
              <w:t>×报价权重×100</w:t>
            </w:r>
          </w:p>
          <w:p>
            <w:pPr>
              <w:pStyle w:val="23"/>
              <w:snapToGrid w:val="0"/>
              <w:spacing w:after="0"/>
              <w:ind w:firstLine="0" w:firstLineChars="0"/>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满足招标文件要求且最低的评标价为评标基准价。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落实政府采购政策需进行的价格扣除</w:t>
            </w:r>
          </w:p>
        </w:tc>
        <w:tc>
          <w:tcPr>
            <w:tcW w:w="4795" w:type="dxa"/>
            <w:tcBorders>
              <w:top w:val="single" w:color="auto" w:sz="4" w:space="0"/>
              <w:left w:val="single" w:color="auto" w:sz="4" w:space="0"/>
              <w:bottom w:val="single" w:color="auto" w:sz="4" w:space="0"/>
            </w:tcBorders>
            <w:vAlign w:val="center"/>
          </w:tcPr>
          <w:p>
            <w:pPr>
              <w:jc w:val="left"/>
              <w:rPr>
                <w:rFonts w:ascii="仿宋" w:hAnsi="仿宋" w:eastAsia="仿宋"/>
                <w:color w:val="auto"/>
                <w:sz w:val="22"/>
                <w:szCs w:val="22"/>
                <w:highlight w:val="none"/>
              </w:rPr>
            </w:pPr>
            <w:r>
              <w:rPr>
                <w:rFonts w:hint="eastAsia" w:ascii="仿宋" w:hAnsi="仿宋" w:eastAsia="仿宋"/>
                <w:color w:val="auto"/>
                <w:sz w:val="22"/>
                <w:szCs w:val="22"/>
                <w:highlight w:val="none"/>
              </w:rPr>
              <w:t>本项目为专门面向中小企业采购的项目，不再执行价格评审优惠的扶持政策。</w:t>
            </w:r>
          </w:p>
        </w:tc>
      </w:tr>
    </w:tbl>
    <w:p>
      <w:pPr>
        <w:spacing w:after="156" w:afterLines="50"/>
        <w:rPr>
          <w:rFonts w:hint="eastAsia" w:ascii="仿宋" w:hAnsi="仿宋" w:eastAsia="仿宋" w:cs="宋体"/>
          <w:color w:val="auto"/>
          <w:sz w:val="24"/>
          <w:highlight w:val="none"/>
        </w:rPr>
      </w:pPr>
      <w:r>
        <w:rPr>
          <w:rFonts w:hint="eastAsia" w:ascii="仿宋" w:hAnsi="仿宋" w:eastAsia="仿宋" w:cs="宋体"/>
          <w:color w:val="auto"/>
          <w:sz w:val="24"/>
          <w:highlight w:val="none"/>
        </w:rPr>
        <w:t>商务技术评分标准附表</w:t>
      </w:r>
    </w:p>
    <w:tbl>
      <w:tblPr>
        <w:tblStyle w:val="57"/>
        <w:tblW w:w="9098" w:type="dxa"/>
        <w:jc w:val="center"/>
        <w:tblLayout w:type="fixed"/>
        <w:tblCellMar>
          <w:top w:w="0" w:type="dxa"/>
          <w:left w:w="108" w:type="dxa"/>
          <w:bottom w:w="0" w:type="dxa"/>
          <w:right w:w="108" w:type="dxa"/>
        </w:tblCellMar>
      </w:tblPr>
      <w:tblGrid>
        <w:gridCol w:w="723"/>
        <w:gridCol w:w="1311"/>
        <w:gridCol w:w="759"/>
        <w:gridCol w:w="5512"/>
        <w:gridCol w:w="793"/>
      </w:tblGrid>
      <w:tr>
        <w:tblPrEx>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序号</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评审内容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分值</w:t>
            </w:r>
          </w:p>
        </w:tc>
        <w:tc>
          <w:tcPr>
            <w:tcW w:w="55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评分标准</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备注</w:t>
            </w:r>
          </w:p>
        </w:tc>
      </w:tr>
      <w:tr>
        <w:tblPrEx>
          <w:tblCellMar>
            <w:top w:w="0" w:type="dxa"/>
            <w:left w:w="108" w:type="dxa"/>
            <w:bottom w:w="0" w:type="dxa"/>
            <w:right w:w="108" w:type="dxa"/>
          </w:tblCellMar>
        </w:tblPrEx>
        <w:trPr>
          <w:trHeight w:val="109"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1</w:t>
            </w:r>
          </w:p>
        </w:tc>
        <w:tc>
          <w:tcPr>
            <w:tcW w:w="1311" w:type="dxa"/>
            <w:tcBorders>
              <w:top w:val="single" w:color="000000" w:sz="4" w:space="0"/>
              <w:left w:val="single" w:color="000000" w:sz="4" w:space="0"/>
              <w:right w:val="single" w:color="000000" w:sz="4" w:space="0"/>
            </w:tcBorders>
            <w:noWrap w:val="0"/>
            <w:vAlign w:val="center"/>
          </w:tcPr>
          <w:p>
            <w:pPr>
              <w:snapToGrid w:val="0"/>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kern w:val="0"/>
                <w:sz w:val="20"/>
                <w:szCs w:val="21"/>
                <w:highlight w:val="none"/>
              </w:rPr>
              <w:t>供应商综合实力</w:t>
            </w:r>
          </w:p>
        </w:tc>
        <w:tc>
          <w:tcPr>
            <w:tcW w:w="759" w:type="dxa"/>
            <w:tcBorders>
              <w:top w:val="single" w:color="000000" w:sz="4" w:space="0"/>
              <w:left w:val="single" w:color="000000" w:sz="4" w:space="0"/>
              <w:right w:val="single" w:color="auto" w:sz="4" w:space="0"/>
            </w:tcBorders>
            <w:noWrap w:val="0"/>
            <w:vAlign w:val="center"/>
          </w:tcPr>
          <w:p>
            <w:pPr>
              <w:snapToGrid w:val="0"/>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kern w:val="0"/>
                <w:sz w:val="20"/>
                <w:szCs w:val="21"/>
                <w:highlight w:val="none"/>
              </w:rPr>
              <w:t>0-</w:t>
            </w:r>
            <w:r>
              <w:rPr>
                <w:rFonts w:hint="eastAsia" w:ascii="仿宋" w:hAnsi="仿宋" w:eastAsia="仿宋" w:cs="仿宋"/>
                <w:kern w:val="0"/>
                <w:sz w:val="20"/>
                <w:szCs w:val="21"/>
                <w:highlight w:val="none"/>
                <w:lang w:val="en-US" w:eastAsia="zh-CN"/>
              </w:rPr>
              <w:t>6</w:t>
            </w:r>
          </w:p>
        </w:tc>
        <w:tc>
          <w:tcPr>
            <w:tcW w:w="5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1、供应商（或制造商）具有有效的质量管理体系认证证书得</w:t>
            </w:r>
            <w:r>
              <w:rPr>
                <w:rFonts w:hint="eastAsia" w:ascii="仿宋" w:hAnsi="仿宋" w:eastAsia="仿宋" w:cs="仿宋"/>
                <w:kern w:val="0"/>
                <w:sz w:val="20"/>
                <w:szCs w:val="21"/>
                <w:highlight w:val="none"/>
                <w:lang w:val="en-US" w:eastAsia="zh-CN"/>
              </w:rPr>
              <w:t>2</w:t>
            </w:r>
            <w:r>
              <w:rPr>
                <w:rFonts w:hint="eastAsia" w:ascii="仿宋" w:hAnsi="仿宋" w:eastAsia="仿宋" w:cs="仿宋"/>
                <w:kern w:val="0"/>
                <w:sz w:val="20"/>
                <w:szCs w:val="21"/>
                <w:highlight w:val="none"/>
                <w:lang w:eastAsia="zh-CN"/>
              </w:rPr>
              <w:t>分；</w:t>
            </w:r>
          </w:p>
          <w:p>
            <w:pPr>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2、供应商（或制造商）具有有效的环境管理体系认证证书得</w:t>
            </w:r>
            <w:r>
              <w:rPr>
                <w:rFonts w:hint="eastAsia" w:ascii="仿宋" w:hAnsi="仿宋" w:eastAsia="仿宋" w:cs="仿宋"/>
                <w:kern w:val="0"/>
                <w:sz w:val="20"/>
                <w:szCs w:val="21"/>
                <w:highlight w:val="none"/>
                <w:lang w:val="en-US" w:eastAsia="zh-CN"/>
              </w:rPr>
              <w:t>2</w:t>
            </w:r>
            <w:r>
              <w:rPr>
                <w:rFonts w:hint="eastAsia" w:ascii="仿宋" w:hAnsi="仿宋" w:eastAsia="仿宋" w:cs="仿宋"/>
                <w:kern w:val="0"/>
                <w:sz w:val="20"/>
                <w:szCs w:val="21"/>
                <w:highlight w:val="none"/>
                <w:lang w:eastAsia="zh-CN"/>
              </w:rPr>
              <w:t>分；</w:t>
            </w:r>
          </w:p>
          <w:p>
            <w:pPr>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3、供应商（或制造商）具有有效的职业健康安全管理体系认证证书得</w:t>
            </w:r>
            <w:r>
              <w:rPr>
                <w:rFonts w:hint="eastAsia" w:ascii="仿宋" w:hAnsi="仿宋" w:eastAsia="仿宋" w:cs="仿宋"/>
                <w:kern w:val="0"/>
                <w:sz w:val="20"/>
                <w:szCs w:val="21"/>
                <w:highlight w:val="none"/>
                <w:lang w:val="en-US" w:eastAsia="zh-CN"/>
              </w:rPr>
              <w:t>2</w:t>
            </w:r>
            <w:r>
              <w:rPr>
                <w:rFonts w:hint="eastAsia" w:ascii="仿宋" w:hAnsi="仿宋" w:eastAsia="仿宋" w:cs="仿宋"/>
                <w:kern w:val="0"/>
                <w:sz w:val="20"/>
                <w:szCs w:val="21"/>
                <w:highlight w:val="none"/>
                <w:lang w:eastAsia="zh-CN"/>
              </w:rPr>
              <w:t>分；</w:t>
            </w:r>
          </w:p>
          <w:p>
            <w:pPr>
              <w:rPr>
                <w:rFonts w:hint="eastAsia" w:ascii="仿宋" w:hAnsi="仿宋" w:eastAsia="仿宋" w:cs="仿宋"/>
                <w:color w:val="auto"/>
                <w:kern w:val="2"/>
                <w:sz w:val="22"/>
                <w:highlight w:val="none"/>
                <w:lang w:val="en-US" w:eastAsia="zh-CN"/>
              </w:rPr>
            </w:pPr>
            <w:r>
              <w:rPr>
                <w:rFonts w:hint="eastAsia" w:ascii="仿宋" w:hAnsi="仿宋" w:eastAsia="仿宋" w:cs="仿宋"/>
                <w:kern w:val="0"/>
                <w:sz w:val="20"/>
                <w:szCs w:val="21"/>
                <w:highlight w:val="none"/>
                <w:lang w:eastAsia="zh-CN"/>
              </w:rPr>
              <w:t>注：</w:t>
            </w:r>
            <w:r>
              <w:rPr>
                <w:rFonts w:hint="eastAsia" w:ascii="仿宋" w:hAnsi="仿宋" w:eastAsia="仿宋" w:cs="仿宋"/>
                <w:kern w:val="0"/>
                <w:sz w:val="20"/>
                <w:szCs w:val="21"/>
                <w:highlight w:val="none"/>
              </w:rPr>
              <w:t>须提供相应认证证书复印件和中国国家认证认可监督管理委员会网站查询截图证明材料加盖公章，否则不得分。</w:t>
            </w:r>
          </w:p>
        </w:tc>
        <w:tc>
          <w:tcPr>
            <w:tcW w:w="793" w:type="dxa"/>
            <w:tcBorders>
              <w:top w:val="single" w:color="000000" w:sz="4" w:space="0"/>
              <w:left w:val="single" w:color="auto"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客</w:t>
            </w:r>
            <w:r>
              <w:rPr>
                <w:rFonts w:hint="eastAsia" w:ascii="仿宋" w:hAnsi="仿宋" w:eastAsia="仿宋" w:cs="仿宋"/>
                <w:color w:val="auto"/>
                <w:sz w:val="22"/>
                <w:highlight w:val="none"/>
              </w:rPr>
              <w:t>观分</w:t>
            </w:r>
          </w:p>
        </w:tc>
      </w:tr>
      <w:tr>
        <w:tblPrEx>
          <w:tblCellMar>
            <w:top w:w="0" w:type="dxa"/>
            <w:left w:w="108" w:type="dxa"/>
            <w:bottom w:w="0" w:type="dxa"/>
            <w:right w:w="108" w:type="dxa"/>
          </w:tblCellMar>
        </w:tblPrEx>
        <w:trPr>
          <w:trHeight w:val="109"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w:t>
            </w:r>
          </w:p>
        </w:tc>
        <w:tc>
          <w:tcPr>
            <w:tcW w:w="1311"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kern w:val="0"/>
                <w:sz w:val="20"/>
                <w:szCs w:val="21"/>
                <w:highlight w:val="none"/>
              </w:rPr>
            </w:pPr>
            <w:r>
              <w:rPr>
                <w:rFonts w:hint="eastAsia" w:ascii="仿宋" w:hAnsi="仿宋" w:eastAsia="仿宋" w:cs="仿宋"/>
                <w:highlight w:val="none"/>
              </w:rPr>
              <w:t>企业业绩</w:t>
            </w:r>
          </w:p>
        </w:tc>
        <w:tc>
          <w:tcPr>
            <w:tcW w:w="759" w:type="dxa"/>
            <w:tcBorders>
              <w:top w:val="single" w:color="000000" w:sz="4" w:space="0"/>
              <w:left w:val="single" w:color="000000" w:sz="4" w:space="0"/>
              <w:right w:val="single" w:color="auto" w:sz="4" w:space="0"/>
            </w:tcBorders>
            <w:noWrap w:val="0"/>
            <w:vAlign w:val="center"/>
          </w:tcPr>
          <w:p>
            <w:pPr>
              <w:spacing w:line="360" w:lineRule="exact"/>
              <w:jc w:val="center"/>
              <w:rPr>
                <w:rFonts w:hint="eastAsia" w:ascii="仿宋" w:hAnsi="仿宋" w:eastAsia="仿宋" w:cs="仿宋"/>
                <w:kern w:val="0"/>
                <w:sz w:val="20"/>
                <w:szCs w:val="21"/>
                <w:highlight w:val="none"/>
              </w:rPr>
            </w:pPr>
            <w:r>
              <w:rPr>
                <w:rFonts w:hint="eastAsia" w:ascii="仿宋" w:hAnsi="仿宋" w:eastAsia="仿宋" w:cs="仿宋"/>
                <w:highlight w:val="none"/>
              </w:rPr>
              <w:t>3分</w:t>
            </w:r>
          </w:p>
        </w:tc>
        <w:tc>
          <w:tcPr>
            <w:tcW w:w="5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 w:hAnsi="仿宋" w:eastAsia="仿宋" w:cs="仿宋"/>
                <w:kern w:val="0"/>
                <w:sz w:val="20"/>
                <w:szCs w:val="21"/>
                <w:highlight w:val="none"/>
                <w:lang w:eastAsia="zh-CN"/>
              </w:rPr>
            </w:pPr>
            <w:r>
              <w:rPr>
                <w:rFonts w:hint="eastAsia" w:ascii="仿宋" w:hAnsi="仿宋" w:eastAsia="仿宋" w:cs="仿宋"/>
                <w:highlight w:val="none"/>
              </w:rPr>
              <w:t>所投产品业绩应根据采购文件中的要求，</w:t>
            </w:r>
            <w:r>
              <w:rPr>
                <w:rFonts w:hint="eastAsia" w:ascii="仿宋" w:hAnsi="仿宋" w:eastAsia="仿宋" w:cs="仿宋"/>
                <w:kern w:val="0"/>
                <w:sz w:val="20"/>
                <w:szCs w:val="21"/>
                <w:highlight w:val="none"/>
                <w:lang w:eastAsia="zh-CN"/>
              </w:rPr>
              <w:t>供应商（或制造商）</w:t>
            </w:r>
            <w:r>
              <w:rPr>
                <w:rFonts w:hint="eastAsia" w:ascii="仿宋" w:hAnsi="仿宋" w:eastAsia="仿宋" w:cs="仿宋"/>
                <w:highlight w:val="none"/>
              </w:rPr>
              <w:t>提供近</w:t>
            </w:r>
            <w:r>
              <w:rPr>
                <w:rFonts w:hint="eastAsia" w:ascii="仿宋" w:hAnsi="仿宋" w:eastAsia="仿宋" w:cs="仿宋"/>
                <w:highlight w:val="none"/>
                <w:lang w:val="en-US" w:eastAsia="zh-CN"/>
              </w:rPr>
              <w:t>3</w:t>
            </w:r>
            <w:r>
              <w:rPr>
                <w:rFonts w:hint="eastAsia" w:ascii="仿宋" w:hAnsi="仿宋" w:eastAsia="仿宋" w:cs="仿宋"/>
                <w:highlight w:val="none"/>
              </w:rPr>
              <w:t>年以来（2021年1月1日至今）类似产品的项目业绩，每个项目需要提供中标通知书/成交通知书及合同等证明材料。每提供一项得1分，满分3分。</w:t>
            </w:r>
          </w:p>
        </w:tc>
        <w:tc>
          <w:tcPr>
            <w:tcW w:w="793" w:type="dxa"/>
            <w:tcBorders>
              <w:top w:val="single" w:color="000000" w:sz="4" w:space="0"/>
              <w:left w:val="single" w:color="auto"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eastAsia="zh-CN"/>
              </w:rPr>
              <w:t>客</w:t>
            </w:r>
            <w:r>
              <w:rPr>
                <w:rFonts w:hint="eastAsia" w:ascii="仿宋" w:hAnsi="仿宋" w:eastAsia="仿宋" w:cs="仿宋"/>
                <w:color w:val="auto"/>
                <w:sz w:val="22"/>
                <w:highlight w:val="none"/>
              </w:rPr>
              <w:t>观分</w:t>
            </w:r>
          </w:p>
        </w:tc>
      </w:tr>
      <w:tr>
        <w:tblPrEx>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3</w:t>
            </w:r>
          </w:p>
        </w:tc>
        <w:tc>
          <w:tcPr>
            <w:tcW w:w="1311"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kern w:val="0"/>
                <w:sz w:val="20"/>
                <w:szCs w:val="21"/>
                <w:highlight w:val="none"/>
              </w:rPr>
              <w:t>技术指标响应程度</w:t>
            </w:r>
          </w:p>
        </w:tc>
        <w:tc>
          <w:tcPr>
            <w:tcW w:w="759"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kern w:val="0"/>
                <w:sz w:val="20"/>
                <w:szCs w:val="21"/>
                <w:highlight w:val="none"/>
              </w:rPr>
              <w:t>40</w:t>
            </w:r>
            <w:r>
              <w:rPr>
                <w:rFonts w:hint="eastAsia" w:ascii="仿宋" w:hAnsi="仿宋" w:eastAsia="仿宋" w:cs="仿宋"/>
                <w:highlight w:val="none"/>
              </w:rPr>
              <w:t>分</w:t>
            </w:r>
          </w:p>
        </w:tc>
        <w:tc>
          <w:tcPr>
            <w:tcW w:w="5512" w:type="dxa"/>
            <w:tcBorders>
              <w:top w:val="single" w:color="auto" w:sz="4" w:space="0"/>
              <w:left w:val="single" w:color="000000" w:sz="4" w:space="0"/>
              <w:bottom w:val="single" w:color="000000" w:sz="4" w:space="0"/>
              <w:right w:val="single" w:color="000000" w:sz="4" w:space="0"/>
            </w:tcBorders>
            <w:noWrap w:val="0"/>
            <w:vAlign w:val="center"/>
          </w:tcPr>
          <w:p>
            <w:pPr>
              <w:pStyle w:val="32"/>
              <w:snapToGrid w:val="0"/>
              <w:spacing w:line="320" w:lineRule="exact"/>
              <w:rPr>
                <w:rFonts w:hint="eastAsia" w:ascii="仿宋" w:hAnsi="仿宋" w:eastAsia="仿宋" w:cs="仿宋"/>
                <w:highlight w:val="none"/>
              </w:rPr>
            </w:pPr>
            <w:r>
              <w:rPr>
                <w:rFonts w:hint="eastAsia" w:ascii="仿宋" w:hAnsi="仿宋" w:eastAsia="仿宋" w:cs="仿宋"/>
                <w:highlight w:val="none"/>
              </w:rPr>
              <w:t>根据所投产品对招标文件的技术参数及要求响应情况进行评分：</w:t>
            </w:r>
          </w:p>
          <w:p>
            <w:pPr>
              <w:pStyle w:val="32"/>
              <w:snapToGrid w:val="0"/>
              <w:spacing w:line="320" w:lineRule="exact"/>
              <w:rPr>
                <w:rFonts w:hint="eastAsia" w:ascii="仿宋" w:hAnsi="仿宋" w:eastAsia="仿宋" w:cs="仿宋"/>
                <w:highlight w:val="none"/>
              </w:rPr>
            </w:pPr>
            <w:r>
              <w:rPr>
                <w:rFonts w:hint="eastAsia" w:ascii="仿宋" w:hAnsi="仿宋" w:eastAsia="仿宋" w:cs="仿宋"/>
                <w:highlight w:val="none"/>
              </w:rPr>
              <w:t>1.所有标★号参数为主要技术参数，每满足一项得</w:t>
            </w:r>
            <w:r>
              <w:rPr>
                <w:rFonts w:hint="eastAsia" w:ascii="仿宋" w:hAnsi="仿宋" w:eastAsia="仿宋" w:cs="仿宋"/>
                <w:highlight w:val="none"/>
                <w:lang w:val="en-US" w:eastAsia="zh-CN"/>
              </w:rPr>
              <w:t>2</w:t>
            </w:r>
            <w:r>
              <w:rPr>
                <w:rFonts w:hint="eastAsia" w:ascii="仿宋" w:hAnsi="仿宋" w:eastAsia="仿宋" w:cs="仿宋"/>
                <w:highlight w:val="none"/>
              </w:rPr>
              <w:t>分，最高得</w:t>
            </w:r>
            <w:r>
              <w:rPr>
                <w:rFonts w:hint="eastAsia" w:ascii="仿宋" w:hAnsi="仿宋" w:eastAsia="仿宋" w:cs="仿宋"/>
                <w:highlight w:val="none"/>
                <w:lang w:val="en-US" w:eastAsia="zh-CN"/>
              </w:rPr>
              <w:t>30</w:t>
            </w:r>
            <w:r>
              <w:rPr>
                <w:rFonts w:hint="eastAsia" w:ascii="仿宋" w:hAnsi="仿宋" w:eastAsia="仿宋" w:cs="仿宋"/>
                <w:highlight w:val="none"/>
              </w:rPr>
              <w:t>分；</w:t>
            </w:r>
          </w:p>
          <w:p>
            <w:pPr>
              <w:pStyle w:val="32"/>
              <w:snapToGrid w:val="0"/>
              <w:spacing w:line="320" w:lineRule="exact"/>
              <w:rPr>
                <w:rFonts w:hint="eastAsia" w:ascii="仿宋" w:hAnsi="仿宋" w:eastAsia="仿宋" w:cs="仿宋"/>
                <w:highlight w:val="none"/>
              </w:rPr>
            </w:pPr>
            <w:r>
              <w:rPr>
                <w:rFonts w:hint="eastAsia" w:ascii="仿宋" w:hAnsi="仿宋" w:eastAsia="仿宋" w:cs="仿宋"/>
                <w:highlight w:val="none"/>
              </w:rPr>
              <w:t>2.非★号参数为一般参数，</w:t>
            </w:r>
            <w:r>
              <w:rPr>
                <w:rFonts w:hint="eastAsia" w:ascii="仿宋" w:hAnsi="仿宋" w:eastAsia="仿宋" w:cs="仿宋"/>
                <w:highlight w:val="none"/>
                <w:lang w:eastAsia="zh-CN"/>
              </w:rPr>
              <w:t>全部满足的得</w:t>
            </w:r>
            <w:r>
              <w:rPr>
                <w:rFonts w:hint="eastAsia" w:ascii="仿宋" w:hAnsi="仿宋" w:eastAsia="仿宋" w:cs="仿宋"/>
                <w:highlight w:val="none"/>
                <w:lang w:val="en-US" w:eastAsia="zh-CN"/>
              </w:rPr>
              <w:t>10分，</w:t>
            </w:r>
            <w:r>
              <w:rPr>
                <w:rFonts w:hint="eastAsia" w:ascii="仿宋" w:hAnsi="仿宋" w:eastAsia="仿宋" w:cs="仿宋"/>
                <w:highlight w:val="none"/>
              </w:rPr>
              <w:t>每</w:t>
            </w:r>
            <w:r>
              <w:rPr>
                <w:rFonts w:hint="eastAsia" w:ascii="仿宋" w:hAnsi="仿宋" w:eastAsia="仿宋" w:cs="仿宋"/>
                <w:highlight w:val="none"/>
                <w:lang w:eastAsia="zh-CN"/>
              </w:rPr>
              <w:t>有</w:t>
            </w:r>
            <w:r>
              <w:rPr>
                <w:rFonts w:hint="eastAsia" w:ascii="仿宋" w:hAnsi="仿宋" w:eastAsia="仿宋" w:cs="仿宋"/>
                <w:highlight w:val="none"/>
              </w:rPr>
              <w:t>一项</w:t>
            </w:r>
            <w:r>
              <w:rPr>
                <w:rFonts w:hint="eastAsia" w:ascii="仿宋" w:hAnsi="仿宋" w:eastAsia="仿宋" w:cs="仿宋"/>
                <w:highlight w:val="none"/>
                <w:lang w:eastAsia="zh-CN"/>
              </w:rPr>
              <w:t>不满足的扣</w:t>
            </w:r>
            <w:r>
              <w:rPr>
                <w:rFonts w:hint="eastAsia" w:ascii="仿宋" w:hAnsi="仿宋" w:eastAsia="仿宋" w:cs="仿宋"/>
                <w:highlight w:val="none"/>
                <w:lang w:val="en-US" w:eastAsia="zh-CN"/>
              </w:rPr>
              <w:t>2</w:t>
            </w:r>
            <w:r>
              <w:rPr>
                <w:rFonts w:hint="eastAsia" w:ascii="仿宋" w:hAnsi="仿宋" w:eastAsia="仿宋" w:cs="仿宋"/>
                <w:highlight w:val="none"/>
              </w:rPr>
              <w:t>分，最高得</w:t>
            </w:r>
            <w:r>
              <w:rPr>
                <w:rFonts w:hint="eastAsia" w:ascii="仿宋" w:hAnsi="仿宋" w:eastAsia="仿宋" w:cs="仿宋"/>
                <w:highlight w:val="none"/>
                <w:lang w:val="en-US" w:eastAsia="zh-CN"/>
              </w:rPr>
              <w:t>10</w:t>
            </w:r>
            <w:r>
              <w:rPr>
                <w:rFonts w:hint="eastAsia" w:ascii="仿宋" w:hAnsi="仿宋" w:eastAsia="仿宋" w:cs="仿宋"/>
                <w:highlight w:val="none"/>
              </w:rPr>
              <w:t>分；</w:t>
            </w:r>
          </w:p>
          <w:p>
            <w:pPr>
              <w:pStyle w:val="32"/>
              <w:snapToGrid w:val="0"/>
              <w:spacing w:line="320" w:lineRule="exact"/>
              <w:rPr>
                <w:rFonts w:hint="eastAsia" w:ascii="仿宋" w:hAnsi="仿宋" w:eastAsia="仿宋" w:cs="仿宋"/>
                <w:highlight w:val="none"/>
              </w:rPr>
            </w:pPr>
            <w:r>
              <w:rPr>
                <w:rFonts w:hint="eastAsia" w:ascii="仿宋" w:hAnsi="仿宋" w:eastAsia="仿宋" w:cs="仿宋"/>
                <w:highlight w:val="none"/>
              </w:rPr>
              <w:t>注：以投标响应表响应情况作为评审依据，标★指标项提供第三方检测检验机构出具的检测报告（具有CMA或CNAS检</w:t>
            </w:r>
          </w:p>
          <w:p>
            <w:pPr>
              <w:pStyle w:val="32"/>
              <w:snapToGrid w:val="0"/>
              <w:spacing w:line="320" w:lineRule="exact"/>
              <w:rPr>
                <w:rFonts w:hint="eastAsia" w:ascii="仿宋" w:hAnsi="仿宋" w:eastAsia="仿宋" w:cs="仿宋"/>
                <w:color w:val="auto"/>
                <w:highlight w:val="none"/>
                <w:lang w:val="en-US" w:eastAsia="zh-CN"/>
              </w:rPr>
            </w:pPr>
            <w:r>
              <w:rPr>
                <w:rFonts w:hint="eastAsia" w:ascii="仿宋" w:hAnsi="仿宋" w:eastAsia="仿宋" w:cs="仿宋"/>
                <w:highlight w:val="none"/>
              </w:rPr>
              <w:t>测标识）的扫描件或复印件，检测报告内容须体现对应的性能试验记录数据</w:t>
            </w:r>
            <w:r>
              <w:rPr>
                <w:rFonts w:hint="eastAsia" w:ascii="仿宋" w:hAnsi="仿宋" w:eastAsia="仿宋" w:cs="仿宋"/>
                <w:highlight w:val="none"/>
                <w:lang w:eastAsia="zh-CN"/>
              </w:rPr>
              <w:t>，检测报告不能体现相关参数的不得分</w:t>
            </w:r>
            <w:r>
              <w:rPr>
                <w:rFonts w:hint="eastAsia" w:ascii="仿宋" w:hAnsi="仿宋" w:eastAsia="仿宋" w:cs="仿宋"/>
                <w:highlight w:val="none"/>
              </w:rPr>
              <w:t>。并提供检测检验机构资质附表在市场监管部门网上公示的截图。</w:t>
            </w:r>
          </w:p>
        </w:tc>
        <w:tc>
          <w:tcPr>
            <w:tcW w:w="793" w:type="dxa"/>
            <w:tcBorders>
              <w:top w:val="single" w:color="000000" w:sz="4" w:space="0"/>
              <w:left w:val="single" w:color="000000" w:sz="4" w:space="0"/>
              <w:right w:val="single" w:color="000000" w:sz="4" w:space="0"/>
            </w:tcBorders>
            <w:noWrap w:val="0"/>
            <w:vAlign w:val="center"/>
          </w:tcPr>
          <w:p>
            <w:pPr>
              <w:snapToGrid w:val="0"/>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客</w:t>
            </w:r>
            <w:r>
              <w:rPr>
                <w:rFonts w:hint="eastAsia" w:ascii="仿宋" w:hAnsi="仿宋" w:eastAsia="仿宋" w:cs="仿宋"/>
                <w:color w:val="auto"/>
                <w:sz w:val="22"/>
                <w:highlight w:val="none"/>
              </w:rPr>
              <w:t>观分</w:t>
            </w:r>
          </w:p>
        </w:tc>
      </w:tr>
      <w:tr>
        <w:tblPrEx>
          <w:tblCellMar>
            <w:top w:w="0" w:type="dxa"/>
            <w:left w:w="108" w:type="dxa"/>
            <w:bottom w:w="0" w:type="dxa"/>
            <w:right w:w="108" w:type="dxa"/>
          </w:tblCellMar>
        </w:tblPrEx>
        <w:trPr>
          <w:trHeight w:val="680" w:hRule="atLeast"/>
          <w:jc w:val="center"/>
        </w:trPr>
        <w:tc>
          <w:tcPr>
            <w:tcW w:w="72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4</w:t>
            </w:r>
          </w:p>
        </w:tc>
        <w:tc>
          <w:tcPr>
            <w:tcW w:w="1311" w:type="dxa"/>
            <w:vMerge w:val="restart"/>
            <w:tcBorders>
              <w:top w:val="single" w:color="000000" w:sz="4" w:space="0"/>
              <w:left w:val="single" w:color="000000" w:sz="4" w:space="0"/>
              <w:right w:val="single" w:color="000000" w:sz="4" w:space="0"/>
            </w:tcBorders>
            <w:noWrap w:val="0"/>
            <w:vAlign w:val="center"/>
          </w:tcPr>
          <w:p>
            <w:pPr>
              <w:pStyle w:val="32"/>
              <w:snapToGrid w:val="0"/>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highlight w:val="none"/>
              </w:rPr>
              <w:t>质量保证方案</w:t>
            </w:r>
          </w:p>
        </w:tc>
        <w:tc>
          <w:tcPr>
            <w:tcW w:w="759" w:type="dxa"/>
            <w:vMerge w:val="restart"/>
            <w:tcBorders>
              <w:top w:val="single" w:color="000000" w:sz="4" w:space="0"/>
              <w:left w:val="single" w:color="000000" w:sz="4" w:space="0"/>
              <w:right w:val="single" w:color="000000" w:sz="4" w:space="0"/>
            </w:tcBorders>
            <w:noWrap w:val="0"/>
            <w:vAlign w:val="center"/>
          </w:tcPr>
          <w:p>
            <w:pPr>
              <w:tabs>
                <w:tab w:val="left" w:pos="825"/>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lang w:val="en-US" w:eastAsia="zh-CN"/>
              </w:rPr>
              <w:t>6</w:t>
            </w:r>
          </w:p>
        </w:tc>
        <w:tc>
          <w:tcPr>
            <w:tcW w:w="5512" w:type="dxa"/>
            <w:tcBorders>
              <w:top w:val="single" w:color="000000" w:sz="4" w:space="0"/>
              <w:left w:val="single" w:color="000000" w:sz="4" w:space="0"/>
              <w:bottom w:val="single" w:color="000000" w:sz="4" w:space="0"/>
              <w:right w:val="single" w:color="000000" w:sz="4" w:space="0"/>
            </w:tcBorders>
            <w:noWrap w:val="0"/>
            <w:vAlign w:val="center"/>
          </w:tcPr>
          <w:p>
            <w:pPr>
              <w:pStyle w:val="22"/>
              <w:rPr>
                <w:rFonts w:hint="eastAsia" w:ascii="仿宋" w:hAnsi="仿宋" w:eastAsia="仿宋" w:cs="仿宋"/>
                <w:color w:val="auto"/>
                <w:highlight w:val="none"/>
                <w:lang w:val="en-US" w:eastAsia="zh-CN"/>
              </w:rPr>
            </w:pPr>
            <w:r>
              <w:rPr>
                <w:rFonts w:hint="eastAsia" w:ascii="仿宋" w:hAnsi="仿宋" w:eastAsia="仿宋" w:cs="仿宋"/>
                <w:highlight w:val="none"/>
              </w:rPr>
              <w:t>内</w:t>
            </w:r>
            <w:r>
              <w:rPr>
                <w:rFonts w:hint="eastAsia" w:ascii="仿宋" w:hAnsi="仿宋" w:eastAsia="仿宋" w:cs="仿宋"/>
                <w:kern w:val="0"/>
                <w:sz w:val="20"/>
                <w:szCs w:val="21"/>
                <w:highlight w:val="none"/>
              </w:rPr>
              <w:t>容包含所投产品的生产、存储和运输等方面质量安全保证，产品及服务能保证在质保期限内满足采购人要求。方案详细完整，科学合理，针对性和可行性强，得</w:t>
            </w:r>
            <w:r>
              <w:rPr>
                <w:rFonts w:hint="eastAsia" w:ascii="仿宋" w:hAnsi="仿宋" w:eastAsia="仿宋" w:cs="仿宋"/>
                <w:kern w:val="0"/>
                <w:sz w:val="20"/>
                <w:szCs w:val="21"/>
                <w:highlight w:val="none"/>
                <w:lang w:val="en-US" w:eastAsia="zh-CN"/>
              </w:rPr>
              <w:t>4-6</w:t>
            </w:r>
            <w:r>
              <w:rPr>
                <w:rFonts w:hint="eastAsia" w:ascii="仿宋" w:hAnsi="仿宋" w:eastAsia="仿宋" w:cs="仿宋"/>
                <w:kern w:val="0"/>
                <w:sz w:val="20"/>
                <w:szCs w:val="21"/>
                <w:highlight w:val="none"/>
              </w:rPr>
              <w:t>分；方案详细完整科学合理，针对性和可行性较强，得</w:t>
            </w:r>
            <w:r>
              <w:rPr>
                <w:rFonts w:hint="eastAsia" w:ascii="仿宋" w:hAnsi="仿宋" w:eastAsia="仿宋" w:cs="仿宋"/>
                <w:kern w:val="0"/>
                <w:sz w:val="20"/>
                <w:szCs w:val="21"/>
                <w:highlight w:val="none"/>
                <w:lang w:val="en-US" w:eastAsia="zh-CN"/>
              </w:rPr>
              <w:t>2-4</w:t>
            </w:r>
            <w:r>
              <w:rPr>
                <w:rFonts w:hint="eastAsia" w:ascii="仿宋" w:hAnsi="仿宋" w:eastAsia="仿宋" w:cs="仿宋"/>
                <w:kern w:val="0"/>
                <w:sz w:val="20"/>
                <w:szCs w:val="21"/>
                <w:highlight w:val="none"/>
              </w:rPr>
              <w:t>分；方案基本完整，基本可行，得</w:t>
            </w:r>
            <w:r>
              <w:rPr>
                <w:rFonts w:hint="eastAsia" w:ascii="仿宋" w:hAnsi="仿宋" w:eastAsia="仿宋" w:cs="仿宋"/>
                <w:kern w:val="0"/>
                <w:sz w:val="20"/>
                <w:szCs w:val="21"/>
                <w:highlight w:val="none"/>
                <w:lang w:val="en-US" w:eastAsia="zh-CN"/>
              </w:rPr>
              <w:t>0-2</w:t>
            </w:r>
            <w:r>
              <w:rPr>
                <w:rFonts w:hint="eastAsia" w:ascii="仿宋" w:hAnsi="仿宋" w:eastAsia="仿宋" w:cs="仿宋"/>
                <w:kern w:val="0"/>
                <w:sz w:val="20"/>
                <w:szCs w:val="21"/>
                <w:highlight w:val="none"/>
              </w:rPr>
              <w:t>分；方案较差或未提供的不得分。</w:t>
            </w:r>
          </w:p>
        </w:tc>
        <w:tc>
          <w:tcPr>
            <w:tcW w:w="79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主观分</w:t>
            </w:r>
          </w:p>
        </w:tc>
      </w:tr>
      <w:tr>
        <w:tblPrEx>
          <w:tblCellMar>
            <w:top w:w="0" w:type="dxa"/>
            <w:left w:w="108" w:type="dxa"/>
            <w:bottom w:w="0" w:type="dxa"/>
            <w:right w:w="108" w:type="dxa"/>
          </w:tblCellMar>
        </w:tblPrEx>
        <w:trPr>
          <w:trHeight w:val="1080" w:hRule="atLeast"/>
          <w:jc w:val="center"/>
        </w:trPr>
        <w:tc>
          <w:tcPr>
            <w:tcW w:w="723" w:type="dxa"/>
            <w:tcBorders>
              <w:top w:val="single" w:color="000000" w:sz="4" w:space="0"/>
              <w:left w:val="single" w:color="000000" w:sz="4" w:space="0"/>
              <w:right w:val="single" w:color="000000" w:sz="4" w:space="0"/>
            </w:tcBorders>
            <w:noWrap w:val="0"/>
            <w:vAlign w:val="center"/>
          </w:tcPr>
          <w:p>
            <w:pPr>
              <w:pStyle w:val="23"/>
              <w:spacing w:after="0" w:line="360" w:lineRule="exact"/>
              <w:ind w:firstLine="0" w:firstLineChars="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1311" w:type="dxa"/>
            <w:tcBorders>
              <w:top w:val="single" w:color="000000" w:sz="4" w:space="0"/>
              <w:left w:val="single" w:color="000000" w:sz="4" w:space="0"/>
              <w:right w:val="single" w:color="000000" w:sz="4" w:space="0"/>
            </w:tcBorders>
            <w:noWrap w:val="0"/>
            <w:vAlign w:val="center"/>
          </w:tcPr>
          <w:p>
            <w:pPr>
              <w:pStyle w:val="32"/>
              <w:snapToGrid w:val="0"/>
              <w:spacing w:line="320" w:lineRule="exact"/>
              <w:jc w:val="center"/>
              <w:rPr>
                <w:rFonts w:hint="eastAsia" w:ascii="仿宋" w:hAnsi="仿宋" w:eastAsia="仿宋" w:cs="仿宋"/>
                <w:color w:val="auto"/>
                <w:sz w:val="22"/>
                <w:highlight w:val="none"/>
              </w:rPr>
            </w:pPr>
            <w:r>
              <w:rPr>
                <w:rFonts w:hint="eastAsia" w:ascii="仿宋" w:hAnsi="仿宋" w:eastAsia="仿宋" w:cs="仿宋"/>
                <w:highlight w:val="none"/>
              </w:rPr>
              <w:t>供货方案</w:t>
            </w:r>
          </w:p>
        </w:tc>
        <w:tc>
          <w:tcPr>
            <w:tcW w:w="759" w:type="dxa"/>
            <w:tcBorders>
              <w:top w:val="single" w:color="000000" w:sz="4" w:space="0"/>
              <w:left w:val="single" w:color="000000" w:sz="4" w:space="0"/>
              <w:right w:val="single" w:color="000000" w:sz="4" w:space="0"/>
            </w:tcBorders>
            <w:noWrap w:val="0"/>
            <w:vAlign w:val="center"/>
          </w:tcPr>
          <w:p>
            <w:pPr>
              <w:tabs>
                <w:tab w:val="left" w:pos="825"/>
              </w:tabs>
              <w:spacing w:line="340" w:lineRule="exact"/>
              <w:jc w:val="center"/>
              <w:rPr>
                <w:rFonts w:hint="default" w:ascii="仿宋" w:hAnsi="仿宋" w:eastAsia="仿宋" w:cs="仿宋"/>
                <w:color w:val="auto"/>
                <w:sz w:val="22"/>
                <w:highlight w:val="none"/>
                <w:lang w:val="en-US" w:eastAsia="zh-CN"/>
              </w:rPr>
            </w:pPr>
            <w:r>
              <w:rPr>
                <w:rFonts w:hint="eastAsia" w:ascii="仿宋" w:hAnsi="仿宋" w:eastAsia="仿宋" w:cs="仿宋"/>
                <w:sz w:val="24"/>
                <w:highlight w:val="none"/>
                <w:lang w:val="en-US" w:eastAsia="zh-CN"/>
              </w:rPr>
              <w:t>9</w:t>
            </w:r>
          </w:p>
        </w:tc>
        <w:tc>
          <w:tcPr>
            <w:tcW w:w="5512" w:type="dxa"/>
            <w:tcBorders>
              <w:top w:val="single" w:color="000000" w:sz="4" w:space="0"/>
              <w:left w:val="single" w:color="000000" w:sz="4" w:space="0"/>
              <w:bottom w:val="single" w:color="000000" w:sz="4" w:space="0"/>
              <w:right w:val="single" w:color="000000" w:sz="4" w:space="0"/>
            </w:tcBorders>
            <w:noWrap w:val="0"/>
            <w:vAlign w:val="center"/>
          </w:tcPr>
          <w:p>
            <w:pPr>
              <w:pStyle w:val="22"/>
              <w:jc w:val="left"/>
              <w:rPr>
                <w:rFonts w:hint="eastAsia" w:ascii="仿宋" w:hAnsi="仿宋" w:eastAsia="仿宋" w:cs="仿宋"/>
                <w:color w:val="auto"/>
                <w:sz w:val="22"/>
                <w:highlight w:val="none"/>
              </w:rPr>
            </w:pPr>
            <w:r>
              <w:rPr>
                <w:rFonts w:hint="eastAsia" w:ascii="仿宋" w:hAnsi="仿宋" w:eastAsia="仿宋" w:cs="仿宋"/>
                <w:highlight w:val="none"/>
              </w:rPr>
              <w:t>根据投标供应商提供的供货方案，方案完整详细，可行性、实用性强，得</w:t>
            </w:r>
            <w:r>
              <w:rPr>
                <w:rFonts w:hint="eastAsia" w:ascii="仿宋" w:hAnsi="仿宋" w:eastAsia="仿宋" w:cs="仿宋"/>
                <w:highlight w:val="none"/>
                <w:lang w:val="en-US" w:eastAsia="zh-CN"/>
              </w:rPr>
              <w:t>6-9</w:t>
            </w:r>
            <w:r>
              <w:rPr>
                <w:rFonts w:hint="eastAsia" w:ascii="仿宋" w:hAnsi="仿宋" w:eastAsia="仿宋" w:cs="仿宋"/>
                <w:highlight w:val="none"/>
              </w:rPr>
              <w:t>分；方案较完整详细，可行性、实用性较强，得</w:t>
            </w:r>
            <w:r>
              <w:rPr>
                <w:rFonts w:hint="eastAsia" w:ascii="仿宋" w:hAnsi="仿宋" w:eastAsia="仿宋" w:cs="仿宋"/>
                <w:highlight w:val="none"/>
                <w:lang w:val="en-US" w:eastAsia="zh-CN"/>
              </w:rPr>
              <w:t>3-6</w:t>
            </w:r>
            <w:r>
              <w:rPr>
                <w:rFonts w:hint="eastAsia" w:ascii="仿宋" w:hAnsi="仿宋" w:eastAsia="仿宋" w:cs="仿宋"/>
                <w:highlight w:val="none"/>
              </w:rPr>
              <w:t>分；方案基本完整详细，可行性、实用性有待提高，得</w:t>
            </w:r>
            <w:r>
              <w:rPr>
                <w:rFonts w:hint="eastAsia" w:ascii="仿宋" w:hAnsi="仿宋" w:eastAsia="仿宋" w:cs="仿宋"/>
                <w:highlight w:val="none"/>
                <w:lang w:val="en-US" w:eastAsia="zh-CN"/>
              </w:rPr>
              <w:t>0-3</w:t>
            </w:r>
            <w:r>
              <w:rPr>
                <w:rFonts w:hint="eastAsia" w:ascii="仿宋" w:hAnsi="仿宋" w:eastAsia="仿宋" w:cs="仿宋"/>
                <w:highlight w:val="none"/>
              </w:rPr>
              <w:t>分；方案较差或未提供的不得分</w:t>
            </w:r>
          </w:p>
        </w:tc>
        <w:tc>
          <w:tcPr>
            <w:tcW w:w="79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主观分</w:t>
            </w:r>
          </w:p>
        </w:tc>
      </w:tr>
      <w:tr>
        <w:tblPrEx>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highlight w:val="none"/>
              </w:rPr>
              <w:t>售后服务</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999"/>
              <w:adjustRightInd/>
              <w:spacing w:line="28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kern w:val="2"/>
                <w:sz w:val="24"/>
                <w:szCs w:val="24"/>
                <w:highlight w:val="none"/>
                <w:lang w:val="en-US" w:eastAsia="zh-CN" w:bidi="ar-SA"/>
              </w:rPr>
              <w:t>5</w:t>
            </w:r>
          </w:p>
        </w:tc>
        <w:tc>
          <w:tcPr>
            <w:tcW w:w="5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825"/>
              </w:tabs>
              <w:spacing w:line="340" w:lineRule="exact"/>
              <w:jc w:val="left"/>
              <w:rPr>
                <w:rFonts w:hint="eastAsia" w:ascii="仿宋" w:hAnsi="仿宋" w:eastAsia="仿宋" w:cs="仿宋"/>
                <w:highlight w:val="none"/>
              </w:rPr>
            </w:pPr>
            <w:r>
              <w:rPr>
                <w:rFonts w:hint="eastAsia" w:ascii="仿宋" w:hAnsi="仿宋" w:eastAsia="仿宋" w:cs="仿宋"/>
                <w:highlight w:val="none"/>
              </w:rPr>
              <w:t>根据以下售后服务承诺及服务体系内容齐全、完全满足要求且方案最优的得各小项最高分，否则酌情扣分。</w:t>
            </w:r>
          </w:p>
          <w:p>
            <w:pPr>
              <w:tabs>
                <w:tab w:val="left" w:pos="825"/>
              </w:tabs>
              <w:spacing w:line="340" w:lineRule="exact"/>
              <w:jc w:val="left"/>
              <w:rPr>
                <w:rFonts w:hint="eastAsia" w:ascii="仿宋" w:hAnsi="仿宋" w:eastAsia="仿宋" w:cs="仿宋"/>
                <w:highlight w:val="none"/>
              </w:rPr>
            </w:pPr>
            <w:r>
              <w:rPr>
                <w:rFonts w:hint="eastAsia" w:ascii="仿宋" w:hAnsi="仿宋" w:eastAsia="仿宋" w:cs="仿宋"/>
                <w:highlight w:val="none"/>
              </w:rPr>
              <w:t>1、对所供</w:t>
            </w:r>
            <w:r>
              <w:rPr>
                <w:rFonts w:hint="eastAsia" w:ascii="仿宋" w:hAnsi="仿宋" w:eastAsia="仿宋" w:cs="仿宋"/>
                <w:highlight w:val="none"/>
                <w:lang w:eastAsia="zh-CN"/>
              </w:rPr>
              <w:t>货物</w:t>
            </w:r>
            <w:r>
              <w:rPr>
                <w:rFonts w:hint="eastAsia" w:ascii="仿宋" w:hAnsi="仿宋" w:eastAsia="仿宋" w:cs="仿宋"/>
                <w:highlight w:val="none"/>
              </w:rPr>
              <w:t>提供“包修、包退、包换”承诺 (</w:t>
            </w:r>
            <w:r>
              <w:rPr>
                <w:rFonts w:hint="eastAsia" w:ascii="仿宋" w:hAnsi="仿宋" w:eastAsia="仿宋" w:cs="仿宋"/>
                <w:highlight w:val="none"/>
                <w:lang w:val="en-US" w:eastAsia="zh-CN"/>
              </w:rPr>
              <w:t>0-</w:t>
            </w:r>
            <w:r>
              <w:rPr>
                <w:rFonts w:hint="eastAsia" w:ascii="仿宋" w:hAnsi="仿宋" w:eastAsia="仿宋" w:cs="仿宋"/>
                <w:highlight w:val="none"/>
              </w:rPr>
              <w:t>1分)</w:t>
            </w:r>
          </w:p>
          <w:p>
            <w:pPr>
              <w:tabs>
                <w:tab w:val="left" w:pos="825"/>
              </w:tabs>
              <w:spacing w:line="340" w:lineRule="exact"/>
              <w:jc w:val="left"/>
              <w:rPr>
                <w:rFonts w:hint="eastAsia" w:ascii="仿宋" w:hAnsi="仿宋" w:eastAsia="仿宋" w:cs="仿宋"/>
                <w:highlight w:val="none"/>
              </w:rPr>
            </w:pPr>
            <w:r>
              <w:rPr>
                <w:rFonts w:hint="eastAsia" w:ascii="仿宋" w:hAnsi="仿宋" w:eastAsia="仿宋" w:cs="仿宋"/>
                <w:highlight w:val="none"/>
              </w:rPr>
              <w:t>2、质保期内维修、维护、技术支持 (</w:t>
            </w:r>
            <w:r>
              <w:rPr>
                <w:rFonts w:hint="eastAsia" w:ascii="仿宋" w:hAnsi="仿宋" w:eastAsia="仿宋" w:cs="仿宋"/>
                <w:highlight w:val="none"/>
                <w:lang w:val="en-US" w:eastAsia="zh-CN"/>
              </w:rPr>
              <w:t>0-</w:t>
            </w:r>
            <w:r>
              <w:rPr>
                <w:rFonts w:hint="eastAsia" w:ascii="仿宋" w:hAnsi="仿宋" w:eastAsia="仿宋" w:cs="仿宋"/>
                <w:highlight w:val="none"/>
              </w:rPr>
              <w:t>1分)</w:t>
            </w:r>
          </w:p>
          <w:p>
            <w:pPr>
              <w:tabs>
                <w:tab w:val="left" w:pos="825"/>
              </w:tabs>
              <w:spacing w:line="340" w:lineRule="exact"/>
              <w:jc w:val="left"/>
              <w:rPr>
                <w:rFonts w:hint="eastAsia" w:ascii="仿宋" w:hAnsi="仿宋" w:eastAsia="仿宋" w:cs="仿宋"/>
                <w:highlight w:val="none"/>
              </w:rPr>
            </w:pPr>
            <w:r>
              <w:rPr>
                <w:rFonts w:hint="eastAsia" w:ascii="仿宋" w:hAnsi="仿宋" w:eastAsia="仿宋" w:cs="仿宋"/>
                <w:highlight w:val="none"/>
              </w:rPr>
              <w:t>3、质保期内和质保期后备品备件供应保障 (</w:t>
            </w:r>
            <w:r>
              <w:rPr>
                <w:rFonts w:hint="eastAsia" w:ascii="仿宋" w:hAnsi="仿宋" w:eastAsia="仿宋" w:cs="仿宋"/>
                <w:highlight w:val="none"/>
                <w:lang w:val="en-US" w:eastAsia="zh-CN"/>
              </w:rPr>
              <w:t>0-</w:t>
            </w:r>
            <w:r>
              <w:rPr>
                <w:rFonts w:hint="eastAsia" w:ascii="仿宋" w:hAnsi="仿宋" w:eastAsia="仿宋" w:cs="仿宋"/>
                <w:highlight w:val="none"/>
              </w:rPr>
              <w:t>1分)</w:t>
            </w:r>
          </w:p>
          <w:p>
            <w:pPr>
              <w:tabs>
                <w:tab w:val="left" w:pos="825"/>
              </w:tabs>
              <w:spacing w:line="340" w:lineRule="exact"/>
              <w:jc w:val="left"/>
              <w:rPr>
                <w:rFonts w:hint="eastAsia" w:ascii="仿宋" w:hAnsi="仿宋" w:eastAsia="仿宋" w:cs="仿宋"/>
                <w:highlight w:val="none"/>
                <w:lang w:val="en-US" w:eastAsia="zh-CN"/>
              </w:rPr>
            </w:pPr>
            <w:r>
              <w:rPr>
                <w:rFonts w:hint="eastAsia" w:ascii="仿宋" w:hAnsi="仿宋" w:eastAsia="仿宋" w:cs="仿宋"/>
                <w:highlight w:val="none"/>
              </w:rPr>
              <w:t>4、制定有完善的售后服务保障体系 (售后服务体系有健全的售后管控制度、完善的退 换货流程、售后服务团队配置等应附详细说明)  (</w:t>
            </w:r>
            <w:r>
              <w:rPr>
                <w:rFonts w:hint="eastAsia" w:ascii="仿宋" w:hAnsi="仿宋" w:eastAsia="仿宋" w:cs="仿宋"/>
                <w:highlight w:val="none"/>
                <w:lang w:val="en-US" w:eastAsia="zh-CN"/>
              </w:rPr>
              <w:t>0-2</w:t>
            </w:r>
            <w:r>
              <w:rPr>
                <w:rFonts w:hint="eastAsia" w:ascii="仿宋" w:hAnsi="仿宋" w:eastAsia="仿宋" w:cs="仿宋"/>
                <w:highlight w:val="none"/>
              </w:rPr>
              <w:t>分)</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主观分</w:t>
            </w:r>
          </w:p>
        </w:tc>
      </w:tr>
      <w:tr>
        <w:tblPrEx>
          <w:tblCellMar>
            <w:top w:w="0" w:type="dxa"/>
            <w:left w:w="108" w:type="dxa"/>
            <w:bottom w:w="0" w:type="dxa"/>
            <w:right w:w="108" w:type="dxa"/>
          </w:tblCellMar>
        </w:tblPrEx>
        <w:trPr>
          <w:trHeight w:val="1213"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highlight w:val="none"/>
              </w:rPr>
              <w:t>政策功能</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highlight w:val="none"/>
              </w:rPr>
              <w:t>1</w:t>
            </w:r>
          </w:p>
        </w:tc>
        <w:tc>
          <w:tcPr>
            <w:tcW w:w="5512" w:type="dxa"/>
            <w:tcBorders>
              <w:top w:val="single" w:color="000000" w:sz="4" w:space="0"/>
              <w:left w:val="single" w:color="000000" w:sz="4" w:space="0"/>
              <w:bottom w:val="single" w:color="000000" w:sz="4" w:space="0"/>
              <w:right w:val="single" w:color="000000" w:sz="4" w:space="0"/>
            </w:tcBorders>
            <w:noWrap w:val="0"/>
            <w:vAlign w:val="center"/>
          </w:tcPr>
          <w:p>
            <w:pPr>
              <w:pStyle w:val="22"/>
              <w:numPr>
                <w:ilvl w:val="0"/>
                <w:numId w:val="0"/>
              </w:numPr>
              <w:spacing w:line="360" w:lineRule="exact"/>
              <w:ind w:leftChars="0"/>
              <w:jc w:val="both"/>
              <w:rPr>
                <w:rFonts w:hint="eastAsia" w:ascii="仿宋" w:hAnsi="仿宋" w:eastAsia="仿宋" w:cs="仿宋"/>
                <w:color w:val="auto"/>
                <w:sz w:val="22"/>
                <w:highlight w:val="none"/>
                <w:lang w:val="en-US" w:eastAsia="zh-CN"/>
              </w:rPr>
            </w:pPr>
            <w:r>
              <w:rPr>
                <w:rFonts w:hint="eastAsia" w:ascii="仿宋" w:hAnsi="仿宋" w:eastAsia="仿宋" w:cs="仿宋"/>
                <w:highlight w:val="none"/>
              </w:rPr>
              <w:t>投标产品属于品目清单范围且提供国家确定的认证机构出具的处于有效期之内的节能产品认证证书（扫描件加盖公章）的</w:t>
            </w:r>
            <w:r>
              <w:rPr>
                <w:rFonts w:hint="eastAsia" w:ascii="仿宋" w:hAnsi="仿宋" w:eastAsia="仿宋" w:cs="仿宋"/>
                <w:highlight w:val="none"/>
                <w:lang w:eastAsia="zh-CN"/>
              </w:rPr>
              <w:t>每项</w:t>
            </w:r>
            <w:r>
              <w:rPr>
                <w:rFonts w:hint="eastAsia" w:ascii="仿宋" w:hAnsi="仿宋" w:eastAsia="仿宋" w:cs="仿宋"/>
                <w:highlight w:val="none"/>
              </w:rPr>
              <w:t>得0.5分</w:t>
            </w:r>
            <w:r>
              <w:rPr>
                <w:rFonts w:hint="eastAsia" w:ascii="仿宋" w:hAnsi="仿宋" w:eastAsia="仿宋" w:cs="仿宋"/>
                <w:highlight w:val="none"/>
                <w:lang w:eastAsia="zh-CN"/>
              </w:rPr>
              <w:t>，本项最高得</w:t>
            </w:r>
            <w:r>
              <w:rPr>
                <w:rFonts w:hint="eastAsia" w:ascii="仿宋" w:hAnsi="仿宋" w:eastAsia="仿宋" w:cs="仿宋"/>
                <w:highlight w:val="none"/>
                <w:lang w:val="en-US" w:eastAsia="zh-CN"/>
              </w:rPr>
              <w:t>1分。</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客观分</w:t>
            </w:r>
          </w:p>
        </w:tc>
      </w:tr>
    </w:tbl>
    <w:p>
      <w:pPr>
        <w:pStyle w:val="3"/>
        <w:rPr>
          <w:color w:val="auto"/>
          <w:highlight w:val="none"/>
        </w:rPr>
        <w:sectPr>
          <w:pgSz w:w="11907" w:h="16840"/>
          <w:pgMar w:top="1474" w:right="1814" w:bottom="1474" w:left="1814" w:header="851" w:footer="851" w:gutter="0"/>
          <w:pgNumType w:fmt="decimal"/>
          <w:cols w:space="720" w:num="1"/>
        </w:sectPr>
      </w:pPr>
    </w:p>
    <w:p>
      <w:pPr>
        <w:pStyle w:val="3"/>
        <w:snapToGrid w:val="0"/>
        <w:spacing w:before="0" w:after="0" w:line="360" w:lineRule="auto"/>
        <w:rPr>
          <w:rFonts w:ascii="仿宋" w:hAnsi="仿宋" w:eastAsia="仿宋"/>
          <w:color w:val="auto"/>
          <w:sz w:val="24"/>
          <w:szCs w:val="24"/>
          <w:highlight w:val="none"/>
        </w:rPr>
      </w:pPr>
      <w:bookmarkStart w:id="215" w:name="_Toc55302373"/>
      <w:bookmarkStart w:id="216" w:name="_Toc63189375"/>
      <w:r>
        <w:rPr>
          <w:rFonts w:ascii="仿宋" w:hAnsi="仿宋" w:eastAsia="仿宋"/>
          <w:color w:val="auto"/>
          <w:sz w:val="24"/>
          <w:szCs w:val="24"/>
          <w:highlight w:val="none"/>
        </w:rPr>
        <w:t>1.评标方法</w:t>
      </w:r>
      <w:bookmarkEnd w:id="215"/>
      <w:bookmarkEnd w:id="216"/>
    </w:p>
    <w:p>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pPr>
        <w:pStyle w:val="3"/>
        <w:snapToGrid w:val="0"/>
        <w:spacing w:before="0" w:after="0" w:line="360" w:lineRule="auto"/>
        <w:rPr>
          <w:rFonts w:ascii="仿宋" w:hAnsi="仿宋" w:eastAsia="仿宋"/>
          <w:color w:val="auto"/>
          <w:sz w:val="24"/>
          <w:szCs w:val="24"/>
          <w:highlight w:val="none"/>
        </w:rPr>
      </w:pPr>
      <w:bookmarkStart w:id="217" w:name="_Toc55302374"/>
      <w:bookmarkStart w:id="218" w:name="_Toc63189376"/>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217"/>
      <w:bookmarkEnd w:id="218"/>
      <w:r>
        <w:rPr>
          <w:rFonts w:hint="eastAsia" w:ascii="仿宋" w:hAnsi="仿宋" w:eastAsia="仿宋"/>
          <w:color w:val="auto"/>
          <w:sz w:val="24"/>
          <w:szCs w:val="24"/>
          <w:highlight w:val="none"/>
        </w:rPr>
        <w:t>及标准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r>
        <w:rPr>
          <w:rFonts w:hint="eastAsia" w:ascii="仿宋" w:hAnsi="仿宋" w:eastAsia="仿宋" w:cs="Arial"/>
          <w:color w:val="auto"/>
          <w:sz w:val="24"/>
          <w:highlight w:val="none"/>
          <w:u w:val="single"/>
        </w:rPr>
        <w:t>及有效的</w:t>
      </w:r>
      <w:r>
        <w:rPr>
          <w:rFonts w:hint="eastAsia" w:ascii="仿宋" w:hAnsi="仿宋" w:eastAsia="仿宋" w:cs="Arial"/>
          <w:b/>
          <w:color w:val="auto"/>
          <w:sz w:val="24"/>
          <w:highlight w:val="none"/>
          <w:u w:val="single"/>
        </w:rPr>
        <w:t>企业营业执照</w:t>
      </w:r>
      <w:r>
        <w:rPr>
          <w:rFonts w:hint="eastAsia" w:ascii="仿宋" w:hAnsi="仿宋" w:eastAsia="仿宋" w:cs="Arial"/>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采购人拟采购的产品属于政府强制采购的节能产品品目清单范围的，</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未按</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要求提供国家确定的认证机构出具的、处于有效期之内的节能产品认证证书</w:t>
      </w:r>
      <w:r>
        <w:rPr>
          <w:rFonts w:hint="eastAsia" w:ascii="仿宋" w:hAnsi="仿宋" w:eastAsia="仿宋" w:cs="Arial"/>
          <w:b/>
          <w:color w:val="auto"/>
          <w:kern w:val="0"/>
          <w:sz w:val="24"/>
          <w:highlight w:val="none"/>
        </w:rPr>
        <w:t>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7</w:t>
      </w:r>
      <w:r>
        <w:rPr>
          <w:rFonts w:hint="eastAsia" w:ascii="仿宋" w:hAnsi="仿宋" w:eastAsia="仿宋" w:cs="Arial"/>
          <w:b/>
          <w:color w:val="auto"/>
          <w:sz w:val="24"/>
          <w:highlight w:val="none"/>
        </w:rPr>
        <w:t>）投标文件实质性内容不全或关键字迹模糊无法辨认的；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8</w:t>
      </w:r>
      <w:r>
        <w:rPr>
          <w:rFonts w:hint="eastAsia" w:ascii="仿宋" w:hAnsi="仿宋" w:eastAsia="仿宋" w:cs="Arial"/>
          <w:b/>
          <w:color w:val="auto"/>
          <w:sz w:val="24"/>
          <w:highlight w:val="none"/>
        </w:rPr>
        <w:t>）投标报价超过采购预算或最高限价；</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ascii="仿宋" w:hAnsi="仿宋" w:eastAsia="仿宋" w:cs="仿宋"/>
          <w:b/>
          <w:color w:val="auto"/>
          <w:kern w:val="0"/>
          <w:sz w:val="24"/>
          <w:highlight w:val="none"/>
        </w:rPr>
        <w:t>9</w:t>
      </w:r>
      <w:r>
        <w:rPr>
          <w:rFonts w:hint="eastAsia" w:ascii="仿宋" w:hAnsi="仿宋" w:eastAsia="仿宋" w:cs="仿宋"/>
          <w:b/>
          <w:color w:val="auto"/>
          <w:kern w:val="0"/>
          <w:sz w:val="24"/>
          <w:highlight w:val="none"/>
        </w:rPr>
        <w:t>）投标文件出现不是唯一的、有选择性投标报价的；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0</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）投标文件有采购人不能接受的附加条件的；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2</w:t>
      </w:r>
      <w:r>
        <w:rPr>
          <w:rFonts w:hint="eastAsia" w:ascii="仿宋" w:hAnsi="仿宋" w:eastAsia="仿宋" w:cs="Arial"/>
          <w:b/>
          <w:color w:val="auto"/>
          <w:sz w:val="24"/>
          <w:highlight w:val="none"/>
        </w:rPr>
        <w:t>）投标人提供虚假材料投标的；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3</w:t>
      </w:r>
      <w:r>
        <w:rPr>
          <w:rFonts w:hint="eastAsia" w:ascii="仿宋" w:hAnsi="仿宋" w:eastAsia="仿宋" w:cs="Arial"/>
          <w:b/>
          <w:color w:val="auto"/>
          <w:sz w:val="24"/>
          <w:highlight w:val="none"/>
        </w:rPr>
        <w:t>）法律、法规和招标文件规定的其他无效情形。</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2.2.5实质上没有响应招标文件要求的投标将被否决，投标人不得通过修正或撤消不合要求的偏离或保留从而使其投标成为实质上响应的投标。</w:t>
      </w:r>
    </w:p>
    <w:p>
      <w:pPr>
        <w:pStyle w:val="4"/>
        <w:widowControl/>
        <w:snapToGrid w:val="0"/>
        <w:spacing w:before="0" w:after="0" w:line="360" w:lineRule="auto"/>
        <w:ind w:firstLine="482" w:firstLineChars="200"/>
        <w:jc w:val="left"/>
        <w:rPr>
          <w:rFonts w:ascii="仿宋" w:hAnsi="仿宋" w:eastAsia="仿宋" w:cstheme="majorBidi"/>
          <w:color w:val="auto"/>
          <w:sz w:val="24"/>
          <w:szCs w:val="24"/>
          <w:highlight w:val="none"/>
        </w:rPr>
      </w:pPr>
      <w:bookmarkStart w:id="219" w:name="_Toc55302377"/>
      <w:bookmarkStart w:id="220" w:name="_Toc55375024"/>
      <w:bookmarkStart w:id="221" w:name="_Toc5724"/>
      <w:bookmarkStart w:id="222" w:name="_Toc63189379"/>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p>
    <w:bookmarkEnd w:id="219"/>
    <w:bookmarkEnd w:id="220"/>
    <w:bookmarkEnd w:id="221"/>
    <w:bookmarkEnd w:id="222"/>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pPr>
        <w:pStyle w:val="23"/>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pPr>
        <w:pStyle w:val="4"/>
        <w:widowControl/>
        <w:snapToGrid w:val="0"/>
        <w:spacing w:before="0" w:after="0" w:line="360" w:lineRule="auto"/>
        <w:ind w:firstLine="480" w:firstLineChars="200"/>
        <w:jc w:val="left"/>
        <w:rPr>
          <w:rFonts w:ascii="仿宋" w:hAnsi="仿宋" w:eastAsia="仿宋" w:cs="Arial"/>
          <w:b w:val="0"/>
          <w:color w:val="auto"/>
          <w:sz w:val="24"/>
          <w:szCs w:val="24"/>
          <w:highlight w:val="none"/>
        </w:rPr>
      </w:pPr>
      <w:bookmarkStart w:id="223" w:name="_Toc55375025"/>
      <w:bookmarkStart w:id="224" w:name="_Toc63189380"/>
      <w:bookmarkStart w:id="225" w:name="_Toc11195"/>
      <w:bookmarkStart w:id="226" w:name="_Toc55302378"/>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ascii="仿宋" w:hAnsi="仿宋" w:eastAsia="仿宋" w:cs="Arial"/>
          <w:b w:val="0"/>
          <w:color w:val="auto"/>
          <w:sz w:val="24"/>
          <w:szCs w:val="24"/>
          <w:highlight w:val="none"/>
        </w:rPr>
        <w:t>投标文件的澄清</w:t>
      </w:r>
      <w:bookmarkEnd w:id="223"/>
      <w:bookmarkEnd w:id="224"/>
      <w:bookmarkEnd w:id="225"/>
      <w:bookmarkEnd w:id="226"/>
    </w:p>
    <w:p>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pPr>
        <w:pStyle w:val="3"/>
        <w:snapToGrid w:val="0"/>
        <w:spacing w:before="0" w:after="0" w:line="360" w:lineRule="auto"/>
        <w:rPr>
          <w:rFonts w:ascii="仿宋" w:hAnsi="仿宋" w:eastAsia="仿宋"/>
          <w:color w:val="auto"/>
          <w:sz w:val="24"/>
          <w:szCs w:val="24"/>
          <w:highlight w:val="none"/>
        </w:rPr>
      </w:pPr>
      <w:bookmarkStart w:id="227" w:name="_Toc63189381"/>
      <w:bookmarkStart w:id="228" w:name="_Toc11850"/>
      <w:bookmarkStart w:id="229" w:name="_Toc55302379"/>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227"/>
      <w:bookmarkEnd w:id="228"/>
      <w:bookmarkEnd w:id="229"/>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采用最低评标价法的，评标委员会按评标价（投标报价）从低到高的排序推荐中标候选人。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4.其他</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214"/>
    </w:p>
    <w:bookmarkEnd w:id="56"/>
    <w:bookmarkEnd w:id="57"/>
    <w:p>
      <w:pPr>
        <w:widowControl/>
        <w:adjustRightInd/>
        <w:jc w:val="left"/>
        <w:rPr>
          <w:rFonts w:ascii="仿宋" w:hAnsi="仿宋" w:eastAsia="仿宋"/>
          <w:color w:val="auto"/>
          <w:sz w:val="24"/>
          <w:highlight w:val="none"/>
        </w:rPr>
      </w:pPr>
    </w:p>
    <w:sectPr>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120"/>
      <w:jc w:val="center"/>
    </w:pPr>
    <w:r>
      <w:pict>
        <v:shape id="文本框 103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pict>
        <v:shape id="文本框 10"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28</w:t>
                </w:r>
                <w:r>
                  <w:fldChar w:fldCharType="end"/>
                </w:r>
              </w:p>
            </w:txbxContent>
          </v:textbox>
        </v:shape>
      </w:pic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pict>
        <v:shape id="文本框 11"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27</w:t>
                </w:r>
                <w:r>
                  <w:fldChar w:fldCharType="end"/>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8"/>
                  <w:jc w:val="right"/>
                </w:pPr>
                <w:r>
                  <w:fldChar w:fldCharType="begin"/>
                </w:r>
                <w:r>
                  <w:instrText xml:space="preserve"> PAGE  \* MERGEFORMAT </w:instrText>
                </w:r>
                <w:r>
                  <w:fldChar w:fldCharType="separate"/>
                </w:r>
                <w:r>
                  <w:t>31</w:t>
                </w:r>
                <w:r>
                  <w:fldChar w:fldCharType="end"/>
                </w:r>
              </w:p>
            </w:txbxContent>
          </v:textbox>
        </v:shape>
      </w:pict>
    </w:r>
  </w:p>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firstLine="4410" w:firstLineChars="2450"/>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8"/>
                  <w:rPr>
                    <w:rStyle w:val="67"/>
                  </w:rPr>
                </w:pPr>
                <w:r>
                  <w:rPr>
                    <w:rStyle w:val="67"/>
                  </w:rPr>
                  <w:fldChar w:fldCharType="begin"/>
                </w:r>
                <w:r>
                  <w:rPr>
                    <w:rStyle w:val="67"/>
                  </w:rPr>
                  <w:instrText xml:space="preserve"> PAGE  \* MERGEFORMAT </w:instrText>
                </w:r>
                <w:r>
                  <w:rPr>
                    <w:rStyle w:val="67"/>
                  </w:rPr>
                  <w:fldChar w:fldCharType="separate"/>
                </w:r>
                <w:r>
                  <w:rPr>
                    <w:rStyle w:val="67"/>
                  </w:rPr>
                  <w:t>52</w:t>
                </w:r>
                <w:r>
                  <w:rPr>
                    <w:rStyle w:val="67"/>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eastAsiaTheme="minorEastAsia"/>
        <w:lang w:eastAsia="zh-CN"/>
      </w:rPr>
    </w:pPr>
    <w:r>
      <w:rPr>
        <w:rFonts w:hint="eastAsia"/>
        <w:u w:val="single"/>
      </w:rPr>
      <w:t xml:space="preserve">                                                                        </w:t>
    </w:r>
    <w:r>
      <w:rPr>
        <w:rFonts w:hint="eastAsia"/>
        <w:u w:val="single"/>
        <w:lang w:eastAsia="zh-CN"/>
      </w:rPr>
      <w:t>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left="6660" w:hanging="6660" w:hangingChars="3700"/>
      <w:rPr>
        <w:rFonts w:hint="eastAsia" w:eastAsiaTheme="minorEastAsia"/>
        <w:lang w:eastAsia="zh-CN"/>
      </w:rPr>
    </w:pPr>
    <w:r>
      <w:rPr>
        <w:rFonts w:hint="eastAsia"/>
        <w:u w:val="single"/>
      </w:rPr>
      <w:t xml:space="preserve">                                                                        </w:t>
    </w:r>
    <w:r>
      <w:rPr>
        <w:rFonts w:hint="eastAsia"/>
        <w:u w:val="single"/>
        <w:lang w:eastAsia="zh-CN"/>
      </w:rPr>
      <w:t>政府采购询价采购文件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ind w:left="3" w:leftChars="1" w:right="-82" w:rightChars="-39" w:hanging="1" w:hangingChars="1"/>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ind w:left="3" w:leftChars="1" w:right="-82" w:rightChars="-39" w:hanging="1" w:hangingChars="1"/>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E9917"/>
    <w:multiLevelType w:val="singleLevel"/>
    <w:tmpl w:val="9CCE9917"/>
    <w:lvl w:ilvl="0" w:tentative="0">
      <w:start w:val="4"/>
      <w:numFmt w:val="chineseCounting"/>
      <w:suff w:val="nothing"/>
      <w:lvlText w:val="%1、"/>
      <w:lvlJc w:val="left"/>
      <w:rPr>
        <w:rFonts w:hint="eastAsia"/>
      </w:rPr>
    </w:lvl>
  </w:abstractNum>
  <w:abstractNum w:abstractNumId="1">
    <w:nsid w:val="A88DE68D"/>
    <w:multiLevelType w:val="singleLevel"/>
    <w:tmpl w:val="A88DE68D"/>
    <w:lvl w:ilvl="0" w:tentative="0">
      <w:start w:val="3"/>
      <w:numFmt w:val="chineseCounting"/>
      <w:suff w:val="space"/>
      <w:lvlText w:val="第%1部分"/>
      <w:lvlJc w:val="left"/>
      <w:rPr>
        <w:rFonts w:hint="eastAsia"/>
      </w:rPr>
    </w:lvl>
  </w:abstractNum>
  <w:abstractNum w:abstractNumId="2">
    <w:nsid w:val="B1062931"/>
    <w:multiLevelType w:val="singleLevel"/>
    <w:tmpl w:val="B1062931"/>
    <w:lvl w:ilvl="0" w:tentative="0">
      <w:start w:val="2"/>
      <w:numFmt w:val="decimal"/>
      <w:suff w:val="nothing"/>
      <w:lvlText w:val="%1、"/>
      <w:lvlJc w:val="left"/>
    </w:lvl>
  </w:abstractNum>
  <w:abstractNum w:abstractNumId="3">
    <w:nsid w:val="05CD60C6"/>
    <w:multiLevelType w:val="singleLevel"/>
    <w:tmpl w:val="05CD60C6"/>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U1NTRkZWExYzc1MDBiMmM5Nzc3MTg0NzFjZjFiMzYifQ=="/>
  </w:docVars>
  <w:rsids>
    <w:rsidRoot w:val="0041735B"/>
    <w:rsid w:val="00006456"/>
    <w:rsid w:val="000244C4"/>
    <w:rsid w:val="00025D6D"/>
    <w:rsid w:val="00025DA2"/>
    <w:rsid w:val="00032149"/>
    <w:rsid w:val="000818CE"/>
    <w:rsid w:val="00090E12"/>
    <w:rsid w:val="000933DD"/>
    <w:rsid w:val="0009758B"/>
    <w:rsid w:val="000B2C0B"/>
    <w:rsid w:val="000B7CFE"/>
    <w:rsid w:val="000C479D"/>
    <w:rsid w:val="000C7A71"/>
    <w:rsid w:val="000D00CA"/>
    <w:rsid w:val="000D1D4E"/>
    <w:rsid w:val="000D74EC"/>
    <w:rsid w:val="000D75DB"/>
    <w:rsid w:val="00101C27"/>
    <w:rsid w:val="00113C55"/>
    <w:rsid w:val="001217E5"/>
    <w:rsid w:val="00122D24"/>
    <w:rsid w:val="00123D3F"/>
    <w:rsid w:val="0015627F"/>
    <w:rsid w:val="00174731"/>
    <w:rsid w:val="001906B5"/>
    <w:rsid w:val="00195681"/>
    <w:rsid w:val="0019582A"/>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B6509"/>
    <w:rsid w:val="002C2FE6"/>
    <w:rsid w:val="002C3761"/>
    <w:rsid w:val="002D02FC"/>
    <w:rsid w:val="002D4A93"/>
    <w:rsid w:val="002F67B8"/>
    <w:rsid w:val="00316D20"/>
    <w:rsid w:val="003432A4"/>
    <w:rsid w:val="003540EF"/>
    <w:rsid w:val="00355843"/>
    <w:rsid w:val="00371B76"/>
    <w:rsid w:val="00375DF1"/>
    <w:rsid w:val="00376087"/>
    <w:rsid w:val="00382163"/>
    <w:rsid w:val="00383012"/>
    <w:rsid w:val="003A0810"/>
    <w:rsid w:val="003B461A"/>
    <w:rsid w:val="003C0581"/>
    <w:rsid w:val="003C0FFA"/>
    <w:rsid w:val="003D21B2"/>
    <w:rsid w:val="003E0630"/>
    <w:rsid w:val="0041735B"/>
    <w:rsid w:val="00437A41"/>
    <w:rsid w:val="00446C5C"/>
    <w:rsid w:val="00467DFD"/>
    <w:rsid w:val="004716A1"/>
    <w:rsid w:val="0047423B"/>
    <w:rsid w:val="00491632"/>
    <w:rsid w:val="00494D26"/>
    <w:rsid w:val="00495236"/>
    <w:rsid w:val="004B3955"/>
    <w:rsid w:val="004F0109"/>
    <w:rsid w:val="004F3EC1"/>
    <w:rsid w:val="004F6B30"/>
    <w:rsid w:val="00500E62"/>
    <w:rsid w:val="00512644"/>
    <w:rsid w:val="00513CAC"/>
    <w:rsid w:val="00513E86"/>
    <w:rsid w:val="00534CD6"/>
    <w:rsid w:val="00554397"/>
    <w:rsid w:val="0055629E"/>
    <w:rsid w:val="00560B89"/>
    <w:rsid w:val="0056537B"/>
    <w:rsid w:val="00586122"/>
    <w:rsid w:val="00586AD1"/>
    <w:rsid w:val="00590386"/>
    <w:rsid w:val="0059704A"/>
    <w:rsid w:val="005E28FE"/>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57B9E"/>
    <w:rsid w:val="00785ECA"/>
    <w:rsid w:val="007939B2"/>
    <w:rsid w:val="007B5199"/>
    <w:rsid w:val="007C4979"/>
    <w:rsid w:val="007D190F"/>
    <w:rsid w:val="007D2D5A"/>
    <w:rsid w:val="007E3B2C"/>
    <w:rsid w:val="007F0A1D"/>
    <w:rsid w:val="007F1DB8"/>
    <w:rsid w:val="007F358C"/>
    <w:rsid w:val="00801285"/>
    <w:rsid w:val="008136E8"/>
    <w:rsid w:val="00817A51"/>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B06BC"/>
    <w:rsid w:val="00FC02BF"/>
    <w:rsid w:val="00FC3129"/>
    <w:rsid w:val="00FE150A"/>
    <w:rsid w:val="00FF01A3"/>
    <w:rsid w:val="00FF49D3"/>
    <w:rsid w:val="00FF52D0"/>
    <w:rsid w:val="00FF675A"/>
    <w:rsid w:val="01311D17"/>
    <w:rsid w:val="013B4944"/>
    <w:rsid w:val="01487061"/>
    <w:rsid w:val="01580FCE"/>
    <w:rsid w:val="01903B90"/>
    <w:rsid w:val="019F7D7F"/>
    <w:rsid w:val="01BB362D"/>
    <w:rsid w:val="01D27386"/>
    <w:rsid w:val="01FE4E83"/>
    <w:rsid w:val="022E6257"/>
    <w:rsid w:val="02571C51"/>
    <w:rsid w:val="02BD75DA"/>
    <w:rsid w:val="02DC5CB3"/>
    <w:rsid w:val="02DE716B"/>
    <w:rsid w:val="02F3272A"/>
    <w:rsid w:val="0353376C"/>
    <w:rsid w:val="036208AE"/>
    <w:rsid w:val="037C127E"/>
    <w:rsid w:val="03906A9D"/>
    <w:rsid w:val="03C659E1"/>
    <w:rsid w:val="03CE5F43"/>
    <w:rsid w:val="03DF395B"/>
    <w:rsid w:val="03E219EE"/>
    <w:rsid w:val="03E80687"/>
    <w:rsid w:val="03F30358"/>
    <w:rsid w:val="041B3134"/>
    <w:rsid w:val="04257D07"/>
    <w:rsid w:val="044B7594"/>
    <w:rsid w:val="04521333"/>
    <w:rsid w:val="04635A3A"/>
    <w:rsid w:val="048E7259"/>
    <w:rsid w:val="04FB3165"/>
    <w:rsid w:val="0501449A"/>
    <w:rsid w:val="05355B4E"/>
    <w:rsid w:val="05854303"/>
    <w:rsid w:val="05C375FE"/>
    <w:rsid w:val="05CC0260"/>
    <w:rsid w:val="05FB6D97"/>
    <w:rsid w:val="062C230C"/>
    <w:rsid w:val="062C5A73"/>
    <w:rsid w:val="06780DA6"/>
    <w:rsid w:val="0685105F"/>
    <w:rsid w:val="071C6FC5"/>
    <w:rsid w:val="07247C28"/>
    <w:rsid w:val="07281CFA"/>
    <w:rsid w:val="07577FFE"/>
    <w:rsid w:val="07682B94"/>
    <w:rsid w:val="077C7A64"/>
    <w:rsid w:val="07BC60B3"/>
    <w:rsid w:val="07F01FE5"/>
    <w:rsid w:val="07F20CC6"/>
    <w:rsid w:val="08316F5E"/>
    <w:rsid w:val="08367AFD"/>
    <w:rsid w:val="08381BDD"/>
    <w:rsid w:val="08A51890"/>
    <w:rsid w:val="08C01BD2"/>
    <w:rsid w:val="091268D2"/>
    <w:rsid w:val="097C01EF"/>
    <w:rsid w:val="09B230C9"/>
    <w:rsid w:val="09D45935"/>
    <w:rsid w:val="0A0D1B14"/>
    <w:rsid w:val="0A222B45"/>
    <w:rsid w:val="0A8D59B6"/>
    <w:rsid w:val="0ACA6D38"/>
    <w:rsid w:val="0ADB2CF4"/>
    <w:rsid w:val="0B057D70"/>
    <w:rsid w:val="0B061FF2"/>
    <w:rsid w:val="0B3B3792"/>
    <w:rsid w:val="0B57547A"/>
    <w:rsid w:val="0B674587"/>
    <w:rsid w:val="0BD0316E"/>
    <w:rsid w:val="0BE87F23"/>
    <w:rsid w:val="0BEF55E8"/>
    <w:rsid w:val="0C48085D"/>
    <w:rsid w:val="0CA267B8"/>
    <w:rsid w:val="0CA87D56"/>
    <w:rsid w:val="0CB30D96"/>
    <w:rsid w:val="0D0A78C0"/>
    <w:rsid w:val="0D442DD2"/>
    <w:rsid w:val="0D9D7B4A"/>
    <w:rsid w:val="0DBC28A3"/>
    <w:rsid w:val="0E0B7D94"/>
    <w:rsid w:val="0E470868"/>
    <w:rsid w:val="0E4D19D8"/>
    <w:rsid w:val="0ECD1479"/>
    <w:rsid w:val="0EDD4088"/>
    <w:rsid w:val="0EE066F8"/>
    <w:rsid w:val="0F331F1C"/>
    <w:rsid w:val="0F39623B"/>
    <w:rsid w:val="0F3B2206"/>
    <w:rsid w:val="0F9C4754"/>
    <w:rsid w:val="0FAE6C29"/>
    <w:rsid w:val="0FDA7A1E"/>
    <w:rsid w:val="0FE52296"/>
    <w:rsid w:val="0FE67B78"/>
    <w:rsid w:val="0FEB5787"/>
    <w:rsid w:val="100827DD"/>
    <w:rsid w:val="101C0036"/>
    <w:rsid w:val="102E1B18"/>
    <w:rsid w:val="10494F6A"/>
    <w:rsid w:val="106F4F4B"/>
    <w:rsid w:val="10835E06"/>
    <w:rsid w:val="10BC3295"/>
    <w:rsid w:val="10CD30DE"/>
    <w:rsid w:val="10EA0134"/>
    <w:rsid w:val="10ED552F"/>
    <w:rsid w:val="111E3E94"/>
    <w:rsid w:val="112A6783"/>
    <w:rsid w:val="112E6273"/>
    <w:rsid w:val="112F5B47"/>
    <w:rsid w:val="114C6BFF"/>
    <w:rsid w:val="115C76E3"/>
    <w:rsid w:val="11A007F3"/>
    <w:rsid w:val="11F34DC7"/>
    <w:rsid w:val="12260CF8"/>
    <w:rsid w:val="123B391B"/>
    <w:rsid w:val="124B69B1"/>
    <w:rsid w:val="12673EBC"/>
    <w:rsid w:val="12B45548"/>
    <w:rsid w:val="12CD73C6"/>
    <w:rsid w:val="12E129EC"/>
    <w:rsid w:val="13EB302D"/>
    <w:rsid w:val="14154EFF"/>
    <w:rsid w:val="14353475"/>
    <w:rsid w:val="14863CD0"/>
    <w:rsid w:val="14A83076"/>
    <w:rsid w:val="15007F26"/>
    <w:rsid w:val="150317C5"/>
    <w:rsid w:val="15392994"/>
    <w:rsid w:val="154138FB"/>
    <w:rsid w:val="15484F44"/>
    <w:rsid w:val="15915022"/>
    <w:rsid w:val="159912D2"/>
    <w:rsid w:val="15AB1938"/>
    <w:rsid w:val="15B351E1"/>
    <w:rsid w:val="15E213DA"/>
    <w:rsid w:val="15E74C42"/>
    <w:rsid w:val="160378D0"/>
    <w:rsid w:val="16102A2E"/>
    <w:rsid w:val="16102BDF"/>
    <w:rsid w:val="161B4F38"/>
    <w:rsid w:val="16521759"/>
    <w:rsid w:val="165E17E9"/>
    <w:rsid w:val="1662251B"/>
    <w:rsid w:val="166B7621"/>
    <w:rsid w:val="16755A8B"/>
    <w:rsid w:val="168976C2"/>
    <w:rsid w:val="16B95677"/>
    <w:rsid w:val="16D276A1"/>
    <w:rsid w:val="16E13788"/>
    <w:rsid w:val="16F4640E"/>
    <w:rsid w:val="17090456"/>
    <w:rsid w:val="179C380B"/>
    <w:rsid w:val="17A74689"/>
    <w:rsid w:val="17F65611"/>
    <w:rsid w:val="181148FA"/>
    <w:rsid w:val="181B5077"/>
    <w:rsid w:val="188A2794"/>
    <w:rsid w:val="18B04A90"/>
    <w:rsid w:val="18BC4164"/>
    <w:rsid w:val="18C1177B"/>
    <w:rsid w:val="18DC6CFC"/>
    <w:rsid w:val="19063631"/>
    <w:rsid w:val="19324427"/>
    <w:rsid w:val="198706A5"/>
    <w:rsid w:val="19A05B04"/>
    <w:rsid w:val="19A54BF8"/>
    <w:rsid w:val="19B0616D"/>
    <w:rsid w:val="19C31477"/>
    <w:rsid w:val="19E25B72"/>
    <w:rsid w:val="19E80BA9"/>
    <w:rsid w:val="19FA13E8"/>
    <w:rsid w:val="19FC0F10"/>
    <w:rsid w:val="1A8C400A"/>
    <w:rsid w:val="1AEB2ADF"/>
    <w:rsid w:val="1B674D2E"/>
    <w:rsid w:val="1B7C1F44"/>
    <w:rsid w:val="1B7C407F"/>
    <w:rsid w:val="1BAD1C9A"/>
    <w:rsid w:val="1C247566"/>
    <w:rsid w:val="1C3F67D4"/>
    <w:rsid w:val="1C8F393E"/>
    <w:rsid w:val="1CD629DA"/>
    <w:rsid w:val="1D33580E"/>
    <w:rsid w:val="1D574A33"/>
    <w:rsid w:val="1D622609"/>
    <w:rsid w:val="1D755FD8"/>
    <w:rsid w:val="1D7831F1"/>
    <w:rsid w:val="1DB137B3"/>
    <w:rsid w:val="1DD14466"/>
    <w:rsid w:val="1E1541CE"/>
    <w:rsid w:val="1E5348E9"/>
    <w:rsid w:val="1E7352C5"/>
    <w:rsid w:val="1E8C6387"/>
    <w:rsid w:val="1EA77665"/>
    <w:rsid w:val="1EA9518B"/>
    <w:rsid w:val="1EBB6C6C"/>
    <w:rsid w:val="1ED0096A"/>
    <w:rsid w:val="1EE73F05"/>
    <w:rsid w:val="1F006F90"/>
    <w:rsid w:val="1F674E23"/>
    <w:rsid w:val="1F946F4A"/>
    <w:rsid w:val="1FBF453A"/>
    <w:rsid w:val="20847C5E"/>
    <w:rsid w:val="208953E1"/>
    <w:rsid w:val="20943C19"/>
    <w:rsid w:val="209E5AEC"/>
    <w:rsid w:val="20B403C1"/>
    <w:rsid w:val="20B83BE7"/>
    <w:rsid w:val="20D02EA3"/>
    <w:rsid w:val="212136FE"/>
    <w:rsid w:val="213D7E0C"/>
    <w:rsid w:val="21442F49"/>
    <w:rsid w:val="221C4CEE"/>
    <w:rsid w:val="222D7AB4"/>
    <w:rsid w:val="22680EB9"/>
    <w:rsid w:val="229A36C5"/>
    <w:rsid w:val="22B50492"/>
    <w:rsid w:val="22B8569B"/>
    <w:rsid w:val="23212C52"/>
    <w:rsid w:val="23420371"/>
    <w:rsid w:val="235558E1"/>
    <w:rsid w:val="236B605A"/>
    <w:rsid w:val="23A31F79"/>
    <w:rsid w:val="23C443A8"/>
    <w:rsid w:val="243B392E"/>
    <w:rsid w:val="244A678E"/>
    <w:rsid w:val="246D0A09"/>
    <w:rsid w:val="247022A7"/>
    <w:rsid w:val="248269CB"/>
    <w:rsid w:val="24877D1C"/>
    <w:rsid w:val="24883A94"/>
    <w:rsid w:val="24C820E3"/>
    <w:rsid w:val="24C85B57"/>
    <w:rsid w:val="25415F17"/>
    <w:rsid w:val="256F255E"/>
    <w:rsid w:val="25783BC2"/>
    <w:rsid w:val="25E90563"/>
    <w:rsid w:val="26101194"/>
    <w:rsid w:val="265C0D35"/>
    <w:rsid w:val="26633128"/>
    <w:rsid w:val="266C38AC"/>
    <w:rsid w:val="26AA5F44"/>
    <w:rsid w:val="26B446CD"/>
    <w:rsid w:val="271B299E"/>
    <w:rsid w:val="27393A05"/>
    <w:rsid w:val="27483067"/>
    <w:rsid w:val="276A7481"/>
    <w:rsid w:val="277F117F"/>
    <w:rsid w:val="278E3170"/>
    <w:rsid w:val="27BA21B7"/>
    <w:rsid w:val="27D17500"/>
    <w:rsid w:val="27F05BD9"/>
    <w:rsid w:val="280C22E7"/>
    <w:rsid w:val="28355CE1"/>
    <w:rsid w:val="2899001E"/>
    <w:rsid w:val="28AC5FA3"/>
    <w:rsid w:val="28FF5FEB"/>
    <w:rsid w:val="293E7071"/>
    <w:rsid w:val="295201CD"/>
    <w:rsid w:val="296A19BB"/>
    <w:rsid w:val="29DF4157"/>
    <w:rsid w:val="29F574D6"/>
    <w:rsid w:val="2A225DF1"/>
    <w:rsid w:val="2AB33980"/>
    <w:rsid w:val="2ACD0453"/>
    <w:rsid w:val="2AE9690F"/>
    <w:rsid w:val="2AF552B4"/>
    <w:rsid w:val="2B145EDC"/>
    <w:rsid w:val="2B2924BB"/>
    <w:rsid w:val="2B4D6E9E"/>
    <w:rsid w:val="2B726905"/>
    <w:rsid w:val="2B7B3A0B"/>
    <w:rsid w:val="2BCC2FE7"/>
    <w:rsid w:val="2C5D1363"/>
    <w:rsid w:val="2C5F157F"/>
    <w:rsid w:val="2CB342C5"/>
    <w:rsid w:val="2CDC672B"/>
    <w:rsid w:val="2CEA5317"/>
    <w:rsid w:val="2CFE66A2"/>
    <w:rsid w:val="2D355E3C"/>
    <w:rsid w:val="2D686211"/>
    <w:rsid w:val="2D7A3DA8"/>
    <w:rsid w:val="2DAE631A"/>
    <w:rsid w:val="2E4A1E7F"/>
    <w:rsid w:val="2E7854C2"/>
    <w:rsid w:val="2E9B7A70"/>
    <w:rsid w:val="2EBE07DF"/>
    <w:rsid w:val="2EE64385"/>
    <w:rsid w:val="2F0361F1"/>
    <w:rsid w:val="2F163A84"/>
    <w:rsid w:val="2F3F32AB"/>
    <w:rsid w:val="2F435983"/>
    <w:rsid w:val="2F445198"/>
    <w:rsid w:val="2F5702EB"/>
    <w:rsid w:val="2F755BC5"/>
    <w:rsid w:val="2FA04388"/>
    <w:rsid w:val="2FD75361"/>
    <w:rsid w:val="30B31E99"/>
    <w:rsid w:val="30BC6FA0"/>
    <w:rsid w:val="30ED53AB"/>
    <w:rsid w:val="31322DBE"/>
    <w:rsid w:val="31450D90"/>
    <w:rsid w:val="31655ADA"/>
    <w:rsid w:val="317D34FD"/>
    <w:rsid w:val="31CA1DD2"/>
    <w:rsid w:val="31D75713"/>
    <w:rsid w:val="3207249C"/>
    <w:rsid w:val="322A1E2D"/>
    <w:rsid w:val="322E5C7B"/>
    <w:rsid w:val="32425033"/>
    <w:rsid w:val="3296737C"/>
    <w:rsid w:val="336C6D41"/>
    <w:rsid w:val="33AE4F4B"/>
    <w:rsid w:val="34270BD4"/>
    <w:rsid w:val="348E2A01"/>
    <w:rsid w:val="34DA79F4"/>
    <w:rsid w:val="34E70363"/>
    <w:rsid w:val="34F211E2"/>
    <w:rsid w:val="35120D2A"/>
    <w:rsid w:val="35123632"/>
    <w:rsid w:val="3546508A"/>
    <w:rsid w:val="355B1AFB"/>
    <w:rsid w:val="35647C06"/>
    <w:rsid w:val="357D4824"/>
    <w:rsid w:val="359D0807"/>
    <w:rsid w:val="35A95619"/>
    <w:rsid w:val="35F76384"/>
    <w:rsid w:val="360C62D3"/>
    <w:rsid w:val="364517E5"/>
    <w:rsid w:val="365E28A7"/>
    <w:rsid w:val="369611E6"/>
    <w:rsid w:val="36BB1AA7"/>
    <w:rsid w:val="36CF10AF"/>
    <w:rsid w:val="36E0150E"/>
    <w:rsid w:val="37113475"/>
    <w:rsid w:val="374D7298"/>
    <w:rsid w:val="377C4090"/>
    <w:rsid w:val="37B22EAA"/>
    <w:rsid w:val="37CB7AC8"/>
    <w:rsid w:val="37F30556"/>
    <w:rsid w:val="386069A1"/>
    <w:rsid w:val="388D0741"/>
    <w:rsid w:val="38924AB8"/>
    <w:rsid w:val="38E250CA"/>
    <w:rsid w:val="395153ED"/>
    <w:rsid w:val="395A7356"/>
    <w:rsid w:val="395F4E58"/>
    <w:rsid w:val="398C3287"/>
    <w:rsid w:val="399B34CA"/>
    <w:rsid w:val="39EE3E95"/>
    <w:rsid w:val="3A296D28"/>
    <w:rsid w:val="3A335AB8"/>
    <w:rsid w:val="3A4818A4"/>
    <w:rsid w:val="3A59760D"/>
    <w:rsid w:val="3A8A3C6B"/>
    <w:rsid w:val="3AC32CD9"/>
    <w:rsid w:val="3ACE069C"/>
    <w:rsid w:val="3AD273C0"/>
    <w:rsid w:val="3AE149F6"/>
    <w:rsid w:val="3B251BE5"/>
    <w:rsid w:val="3BA40D5C"/>
    <w:rsid w:val="3BA42B0A"/>
    <w:rsid w:val="3BB50675"/>
    <w:rsid w:val="3BD01B51"/>
    <w:rsid w:val="3BE23632"/>
    <w:rsid w:val="3BFF2436"/>
    <w:rsid w:val="3C4165AB"/>
    <w:rsid w:val="3C597D99"/>
    <w:rsid w:val="3C795D45"/>
    <w:rsid w:val="3C920B27"/>
    <w:rsid w:val="3CE84C78"/>
    <w:rsid w:val="3D0C0967"/>
    <w:rsid w:val="3D16343B"/>
    <w:rsid w:val="3D804EB1"/>
    <w:rsid w:val="3D9B618F"/>
    <w:rsid w:val="3DB77E8F"/>
    <w:rsid w:val="3DC1203B"/>
    <w:rsid w:val="3DEB0EC4"/>
    <w:rsid w:val="3E42660A"/>
    <w:rsid w:val="3E4B1750"/>
    <w:rsid w:val="3E570308"/>
    <w:rsid w:val="3E890A18"/>
    <w:rsid w:val="3ECB6600"/>
    <w:rsid w:val="3ED33EE1"/>
    <w:rsid w:val="3EEB49AE"/>
    <w:rsid w:val="3F0365C7"/>
    <w:rsid w:val="3F117E00"/>
    <w:rsid w:val="3F19380F"/>
    <w:rsid w:val="3F3C12AC"/>
    <w:rsid w:val="3F402B4A"/>
    <w:rsid w:val="3F586F44"/>
    <w:rsid w:val="3F632CDC"/>
    <w:rsid w:val="3F6C1F7A"/>
    <w:rsid w:val="3F912498"/>
    <w:rsid w:val="3F9626D5"/>
    <w:rsid w:val="3FAC558B"/>
    <w:rsid w:val="3FBA57AE"/>
    <w:rsid w:val="3FBB6674"/>
    <w:rsid w:val="3FF71D3F"/>
    <w:rsid w:val="3FFA719D"/>
    <w:rsid w:val="40F260C6"/>
    <w:rsid w:val="41024304"/>
    <w:rsid w:val="410B53D9"/>
    <w:rsid w:val="4148218A"/>
    <w:rsid w:val="41562AF9"/>
    <w:rsid w:val="416E4AF9"/>
    <w:rsid w:val="418D5DEE"/>
    <w:rsid w:val="41B810BD"/>
    <w:rsid w:val="42091919"/>
    <w:rsid w:val="422F4421"/>
    <w:rsid w:val="42382F1A"/>
    <w:rsid w:val="42621029"/>
    <w:rsid w:val="42A33B1C"/>
    <w:rsid w:val="42C13FA2"/>
    <w:rsid w:val="42DE360E"/>
    <w:rsid w:val="437366DA"/>
    <w:rsid w:val="43C844ED"/>
    <w:rsid w:val="43FE1BC4"/>
    <w:rsid w:val="443F4B94"/>
    <w:rsid w:val="445A645C"/>
    <w:rsid w:val="44624498"/>
    <w:rsid w:val="447D214A"/>
    <w:rsid w:val="447F4114"/>
    <w:rsid w:val="44BF3A62"/>
    <w:rsid w:val="44FC7513"/>
    <w:rsid w:val="45213430"/>
    <w:rsid w:val="454C7503"/>
    <w:rsid w:val="458D0AB3"/>
    <w:rsid w:val="459643CA"/>
    <w:rsid w:val="459C4852"/>
    <w:rsid w:val="45A007E6"/>
    <w:rsid w:val="45C33A1E"/>
    <w:rsid w:val="45D64208"/>
    <w:rsid w:val="46142C32"/>
    <w:rsid w:val="4642189D"/>
    <w:rsid w:val="46725C77"/>
    <w:rsid w:val="468D0EC2"/>
    <w:rsid w:val="46AF46EA"/>
    <w:rsid w:val="4709076B"/>
    <w:rsid w:val="47137532"/>
    <w:rsid w:val="47190850"/>
    <w:rsid w:val="47280A93"/>
    <w:rsid w:val="47DB5B06"/>
    <w:rsid w:val="47E14CCD"/>
    <w:rsid w:val="47ED75E7"/>
    <w:rsid w:val="481E1E96"/>
    <w:rsid w:val="48221986"/>
    <w:rsid w:val="487F05E9"/>
    <w:rsid w:val="48AF2AEE"/>
    <w:rsid w:val="48BE22E2"/>
    <w:rsid w:val="48BF0F83"/>
    <w:rsid w:val="48EE7ABB"/>
    <w:rsid w:val="49211C3E"/>
    <w:rsid w:val="49496A9F"/>
    <w:rsid w:val="494D18F5"/>
    <w:rsid w:val="496234D0"/>
    <w:rsid w:val="49845D29"/>
    <w:rsid w:val="49B62E33"/>
    <w:rsid w:val="49E862B8"/>
    <w:rsid w:val="4A075620"/>
    <w:rsid w:val="4A2D63C1"/>
    <w:rsid w:val="4A407EA2"/>
    <w:rsid w:val="4BC67EC9"/>
    <w:rsid w:val="4BED4059"/>
    <w:rsid w:val="4C07336D"/>
    <w:rsid w:val="4C1415E6"/>
    <w:rsid w:val="4C1C049B"/>
    <w:rsid w:val="4C5B0FC3"/>
    <w:rsid w:val="4C871DB8"/>
    <w:rsid w:val="4CE372B9"/>
    <w:rsid w:val="4D3A32CE"/>
    <w:rsid w:val="4D73058E"/>
    <w:rsid w:val="4D89497E"/>
    <w:rsid w:val="4DB43081"/>
    <w:rsid w:val="4DF62D80"/>
    <w:rsid w:val="4E0F6509"/>
    <w:rsid w:val="4F043129"/>
    <w:rsid w:val="4F29184C"/>
    <w:rsid w:val="4F324938"/>
    <w:rsid w:val="4F5F4839"/>
    <w:rsid w:val="4F8447A9"/>
    <w:rsid w:val="4FAE26A7"/>
    <w:rsid w:val="4FC52CD7"/>
    <w:rsid w:val="50010A2F"/>
    <w:rsid w:val="50031FFC"/>
    <w:rsid w:val="503C110B"/>
    <w:rsid w:val="50C07F8E"/>
    <w:rsid w:val="50E22836"/>
    <w:rsid w:val="50EE4C4E"/>
    <w:rsid w:val="51516E38"/>
    <w:rsid w:val="517F61AE"/>
    <w:rsid w:val="51924CFB"/>
    <w:rsid w:val="51C71A20"/>
    <w:rsid w:val="51EF0567"/>
    <w:rsid w:val="522F7782"/>
    <w:rsid w:val="52636E23"/>
    <w:rsid w:val="527C6137"/>
    <w:rsid w:val="52A07741"/>
    <w:rsid w:val="53605111"/>
    <w:rsid w:val="53BD0E11"/>
    <w:rsid w:val="54071A30"/>
    <w:rsid w:val="54106A36"/>
    <w:rsid w:val="5423646A"/>
    <w:rsid w:val="544B5DC1"/>
    <w:rsid w:val="545C1D7C"/>
    <w:rsid w:val="545F171A"/>
    <w:rsid w:val="548B440F"/>
    <w:rsid w:val="54AB503B"/>
    <w:rsid w:val="54C66FB3"/>
    <w:rsid w:val="558275C0"/>
    <w:rsid w:val="55F11062"/>
    <w:rsid w:val="55FC3100"/>
    <w:rsid w:val="56352885"/>
    <w:rsid w:val="564E304F"/>
    <w:rsid w:val="56AC1C45"/>
    <w:rsid w:val="56B3679B"/>
    <w:rsid w:val="56DA585D"/>
    <w:rsid w:val="56EB388B"/>
    <w:rsid w:val="56F50266"/>
    <w:rsid w:val="57034731"/>
    <w:rsid w:val="57483929"/>
    <w:rsid w:val="574D3BFE"/>
    <w:rsid w:val="57533FC8"/>
    <w:rsid w:val="57680A38"/>
    <w:rsid w:val="57817C32"/>
    <w:rsid w:val="57D80027"/>
    <w:rsid w:val="57F862A3"/>
    <w:rsid w:val="58690F0C"/>
    <w:rsid w:val="586C27AA"/>
    <w:rsid w:val="58A14202"/>
    <w:rsid w:val="58B64415"/>
    <w:rsid w:val="58BC54DF"/>
    <w:rsid w:val="58C223CA"/>
    <w:rsid w:val="58CB5722"/>
    <w:rsid w:val="58F87C3A"/>
    <w:rsid w:val="59A71CEC"/>
    <w:rsid w:val="59B037A7"/>
    <w:rsid w:val="59B96BA5"/>
    <w:rsid w:val="59BE2DD2"/>
    <w:rsid w:val="59FB4018"/>
    <w:rsid w:val="5A09788E"/>
    <w:rsid w:val="5A234E84"/>
    <w:rsid w:val="5A7C61FC"/>
    <w:rsid w:val="5A7F4A16"/>
    <w:rsid w:val="5AC266B1"/>
    <w:rsid w:val="5B0F5D9A"/>
    <w:rsid w:val="5B1433B1"/>
    <w:rsid w:val="5B341EE4"/>
    <w:rsid w:val="5B3F5F54"/>
    <w:rsid w:val="5B4357AD"/>
    <w:rsid w:val="5B442B21"/>
    <w:rsid w:val="5B6F4A8B"/>
    <w:rsid w:val="5BBE156E"/>
    <w:rsid w:val="5BCB410A"/>
    <w:rsid w:val="5BCE04AE"/>
    <w:rsid w:val="5BDFF6B4"/>
    <w:rsid w:val="5C2A6C04"/>
    <w:rsid w:val="5C561580"/>
    <w:rsid w:val="5CCB7A9F"/>
    <w:rsid w:val="5D213B63"/>
    <w:rsid w:val="5D3C274B"/>
    <w:rsid w:val="5D612666"/>
    <w:rsid w:val="5DB56055"/>
    <w:rsid w:val="5DB76275"/>
    <w:rsid w:val="5E174ED2"/>
    <w:rsid w:val="5E1B4A56"/>
    <w:rsid w:val="5E20337F"/>
    <w:rsid w:val="5E5B2639"/>
    <w:rsid w:val="5EA26F25"/>
    <w:rsid w:val="5EED6EBE"/>
    <w:rsid w:val="5EF3058A"/>
    <w:rsid w:val="5F24793A"/>
    <w:rsid w:val="5F2F4D3A"/>
    <w:rsid w:val="5F526256"/>
    <w:rsid w:val="5F840C85"/>
    <w:rsid w:val="5F9562CC"/>
    <w:rsid w:val="5FA95D16"/>
    <w:rsid w:val="5FB4017C"/>
    <w:rsid w:val="5FEC48FC"/>
    <w:rsid w:val="5FEE5D4A"/>
    <w:rsid w:val="5FF612D7"/>
    <w:rsid w:val="6005151A"/>
    <w:rsid w:val="600D03CE"/>
    <w:rsid w:val="60622047"/>
    <w:rsid w:val="60861340"/>
    <w:rsid w:val="60883EF9"/>
    <w:rsid w:val="60A413FB"/>
    <w:rsid w:val="60B63C78"/>
    <w:rsid w:val="60BA6298"/>
    <w:rsid w:val="61306A6A"/>
    <w:rsid w:val="615C785F"/>
    <w:rsid w:val="61720E31"/>
    <w:rsid w:val="61DF1A53"/>
    <w:rsid w:val="61E7199A"/>
    <w:rsid w:val="61F525B5"/>
    <w:rsid w:val="62137C70"/>
    <w:rsid w:val="62620EA5"/>
    <w:rsid w:val="62637B36"/>
    <w:rsid w:val="62864468"/>
    <w:rsid w:val="6356208C"/>
    <w:rsid w:val="638B442C"/>
    <w:rsid w:val="639D5F0D"/>
    <w:rsid w:val="63BC6393"/>
    <w:rsid w:val="63CE4319"/>
    <w:rsid w:val="63F0428F"/>
    <w:rsid w:val="63F55D49"/>
    <w:rsid w:val="640C0346"/>
    <w:rsid w:val="641E0C4D"/>
    <w:rsid w:val="64205C8C"/>
    <w:rsid w:val="64281C7B"/>
    <w:rsid w:val="642F125B"/>
    <w:rsid w:val="643A609E"/>
    <w:rsid w:val="643E149E"/>
    <w:rsid w:val="64430A0C"/>
    <w:rsid w:val="64833355"/>
    <w:rsid w:val="648570CD"/>
    <w:rsid w:val="64BF1790"/>
    <w:rsid w:val="65411089"/>
    <w:rsid w:val="65566E06"/>
    <w:rsid w:val="655F347A"/>
    <w:rsid w:val="65821244"/>
    <w:rsid w:val="65836837"/>
    <w:rsid w:val="65DA51F7"/>
    <w:rsid w:val="66090E37"/>
    <w:rsid w:val="66486604"/>
    <w:rsid w:val="66F7486F"/>
    <w:rsid w:val="671464E6"/>
    <w:rsid w:val="673E04D5"/>
    <w:rsid w:val="67492634"/>
    <w:rsid w:val="67F804D5"/>
    <w:rsid w:val="6843135F"/>
    <w:rsid w:val="685E210F"/>
    <w:rsid w:val="689B3988"/>
    <w:rsid w:val="68A11F7C"/>
    <w:rsid w:val="68A85CBA"/>
    <w:rsid w:val="68AF296B"/>
    <w:rsid w:val="68DC4DE2"/>
    <w:rsid w:val="6927788D"/>
    <w:rsid w:val="692C7B17"/>
    <w:rsid w:val="692D19E3"/>
    <w:rsid w:val="694F14B1"/>
    <w:rsid w:val="69633987"/>
    <w:rsid w:val="69AC2693"/>
    <w:rsid w:val="69CE6E20"/>
    <w:rsid w:val="6A504B87"/>
    <w:rsid w:val="6A64965C"/>
    <w:rsid w:val="6AAC47D0"/>
    <w:rsid w:val="6B261B6A"/>
    <w:rsid w:val="6B8D6867"/>
    <w:rsid w:val="6BB36E46"/>
    <w:rsid w:val="6BCC1C2B"/>
    <w:rsid w:val="6BE23291"/>
    <w:rsid w:val="6BF608B1"/>
    <w:rsid w:val="6BF91C28"/>
    <w:rsid w:val="6C051681"/>
    <w:rsid w:val="6C0B6E8A"/>
    <w:rsid w:val="6C103720"/>
    <w:rsid w:val="6C565B15"/>
    <w:rsid w:val="6C6805AA"/>
    <w:rsid w:val="6CCA5804"/>
    <w:rsid w:val="6CFA7F2C"/>
    <w:rsid w:val="6D0F0876"/>
    <w:rsid w:val="6D237483"/>
    <w:rsid w:val="6D4C4C2C"/>
    <w:rsid w:val="6D94212F"/>
    <w:rsid w:val="6DAA1953"/>
    <w:rsid w:val="6DAF7B41"/>
    <w:rsid w:val="6DC347C2"/>
    <w:rsid w:val="6E0577F2"/>
    <w:rsid w:val="6E337B9A"/>
    <w:rsid w:val="6E3A0F28"/>
    <w:rsid w:val="6E626484"/>
    <w:rsid w:val="6E637FE1"/>
    <w:rsid w:val="6E661451"/>
    <w:rsid w:val="6E873267"/>
    <w:rsid w:val="6E89072E"/>
    <w:rsid w:val="6EBA3B91"/>
    <w:rsid w:val="6ED22F0F"/>
    <w:rsid w:val="6ED73B78"/>
    <w:rsid w:val="6EE60768"/>
    <w:rsid w:val="6F02608B"/>
    <w:rsid w:val="6F451933"/>
    <w:rsid w:val="6F48151E"/>
    <w:rsid w:val="6F7159FA"/>
    <w:rsid w:val="6F7B5355"/>
    <w:rsid w:val="6F8A10CB"/>
    <w:rsid w:val="6FA010FF"/>
    <w:rsid w:val="6FFA4879"/>
    <w:rsid w:val="6FFA7567"/>
    <w:rsid w:val="6FFD045F"/>
    <w:rsid w:val="706933FF"/>
    <w:rsid w:val="707713B8"/>
    <w:rsid w:val="709A22F8"/>
    <w:rsid w:val="70B940C4"/>
    <w:rsid w:val="70C045FB"/>
    <w:rsid w:val="70CF02B2"/>
    <w:rsid w:val="70D25448"/>
    <w:rsid w:val="70E21403"/>
    <w:rsid w:val="71092E34"/>
    <w:rsid w:val="710C4061"/>
    <w:rsid w:val="71401A8C"/>
    <w:rsid w:val="71467613"/>
    <w:rsid w:val="71C3083C"/>
    <w:rsid w:val="71C70D25"/>
    <w:rsid w:val="729A3D44"/>
    <w:rsid w:val="72B6229C"/>
    <w:rsid w:val="72C842AA"/>
    <w:rsid w:val="72C94629"/>
    <w:rsid w:val="72EC761A"/>
    <w:rsid w:val="73116AC2"/>
    <w:rsid w:val="73223D39"/>
    <w:rsid w:val="733A6CBD"/>
    <w:rsid w:val="73695EDC"/>
    <w:rsid w:val="73A3056D"/>
    <w:rsid w:val="73D22E25"/>
    <w:rsid w:val="741A3CA7"/>
    <w:rsid w:val="742859A7"/>
    <w:rsid w:val="745950E0"/>
    <w:rsid w:val="745D7266"/>
    <w:rsid w:val="746740F9"/>
    <w:rsid w:val="74865E23"/>
    <w:rsid w:val="748E3050"/>
    <w:rsid w:val="74913DDA"/>
    <w:rsid w:val="749F7D37"/>
    <w:rsid w:val="74A470FC"/>
    <w:rsid w:val="74C0380A"/>
    <w:rsid w:val="74D15A17"/>
    <w:rsid w:val="74EB0F77"/>
    <w:rsid w:val="74FF4332"/>
    <w:rsid w:val="759A22AD"/>
    <w:rsid w:val="75C6057F"/>
    <w:rsid w:val="75CF79E2"/>
    <w:rsid w:val="76191423"/>
    <w:rsid w:val="7671125F"/>
    <w:rsid w:val="76760624"/>
    <w:rsid w:val="767945B8"/>
    <w:rsid w:val="768216BE"/>
    <w:rsid w:val="76A038F3"/>
    <w:rsid w:val="76CE0460"/>
    <w:rsid w:val="7745038C"/>
    <w:rsid w:val="77514BED"/>
    <w:rsid w:val="777A4474"/>
    <w:rsid w:val="77B61A0A"/>
    <w:rsid w:val="77BD2282"/>
    <w:rsid w:val="78592218"/>
    <w:rsid w:val="786500A0"/>
    <w:rsid w:val="786F5C73"/>
    <w:rsid w:val="78AB1B7B"/>
    <w:rsid w:val="78AF725D"/>
    <w:rsid w:val="78DE0702"/>
    <w:rsid w:val="78F50957"/>
    <w:rsid w:val="79436427"/>
    <w:rsid w:val="79614D0E"/>
    <w:rsid w:val="798B6FB4"/>
    <w:rsid w:val="79DB6ACA"/>
    <w:rsid w:val="7A8A6B0A"/>
    <w:rsid w:val="7B2B6AE3"/>
    <w:rsid w:val="7B3026D0"/>
    <w:rsid w:val="7B3D22E7"/>
    <w:rsid w:val="7B3D3E06"/>
    <w:rsid w:val="7B4554D0"/>
    <w:rsid w:val="7BD030D0"/>
    <w:rsid w:val="7BD55DED"/>
    <w:rsid w:val="7BD63A52"/>
    <w:rsid w:val="7BFD3595"/>
    <w:rsid w:val="7C105077"/>
    <w:rsid w:val="7C29438A"/>
    <w:rsid w:val="7C692CFE"/>
    <w:rsid w:val="7C69384C"/>
    <w:rsid w:val="7C7574D9"/>
    <w:rsid w:val="7C867061"/>
    <w:rsid w:val="7C907F65"/>
    <w:rsid w:val="7CC06A9D"/>
    <w:rsid w:val="7D083FA0"/>
    <w:rsid w:val="7D2A2168"/>
    <w:rsid w:val="7D2C6AB3"/>
    <w:rsid w:val="7D6E2861"/>
    <w:rsid w:val="7D9B14E6"/>
    <w:rsid w:val="7D9D0B8C"/>
    <w:rsid w:val="7DDC7906"/>
    <w:rsid w:val="7DEE4118"/>
    <w:rsid w:val="7E3A6EB0"/>
    <w:rsid w:val="7E57749A"/>
    <w:rsid w:val="7E611BB9"/>
    <w:rsid w:val="7E796D86"/>
    <w:rsid w:val="7EEB06F9"/>
    <w:rsid w:val="7F246E51"/>
    <w:rsid w:val="7F365431"/>
    <w:rsid w:val="7F37EBEE"/>
    <w:rsid w:val="7F747691"/>
    <w:rsid w:val="7F7818B1"/>
    <w:rsid w:val="7FC71EF0"/>
    <w:rsid w:val="7FDD5BB8"/>
    <w:rsid w:val="E2A6D15A"/>
    <w:rsid w:val="ED7F11D1"/>
    <w:rsid w:val="EF9DC3CD"/>
    <w:rsid w:val="FDBB7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24"/>
    <w:link w:val="94"/>
    <w:unhideWhenUsed/>
    <w:qFormat/>
    <w:uiPriority w:val="99"/>
    <w:pPr>
      <w:ind w:firstLine="420" w:firstLineChars="100"/>
    </w:pPr>
  </w:style>
  <w:style w:type="paragraph" w:styleId="24">
    <w:name w:val="toc 6"/>
    <w:basedOn w:val="1"/>
    <w:next w:val="1"/>
    <w:semiHidden/>
    <w:qFormat/>
    <w:uiPriority w:val="0"/>
    <w:pPr>
      <w:ind w:left="1050"/>
      <w:jc w:val="left"/>
    </w:pPr>
    <w:rPr>
      <w:sz w:val="18"/>
      <w:szCs w:val="18"/>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basedOn w:val="1"/>
    <w:next w:val="1"/>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next w:val="1"/>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2"/>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3"/>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3"/>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Heading5"/>
    <w:basedOn w:val="1"/>
    <w:next w:val="1"/>
    <w:qFormat/>
    <w:uiPriority w:val="0"/>
    <w:pPr>
      <w:keepNext/>
      <w:keepLines/>
      <w:spacing w:after="120" w:line="360" w:lineRule="auto"/>
      <w:textAlignment w:val="baseline"/>
    </w:pPr>
    <w:rPr>
      <w:rFonts w:eastAsia="微软雅黑"/>
      <w:b/>
      <w:bCs/>
      <w:sz w:val="24"/>
    </w:rPr>
  </w:style>
  <w:style w:type="paragraph" w:customStyle="1" w:styleId="994">
    <w:name w:val="cucd-0"/>
    <w:qFormat/>
    <w:uiPriority w:val="0"/>
    <w:pPr>
      <w:spacing w:line="360" w:lineRule="auto"/>
      <w:ind w:firstLine="480" w:firstLineChars="200"/>
      <w:jc w:val="both"/>
    </w:pPr>
    <w:rPr>
      <w:rFonts w:ascii="Calibri" w:hAnsi="Calibri" w:eastAsia="宋体" w:cs="Times New Roman"/>
      <w:kern w:val="2"/>
      <w:sz w:val="24"/>
      <w:szCs w:val="24"/>
      <w:lang w:val="en-US" w:eastAsia="zh-CN" w:bidi="ar-SA"/>
    </w:rPr>
  </w:style>
  <w:style w:type="paragraph" w:customStyle="1" w:styleId="995">
    <w:name w:val="编制正文"/>
    <w:basedOn w:val="1"/>
    <w:qFormat/>
    <w:uiPriority w:val="0"/>
    <w:pPr>
      <w:tabs>
        <w:tab w:val="left" w:pos="0"/>
        <w:tab w:val="left" w:pos="7012"/>
      </w:tabs>
      <w:autoSpaceDE w:val="0"/>
      <w:autoSpaceDN w:val="0"/>
      <w:adjustRightInd w:val="0"/>
      <w:snapToGrid w:val="0"/>
      <w:spacing w:line="360" w:lineRule="auto"/>
      <w:ind w:firstLine="480" w:firstLineChars="200"/>
      <w:jc w:val="left"/>
    </w:pPr>
    <w:rPr>
      <w:rFonts w:ascii="宋体" w:hAnsi="宋体" w:eastAsia="宋体"/>
      <w:sz w:val="24"/>
    </w:rPr>
  </w:style>
  <w:style w:type="paragraph" w:customStyle="1" w:styleId="996">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997">
    <w:name w:val="Normal_15"/>
    <w:qFormat/>
    <w:uiPriority w:val="0"/>
    <w:pPr>
      <w:spacing w:before="120" w:after="240"/>
      <w:jc w:val="both"/>
    </w:pPr>
    <w:rPr>
      <w:rFonts w:ascii="Calibri" w:hAnsi="Calibri" w:eastAsia="Calibri" w:cs="Times New Roman"/>
      <w:sz w:val="22"/>
      <w:szCs w:val="22"/>
      <w:lang w:val="ru-RU" w:eastAsia="en-US" w:bidi="ar-SA"/>
    </w:rPr>
  </w:style>
  <w:style w:type="paragraph" w:customStyle="1" w:styleId="998">
    <w:name w:val="内文正文"/>
    <w:basedOn w:val="32"/>
    <w:qFormat/>
    <w:uiPriority w:val="0"/>
    <w:pPr>
      <w:widowControl w:val="0"/>
      <w:overflowPunct/>
      <w:autoSpaceDE/>
      <w:autoSpaceDN/>
      <w:adjustRightInd/>
      <w:snapToGrid w:val="0"/>
      <w:spacing w:line="400" w:lineRule="exact"/>
      <w:ind w:firstLine="200" w:firstLineChars="200"/>
      <w:jc w:val="both"/>
      <w:textAlignment w:val="auto"/>
    </w:pPr>
    <w:rPr>
      <w:rFonts w:ascii="Arial" w:hAnsi="Arial" w:cs="Courier New"/>
      <w:color w:val="000000"/>
      <w:kern w:val="2"/>
      <w:szCs w:val="20"/>
    </w:rPr>
  </w:style>
  <w:style w:type="paragraph" w:customStyle="1" w:styleId="999">
    <w:name w:val="表格内容"/>
    <w:basedOn w:val="1"/>
    <w:qFormat/>
    <w:uiPriority w:val="0"/>
    <w:pPr>
      <w:jc w:val="center"/>
    </w:pPr>
    <w:rPr>
      <w:rFonts w:ascii="Verdana" w:hAnsi="Verdana"/>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Info spid="_x0000_s4098"/>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31369</Words>
  <Characters>33677</Characters>
  <Lines>207</Lines>
  <Paragraphs>58</Paragraphs>
  <TotalTime>4</TotalTime>
  <ScaleCrop>false</ScaleCrop>
  <LinksUpToDate>false</LinksUpToDate>
  <CharactersWithSpaces>36168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2022-01-24T08:27:00Z</dcterms:created>
  <dc:creator>Windows 用户</dc:creator>
  <cp:lastModifiedBy>未知</cp:lastModifiedBy>
  <cp:lastPrinted>2022-11-08T01:28:00Z</cp:lastPrinted>
  <dcterms:modified xsi:type="dcterms:W3CDTF">2024-06-05T08:27:03Z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C86F422C33264DC599236D30F805B676</vt:lpwstr>
  </property>
</Properties>
</file>