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2"/>
      </w:tblGrid>
      <w:tr w14:paraId="182D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7" w:hRule="atLeast"/>
        </w:trPr>
        <w:tc>
          <w:tcPr>
            <w:tcW w:w="9212" w:type="dxa"/>
            <w:noWrap w:val="0"/>
            <w:vAlign w:val="top"/>
          </w:tcPr>
          <w:p w14:paraId="696AD437">
            <w:pPr>
              <w:tabs>
                <w:tab w:val="left" w:pos="8375"/>
              </w:tabs>
              <w:rPr>
                <w:rFonts w:hint="eastAsia" w:ascii="宋体" w:hAnsi="宋体" w:cs="宋体"/>
                <w:b/>
                <w:sz w:val="36"/>
              </w:rPr>
            </w:pPr>
          </w:p>
          <w:p w14:paraId="55BAF8A4">
            <w:pPr>
              <w:jc w:val="center"/>
              <w:rPr>
                <w:rFonts w:hint="eastAsia" w:ascii="宋体" w:hAnsi="宋体" w:eastAsia="宋体" w:cs="宋体"/>
                <w:b/>
                <w:bCs/>
                <w:color w:val="000000"/>
                <w:w w:val="100"/>
                <w:sz w:val="72"/>
                <w:szCs w:val="72"/>
                <w:lang w:val="en-US" w:eastAsia="zh-CN"/>
              </w:rPr>
            </w:pPr>
            <w:r>
              <w:rPr>
                <w:rFonts w:hint="eastAsia" w:ascii="宋体" w:hAnsi="宋体" w:eastAsia="宋体" w:cs="宋体"/>
                <w:b/>
                <w:bCs/>
                <w:color w:val="000000"/>
                <w:spacing w:val="85"/>
                <w:w w:val="100"/>
                <w:sz w:val="72"/>
                <w:szCs w:val="72"/>
                <w:lang w:val="en-US" w:eastAsia="zh-CN"/>
              </w:rPr>
              <w:t>龙港市政府采购</w:t>
            </w:r>
          </w:p>
          <w:p w14:paraId="033DFA4B">
            <w:pPr>
              <w:jc w:val="center"/>
              <w:rPr>
                <w:rFonts w:hint="eastAsia" w:ascii="宋体" w:hAnsi="宋体" w:eastAsia="宋体" w:cs="宋体"/>
                <w:color w:val="000000"/>
                <w:sz w:val="72"/>
                <w:szCs w:val="72"/>
              </w:rPr>
            </w:pPr>
            <w:r>
              <w:rPr>
                <w:rFonts w:hint="eastAsia" w:ascii="宋体" w:hAnsi="宋体" w:eastAsia="宋体" w:cs="宋体"/>
                <w:b/>
                <w:bCs/>
                <w:color w:val="000000"/>
                <w:w w:val="100"/>
                <w:sz w:val="72"/>
                <w:szCs w:val="72"/>
                <w:lang w:val="en-US" w:eastAsia="zh-CN"/>
              </w:rPr>
              <w:t>竞争性磋商采购</w:t>
            </w:r>
            <w:r>
              <w:rPr>
                <w:rFonts w:hint="eastAsia" w:ascii="宋体" w:hAnsi="宋体" w:eastAsia="宋体" w:cs="宋体"/>
                <w:b/>
                <w:bCs/>
                <w:color w:val="000000"/>
                <w:w w:val="100"/>
                <w:sz w:val="72"/>
                <w:szCs w:val="72"/>
              </w:rPr>
              <w:t>文件</w:t>
            </w:r>
          </w:p>
          <w:p w14:paraId="2227CCB7">
            <w:pPr>
              <w:spacing w:line="440" w:lineRule="exact"/>
              <w:ind w:left="1148"/>
              <w:rPr>
                <w:rFonts w:hint="eastAsia" w:ascii="宋体" w:hAnsi="宋体" w:eastAsia="宋体" w:cs="宋体"/>
                <w:b/>
                <w:bCs/>
                <w:sz w:val="28"/>
                <w:lang w:val="en-US" w:eastAsia="zh-CN"/>
              </w:rPr>
            </w:pPr>
            <w:r>
              <w:rPr>
                <w:rFonts w:hint="eastAsia" w:ascii="宋体" w:hAnsi="宋体" w:cs="宋体"/>
                <w:b/>
                <w:bCs/>
                <w:sz w:val="28"/>
                <w:lang w:val="en-US" w:eastAsia="zh-CN"/>
              </w:rPr>
              <w:t xml:space="preserve"> </w:t>
            </w:r>
            <w:bookmarkStart w:id="164" w:name="_GoBack"/>
            <w:bookmarkEnd w:id="164"/>
          </w:p>
          <w:p w14:paraId="73A0D6A9">
            <w:pPr>
              <w:pStyle w:val="6"/>
              <w:rPr>
                <w:rFonts w:hint="eastAsia" w:ascii="宋体" w:hAnsi="宋体" w:eastAsia="宋体" w:cs="宋体"/>
                <w:lang w:val="en-US" w:eastAsia="zh-CN"/>
              </w:rPr>
            </w:pPr>
            <w:r>
              <w:rPr>
                <w:rFonts w:hint="eastAsia" w:ascii="宋体" w:hAnsi="宋体" w:cs="宋体"/>
                <w:lang w:val="en-US" w:eastAsia="zh-CN"/>
              </w:rPr>
              <w:t xml:space="preserve"> </w:t>
            </w:r>
          </w:p>
          <w:p w14:paraId="1D9D6ACE">
            <w:pPr>
              <w:spacing w:line="440" w:lineRule="exact"/>
              <w:jc w:val="center"/>
              <w:rPr>
                <w:rFonts w:hint="eastAsia" w:ascii="宋体" w:hAnsi="宋体" w:eastAsia="宋体" w:cs="宋体"/>
                <w:b/>
                <w:sz w:val="28"/>
                <w:szCs w:val="28"/>
              </w:rPr>
            </w:pPr>
            <w:r>
              <w:rPr>
                <w:rFonts w:hint="eastAsia" w:ascii="宋体" w:hAnsi="宋体" w:eastAsia="宋体" w:cs="宋体"/>
                <w:b/>
                <w:sz w:val="32"/>
                <w:szCs w:val="32"/>
              </w:rPr>
              <w:t>（线上电子招投标）</w:t>
            </w:r>
          </w:p>
          <w:p w14:paraId="5683450F">
            <w:pPr>
              <w:pStyle w:val="6"/>
              <w:ind w:left="0" w:leftChars="0" w:firstLine="0" w:firstLineChars="0"/>
              <w:rPr>
                <w:rFonts w:hint="eastAsia" w:ascii="宋体" w:hAnsi="宋体" w:eastAsia="宋体" w:cs="宋体"/>
                <w:lang w:val="en-US" w:eastAsia="zh-CN"/>
              </w:rPr>
            </w:pPr>
            <w:r>
              <w:rPr>
                <w:rFonts w:hint="eastAsia" w:ascii="宋体" w:hAnsi="宋体" w:cs="宋体"/>
                <w:lang w:val="en-US" w:eastAsia="zh-CN"/>
              </w:rPr>
              <w:t xml:space="preserve"> </w:t>
            </w:r>
          </w:p>
          <w:p w14:paraId="6B83F645">
            <w:pPr>
              <w:pStyle w:val="7"/>
              <w:rPr>
                <w:rFonts w:hint="eastAsia" w:ascii="宋体" w:hAnsi="宋体" w:eastAsia="宋体" w:cs="宋体"/>
              </w:rPr>
            </w:pPr>
          </w:p>
          <w:p w14:paraId="7D18D378">
            <w:pPr>
              <w:spacing w:line="440" w:lineRule="exact"/>
              <w:ind w:left="3174" w:leftChars="869" w:hanging="1349" w:hangingChars="480"/>
              <w:rPr>
                <w:rFonts w:hint="eastAsia" w:ascii="宋体" w:hAnsi="宋体" w:eastAsia="宋体" w:cs="宋体"/>
                <w:b/>
                <w:bCs/>
                <w:sz w:val="28"/>
                <w:szCs w:val="28"/>
                <w:lang w:eastAsia="zh-CN"/>
              </w:rPr>
            </w:pPr>
            <w:r>
              <w:rPr>
                <w:rFonts w:hint="eastAsia" w:ascii="宋体" w:hAnsi="宋体" w:eastAsia="宋体" w:cs="宋体"/>
                <w:b/>
                <w:sz w:val="28"/>
                <w:szCs w:val="28"/>
                <w:u w:val="none" w:color="800080"/>
              </w:rPr>
              <w:t>项目名称：</w:t>
            </w:r>
            <w:r>
              <w:rPr>
                <w:rFonts w:hint="eastAsia" w:ascii="宋体" w:hAnsi="宋体" w:eastAsia="宋体" w:cs="宋体"/>
                <w:b/>
                <w:bCs/>
                <w:sz w:val="28"/>
                <w:szCs w:val="28"/>
                <w:lang w:eastAsia="zh-CN"/>
              </w:rPr>
              <w:t>龙港市第五中学新建教学楼二次装修及智能化工程采购项目</w:t>
            </w:r>
          </w:p>
          <w:p w14:paraId="425D73B6">
            <w:pPr>
              <w:spacing w:line="440" w:lineRule="exact"/>
              <w:ind w:left="3174" w:leftChars="869" w:hanging="1349" w:hangingChars="480"/>
              <w:rPr>
                <w:rFonts w:hint="eastAsia" w:ascii="宋体" w:hAnsi="宋体" w:eastAsia="宋体" w:cs="宋体"/>
                <w:b/>
                <w:sz w:val="28"/>
                <w:szCs w:val="28"/>
                <w:u w:val="none" w:color="800080"/>
                <w:lang w:eastAsia="zh-CN"/>
              </w:rPr>
            </w:pPr>
            <w:r>
              <w:rPr>
                <w:rFonts w:hint="eastAsia" w:ascii="宋体" w:hAnsi="宋体" w:eastAsia="宋体" w:cs="宋体"/>
                <w:b/>
                <w:sz w:val="28"/>
                <w:szCs w:val="28"/>
                <w:u w:val="none" w:color="800080"/>
                <w:lang w:eastAsia="zh-CN"/>
              </w:rPr>
              <w:t>采购组织类型：分散采购-分散委托中介</w:t>
            </w:r>
          </w:p>
          <w:p w14:paraId="782A4B51">
            <w:pPr>
              <w:spacing w:line="440" w:lineRule="exact"/>
              <w:rPr>
                <w:rFonts w:hint="eastAsia" w:ascii="宋体" w:hAnsi="宋体" w:eastAsia="宋体" w:cs="宋体"/>
                <w:b/>
                <w:bCs/>
                <w:sz w:val="28"/>
                <w:szCs w:val="28"/>
              </w:rPr>
            </w:pPr>
          </w:p>
          <w:p w14:paraId="3F885806">
            <w:pPr>
              <w:spacing w:line="440" w:lineRule="exact"/>
              <w:rPr>
                <w:rFonts w:hint="eastAsia" w:ascii="宋体" w:hAnsi="宋体" w:eastAsia="宋体" w:cs="宋体"/>
                <w:b/>
                <w:sz w:val="28"/>
                <w:szCs w:val="28"/>
              </w:rPr>
            </w:pPr>
          </w:p>
          <w:p w14:paraId="44613A03">
            <w:pPr>
              <w:spacing w:line="440" w:lineRule="exact"/>
              <w:ind w:firstLine="1816" w:firstLineChars="646"/>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采 购 人：</w:t>
            </w:r>
            <w:r>
              <w:rPr>
                <w:rFonts w:hint="eastAsia" w:ascii="宋体" w:hAnsi="宋体" w:eastAsia="宋体" w:cs="宋体"/>
                <w:b/>
                <w:color w:val="000000"/>
                <w:sz w:val="28"/>
                <w:szCs w:val="28"/>
                <w:lang w:eastAsia="zh-CN"/>
              </w:rPr>
              <w:t>龙港市第五中学</w:t>
            </w:r>
          </w:p>
          <w:p w14:paraId="76843CAB">
            <w:pPr>
              <w:spacing w:line="440" w:lineRule="exact"/>
              <w:ind w:firstLine="1816" w:firstLineChars="646"/>
              <w:rPr>
                <w:rFonts w:hint="eastAsia" w:ascii="宋体" w:hAnsi="宋体" w:eastAsia="宋体" w:cs="宋体"/>
                <w:b/>
                <w:color w:val="000000"/>
                <w:sz w:val="28"/>
                <w:szCs w:val="28"/>
              </w:rPr>
            </w:pPr>
            <w:r>
              <w:rPr>
                <w:rFonts w:hint="eastAsia" w:ascii="宋体" w:hAnsi="宋体" w:eastAsia="宋体" w:cs="宋体"/>
                <w:b/>
                <w:color w:val="000000"/>
                <w:sz w:val="28"/>
                <w:szCs w:val="28"/>
              </w:rPr>
              <w:t>联 系 人：</w:t>
            </w:r>
            <w:r>
              <w:rPr>
                <w:rFonts w:hint="eastAsia" w:ascii="宋体" w:hAnsi="宋体" w:eastAsia="宋体" w:cs="宋体"/>
                <w:b/>
                <w:color w:val="000000"/>
                <w:sz w:val="28"/>
                <w:szCs w:val="28"/>
                <w:lang w:val="en-US" w:eastAsia="zh-CN"/>
              </w:rPr>
              <w:t>陈老师</w:t>
            </w:r>
          </w:p>
          <w:p w14:paraId="0D61D5B2">
            <w:pPr>
              <w:spacing w:line="440" w:lineRule="exact"/>
              <w:ind w:firstLine="1816" w:firstLineChars="646"/>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 xml:space="preserve">联系电话：0577-64193292 </w:t>
            </w:r>
          </w:p>
          <w:p w14:paraId="1B4CAAFB">
            <w:pPr>
              <w:spacing w:line="440" w:lineRule="exact"/>
              <w:rPr>
                <w:rFonts w:hint="eastAsia" w:ascii="宋体" w:hAnsi="宋体" w:eastAsia="宋体" w:cs="宋体"/>
                <w:b/>
                <w:color w:val="000000"/>
                <w:sz w:val="28"/>
                <w:szCs w:val="28"/>
              </w:rPr>
            </w:pPr>
          </w:p>
          <w:p w14:paraId="72295D50">
            <w:pPr>
              <w:spacing w:line="440" w:lineRule="exact"/>
              <w:rPr>
                <w:rFonts w:hint="eastAsia" w:ascii="宋体" w:hAnsi="宋体" w:eastAsia="宋体" w:cs="宋体"/>
                <w:b/>
                <w:color w:val="000000"/>
                <w:sz w:val="28"/>
                <w:szCs w:val="28"/>
              </w:rPr>
            </w:pPr>
          </w:p>
          <w:p w14:paraId="04E42194">
            <w:pPr>
              <w:spacing w:line="440" w:lineRule="exact"/>
              <w:ind w:firstLine="1816" w:firstLineChars="646"/>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代理机构：</w:t>
            </w:r>
            <w:r>
              <w:rPr>
                <w:rFonts w:hint="eastAsia" w:ascii="宋体" w:hAnsi="宋体" w:eastAsia="宋体" w:cs="宋体"/>
                <w:b/>
                <w:color w:val="000000"/>
                <w:sz w:val="28"/>
                <w:szCs w:val="28"/>
                <w:lang w:eastAsia="zh-CN"/>
              </w:rPr>
              <w:t>温州立民招标代理有限公司</w:t>
            </w:r>
          </w:p>
          <w:p w14:paraId="17677F8D">
            <w:pPr>
              <w:spacing w:line="440" w:lineRule="exact"/>
              <w:ind w:firstLine="1816" w:firstLineChars="646"/>
              <w:rPr>
                <w:rFonts w:hint="eastAsia" w:ascii="宋体" w:hAnsi="宋体" w:eastAsia="宋体" w:cs="宋体"/>
                <w:b/>
                <w:color w:val="000000"/>
                <w:sz w:val="28"/>
                <w:szCs w:val="28"/>
              </w:rPr>
            </w:pPr>
            <w:r>
              <w:rPr>
                <w:rFonts w:hint="eastAsia" w:ascii="宋体" w:hAnsi="宋体" w:eastAsia="宋体" w:cs="宋体"/>
                <w:b/>
                <w:color w:val="000000"/>
                <w:sz w:val="28"/>
                <w:szCs w:val="28"/>
              </w:rPr>
              <w:t>联 系 人：周先生</w:t>
            </w:r>
          </w:p>
          <w:p w14:paraId="08032412">
            <w:pPr>
              <w:spacing w:line="440" w:lineRule="exact"/>
              <w:ind w:firstLine="1816" w:firstLineChars="646"/>
              <w:rPr>
                <w:rFonts w:hint="eastAsia" w:ascii="宋体" w:hAnsi="宋体" w:eastAsia="宋体" w:cs="宋体"/>
                <w:b/>
                <w:color w:val="000000"/>
                <w:sz w:val="28"/>
                <w:szCs w:val="28"/>
              </w:rPr>
            </w:pPr>
            <w:r>
              <w:rPr>
                <w:rFonts w:hint="eastAsia" w:ascii="宋体" w:hAnsi="宋体" w:eastAsia="宋体" w:cs="宋体"/>
                <w:b/>
                <w:color w:val="000000"/>
                <w:sz w:val="28"/>
                <w:szCs w:val="28"/>
              </w:rPr>
              <w:t>联系电话：18668780078</w:t>
            </w:r>
          </w:p>
          <w:p w14:paraId="2922950F">
            <w:pPr>
              <w:spacing w:line="440" w:lineRule="exact"/>
              <w:ind w:firstLine="1816" w:firstLineChars="646"/>
              <w:rPr>
                <w:rFonts w:hint="eastAsia" w:ascii="宋体" w:hAnsi="宋体" w:eastAsia="宋体" w:cs="宋体"/>
                <w:b/>
                <w:color w:val="000000"/>
                <w:sz w:val="28"/>
                <w:szCs w:val="28"/>
              </w:rPr>
            </w:pPr>
          </w:p>
          <w:p w14:paraId="46385439">
            <w:pPr>
              <w:spacing w:line="440" w:lineRule="exact"/>
              <w:rPr>
                <w:rFonts w:hint="eastAsia" w:ascii="宋体" w:hAnsi="宋体" w:eastAsia="宋体" w:cs="宋体"/>
                <w:b/>
                <w:color w:val="000000"/>
                <w:sz w:val="28"/>
                <w:szCs w:val="28"/>
              </w:rPr>
            </w:pPr>
          </w:p>
          <w:p w14:paraId="1B675884">
            <w:pPr>
              <w:spacing w:line="440" w:lineRule="exact"/>
              <w:rPr>
                <w:rFonts w:hint="eastAsia" w:ascii="宋体" w:hAnsi="宋体" w:eastAsia="宋体" w:cs="宋体"/>
                <w:b/>
                <w:color w:val="000000"/>
                <w:sz w:val="28"/>
                <w:szCs w:val="28"/>
              </w:rPr>
            </w:pPr>
          </w:p>
          <w:p w14:paraId="5EA4BF83">
            <w:pPr>
              <w:pStyle w:val="28"/>
              <w:ind w:left="99" w:leftChars="47" w:firstLine="42" w:firstLineChars="15"/>
              <w:jc w:val="center"/>
              <w:rPr>
                <w:rFonts w:hint="eastAsia" w:ascii="宋体" w:hAnsi="宋体" w:eastAsia="宋体" w:cs="宋体"/>
                <w:b/>
                <w:sz w:val="30"/>
                <w:szCs w:val="30"/>
                <w:lang w:val="en-US" w:eastAsia="zh-CN"/>
              </w:rPr>
            </w:pPr>
            <w:r>
              <w:rPr>
                <w:rFonts w:hint="eastAsia" w:ascii="宋体" w:hAnsi="宋体" w:eastAsia="宋体" w:cs="宋体"/>
                <w:b/>
                <w:sz w:val="28"/>
                <w:szCs w:val="28"/>
                <w:lang w:val="en-US" w:eastAsia="zh-CN"/>
              </w:rPr>
              <w:t>监督机构：龙港市财政局财政监督科</w:t>
            </w:r>
          </w:p>
          <w:p w14:paraId="0756AB15">
            <w:pPr>
              <w:ind w:firstLine="1710" w:firstLineChars="811"/>
              <w:rPr>
                <w:rFonts w:hint="eastAsia" w:ascii="宋体" w:hAnsi="宋体" w:eastAsia="宋体" w:cs="宋体"/>
                <w:b/>
              </w:rPr>
            </w:pPr>
            <w:r>
              <w:rPr>
                <w:rFonts w:hint="eastAsia" w:ascii="宋体" w:hAnsi="宋体" w:eastAsia="宋体" w:cs="宋体"/>
                <w:b/>
              </w:rPr>
              <w:t xml:space="preserve">                                         </w:t>
            </w:r>
          </w:p>
          <w:p w14:paraId="04B2DBA6">
            <w:pPr>
              <w:ind w:firstLine="1710" w:firstLineChars="811"/>
              <w:rPr>
                <w:rFonts w:hint="eastAsia" w:ascii="宋体" w:hAnsi="宋体" w:eastAsia="宋体" w:cs="宋体"/>
                <w:b/>
              </w:rPr>
            </w:pPr>
            <w:r>
              <w:rPr>
                <w:rFonts w:hint="eastAsia" w:ascii="宋体" w:hAnsi="宋体" w:eastAsia="宋体" w:cs="宋体"/>
                <w:b/>
              </w:rPr>
              <w:t xml:space="preserve">                        </w:t>
            </w:r>
            <w:r>
              <w:rPr>
                <w:rFonts w:hint="eastAsia" w:ascii="宋体" w:hAnsi="宋体" w:eastAsia="宋体" w:cs="宋体"/>
                <w:b/>
                <w:lang w:val="en-US" w:eastAsia="zh-CN"/>
              </w:rPr>
              <w:t xml:space="preserve"> </w:t>
            </w:r>
            <w:r>
              <w:rPr>
                <w:rFonts w:hint="eastAsia" w:ascii="宋体" w:hAnsi="宋体" w:eastAsia="宋体" w:cs="宋体"/>
                <w:b/>
              </w:rPr>
              <w:t xml:space="preserve">               </w:t>
            </w:r>
          </w:p>
          <w:p w14:paraId="7E658E29">
            <w:pPr>
              <w:jc w:val="center"/>
              <w:rPr>
                <w:rFonts w:hint="eastAsia" w:ascii="宋体" w:hAnsi="宋体" w:cs="宋体"/>
              </w:rPr>
            </w:pPr>
            <w:r>
              <w:rPr>
                <w:rFonts w:hint="eastAsia" w:ascii="宋体" w:hAnsi="宋体" w:eastAsia="宋体" w:cs="宋体"/>
                <w:b/>
                <w:sz w:val="30"/>
                <w:szCs w:val="30"/>
              </w:rPr>
              <w:t>二〇二</w:t>
            </w:r>
            <w:r>
              <w:rPr>
                <w:rFonts w:hint="eastAsia" w:ascii="宋体" w:hAnsi="宋体" w:eastAsia="宋体" w:cs="宋体"/>
                <w:b/>
                <w:sz w:val="30"/>
                <w:szCs w:val="30"/>
                <w:lang w:val="en-US" w:eastAsia="zh-CN"/>
              </w:rPr>
              <w:t>四</w:t>
            </w:r>
            <w:r>
              <w:rPr>
                <w:rFonts w:hint="eastAsia" w:ascii="宋体" w:hAnsi="宋体" w:eastAsia="宋体" w:cs="宋体"/>
                <w:b/>
                <w:sz w:val="30"/>
                <w:szCs w:val="30"/>
              </w:rPr>
              <w:t>年</w:t>
            </w:r>
            <w:r>
              <w:rPr>
                <w:rFonts w:hint="eastAsia" w:ascii="宋体" w:hAnsi="宋体" w:eastAsia="宋体" w:cs="宋体"/>
                <w:b/>
                <w:sz w:val="30"/>
                <w:szCs w:val="30"/>
                <w:lang w:val="en-US" w:eastAsia="zh-CN"/>
              </w:rPr>
              <w:t>十</w:t>
            </w:r>
            <w:r>
              <w:rPr>
                <w:rFonts w:hint="eastAsia" w:ascii="宋体" w:hAnsi="宋体" w:eastAsia="宋体" w:cs="宋体"/>
                <w:b/>
                <w:sz w:val="30"/>
                <w:szCs w:val="30"/>
              </w:rPr>
              <w:t>月</w:t>
            </w:r>
          </w:p>
        </w:tc>
      </w:tr>
    </w:tbl>
    <w:p w14:paraId="1BB7E31B">
      <w:pPr>
        <w:pStyle w:val="8"/>
        <w:spacing w:before="0" w:after="0"/>
        <w:jc w:val="center"/>
        <w:rPr>
          <w:rFonts w:hint="eastAsia" w:ascii="宋体" w:hAnsi="宋体" w:eastAsia="宋体" w:cs="宋体"/>
          <w:b/>
          <w:bCs/>
          <w:spacing w:val="0"/>
          <w:szCs w:val="22"/>
        </w:rPr>
        <w:sectPr>
          <w:headerReference r:id="rId4" w:type="first"/>
          <w:footerReference r:id="rId7" w:type="first"/>
          <w:footerReference r:id="rId5" w:type="default"/>
          <w:headerReference r:id="rId3" w:type="even"/>
          <w:footerReference r:id="rId6" w:type="even"/>
          <w:pgSz w:w="11906" w:h="16838"/>
          <w:pgMar w:top="1440" w:right="1417" w:bottom="1440" w:left="1417" w:header="851" w:footer="992" w:gutter="0"/>
          <w:pgBorders>
            <w:top w:val="none" w:sz="0" w:space="0"/>
            <w:left w:val="none" w:sz="0" w:space="0"/>
            <w:bottom w:val="none" w:sz="0" w:space="0"/>
            <w:right w:val="none" w:sz="0" w:space="0"/>
          </w:pgBorders>
          <w:pgNumType w:fmt="numberInDash"/>
          <w:cols w:space="720" w:num="1"/>
          <w:titlePg/>
          <w:docGrid w:type="lines" w:linePitch="324" w:charSpace="0"/>
        </w:sectPr>
      </w:pPr>
      <w:bookmarkStart w:id="0" w:name="_Toc31974"/>
      <w:bookmarkStart w:id="1" w:name="_Toc14741"/>
      <w:bookmarkStart w:id="2" w:name="OLE_LINK25"/>
    </w:p>
    <w:p w14:paraId="178C9CDE">
      <w:pPr>
        <w:autoSpaceDE w:val="0"/>
        <w:autoSpaceDN w:val="0"/>
        <w:snapToGrid w:val="0"/>
        <w:spacing w:line="440" w:lineRule="atLeast"/>
        <w:jc w:val="center"/>
        <w:textAlignment w:val="bottom"/>
        <w:rPr>
          <w:rFonts w:hint="eastAsia" w:ascii="宋体" w:hAnsi="宋体" w:cs="宋体"/>
          <w:b/>
          <w:bCs/>
          <w:kern w:val="44"/>
          <w:sz w:val="32"/>
          <w:szCs w:val="22"/>
        </w:rPr>
      </w:pPr>
      <w:bookmarkStart w:id="3" w:name="_Toc11262"/>
      <w:r>
        <w:rPr>
          <w:rFonts w:hint="eastAsia" w:ascii="宋体" w:hAnsi="宋体" w:cs="宋体"/>
          <w:b/>
          <w:bCs/>
          <w:kern w:val="44"/>
          <w:sz w:val="32"/>
          <w:szCs w:val="22"/>
        </w:rPr>
        <w:t>采购文件总目录</w:t>
      </w:r>
    </w:p>
    <w:p w14:paraId="1086614B">
      <w:pPr>
        <w:pStyle w:val="3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4"/>
          <w:szCs w:val="24"/>
          <w:u w:val="thick"/>
        </w:rPr>
        <w:fldChar w:fldCharType="begin"/>
      </w:r>
      <w:r>
        <w:rPr>
          <w:rFonts w:hint="eastAsia" w:ascii="宋体" w:hAnsi="宋体" w:eastAsia="宋体" w:cs="宋体"/>
          <w:sz w:val="24"/>
          <w:szCs w:val="24"/>
          <w:u w:val="thick"/>
        </w:rPr>
        <w:instrText xml:space="preserve">TOC \o "1-3" \h \u </w:instrText>
      </w:r>
      <w:r>
        <w:rPr>
          <w:rFonts w:hint="eastAsia" w:ascii="宋体" w:hAnsi="宋体" w:eastAsia="宋体" w:cs="宋体"/>
          <w:sz w:val="24"/>
          <w:szCs w:val="24"/>
          <w:u w:val="thick"/>
        </w:rPr>
        <w:fldChar w:fldCharType="separate"/>
      </w: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_Toc11262 </w:instrText>
      </w:r>
      <w:r>
        <w:rPr>
          <w:rFonts w:hint="eastAsia" w:ascii="宋体" w:hAnsi="宋体" w:eastAsia="宋体" w:cs="宋体"/>
          <w:sz w:val="22"/>
          <w:szCs w:val="28"/>
        </w:rPr>
        <w:fldChar w:fldCharType="separate"/>
      </w:r>
      <w:r>
        <w:rPr>
          <w:rFonts w:hint="eastAsia" w:ascii="宋体" w:hAnsi="宋体" w:eastAsia="宋体" w:cs="宋体"/>
          <w:bCs/>
          <w:spacing w:val="0"/>
          <w:sz w:val="22"/>
          <w:szCs w:val="28"/>
        </w:rPr>
        <w:t>关于</w:t>
      </w:r>
      <w:r>
        <w:rPr>
          <w:rFonts w:hint="eastAsia" w:ascii="宋体" w:hAnsi="宋体" w:eastAsia="宋体" w:cs="宋体"/>
          <w:bCs/>
          <w:spacing w:val="0"/>
          <w:sz w:val="22"/>
          <w:szCs w:val="28"/>
          <w:lang w:eastAsia="zh-CN"/>
        </w:rPr>
        <w:t>龙港市第五中学新建教学楼二次装修及智能化工程采购项目</w:t>
      </w:r>
      <w:r>
        <w:rPr>
          <w:rFonts w:hint="eastAsia" w:ascii="宋体" w:hAnsi="宋体" w:eastAsia="宋体" w:cs="宋体"/>
          <w:bCs/>
          <w:spacing w:val="0"/>
          <w:sz w:val="22"/>
          <w:szCs w:val="28"/>
        </w:rPr>
        <w:t>的</w:t>
      </w:r>
      <w:r>
        <w:rPr>
          <w:rFonts w:hint="eastAsia" w:ascii="宋体" w:hAnsi="宋体" w:eastAsia="宋体" w:cs="宋体"/>
          <w:bCs/>
          <w:spacing w:val="0"/>
          <w:sz w:val="22"/>
          <w:szCs w:val="22"/>
          <w:lang w:val="en-US" w:eastAsia="zh-CN"/>
        </w:rPr>
        <w:t>竞争性磋商</w:t>
      </w:r>
      <w:r>
        <w:rPr>
          <w:rFonts w:hint="eastAsia" w:ascii="宋体" w:hAnsi="宋体" w:eastAsia="宋体" w:cs="宋体"/>
          <w:bCs/>
          <w:spacing w:val="0"/>
          <w:sz w:val="22"/>
          <w:szCs w:val="22"/>
        </w:rPr>
        <w:t>公告</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_Toc11262 </w:instrText>
      </w:r>
      <w:r>
        <w:rPr>
          <w:rFonts w:hint="eastAsia" w:ascii="宋体" w:hAnsi="宋体" w:eastAsia="宋体" w:cs="宋体"/>
          <w:sz w:val="22"/>
          <w:szCs w:val="22"/>
        </w:rPr>
        <w:fldChar w:fldCharType="separate"/>
      </w:r>
      <w:r>
        <w:rPr>
          <w:rFonts w:hint="eastAsia" w:ascii="宋体" w:hAnsi="宋体" w:eastAsia="宋体" w:cs="宋体"/>
          <w:sz w:val="22"/>
          <w:szCs w:val="22"/>
        </w:rPr>
        <w:t>- 1 -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18A84DF9">
      <w:pPr>
        <w:pStyle w:val="3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_Toc4655 </w:instrText>
      </w:r>
      <w:r>
        <w:rPr>
          <w:rFonts w:hint="eastAsia" w:ascii="宋体" w:hAnsi="宋体" w:eastAsia="宋体" w:cs="宋体"/>
          <w:sz w:val="22"/>
          <w:szCs w:val="28"/>
        </w:rPr>
        <w:fldChar w:fldCharType="separate"/>
      </w:r>
      <w:r>
        <w:rPr>
          <w:rFonts w:hint="eastAsia" w:ascii="宋体" w:hAnsi="宋体" w:eastAsia="宋体" w:cs="宋体"/>
          <w:bCs/>
          <w:spacing w:val="0"/>
          <w:sz w:val="22"/>
          <w:szCs w:val="28"/>
        </w:rPr>
        <w:t>投 标 通 知 (邀 请) 书</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_Toc4655 </w:instrText>
      </w:r>
      <w:r>
        <w:rPr>
          <w:rFonts w:hint="eastAsia" w:ascii="宋体" w:hAnsi="宋体" w:eastAsia="宋体" w:cs="宋体"/>
          <w:sz w:val="22"/>
          <w:szCs w:val="22"/>
        </w:rPr>
        <w:fldChar w:fldCharType="separate"/>
      </w:r>
      <w:r>
        <w:rPr>
          <w:rFonts w:hint="eastAsia" w:ascii="宋体" w:hAnsi="宋体" w:eastAsia="宋体" w:cs="宋体"/>
          <w:sz w:val="22"/>
          <w:szCs w:val="22"/>
        </w:rPr>
        <w:t>- 5 -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7BE3F4DC">
      <w:pPr>
        <w:pStyle w:val="3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_Toc27187 </w:instrText>
      </w:r>
      <w:r>
        <w:rPr>
          <w:rFonts w:hint="eastAsia" w:ascii="宋体" w:hAnsi="宋体" w:eastAsia="宋体" w:cs="宋体"/>
          <w:sz w:val="22"/>
          <w:szCs w:val="28"/>
        </w:rPr>
        <w:fldChar w:fldCharType="separate"/>
      </w:r>
      <w:r>
        <w:rPr>
          <w:rFonts w:hint="eastAsia" w:ascii="宋体" w:hAnsi="宋体" w:eastAsia="宋体" w:cs="宋体"/>
          <w:bCs/>
          <w:spacing w:val="0"/>
          <w:sz w:val="22"/>
          <w:szCs w:val="22"/>
        </w:rPr>
        <w:t>第一部分   项目简介</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_Toc27187 </w:instrText>
      </w:r>
      <w:r>
        <w:rPr>
          <w:rFonts w:hint="eastAsia" w:ascii="宋体" w:hAnsi="宋体" w:eastAsia="宋体" w:cs="宋体"/>
          <w:sz w:val="22"/>
          <w:szCs w:val="22"/>
        </w:rPr>
        <w:fldChar w:fldCharType="separate"/>
      </w:r>
      <w:r>
        <w:rPr>
          <w:rFonts w:hint="eastAsia" w:ascii="宋体" w:hAnsi="宋体" w:eastAsia="宋体" w:cs="宋体"/>
          <w:sz w:val="22"/>
          <w:szCs w:val="22"/>
        </w:rPr>
        <w:t>- 10 -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6D934AB6">
      <w:pPr>
        <w:pStyle w:val="3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_Toc23504 </w:instrText>
      </w:r>
      <w:r>
        <w:rPr>
          <w:rFonts w:hint="eastAsia" w:ascii="宋体" w:hAnsi="宋体" w:eastAsia="宋体" w:cs="宋体"/>
          <w:sz w:val="22"/>
          <w:szCs w:val="28"/>
        </w:rPr>
        <w:fldChar w:fldCharType="separate"/>
      </w:r>
      <w:r>
        <w:rPr>
          <w:rFonts w:hint="eastAsia" w:ascii="宋体" w:hAnsi="宋体" w:eastAsia="宋体" w:cs="宋体"/>
          <w:bCs/>
          <w:spacing w:val="0"/>
          <w:sz w:val="22"/>
          <w:szCs w:val="28"/>
        </w:rPr>
        <w:t>第二部分   采购内容及技术要求</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_Toc23504 </w:instrText>
      </w:r>
      <w:r>
        <w:rPr>
          <w:rFonts w:hint="eastAsia" w:ascii="宋体" w:hAnsi="宋体" w:eastAsia="宋体" w:cs="宋体"/>
          <w:sz w:val="22"/>
          <w:szCs w:val="22"/>
        </w:rPr>
        <w:fldChar w:fldCharType="separate"/>
      </w:r>
      <w:r>
        <w:rPr>
          <w:rFonts w:hint="eastAsia" w:ascii="宋体" w:hAnsi="宋体" w:eastAsia="宋体" w:cs="宋体"/>
          <w:sz w:val="22"/>
          <w:szCs w:val="22"/>
        </w:rPr>
        <w:t>- 10 -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5795975D">
      <w:pPr>
        <w:pStyle w:val="3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_Toc3502 </w:instrText>
      </w:r>
      <w:r>
        <w:rPr>
          <w:rFonts w:hint="eastAsia" w:ascii="宋体" w:hAnsi="宋体" w:eastAsia="宋体" w:cs="宋体"/>
          <w:sz w:val="22"/>
          <w:szCs w:val="28"/>
        </w:rPr>
        <w:fldChar w:fldCharType="separate"/>
      </w:r>
      <w:r>
        <w:rPr>
          <w:rFonts w:hint="eastAsia" w:ascii="宋体" w:hAnsi="宋体" w:eastAsia="宋体" w:cs="宋体"/>
          <w:sz w:val="22"/>
          <w:szCs w:val="40"/>
        </w:rPr>
        <w:t>第三部分   供应商须知</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_Toc3502 </w:instrText>
      </w:r>
      <w:r>
        <w:rPr>
          <w:rFonts w:hint="eastAsia" w:ascii="宋体" w:hAnsi="宋体" w:eastAsia="宋体" w:cs="宋体"/>
          <w:sz w:val="22"/>
          <w:szCs w:val="22"/>
        </w:rPr>
        <w:fldChar w:fldCharType="separate"/>
      </w:r>
      <w:r>
        <w:rPr>
          <w:rFonts w:hint="eastAsia" w:ascii="宋体" w:hAnsi="宋体" w:eastAsia="宋体" w:cs="宋体"/>
          <w:sz w:val="22"/>
          <w:szCs w:val="22"/>
        </w:rPr>
        <w:t>- 54 -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0FF8FCFD">
      <w:pPr>
        <w:pStyle w:val="4"/>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_Toc18662 </w:instrText>
      </w:r>
      <w:r>
        <w:rPr>
          <w:rFonts w:hint="eastAsia" w:ascii="宋体" w:hAnsi="宋体" w:eastAsia="宋体" w:cs="宋体"/>
          <w:sz w:val="22"/>
          <w:szCs w:val="28"/>
        </w:rPr>
        <w:fldChar w:fldCharType="separate"/>
      </w:r>
      <w:r>
        <w:rPr>
          <w:rFonts w:hint="eastAsia" w:ascii="宋体" w:hAnsi="宋体" w:eastAsia="宋体" w:cs="宋体"/>
          <w:bCs/>
          <w:sz w:val="22"/>
          <w:szCs w:val="28"/>
        </w:rPr>
        <w:t>一、说明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_Toc18662 </w:instrText>
      </w:r>
      <w:r>
        <w:rPr>
          <w:rFonts w:hint="eastAsia" w:ascii="宋体" w:hAnsi="宋体" w:eastAsia="宋体" w:cs="宋体"/>
          <w:sz w:val="22"/>
          <w:szCs w:val="22"/>
        </w:rPr>
        <w:fldChar w:fldCharType="separate"/>
      </w:r>
      <w:r>
        <w:rPr>
          <w:rFonts w:hint="eastAsia" w:ascii="宋体" w:hAnsi="宋体" w:eastAsia="宋体" w:cs="宋体"/>
          <w:sz w:val="22"/>
          <w:szCs w:val="22"/>
        </w:rPr>
        <w:t>- 54 -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502ED87E">
      <w:pPr>
        <w:pStyle w:val="4"/>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_Toc13814 </w:instrText>
      </w:r>
      <w:r>
        <w:rPr>
          <w:rFonts w:hint="eastAsia" w:ascii="宋体" w:hAnsi="宋体" w:eastAsia="宋体" w:cs="宋体"/>
          <w:sz w:val="22"/>
          <w:szCs w:val="28"/>
        </w:rPr>
        <w:fldChar w:fldCharType="separate"/>
      </w:r>
      <w:r>
        <w:rPr>
          <w:rFonts w:hint="eastAsia" w:ascii="宋体" w:hAnsi="宋体" w:eastAsia="宋体" w:cs="宋体"/>
          <w:bCs/>
          <w:sz w:val="22"/>
          <w:szCs w:val="28"/>
        </w:rPr>
        <w:t>二、供应商资格要求</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_Toc13814 </w:instrText>
      </w:r>
      <w:r>
        <w:rPr>
          <w:rFonts w:hint="eastAsia" w:ascii="宋体" w:hAnsi="宋体" w:eastAsia="宋体" w:cs="宋体"/>
          <w:sz w:val="22"/>
          <w:szCs w:val="22"/>
        </w:rPr>
        <w:fldChar w:fldCharType="separate"/>
      </w:r>
      <w:r>
        <w:rPr>
          <w:rFonts w:hint="eastAsia" w:ascii="宋体" w:hAnsi="宋体" w:eastAsia="宋体" w:cs="宋体"/>
          <w:sz w:val="22"/>
          <w:szCs w:val="22"/>
        </w:rPr>
        <w:t>- 55 -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030C7AC6">
      <w:pPr>
        <w:pStyle w:val="4"/>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_Toc28065 </w:instrText>
      </w:r>
      <w:r>
        <w:rPr>
          <w:rFonts w:hint="eastAsia" w:ascii="宋体" w:hAnsi="宋体" w:eastAsia="宋体" w:cs="宋体"/>
          <w:sz w:val="22"/>
          <w:szCs w:val="28"/>
        </w:rPr>
        <w:fldChar w:fldCharType="separate"/>
      </w:r>
      <w:r>
        <w:rPr>
          <w:rFonts w:hint="eastAsia" w:ascii="宋体" w:hAnsi="宋体" w:eastAsia="宋体" w:cs="宋体"/>
          <w:bCs/>
          <w:sz w:val="22"/>
          <w:szCs w:val="28"/>
        </w:rPr>
        <w:t>三、</w:t>
      </w:r>
      <w:r>
        <w:rPr>
          <w:rFonts w:hint="eastAsia" w:ascii="宋体" w:hAnsi="宋体" w:eastAsia="宋体" w:cs="宋体"/>
          <w:bCs/>
          <w:sz w:val="22"/>
          <w:szCs w:val="28"/>
          <w:lang w:val="en-US" w:eastAsia="zh-CN"/>
        </w:rPr>
        <w:t>采购</w:t>
      </w:r>
      <w:r>
        <w:rPr>
          <w:rFonts w:hint="eastAsia" w:ascii="宋体" w:hAnsi="宋体" w:eastAsia="宋体" w:cs="宋体"/>
          <w:bCs/>
          <w:sz w:val="22"/>
          <w:szCs w:val="28"/>
        </w:rPr>
        <w:t>文件</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_Toc28065 </w:instrText>
      </w:r>
      <w:r>
        <w:rPr>
          <w:rFonts w:hint="eastAsia" w:ascii="宋体" w:hAnsi="宋体" w:eastAsia="宋体" w:cs="宋体"/>
          <w:sz w:val="22"/>
          <w:szCs w:val="22"/>
        </w:rPr>
        <w:fldChar w:fldCharType="separate"/>
      </w:r>
      <w:r>
        <w:rPr>
          <w:rFonts w:hint="eastAsia" w:ascii="宋体" w:hAnsi="宋体" w:eastAsia="宋体" w:cs="宋体"/>
          <w:sz w:val="22"/>
          <w:szCs w:val="22"/>
        </w:rPr>
        <w:t>- 55 -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634F3D71">
      <w:pPr>
        <w:pStyle w:val="4"/>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_Toc21573 </w:instrText>
      </w:r>
      <w:r>
        <w:rPr>
          <w:rFonts w:hint="eastAsia" w:ascii="宋体" w:hAnsi="宋体" w:eastAsia="宋体" w:cs="宋体"/>
          <w:sz w:val="22"/>
          <w:szCs w:val="28"/>
        </w:rPr>
        <w:fldChar w:fldCharType="separate"/>
      </w:r>
      <w:r>
        <w:rPr>
          <w:rFonts w:hint="eastAsia" w:ascii="宋体" w:hAnsi="宋体" w:eastAsia="宋体" w:cs="宋体"/>
          <w:bCs/>
          <w:sz w:val="22"/>
          <w:szCs w:val="28"/>
        </w:rPr>
        <w:t>四、</w:t>
      </w:r>
      <w:r>
        <w:rPr>
          <w:rFonts w:hint="eastAsia" w:ascii="宋体" w:hAnsi="宋体" w:eastAsia="宋体" w:cs="宋体"/>
          <w:bCs/>
          <w:sz w:val="22"/>
          <w:szCs w:val="28"/>
          <w:lang w:eastAsia="zh-CN"/>
        </w:rPr>
        <w:t>投标响应文件</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_Toc21573 </w:instrText>
      </w:r>
      <w:r>
        <w:rPr>
          <w:rFonts w:hint="eastAsia" w:ascii="宋体" w:hAnsi="宋体" w:eastAsia="宋体" w:cs="宋体"/>
          <w:sz w:val="22"/>
          <w:szCs w:val="22"/>
        </w:rPr>
        <w:fldChar w:fldCharType="separate"/>
      </w:r>
      <w:r>
        <w:rPr>
          <w:rFonts w:hint="eastAsia" w:ascii="宋体" w:hAnsi="宋体" w:eastAsia="宋体" w:cs="宋体"/>
          <w:sz w:val="22"/>
          <w:szCs w:val="22"/>
        </w:rPr>
        <w:t>- 56 -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58FAC8B6">
      <w:pPr>
        <w:pStyle w:val="3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_Toc3855 </w:instrText>
      </w:r>
      <w:r>
        <w:rPr>
          <w:rFonts w:hint="eastAsia" w:ascii="宋体" w:hAnsi="宋体" w:eastAsia="宋体" w:cs="宋体"/>
          <w:sz w:val="22"/>
          <w:szCs w:val="28"/>
        </w:rPr>
        <w:fldChar w:fldCharType="separate"/>
      </w:r>
      <w:r>
        <w:rPr>
          <w:rFonts w:hint="eastAsia" w:ascii="宋体" w:hAnsi="宋体" w:eastAsia="宋体" w:cs="宋体"/>
          <w:bCs/>
          <w:sz w:val="22"/>
          <w:szCs w:val="22"/>
        </w:rPr>
        <w:t>第四部分</w:t>
      </w:r>
      <w:r>
        <w:rPr>
          <w:rFonts w:hint="eastAsia" w:ascii="宋体" w:hAnsi="宋体" w:eastAsia="宋体" w:cs="宋体"/>
          <w:bCs/>
          <w:sz w:val="22"/>
          <w:szCs w:val="22"/>
          <w:lang w:val="en-US" w:eastAsia="zh-CN"/>
        </w:rPr>
        <w:t xml:space="preserve">   </w:t>
      </w:r>
      <w:r>
        <w:rPr>
          <w:rFonts w:hint="eastAsia" w:ascii="宋体" w:hAnsi="宋体" w:eastAsia="宋体" w:cs="宋体"/>
          <w:bCs/>
          <w:sz w:val="22"/>
          <w:szCs w:val="22"/>
        </w:rPr>
        <w:t>合同格式（参考）</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_Toc3855 </w:instrText>
      </w:r>
      <w:r>
        <w:rPr>
          <w:rFonts w:hint="eastAsia" w:ascii="宋体" w:hAnsi="宋体" w:eastAsia="宋体" w:cs="宋体"/>
          <w:sz w:val="22"/>
          <w:szCs w:val="22"/>
        </w:rPr>
        <w:fldChar w:fldCharType="separate"/>
      </w:r>
      <w:r>
        <w:rPr>
          <w:rFonts w:hint="eastAsia" w:ascii="宋体" w:hAnsi="宋体" w:eastAsia="宋体" w:cs="宋体"/>
          <w:sz w:val="22"/>
          <w:szCs w:val="22"/>
        </w:rPr>
        <w:t>- 69 -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4F9D2883">
      <w:pPr>
        <w:pStyle w:val="3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_Toc1251 </w:instrText>
      </w:r>
      <w:r>
        <w:rPr>
          <w:rFonts w:hint="eastAsia" w:ascii="宋体" w:hAnsi="宋体" w:eastAsia="宋体" w:cs="宋体"/>
          <w:sz w:val="22"/>
          <w:szCs w:val="28"/>
        </w:rPr>
        <w:fldChar w:fldCharType="separate"/>
      </w:r>
      <w:r>
        <w:rPr>
          <w:rFonts w:hint="eastAsia" w:ascii="宋体" w:hAnsi="宋体" w:eastAsia="宋体" w:cs="宋体"/>
          <w:bCs/>
          <w:sz w:val="22"/>
          <w:szCs w:val="22"/>
        </w:rPr>
        <w:t xml:space="preserve">第五部分    </w:t>
      </w:r>
      <w:r>
        <w:rPr>
          <w:rFonts w:hint="eastAsia" w:ascii="宋体" w:hAnsi="宋体" w:eastAsia="宋体" w:cs="宋体"/>
          <w:bCs/>
          <w:sz w:val="22"/>
          <w:szCs w:val="22"/>
          <w:lang w:eastAsia="zh-CN"/>
        </w:rPr>
        <w:t>投标响应文件</w:t>
      </w:r>
      <w:r>
        <w:rPr>
          <w:rFonts w:hint="eastAsia" w:ascii="宋体" w:hAnsi="宋体" w:eastAsia="宋体" w:cs="宋体"/>
          <w:bCs/>
          <w:sz w:val="22"/>
          <w:szCs w:val="22"/>
        </w:rPr>
        <w:t>格式</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_Toc1251 </w:instrText>
      </w:r>
      <w:r>
        <w:rPr>
          <w:rFonts w:hint="eastAsia" w:ascii="宋体" w:hAnsi="宋体" w:eastAsia="宋体" w:cs="宋体"/>
          <w:sz w:val="22"/>
          <w:szCs w:val="22"/>
        </w:rPr>
        <w:fldChar w:fldCharType="separate"/>
      </w:r>
      <w:r>
        <w:rPr>
          <w:rFonts w:hint="eastAsia" w:ascii="宋体" w:hAnsi="宋体" w:eastAsia="宋体" w:cs="宋体"/>
          <w:sz w:val="22"/>
          <w:szCs w:val="22"/>
        </w:rPr>
        <w:t>- 73 -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2F7E1DC9">
      <w:pPr>
        <w:pStyle w:val="3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_Toc13813 </w:instrText>
      </w:r>
      <w:r>
        <w:rPr>
          <w:rFonts w:hint="eastAsia" w:ascii="宋体" w:hAnsi="宋体" w:eastAsia="宋体" w:cs="宋体"/>
          <w:sz w:val="22"/>
          <w:szCs w:val="28"/>
        </w:rPr>
        <w:fldChar w:fldCharType="separate"/>
      </w:r>
      <w:r>
        <w:rPr>
          <w:rFonts w:hint="eastAsia" w:ascii="宋体" w:hAnsi="宋体" w:eastAsia="宋体" w:cs="宋体"/>
          <w:bCs/>
          <w:sz w:val="22"/>
          <w:szCs w:val="22"/>
        </w:rPr>
        <w:t>第六部分   评标办法</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_Toc13813 </w:instrText>
      </w:r>
      <w:r>
        <w:rPr>
          <w:rFonts w:hint="eastAsia" w:ascii="宋体" w:hAnsi="宋体" w:eastAsia="宋体" w:cs="宋体"/>
          <w:sz w:val="22"/>
          <w:szCs w:val="22"/>
        </w:rPr>
        <w:fldChar w:fldCharType="separate"/>
      </w:r>
      <w:r>
        <w:rPr>
          <w:rFonts w:hint="eastAsia" w:ascii="宋体" w:hAnsi="宋体" w:eastAsia="宋体" w:cs="宋体"/>
          <w:sz w:val="22"/>
          <w:szCs w:val="22"/>
        </w:rPr>
        <w:t>- 95 -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43BA9969">
      <w:pPr>
        <w:pStyle w:val="3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_Toc5508 </w:instrText>
      </w:r>
      <w:r>
        <w:rPr>
          <w:rFonts w:hint="eastAsia" w:ascii="宋体" w:hAnsi="宋体" w:eastAsia="宋体" w:cs="宋体"/>
          <w:sz w:val="22"/>
          <w:szCs w:val="28"/>
        </w:rPr>
        <w:fldChar w:fldCharType="separate"/>
      </w:r>
      <w:r>
        <w:rPr>
          <w:rFonts w:hint="eastAsia" w:ascii="宋体" w:hAnsi="宋体" w:eastAsia="宋体" w:cs="宋体"/>
          <w:bCs/>
          <w:sz w:val="22"/>
          <w:szCs w:val="28"/>
        </w:rPr>
        <w:t>一、总则</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_Toc5508 </w:instrText>
      </w:r>
      <w:r>
        <w:rPr>
          <w:rFonts w:hint="eastAsia" w:ascii="宋体" w:hAnsi="宋体" w:eastAsia="宋体" w:cs="宋体"/>
          <w:sz w:val="22"/>
          <w:szCs w:val="22"/>
        </w:rPr>
        <w:fldChar w:fldCharType="separate"/>
      </w:r>
      <w:r>
        <w:rPr>
          <w:rFonts w:hint="eastAsia" w:ascii="宋体" w:hAnsi="宋体" w:eastAsia="宋体" w:cs="宋体"/>
          <w:sz w:val="22"/>
          <w:szCs w:val="22"/>
        </w:rPr>
        <w:t>- 95 -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54FF3641">
      <w:pPr>
        <w:pStyle w:val="3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_Toc31118 </w:instrText>
      </w:r>
      <w:r>
        <w:rPr>
          <w:rFonts w:hint="eastAsia" w:ascii="宋体" w:hAnsi="宋体" w:eastAsia="宋体" w:cs="宋体"/>
          <w:sz w:val="22"/>
          <w:szCs w:val="28"/>
        </w:rPr>
        <w:fldChar w:fldCharType="separate"/>
      </w:r>
      <w:r>
        <w:rPr>
          <w:rFonts w:hint="eastAsia" w:ascii="宋体" w:hAnsi="宋体" w:eastAsia="宋体" w:cs="宋体"/>
          <w:bCs/>
          <w:sz w:val="22"/>
          <w:szCs w:val="28"/>
        </w:rPr>
        <w:t>二</w:t>
      </w:r>
      <w:r>
        <w:rPr>
          <w:rFonts w:hint="eastAsia" w:ascii="宋体" w:hAnsi="宋体" w:eastAsia="宋体" w:cs="宋体"/>
          <w:bCs/>
          <w:sz w:val="22"/>
          <w:szCs w:val="28"/>
          <w:lang w:eastAsia="zh-CN"/>
        </w:rPr>
        <w:t>、</w:t>
      </w:r>
      <w:r>
        <w:rPr>
          <w:rFonts w:hint="eastAsia" w:ascii="宋体" w:hAnsi="宋体" w:eastAsia="宋体" w:cs="宋体"/>
          <w:bCs/>
          <w:sz w:val="22"/>
          <w:szCs w:val="28"/>
        </w:rPr>
        <w:t>评标组织</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_Toc31118 </w:instrText>
      </w:r>
      <w:r>
        <w:rPr>
          <w:rFonts w:hint="eastAsia" w:ascii="宋体" w:hAnsi="宋体" w:eastAsia="宋体" w:cs="宋体"/>
          <w:sz w:val="22"/>
          <w:szCs w:val="22"/>
        </w:rPr>
        <w:fldChar w:fldCharType="separate"/>
      </w:r>
      <w:r>
        <w:rPr>
          <w:rFonts w:hint="eastAsia" w:ascii="宋体" w:hAnsi="宋体" w:eastAsia="宋体" w:cs="宋体"/>
          <w:sz w:val="22"/>
          <w:szCs w:val="22"/>
        </w:rPr>
        <w:t>- 95 -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7A957FE5">
      <w:pPr>
        <w:pStyle w:val="33"/>
        <w:tabs>
          <w:tab w:val="right" w:leader="dot" w:pos="9072"/>
        </w:tabs>
        <w:spacing w:line="480" w:lineRule="auto"/>
        <w:rPr>
          <w:rFonts w:hint="eastAsia" w:ascii="宋体" w:hAnsi="宋体" w:eastAsia="宋体" w:cs="宋体"/>
          <w:sz w:val="21"/>
          <w:szCs w:val="21"/>
        </w:rPr>
      </w:pPr>
      <w:r>
        <w:rPr>
          <w:rFonts w:hint="eastAsia" w:ascii="宋体" w:hAnsi="宋体" w:eastAsia="宋体" w:cs="宋体"/>
          <w:sz w:val="22"/>
          <w:szCs w:val="28"/>
          <w:u w:val="thick"/>
        </w:rPr>
        <w:fldChar w:fldCharType="begin"/>
      </w:r>
      <w:r>
        <w:rPr>
          <w:rFonts w:hint="eastAsia" w:ascii="宋体" w:hAnsi="宋体" w:eastAsia="宋体" w:cs="宋体"/>
          <w:sz w:val="22"/>
          <w:szCs w:val="28"/>
        </w:rPr>
        <w:instrText xml:space="preserve"> HYPERLINK \l _Toc10875 </w:instrText>
      </w:r>
      <w:r>
        <w:rPr>
          <w:rFonts w:hint="eastAsia" w:ascii="宋体" w:hAnsi="宋体" w:eastAsia="宋体" w:cs="宋体"/>
          <w:sz w:val="22"/>
          <w:szCs w:val="28"/>
        </w:rPr>
        <w:fldChar w:fldCharType="separate"/>
      </w:r>
      <w:r>
        <w:rPr>
          <w:rFonts w:hint="eastAsia" w:ascii="宋体" w:hAnsi="宋体" w:eastAsia="宋体" w:cs="宋体"/>
          <w:kern w:val="2"/>
          <w:sz w:val="22"/>
          <w:szCs w:val="28"/>
        </w:rPr>
        <w:t>三、评标程序</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_Toc10875 </w:instrText>
      </w:r>
      <w:r>
        <w:rPr>
          <w:rFonts w:hint="eastAsia" w:ascii="宋体" w:hAnsi="宋体" w:eastAsia="宋体" w:cs="宋体"/>
          <w:sz w:val="22"/>
          <w:szCs w:val="22"/>
        </w:rPr>
        <w:fldChar w:fldCharType="separate"/>
      </w:r>
      <w:r>
        <w:rPr>
          <w:rFonts w:hint="eastAsia" w:ascii="宋体" w:hAnsi="宋体" w:eastAsia="宋体" w:cs="宋体"/>
          <w:sz w:val="22"/>
          <w:szCs w:val="22"/>
        </w:rPr>
        <w:t>- 95 -</w:t>
      </w:r>
      <w:r>
        <w:rPr>
          <w:rFonts w:hint="eastAsia" w:ascii="宋体" w:hAnsi="宋体" w:eastAsia="宋体" w:cs="宋体"/>
          <w:sz w:val="22"/>
          <w:szCs w:val="22"/>
        </w:rPr>
        <w:fldChar w:fldCharType="end"/>
      </w:r>
      <w:r>
        <w:rPr>
          <w:rFonts w:hint="eastAsia" w:ascii="宋体" w:hAnsi="宋体" w:eastAsia="宋体" w:cs="宋体"/>
          <w:sz w:val="22"/>
          <w:szCs w:val="28"/>
          <w:u w:val="thick"/>
        </w:rPr>
        <w:fldChar w:fldCharType="end"/>
      </w:r>
    </w:p>
    <w:p w14:paraId="223128E2">
      <w:pPr>
        <w:autoSpaceDE w:val="0"/>
        <w:autoSpaceDN w:val="0"/>
        <w:adjustRightInd w:val="0"/>
        <w:spacing w:line="360" w:lineRule="auto"/>
        <w:ind w:firstLine="431" w:firstLineChars="196"/>
        <w:rPr>
          <w:rFonts w:hint="eastAsia" w:ascii="宋体" w:hAnsi="宋体" w:cs="宋体"/>
          <w:szCs w:val="22"/>
          <w:u w:val="thick"/>
        </w:rPr>
      </w:pPr>
      <w:r>
        <w:rPr>
          <w:rFonts w:hint="eastAsia" w:ascii="宋体" w:hAnsi="宋体" w:eastAsia="宋体" w:cs="宋体"/>
          <w:sz w:val="22"/>
          <w:szCs w:val="24"/>
          <w:u w:val="thick"/>
        </w:rPr>
        <w:fldChar w:fldCharType="end"/>
      </w:r>
    </w:p>
    <w:p w14:paraId="5925187E">
      <w:pPr>
        <w:autoSpaceDE w:val="0"/>
        <w:autoSpaceDN w:val="0"/>
        <w:adjustRightInd w:val="0"/>
        <w:spacing w:before="120" w:line="360" w:lineRule="auto"/>
        <w:ind w:firstLine="431" w:firstLineChars="196"/>
        <w:rPr>
          <w:rFonts w:hint="eastAsia" w:ascii="宋体" w:hAnsi="宋体" w:eastAsia="宋体" w:cs="宋体"/>
          <w:sz w:val="22"/>
          <w:szCs w:val="22"/>
          <w:u w:val="thick"/>
        </w:rPr>
      </w:pPr>
      <w:r>
        <w:rPr>
          <w:rFonts w:hint="eastAsia" w:ascii="宋体" w:hAnsi="宋体" w:eastAsia="宋体" w:cs="宋体"/>
          <w:sz w:val="22"/>
          <w:szCs w:val="22"/>
          <w:u w:val="thick"/>
        </w:rPr>
        <w:t>注：采购文件中有的条款及要求以加粗、加下划线或符号★、▲的形式强调，这些特别强调的条款及内容有些是重要条款，供应商对重要条款的响应程度将作为评审工作的主要依据之一。</w:t>
      </w:r>
    </w:p>
    <w:p w14:paraId="3A6CFE8B">
      <w:pPr>
        <w:pStyle w:val="8"/>
        <w:spacing w:before="0" w:after="0"/>
        <w:jc w:val="center"/>
        <w:rPr>
          <w:rFonts w:hint="eastAsia" w:ascii="宋体" w:hAnsi="宋体" w:eastAsia="宋体" w:cs="宋体"/>
          <w:b/>
          <w:bCs/>
          <w:spacing w:val="0"/>
          <w:szCs w:val="22"/>
          <w:lang w:eastAsia="zh-CN"/>
        </w:rPr>
        <w:sectPr>
          <w:footerReference r:id="rId9" w:type="first"/>
          <w:footerReference r:id="rId8" w:type="default"/>
          <w:pgSz w:w="11906" w:h="16838"/>
          <w:pgMar w:top="1020" w:right="1417" w:bottom="1118" w:left="1417" w:header="851" w:footer="680" w:gutter="0"/>
          <w:pgBorders>
            <w:top w:val="none" w:sz="0" w:space="0"/>
            <w:left w:val="none" w:sz="0" w:space="0"/>
            <w:bottom w:val="none" w:sz="0" w:space="0"/>
            <w:right w:val="none" w:sz="0" w:space="0"/>
          </w:pgBorders>
          <w:pgNumType w:fmt="numberInDash" w:start="1"/>
          <w:cols w:space="720" w:num="1"/>
          <w:titlePg/>
          <w:docGrid w:type="lines" w:linePitch="324" w:charSpace="0"/>
        </w:sectPr>
      </w:pPr>
    </w:p>
    <w:p w14:paraId="4C53A2CC">
      <w:pPr>
        <w:pStyle w:val="8"/>
        <w:spacing w:before="0" w:after="0"/>
        <w:jc w:val="center"/>
        <w:rPr>
          <w:rFonts w:hint="eastAsia" w:ascii="宋体" w:hAnsi="宋体" w:eastAsia="宋体" w:cs="宋体"/>
          <w:sz w:val="22"/>
          <w:szCs w:val="22"/>
        </w:rPr>
      </w:pPr>
      <w:r>
        <w:rPr>
          <w:rFonts w:hint="eastAsia" w:ascii="宋体" w:hAnsi="宋体" w:eastAsia="宋体" w:cs="宋体"/>
          <w:b/>
          <w:bCs/>
          <w:spacing w:val="0"/>
          <w:szCs w:val="22"/>
          <w:lang w:eastAsia="zh-CN"/>
        </w:rPr>
        <w:t>温州立民招标代理有限公司</w:t>
      </w:r>
      <w:r>
        <w:rPr>
          <w:rFonts w:hint="eastAsia" w:ascii="宋体" w:hAnsi="宋体" w:eastAsia="宋体" w:cs="宋体"/>
          <w:b/>
          <w:bCs/>
          <w:spacing w:val="0"/>
          <w:szCs w:val="22"/>
        </w:rPr>
        <w:t>关于</w:t>
      </w:r>
      <w:r>
        <w:rPr>
          <w:rFonts w:hint="eastAsia" w:ascii="宋体" w:hAnsi="宋体" w:eastAsia="宋体" w:cs="宋体"/>
          <w:b/>
          <w:bCs/>
          <w:spacing w:val="0"/>
          <w:szCs w:val="22"/>
          <w:lang w:eastAsia="zh-CN"/>
        </w:rPr>
        <w:t>龙港市第五中学新建教学楼二次装修及智能化工程采购项目</w:t>
      </w:r>
      <w:r>
        <w:rPr>
          <w:rFonts w:hint="eastAsia" w:ascii="宋体" w:hAnsi="宋体" w:eastAsia="宋体" w:cs="宋体"/>
          <w:b/>
          <w:bCs/>
          <w:spacing w:val="0"/>
          <w:szCs w:val="22"/>
        </w:rPr>
        <w:t>的</w:t>
      </w:r>
      <w:bookmarkEnd w:id="0"/>
      <w:bookmarkEnd w:id="1"/>
      <w:bookmarkEnd w:id="3"/>
      <w:r>
        <w:rPr>
          <w:rFonts w:hint="eastAsia" w:ascii="宋体" w:hAnsi="宋体" w:eastAsia="宋体" w:cs="宋体"/>
          <w:b/>
          <w:bCs/>
          <w:spacing w:val="0"/>
          <w:szCs w:val="22"/>
        </w:rPr>
        <w:t>竞争性磋商公告</w:t>
      </w:r>
      <w:bookmarkEnd w:id="2"/>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6056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noWrap w:val="0"/>
            <w:vAlign w:val="top"/>
          </w:tcPr>
          <w:p w14:paraId="66893269">
            <w:pPr>
              <w:pStyle w:val="40"/>
              <w:wordWrap w:val="0"/>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 xml:space="preserve"> 项目概况</w:t>
            </w:r>
          </w:p>
          <w:p w14:paraId="2A3EFBA6">
            <w:pPr>
              <w:pStyle w:val="40"/>
              <w:wordWrap w:val="0"/>
              <w:spacing w:before="75" w:beforeAutospacing="0" w:after="75" w:afterAutospacing="0"/>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龙港市第五中学新建教学楼二次装修及智能化工程采购项目</w:t>
            </w:r>
            <w:r>
              <w:rPr>
                <w:rFonts w:hint="eastAsia" w:ascii="宋体" w:hAnsi="宋体" w:eastAsia="宋体" w:cs="宋体"/>
                <w:sz w:val="24"/>
                <w:szCs w:val="24"/>
                <w:lang w:val="en-US" w:eastAsia="zh-CN"/>
              </w:rPr>
              <w:t>采购</w:t>
            </w:r>
            <w:r>
              <w:rPr>
                <w:rFonts w:hint="eastAsia" w:ascii="宋体" w:hAnsi="宋体" w:eastAsia="宋体" w:cs="宋体"/>
                <w:sz w:val="24"/>
                <w:szCs w:val="24"/>
              </w:rPr>
              <w:t>项目的潜在供应商应在</w:t>
            </w:r>
            <w:r>
              <w:rPr>
                <w:rFonts w:hint="eastAsia" w:ascii="宋体" w:hAnsi="宋体" w:eastAsia="宋体" w:cs="宋体"/>
                <w:sz w:val="24"/>
                <w:szCs w:val="24"/>
                <w:lang w:eastAsia="zh-CN"/>
              </w:rPr>
              <w:t>“</w:t>
            </w:r>
            <w:r>
              <w:rPr>
                <w:rFonts w:hint="eastAsia" w:ascii="宋体" w:hAnsi="宋体" w:eastAsia="宋体" w:cs="宋体"/>
                <w:sz w:val="24"/>
                <w:szCs w:val="24"/>
              </w:rPr>
              <w:t>浙江政府采购云平台（http://www.zcygov.cn/）</w:t>
            </w:r>
            <w:r>
              <w:rPr>
                <w:rFonts w:hint="eastAsia" w:ascii="宋体" w:hAnsi="宋体" w:eastAsia="宋体" w:cs="宋体"/>
                <w:sz w:val="24"/>
                <w:szCs w:val="24"/>
                <w:lang w:eastAsia="zh-CN"/>
              </w:rPr>
              <w:t>”</w:t>
            </w:r>
            <w:r>
              <w:rPr>
                <w:rFonts w:hint="eastAsia" w:ascii="宋体" w:hAnsi="宋体" w:eastAsia="宋体" w:cs="宋体"/>
                <w:sz w:val="24"/>
                <w:szCs w:val="24"/>
              </w:rPr>
              <w:t>获取（下载）</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文件，并于</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eastAsia="zh-CN"/>
              </w:rPr>
              <w:t>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年</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月</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日</w:t>
            </w:r>
            <w:r>
              <w:rPr>
                <w:rFonts w:hint="eastAsia" w:ascii="宋体" w:hAnsi="宋体" w:eastAsia="宋体" w:cs="宋体"/>
                <w:b/>
                <w:bCs/>
                <w:sz w:val="24"/>
                <w:szCs w:val="24"/>
                <w:lang w:val="en-US" w:eastAsia="zh-CN"/>
              </w:rPr>
              <w:t>09</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30</w:t>
            </w:r>
            <w:r>
              <w:rPr>
                <w:rFonts w:hint="eastAsia" w:ascii="宋体" w:hAnsi="宋体" w:eastAsia="宋体" w:cs="宋体"/>
                <w:sz w:val="24"/>
                <w:szCs w:val="24"/>
              </w:rPr>
              <w:t>（北京时间）前</w:t>
            </w:r>
            <w:r>
              <w:rPr>
                <w:rFonts w:hint="eastAsia" w:ascii="宋体" w:hAnsi="宋体" w:eastAsia="宋体" w:cs="宋体"/>
                <w:sz w:val="24"/>
                <w:szCs w:val="24"/>
                <w:lang w:val="en-US" w:eastAsia="zh-CN"/>
              </w:rPr>
              <w:t>提交</w:t>
            </w:r>
            <w:r>
              <w:rPr>
                <w:rFonts w:hint="eastAsia" w:ascii="宋体" w:hAnsi="宋体" w:eastAsia="宋体" w:cs="宋体"/>
                <w:sz w:val="24"/>
                <w:szCs w:val="24"/>
              </w:rPr>
              <w:t>（上传）</w:t>
            </w: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p>
        </w:tc>
      </w:tr>
    </w:tbl>
    <w:p w14:paraId="00BD988C">
      <w:pPr>
        <w:pStyle w:val="40"/>
        <w:spacing w:before="0" w:beforeAutospacing="0" w:after="0" w:afterAutospacing="0" w:line="360" w:lineRule="auto"/>
        <w:jc w:val="both"/>
        <w:rPr>
          <w:rFonts w:hint="eastAsia" w:ascii="宋体" w:hAnsi="宋体" w:eastAsia="宋体" w:cs="宋体"/>
          <w:sz w:val="24"/>
          <w:szCs w:val="24"/>
        </w:rPr>
      </w:pPr>
      <w:r>
        <w:rPr>
          <w:rStyle w:val="47"/>
          <w:rFonts w:hint="eastAsia" w:ascii="宋体" w:hAnsi="宋体" w:cs="宋体"/>
          <w:sz w:val="24"/>
        </w:rPr>
        <w:t>一、项目基本情况</w:t>
      </w:r>
    </w:p>
    <w:p w14:paraId="5837C107">
      <w:pPr>
        <w:pStyle w:val="40"/>
        <w:spacing w:before="0" w:beforeAutospacing="0" w:after="0" w:afterAutospacing="0" w:line="360" w:lineRule="auto"/>
        <w:rPr>
          <w:rFonts w:hint="eastAsia" w:ascii="宋体" w:hAnsi="宋体" w:eastAsia="宋体" w:cs="宋体"/>
          <w:sz w:val="24"/>
          <w:szCs w:val="24"/>
          <w:lang w:eastAsia="zh-CN"/>
        </w:rPr>
      </w:pPr>
      <w:r>
        <w:rPr>
          <w:rFonts w:hint="eastAsia" w:ascii="宋体" w:hAnsi="宋体" w:eastAsia="宋体" w:cs="宋体"/>
          <w:sz w:val="24"/>
          <w:szCs w:val="24"/>
        </w:rPr>
        <w:t>    项目编号：</w:t>
      </w:r>
      <w:r>
        <w:rPr>
          <w:rFonts w:hint="eastAsia" w:ascii="宋体" w:hAnsi="宋体" w:eastAsia="宋体" w:cs="宋体"/>
          <w:sz w:val="24"/>
          <w:szCs w:val="24"/>
          <w:lang w:eastAsia="zh-CN"/>
        </w:rPr>
        <w:t>LGCG2024273</w:t>
      </w:r>
    </w:p>
    <w:p w14:paraId="69C07204">
      <w:pPr>
        <w:pStyle w:val="40"/>
        <w:spacing w:before="0" w:beforeAutospacing="0" w:after="0" w:afterAutospacing="0" w:line="360" w:lineRule="auto"/>
        <w:ind w:firstLine="72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龙港市第五中学新建教学楼二次装修及智能化工程采购项目</w:t>
      </w:r>
    </w:p>
    <w:p w14:paraId="02A48EB3">
      <w:pPr>
        <w:pStyle w:val="40"/>
        <w:spacing w:before="0" w:beforeAutospacing="0" w:after="0" w:afterAutospacing="0" w:line="360" w:lineRule="auto"/>
        <w:ind w:firstLine="72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7FF6236B">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预算金额（元）：</w:t>
      </w:r>
      <w:r>
        <w:rPr>
          <w:rFonts w:hint="eastAsia" w:ascii="宋体" w:hAnsi="宋体" w:eastAsia="宋体" w:cs="宋体"/>
          <w:sz w:val="24"/>
          <w:szCs w:val="24"/>
          <w:lang w:val="en-US" w:eastAsia="zh-CN"/>
        </w:rPr>
        <w:t>2400027</w:t>
      </w:r>
      <w:r>
        <w:rPr>
          <w:rFonts w:hint="eastAsia" w:ascii="宋体" w:hAnsi="宋体" w:eastAsia="宋体" w:cs="宋体"/>
          <w:sz w:val="24"/>
          <w:szCs w:val="24"/>
        </w:rPr>
        <w:t>  </w:t>
      </w:r>
    </w:p>
    <w:p w14:paraId="3E5B3BEB">
      <w:pPr>
        <w:pStyle w:val="40"/>
        <w:spacing w:before="0" w:beforeAutospacing="0" w:after="0" w:afterAutospacing="0" w:line="360" w:lineRule="auto"/>
        <w:rPr>
          <w:rFonts w:hint="default" w:ascii="宋体" w:hAnsi="宋体" w:eastAsia="宋体" w:cs="宋体"/>
          <w:sz w:val="24"/>
          <w:szCs w:val="24"/>
          <w:lang w:val="en-US"/>
        </w:rPr>
      </w:pPr>
      <w:r>
        <w:rPr>
          <w:rFonts w:hint="eastAsia" w:ascii="宋体" w:hAnsi="宋体" w:eastAsia="宋体" w:cs="宋体"/>
          <w:sz w:val="24"/>
          <w:szCs w:val="24"/>
        </w:rPr>
        <w:t>    最高限价（元）：</w:t>
      </w:r>
      <w:r>
        <w:rPr>
          <w:rFonts w:hint="eastAsia" w:ascii="宋体" w:hAnsi="宋体" w:eastAsia="宋体" w:cs="宋体"/>
          <w:sz w:val="24"/>
          <w:szCs w:val="24"/>
          <w:lang w:val="en-US" w:eastAsia="zh-CN"/>
        </w:rPr>
        <w:t>2400027</w:t>
      </w:r>
    </w:p>
    <w:p w14:paraId="26C5CB2C">
      <w:pPr>
        <w:pStyle w:val="40"/>
        <w:spacing w:before="0" w:beforeAutospacing="0" w:after="0" w:afterAutospacing="0" w:line="360" w:lineRule="auto"/>
        <w:ind w:firstLine="720"/>
        <w:rPr>
          <w:rFonts w:hint="eastAsia" w:ascii="宋体" w:hAnsi="宋体" w:eastAsia="宋体" w:cs="宋体"/>
          <w:sz w:val="24"/>
          <w:szCs w:val="24"/>
        </w:rPr>
      </w:pPr>
      <w:r>
        <w:rPr>
          <w:rFonts w:hint="eastAsia" w:ascii="宋体" w:hAnsi="宋体" w:eastAsia="宋体" w:cs="宋体"/>
          <w:sz w:val="24"/>
          <w:szCs w:val="24"/>
        </w:rPr>
        <w:t>采购需求：</w:t>
      </w:r>
    </w:p>
    <w:p w14:paraId="6E7811CF">
      <w:pPr>
        <w:pStyle w:val="40"/>
        <w:spacing w:before="0" w:beforeAutospacing="0" w:after="0" w:afterAutospacing="0" w:line="360" w:lineRule="auto"/>
        <w:rPr>
          <w:rFonts w:hint="default" w:ascii="宋体" w:hAnsi="宋体" w:eastAsia="宋体" w:cs="宋体"/>
          <w:sz w:val="24"/>
          <w:szCs w:val="24"/>
          <w:lang w:val="en-US" w:eastAsia="zh-CN"/>
        </w:rPr>
      </w:pPr>
      <w:r>
        <w:rPr>
          <w:rFonts w:hint="eastAsia" w:ascii="宋体" w:hAnsi="宋体" w:eastAsia="宋体" w:cs="宋体"/>
          <w:sz w:val="24"/>
          <w:szCs w:val="24"/>
        </w:rPr>
        <w:br w:type="textWrapping"/>
      </w:r>
      <w:r>
        <w:rPr>
          <w:rFonts w:hint="eastAsia" w:ascii="宋体" w:hAnsi="宋体" w:eastAsia="宋体" w:cs="宋体"/>
          <w:sz w:val="24"/>
          <w:szCs w:val="24"/>
        </w:rPr>
        <w:t>    数量: 1  </w:t>
      </w:r>
      <w:r>
        <w:rPr>
          <w:rFonts w:hint="eastAsia" w:ascii="宋体" w:hAnsi="宋体" w:eastAsia="宋体" w:cs="宋体"/>
          <w:sz w:val="24"/>
          <w:szCs w:val="24"/>
        </w:rPr>
        <w:br w:type="textWrapping"/>
      </w:r>
      <w:r>
        <w:rPr>
          <w:rFonts w:hint="eastAsia" w:ascii="宋体" w:hAnsi="宋体" w:eastAsia="宋体" w:cs="宋体"/>
          <w:sz w:val="24"/>
          <w:szCs w:val="24"/>
        </w:rPr>
        <w:t>    预算金额（元）:</w:t>
      </w:r>
      <w:r>
        <w:rPr>
          <w:rFonts w:hint="eastAsia" w:ascii="宋体" w:hAnsi="宋体" w:eastAsia="宋体" w:cs="宋体"/>
          <w:sz w:val="24"/>
          <w:szCs w:val="24"/>
          <w:lang w:val="en-US" w:eastAsia="zh-CN"/>
        </w:rPr>
        <w:t>2400027</w:t>
      </w:r>
    </w:p>
    <w:p w14:paraId="68C94D38">
      <w:pPr>
        <w:pStyle w:val="40"/>
        <w:spacing w:before="0" w:beforeAutospacing="0" w:after="0" w:afterAutospacing="0" w:line="360" w:lineRule="auto"/>
        <w:ind w:firstLine="7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单位：项</w:t>
      </w:r>
      <w:r>
        <w:rPr>
          <w:rFonts w:hint="eastAsia" w:ascii="宋体" w:hAnsi="宋体" w:eastAsia="宋体" w:cs="宋体"/>
          <w:sz w:val="24"/>
          <w:szCs w:val="24"/>
        </w:rPr>
        <w:br w:type="textWrapping"/>
      </w:r>
      <w:r>
        <w:rPr>
          <w:rFonts w:hint="eastAsia" w:ascii="宋体" w:hAnsi="宋体" w:eastAsia="宋体" w:cs="宋体"/>
          <w:sz w:val="24"/>
          <w:szCs w:val="24"/>
        </w:rPr>
        <w:t>    简要规格描述：</w:t>
      </w:r>
      <w:r>
        <w:rPr>
          <w:rFonts w:hint="eastAsia" w:ascii="宋体" w:hAnsi="宋体" w:eastAsia="宋体" w:cs="宋体"/>
          <w:sz w:val="24"/>
          <w:szCs w:val="24"/>
          <w:lang w:eastAsia="zh-CN"/>
        </w:rPr>
        <w:t>龙港市第五中学新建教学楼二次装修及智能化工程采购</w:t>
      </w:r>
      <w:r>
        <w:rPr>
          <w:rFonts w:hint="eastAsia" w:ascii="宋体" w:hAnsi="宋体" w:eastAsia="宋体" w:cs="宋体"/>
          <w:sz w:val="22"/>
          <w:szCs w:val="22"/>
          <w:lang w:val="en-US" w:eastAsia="zh-CN"/>
        </w:rPr>
        <w:t>，</w:t>
      </w:r>
      <w:r>
        <w:rPr>
          <w:rFonts w:hint="eastAsia" w:ascii="宋体" w:hAnsi="宋体" w:eastAsia="宋体" w:cs="宋体"/>
          <w:sz w:val="24"/>
          <w:szCs w:val="24"/>
        </w:rPr>
        <w:t>详见</w:t>
      </w:r>
      <w:r>
        <w:rPr>
          <w:rFonts w:hint="eastAsia" w:ascii="宋体" w:hAnsi="宋体" w:eastAsia="宋体" w:cs="宋体"/>
          <w:sz w:val="24"/>
          <w:szCs w:val="24"/>
          <w:lang w:val="en-US" w:eastAsia="zh-CN"/>
        </w:rPr>
        <w:t>施工图和采购</w:t>
      </w:r>
      <w:r>
        <w:rPr>
          <w:rFonts w:hint="eastAsia" w:ascii="宋体" w:hAnsi="宋体" w:eastAsia="宋体" w:cs="宋体"/>
          <w:sz w:val="24"/>
          <w:szCs w:val="24"/>
        </w:rPr>
        <w:t>文件采购内容及技术要求</w:t>
      </w:r>
      <w:r>
        <w:rPr>
          <w:rFonts w:hint="eastAsia" w:ascii="宋体" w:hAnsi="宋体" w:eastAsia="宋体" w:cs="宋体"/>
          <w:sz w:val="24"/>
          <w:szCs w:val="24"/>
          <w:lang w:eastAsia="zh-CN"/>
        </w:rPr>
        <w:t>。</w:t>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备注：</w:t>
      </w:r>
      <w:r>
        <w:rPr>
          <w:rFonts w:hint="eastAsia" w:ascii="宋体" w:hAnsi="宋体" w:eastAsia="宋体" w:cs="宋体"/>
          <w:sz w:val="24"/>
          <w:szCs w:val="24"/>
          <w:lang w:val="en-US" w:eastAsia="zh-CN"/>
        </w:rPr>
        <w:t>/</w:t>
      </w:r>
    </w:p>
    <w:p w14:paraId="4BFD234E">
      <w:pPr>
        <w:pStyle w:val="40"/>
        <w:spacing w:before="0" w:beforeAutospacing="0" w:after="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合同履约期限：标项1，</w:t>
      </w:r>
      <w:r>
        <w:rPr>
          <w:rFonts w:hint="eastAsia" w:ascii="宋体" w:hAnsi="宋体" w:eastAsia="宋体" w:cs="宋体"/>
          <w:sz w:val="24"/>
          <w:szCs w:val="24"/>
          <w:lang w:val="en-US" w:eastAsia="zh-CN"/>
        </w:rPr>
        <w:t>100日历天内完工</w:t>
      </w:r>
      <w:r>
        <w:rPr>
          <w:rFonts w:hint="eastAsia" w:ascii="宋体" w:hAnsi="宋体" w:eastAsia="宋体" w:cs="宋体"/>
          <w:sz w:val="24"/>
          <w:szCs w:val="24"/>
          <w:lang w:eastAsia="zh-CN"/>
        </w:rPr>
        <w:t>。</w:t>
      </w:r>
    </w:p>
    <w:p w14:paraId="1821D0C9">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本项目（否）接受联合体投标。</w:t>
      </w:r>
    </w:p>
    <w:p w14:paraId="33EE161C">
      <w:pPr>
        <w:pStyle w:val="40"/>
        <w:spacing w:before="0" w:beforeAutospacing="0" w:after="0" w:afterAutospacing="0" w:line="360" w:lineRule="auto"/>
        <w:rPr>
          <w:rFonts w:hint="eastAsia" w:ascii="宋体" w:hAnsi="宋体" w:eastAsia="宋体" w:cs="宋体"/>
          <w:sz w:val="24"/>
          <w:szCs w:val="24"/>
        </w:rPr>
      </w:pPr>
      <w:r>
        <w:rPr>
          <w:rStyle w:val="47"/>
          <w:rFonts w:hint="eastAsia" w:ascii="宋体" w:hAnsi="宋体" w:cs="宋体"/>
          <w:sz w:val="24"/>
        </w:rPr>
        <w:t>二、申请人的资格要求：</w:t>
      </w:r>
    </w:p>
    <w:p w14:paraId="1FC1E682">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1.满足《中华人民共和国政府采购法》第二十二条规定；未被“信用中国”（www.creditchina.gov.cn)、中国政府采购网（www.ccgp.gov.cn）列入失信被执行人、重大税收违法案件当事人名单、政府采购严重违法失信行为记录名单。</w:t>
      </w:r>
    </w:p>
    <w:p w14:paraId="6C2D6577">
      <w:pPr>
        <w:pStyle w:val="40"/>
        <w:spacing w:before="0" w:beforeAutospacing="0" w:after="0" w:afterAutospacing="0" w:line="360" w:lineRule="auto"/>
        <w:rPr>
          <w:rFonts w:hint="eastAsia" w:ascii="宋体" w:hAnsi="宋体" w:eastAsia="宋体" w:cs="宋体"/>
          <w:color w:val="auto"/>
          <w:sz w:val="24"/>
          <w:szCs w:val="24"/>
        </w:rPr>
      </w:pPr>
      <w:r>
        <w:rPr>
          <w:rFonts w:hint="eastAsia" w:ascii="宋体" w:hAnsi="宋体" w:eastAsia="宋体" w:cs="宋体"/>
          <w:sz w:val="24"/>
          <w:szCs w:val="24"/>
        </w:rPr>
        <w:t>    2.落实政府采购政策需满足的资格要求：</w:t>
      </w:r>
      <w:r>
        <w:rPr>
          <w:rFonts w:hint="eastAsia" w:ascii="宋体" w:hAnsi="宋体" w:eastAsia="宋体" w:cs="宋体"/>
          <w:color w:val="auto"/>
          <w:sz w:val="24"/>
          <w:szCs w:val="24"/>
        </w:rPr>
        <w:t>本项目专门面向中小企业采购，供应商应为中小微企业（监狱企业及残疾人福利性单位视同小型、微型企业）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w:t>
      </w:r>
    </w:p>
    <w:p w14:paraId="2C3DCBAB">
      <w:pPr>
        <w:pStyle w:val="40"/>
        <w:spacing w:before="0" w:beforeAutospacing="0" w:after="0" w:afterAutospacing="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3.本项目的特定资格要求：</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eastAsia="zh-CN"/>
        </w:rPr>
        <w:t>建筑工程施工总承包三级或以上资质。</w:t>
      </w:r>
    </w:p>
    <w:p w14:paraId="4B5E4959">
      <w:pPr>
        <w:pStyle w:val="40"/>
        <w:spacing w:before="0" w:beforeAutospacing="0" w:after="0" w:afterAutospacing="0" w:line="360" w:lineRule="auto"/>
        <w:jc w:val="both"/>
        <w:rPr>
          <w:rFonts w:hint="eastAsia" w:ascii="宋体" w:hAnsi="宋体" w:eastAsia="宋体" w:cs="宋体"/>
          <w:sz w:val="24"/>
          <w:szCs w:val="24"/>
        </w:rPr>
      </w:pPr>
      <w:r>
        <w:rPr>
          <w:rStyle w:val="47"/>
          <w:rFonts w:hint="eastAsia" w:ascii="宋体" w:hAnsi="宋体" w:cs="宋体"/>
          <w:sz w:val="24"/>
        </w:rPr>
        <w:t>三、获取（下载）采购文件</w:t>
      </w:r>
      <w:r>
        <w:rPr>
          <w:rFonts w:hint="eastAsia" w:ascii="宋体" w:hAnsi="宋体" w:eastAsia="宋体" w:cs="宋体"/>
          <w:sz w:val="24"/>
          <w:szCs w:val="24"/>
        </w:rPr>
        <w:t> </w:t>
      </w:r>
    </w:p>
    <w:p w14:paraId="0F8C12BA">
      <w:pPr>
        <w:pStyle w:val="40"/>
        <w:wordWrap w:val="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时间：</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rPr>
        <w:t>至</w:t>
      </w:r>
      <w:r>
        <w:rPr>
          <w:rFonts w:hint="eastAsia" w:ascii="宋体" w:hAnsi="宋体" w:eastAsia="宋体" w:cs="宋体"/>
          <w:b/>
          <w:bCs/>
          <w:sz w:val="24"/>
          <w:szCs w:val="24"/>
          <w:lang w:eastAsia="zh-CN"/>
        </w:rPr>
        <w:t>20</w:t>
      </w:r>
      <w:r>
        <w:rPr>
          <w:rFonts w:hint="eastAsia" w:ascii="宋体" w:hAnsi="宋体" w:eastAsia="宋体" w:cs="宋体"/>
          <w:b/>
          <w:bCs/>
          <w:sz w:val="24"/>
          <w:szCs w:val="24"/>
          <w:lang w:val="en-US" w:eastAsia="zh-CN"/>
        </w:rPr>
        <w:t>24</w:t>
      </w:r>
      <w:r>
        <w:rPr>
          <w:rFonts w:hint="eastAsia" w:ascii="宋体" w:hAnsi="宋体" w:eastAsia="宋体" w:cs="宋体"/>
          <w:b/>
          <w:bCs/>
          <w:sz w:val="24"/>
          <w:szCs w:val="24"/>
          <w:lang w:eastAsia="zh-CN"/>
        </w:rPr>
        <w:t>年</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月</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日</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，每天上午00:00至12:00，下午12:00至23:59（北京时间，线上获取法定节假日均可，线下获取文件法定节假日除外）</w:t>
      </w:r>
    </w:p>
    <w:p w14:paraId="468A60FE">
      <w:pPr>
        <w:pStyle w:val="40"/>
        <w:wordWrap w:val="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地点（网址）：浙江政府采购云平台（http://www.zcygov.cn/）</w:t>
      </w:r>
    </w:p>
    <w:p w14:paraId="7BD052AB">
      <w:pPr>
        <w:pStyle w:val="40"/>
        <w:wordWrap w:val="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方式：潜在供应商登陆政采云平台，在线申请获取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文件（进入“项目采购”应用，在获取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文件菜单中选择项目，申请获取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文件，本项目</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文件不收取工本费；仅需浏览</w:t>
      </w:r>
      <w:r>
        <w:rPr>
          <w:rFonts w:hint="eastAsia" w:ascii="宋体" w:hAnsi="宋体" w:eastAsia="宋体" w:cs="宋体"/>
          <w:sz w:val="24"/>
          <w:szCs w:val="24"/>
          <w:lang w:val="en-US" w:eastAsia="zh-CN"/>
        </w:rPr>
        <w:t>采购</w:t>
      </w:r>
      <w:r>
        <w:rPr>
          <w:rFonts w:hint="eastAsia" w:ascii="宋体" w:hAnsi="宋体" w:eastAsia="宋体" w:cs="宋体"/>
          <w:sz w:val="24"/>
          <w:szCs w:val="24"/>
        </w:rPr>
        <w:t>文件的供应商可点击“游客，浏览</w:t>
      </w:r>
      <w:r>
        <w:rPr>
          <w:rFonts w:hint="eastAsia" w:ascii="宋体" w:hAnsi="宋体" w:eastAsia="宋体" w:cs="宋体"/>
          <w:sz w:val="24"/>
          <w:szCs w:val="24"/>
          <w:lang w:eastAsia="zh-CN"/>
        </w:rPr>
        <w:t>采购文件</w:t>
      </w:r>
      <w:r>
        <w:rPr>
          <w:rFonts w:hint="eastAsia" w:ascii="宋体" w:hAnsi="宋体" w:eastAsia="宋体" w:cs="宋体"/>
          <w:sz w:val="24"/>
          <w:szCs w:val="24"/>
        </w:rPr>
        <w:t>”或直接下载</w:t>
      </w:r>
      <w:r>
        <w:rPr>
          <w:rFonts w:hint="eastAsia" w:ascii="宋体" w:hAnsi="宋体" w:eastAsia="宋体" w:cs="宋体"/>
          <w:sz w:val="24"/>
          <w:szCs w:val="24"/>
          <w:lang w:val="en-US" w:eastAsia="zh-CN"/>
        </w:rPr>
        <w:t>采购</w:t>
      </w:r>
      <w:r>
        <w:rPr>
          <w:rFonts w:hint="eastAsia" w:ascii="宋体" w:hAnsi="宋体" w:eastAsia="宋体" w:cs="宋体"/>
          <w:sz w:val="24"/>
          <w:szCs w:val="24"/>
        </w:rPr>
        <w:t>文件浏览）。 </w:t>
      </w:r>
    </w:p>
    <w:p w14:paraId="612B25AD">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售价（元）：0 </w:t>
      </w:r>
    </w:p>
    <w:p w14:paraId="04529FB7">
      <w:pPr>
        <w:pStyle w:val="40"/>
        <w:spacing w:before="0" w:beforeAutospacing="0" w:after="0" w:afterAutospacing="0" w:line="360" w:lineRule="auto"/>
        <w:jc w:val="both"/>
        <w:rPr>
          <w:rFonts w:hint="eastAsia" w:ascii="宋体" w:hAnsi="宋体" w:eastAsia="宋体" w:cs="宋体"/>
          <w:sz w:val="24"/>
          <w:szCs w:val="24"/>
        </w:rPr>
      </w:pPr>
      <w:r>
        <w:rPr>
          <w:rStyle w:val="47"/>
          <w:rFonts w:hint="eastAsia" w:ascii="宋体" w:hAnsi="宋体" w:cs="宋体"/>
          <w:sz w:val="24"/>
        </w:rPr>
        <w:t>四、响应文件提交（上传） </w:t>
      </w:r>
    </w:p>
    <w:p w14:paraId="3DFFF62E">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截止时间：</w:t>
      </w:r>
      <w:r>
        <w:rPr>
          <w:rFonts w:hint="eastAsia" w:ascii="宋体" w:hAnsi="宋体" w:eastAsia="宋体" w:cs="宋体"/>
          <w:b/>
          <w:bCs/>
          <w:sz w:val="24"/>
          <w:szCs w:val="24"/>
          <w:lang w:eastAsia="zh-CN"/>
        </w:rPr>
        <w:t>20</w:t>
      </w:r>
      <w:r>
        <w:rPr>
          <w:rFonts w:hint="eastAsia" w:ascii="宋体" w:hAnsi="宋体" w:eastAsia="宋体" w:cs="宋体"/>
          <w:b/>
          <w:bCs/>
          <w:sz w:val="24"/>
          <w:szCs w:val="24"/>
          <w:lang w:val="en-US" w:eastAsia="zh-CN"/>
        </w:rPr>
        <w:t>24</w:t>
      </w:r>
      <w:r>
        <w:rPr>
          <w:rFonts w:hint="eastAsia" w:ascii="宋体" w:hAnsi="宋体" w:eastAsia="宋体" w:cs="宋体"/>
          <w:b/>
          <w:bCs/>
          <w:sz w:val="24"/>
          <w:szCs w:val="24"/>
          <w:lang w:eastAsia="zh-CN"/>
        </w:rPr>
        <w:t>年</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月</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日</w:t>
      </w:r>
      <w:r>
        <w:rPr>
          <w:rFonts w:hint="eastAsia" w:ascii="宋体" w:hAnsi="宋体" w:eastAsia="宋体" w:cs="宋体"/>
          <w:b/>
          <w:bCs/>
          <w:sz w:val="24"/>
          <w:szCs w:val="24"/>
          <w:lang w:val="en-US" w:eastAsia="zh-CN"/>
        </w:rPr>
        <w:t>09</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30</w:t>
      </w:r>
      <w:r>
        <w:rPr>
          <w:rFonts w:hint="eastAsia" w:ascii="宋体" w:hAnsi="宋体" w:eastAsia="宋体" w:cs="宋体"/>
          <w:sz w:val="24"/>
          <w:szCs w:val="24"/>
        </w:rPr>
        <w:t>（北京时间）</w:t>
      </w:r>
    </w:p>
    <w:p w14:paraId="151C15FA">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地点（网址）：</w:t>
      </w:r>
      <w:r>
        <w:rPr>
          <w:rFonts w:hint="eastAsia" w:ascii="宋体" w:hAnsi="宋体" w:eastAsia="宋体" w:cs="宋体"/>
          <w:sz w:val="24"/>
          <w:szCs w:val="24"/>
          <w:lang w:val="en-US" w:eastAsia="zh-CN"/>
        </w:rPr>
        <w:t>供应商</w:t>
      </w:r>
      <w:r>
        <w:rPr>
          <w:rFonts w:hint="eastAsia" w:ascii="宋体" w:hAnsi="宋体" w:eastAsia="宋体" w:cs="宋体"/>
          <w:sz w:val="24"/>
          <w:szCs w:val="24"/>
        </w:rPr>
        <w:t>通过“浙江政府采购云平台（http://www.zcygov.cn/”实行在线投标响应（在投标截止时间止，供应商须准时登录“浙江政府采购云平台（http://www.zcygov.cn/</w:t>
      </w:r>
      <w:r>
        <w:rPr>
          <w:rFonts w:hint="eastAsia" w:ascii="宋体" w:hAnsi="宋体" w:eastAsia="宋体" w:cs="宋体"/>
          <w:sz w:val="24"/>
          <w:szCs w:val="24"/>
          <w:lang w:eastAsia="zh-CN"/>
        </w:rPr>
        <w:t>）</w:t>
      </w:r>
      <w:r>
        <w:rPr>
          <w:rFonts w:hint="eastAsia" w:ascii="宋体" w:hAnsi="宋体" w:eastAsia="宋体" w:cs="宋体"/>
          <w:sz w:val="24"/>
          <w:szCs w:val="24"/>
        </w:rPr>
        <w:t>”在线响应投标）   </w:t>
      </w:r>
    </w:p>
    <w:p w14:paraId="47F811E9">
      <w:pPr>
        <w:pStyle w:val="40"/>
        <w:numPr>
          <w:ilvl w:val="0"/>
          <w:numId w:val="2"/>
        </w:numPr>
        <w:spacing w:before="0" w:beforeAutospacing="0" w:after="0" w:afterAutospacing="0" w:line="360" w:lineRule="auto"/>
        <w:rPr>
          <w:rStyle w:val="47"/>
          <w:rFonts w:hint="eastAsia" w:ascii="宋体" w:hAnsi="宋体" w:cs="宋体"/>
          <w:sz w:val="24"/>
        </w:rPr>
      </w:pPr>
      <w:r>
        <w:rPr>
          <w:rStyle w:val="47"/>
          <w:rFonts w:hint="eastAsia" w:ascii="宋体" w:hAnsi="宋体" w:cs="宋体"/>
          <w:sz w:val="24"/>
          <w:lang w:val="en-US"/>
        </w:rPr>
        <w:t>响应文件开启</w:t>
      </w:r>
    </w:p>
    <w:p w14:paraId="0CAAD09B">
      <w:pPr>
        <w:pStyle w:val="40"/>
        <w:numPr>
          <w:ilvl w:val="0"/>
          <w:numId w:val="0"/>
        </w:numPr>
        <w:spacing w:before="0" w:beforeAutospacing="0" w:after="0" w:afterAutospacing="0"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开启时间：</w:t>
      </w:r>
      <w:r>
        <w:rPr>
          <w:rFonts w:hint="eastAsia" w:ascii="宋体" w:hAnsi="宋体" w:eastAsia="宋体" w:cs="宋体"/>
          <w:b/>
          <w:bCs/>
          <w:sz w:val="24"/>
          <w:szCs w:val="24"/>
          <w:lang w:eastAsia="zh-CN"/>
        </w:rPr>
        <w:t>20</w:t>
      </w:r>
      <w:r>
        <w:rPr>
          <w:rFonts w:hint="eastAsia" w:ascii="宋体" w:hAnsi="宋体" w:eastAsia="宋体" w:cs="宋体"/>
          <w:b/>
          <w:bCs/>
          <w:sz w:val="24"/>
          <w:szCs w:val="24"/>
          <w:lang w:val="en-US" w:eastAsia="zh-CN"/>
        </w:rPr>
        <w:t>24</w:t>
      </w:r>
      <w:r>
        <w:rPr>
          <w:rFonts w:hint="eastAsia" w:ascii="宋体" w:hAnsi="宋体" w:eastAsia="宋体" w:cs="宋体"/>
          <w:b/>
          <w:bCs/>
          <w:sz w:val="24"/>
          <w:szCs w:val="24"/>
          <w:lang w:eastAsia="zh-CN"/>
        </w:rPr>
        <w:t>年</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月</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 xml:space="preserve">日 </w:t>
      </w:r>
      <w:r>
        <w:rPr>
          <w:rFonts w:hint="eastAsia" w:ascii="宋体" w:hAnsi="宋体" w:eastAsia="宋体" w:cs="宋体"/>
          <w:b/>
          <w:bCs/>
          <w:sz w:val="24"/>
          <w:szCs w:val="24"/>
          <w:lang w:val="en-US" w:eastAsia="zh-CN"/>
        </w:rPr>
        <w:t>09</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 xml:space="preserve"> </w:t>
      </w:r>
      <w:r>
        <w:rPr>
          <w:rFonts w:hint="eastAsia" w:ascii="宋体" w:hAnsi="宋体" w:eastAsia="宋体" w:cs="宋体"/>
          <w:sz w:val="24"/>
          <w:szCs w:val="24"/>
        </w:rPr>
        <w:t>（北京时间） </w:t>
      </w:r>
    </w:p>
    <w:p w14:paraId="545903A6">
      <w:pPr>
        <w:pStyle w:val="40"/>
        <w:spacing w:before="0" w:beforeAutospacing="0" w:after="0" w:afterAutospacing="0"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地点（网址）：浙江政府采购云平台/龙港市公共资源交易中心开标室（龙港市世纪大道4518号龙港市政务客厅4楼）</w:t>
      </w:r>
    </w:p>
    <w:p w14:paraId="36CB2F97">
      <w:pPr>
        <w:pStyle w:val="40"/>
        <w:spacing w:before="0" w:beforeAutospacing="0" w:after="0" w:afterAutospacing="0" w:line="360" w:lineRule="auto"/>
        <w:jc w:val="both"/>
        <w:rPr>
          <w:rFonts w:hint="eastAsia" w:ascii="宋体" w:hAnsi="宋体" w:eastAsia="宋体" w:cs="宋体"/>
          <w:sz w:val="24"/>
          <w:szCs w:val="24"/>
        </w:rPr>
      </w:pPr>
      <w:r>
        <w:rPr>
          <w:rStyle w:val="47"/>
          <w:rFonts w:hint="eastAsia" w:ascii="宋体" w:hAnsi="宋体" w:cs="宋体"/>
          <w:sz w:val="24"/>
          <w:lang w:val="en-US"/>
        </w:rPr>
        <w:t>六</w:t>
      </w:r>
      <w:r>
        <w:rPr>
          <w:rStyle w:val="47"/>
          <w:rFonts w:hint="eastAsia" w:ascii="宋体" w:hAnsi="宋体" w:cs="宋体"/>
          <w:sz w:val="24"/>
        </w:rPr>
        <w:t>、公告期限</w:t>
      </w:r>
      <w:r>
        <w:rPr>
          <w:rFonts w:hint="eastAsia" w:ascii="宋体" w:hAnsi="宋体" w:eastAsia="宋体" w:cs="宋体"/>
          <w:sz w:val="24"/>
          <w:szCs w:val="24"/>
        </w:rPr>
        <w:t> </w:t>
      </w:r>
    </w:p>
    <w:p w14:paraId="4C9A0712">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72E5E9E4">
      <w:pPr>
        <w:pStyle w:val="40"/>
        <w:spacing w:before="0" w:beforeAutospacing="0" w:after="0" w:afterAutospacing="0" w:line="360" w:lineRule="auto"/>
        <w:jc w:val="both"/>
        <w:rPr>
          <w:rFonts w:hint="eastAsia" w:ascii="宋体" w:hAnsi="宋体" w:eastAsia="宋体" w:cs="宋体"/>
          <w:sz w:val="24"/>
          <w:szCs w:val="24"/>
        </w:rPr>
      </w:pPr>
      <w:r>
        <w:rPr>
          <w:rStyle w:val="47"/>
          <w:rFonts w:hint="eastAsia" w:ascii="宋体" w:hAnsi="宋体" w:cs="宋体"/>
          <w:sz w:val="24"/>
          <w:lang w:val="en-US"/>
        </w:rPr>
        <w:t>七</w:t>
      </w:r>
      <w:r>
        <w:rPr>
          <w:rStyle w:val="47"/>
          <w:rFonts w:hint="eastAsia" w:ascii="宋体" w:hAnsi="宋体" w:cs="宋体"/>
          <w:sz w:val="24"/>
        </w:rPr>
        <w:t>、其他补充事宜</w:t>
      </w:r>
    </w:p>
    <w:p w14:paraId="12A7825C">
      <w:pPr>
        <w:pStyle w:val="40"/>
        <w:spacing w:before="0" w:beforeAutospacing="0" w:after="0" w:afterAutospacing="0" w:line="360" w:lineRule="auto"/>
        <w:ind w:firstLine="720"/>
        <w:rPr>
          <w:rFonts w:hint="eastAsia" w:ascii="宋体" w:hAnsi="宋体" w:eastAsia="宋体" w:cs="宋体"/>
          <w:sz w:val="24"/>
          <w:szCs w:val="24"/>
        </w:rPr>
      </w:pPr>
      <w:r>
        <w:rPr>
          <w:rFonts w:hint="eastAsia" w:ascii="宋体" w:hAnsi="宋体" w:eastAsia="宋体"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8F44AF2">
      <w:pPr>
        <w:pStyle w:val="40"/>
        <w:spacing w:before="0" w:beforeAutospacing="0" w:after="0" w:afterAutospacing="0" w:line="360" w:lineRule="auto"/>
        <w:ind w:firstLine="720"/>
        <w:rPr>
          <w:rFonts w:hint="eastAsia" w:ascii="宋体" w:hAnsi="宋体" w:eastAsia="宋体" w:cs="宋体"/>
          <w:sz w:val="24"/>
          <w:szCs w:val="24"/>
        </w:rPr>
      </w:pPr>
      <w:r>
        <w:rPr>
          <w:rFonts w:hint="eastAsia" w:ascii="宋体" w:hAnsi="宋体" w:eastAsia="宋体"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 </w:t>
      </w:r>
    </w:p>
    <w:p w14:paraId="664A4E21">
      <w:pPr>
        <w:pStyle w:val="40"/>
        <w:spacing w:before="0" w:beforeAutospacing="0" w:after="0" w:afterAutospacing="0" w:line="360" w:lineRule="auto"/>
        <w:ind w:firstLine="72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.其他事项：</w:t>
      </w:r>
    </w:p>
    <w:p w14:paraId="074C61CD">
      <w:pPr>
        <w:pStyle w:val="40"/>
        <w:spacing w:before="0" w:beforeAutospacing="0" w:after="0" w:afterAutospacing="0" w:line="360" w:lineRule="auto"/>
        <w:ind w:firstLine="72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本次政府采购项目按《财政部关于在政府采购活动中查询及使用信用记录的通知》（财库〔2016〕125号）相关规定，对供应商进行信用甄别，详细规定见“投标通知(邀请)书”</w:t>
      </w:r>
    </w:p>
    <w:p w14:paraId="4879A7C6">
      <w:pPr>
        <w:pStyle w:val="40"/>
        <w:spacing w:before="0" w:beforeAutospacing="0" w:after="0" w:afterAutospacing="0" w:line="360" w:lineRule="auto"/>
        <w:ind w:firstLine="72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采购项目需要落实的政府采购政策</w:t>
      </w:r>
    </w:p>
    <w:p w14:paraId="5360E2C1">
      <w:pPr>
        <w:pStyle w:val="40"/>
        <w:numPr>
          <w:ilvl w:val="0"/>
          <w:numId w:val="3"/>
        </w:numPr>
        <w:spacing w:before="0" w:beforeAutospacing="0" w:after="0" w:afterAutospacing="0" w:line="360" w:lineRule="auto"/>
        <w:ind w:firstLine="720"/>
        <w:rPr>
          <w:rFonts w:hint="default" w:ascii="宋体" w:hAnsi="宋体" w:eastAsia="宋体" w:cs="宋体"/>
          <w:sz w:val="24"/>
          <w:szCs w:val="24"/>
          <w:lang w:val="en-US" w:eastAsia="zh-CN"/>
        </w:rPr>
      </w:pPr>
      <w:bookmarkStart w:id="4" w:name="_Toc30654"/>
      <w:r>
        <w:rPr>
          <w:rFonts w:hint="eastAsia" w:ascii="宋体" w:hAnsi="宋体" w:eastAsia="宋体" w:cs="宋体"/>
          <w:sz w:val="24"/>
          <w:szCs w:val="24"/>
        </w:rPr>
        <w:t>政府采购促进中小企业发展</w:t>
      </w:r>
      <w:bookmarkEnd w:id="4"/>
      <w:r>
        <w:rPr>
          <w:rFonts w:hint="eastAsia" w:ascii="宋体" w:hAnsi="宋体" w:eastAsia="宋体" w:cs="宋体"/>
          <w:sz w:val="24"/>
          <w:szCs w:val="24"/>
        </w:rPr>
        <w:t>（本项目中小企业划分标准所属行业为</w:t>
      </w:r>
      <w:r>
        <w:rPr>
          <w:rFonts w:hint="eastAsia" w:ascii="宋体" w:hAnsi="宋体" w:eastAsia="宋体" w:cs="宋体"/>
          <w:sz w:val="24"/>
          <w:szCs w:val="24"/>
          <w:lang w:eastAsia="zh-CN"/>
        </w:rPr>
        <w:t>建筑业</w:t>
      </w:r>
      <w:r>
        <w:rPr>
          <w:rFonts w:hint="eastAsia" w:ascii="宋体" w:hAnsi="宋体" w:eastAsia="宋体" w:cs="宋体"/>
          <w:sz w:val="24"/>
          <w:szCs w:val="24"/>
        </w:rPr>
        <w:t>）</w:t>
      </w:r>
      <w:bookmarkStart w:id="5" w:name="_Toc21083"/>
      <w:r>
        <w:rPr>
          <w:rFonts w:hint="eastAsia" w:ascii="宋体" w:hAnsi="宋体" w:eastAsia="宋体" w:cs="宋体"/>
          <w:sz w:val="24"/>
          <w:szCs w:val="24"/>
          <w:lang w:eastAsia="zh-CN"/>
        </w:rPr>
        <w:t>；</w:t>
      </w:r>
      <w:r>
        <w:rPr>
          <w:rFonts w:hint="eastAsia" w:ascii="宋体" w:hAnsi="宋体" w:eastAsia="宋体" w:cs="宋体"/>
          <w:sz w:val="24"/>
          <w:szCs w:val="24"/>
        </w:rPr>
        <w:t>2）政府采购支持监狱企业发展</w:t>
      </w:r>
      <w:bookmarkEnd w:id="5"/>
      <w:bookmarkStart w:id="6" w:name="_Toc9829"/>
      <w:r>
        <w:rPr>
          <w:rFonts w:hint="eastAsia" w:ascii="宋体" w:hAnsi="宋体" w:eastAsia="宋体" w:cs="宋体"/>
          <w:sz w:val="24"/>
          <w:szCs w:val="24"/>
          <w:lang w:eastAsia="zh-CN"/>
        </w:rPr>
        <w:t>；</w:t>
      </w:r>
      <w:r>
        <w:rPr>
          <w:rFonts w:hint="eastAsia" w:ascii="宋体" w:hAnsi="宋体" w:eastAsia="宋体" w:cs="宋体"/>
          <w:sz w:val="24"/>
          <w:szCs w:val="24"/>
        </w:rPr>
        <w:t>3）政府采购促进残疾人就业</w:t>
      </w:r>
      <w:bookmarkEnd w:id="6"/>
      <w:r>
        <w:rPr>
          <w:rFonts w:hint="eastAsia" w:ascii="宋体" w:hAnsi="宋体" w:eastAsia="宋体" w:cs="宋体"/>
          <w:sz w:val="24"/>
          <w:szCs w:val="24"/>
          <w:lang w:eastAsia="zh-CN"/>
        </w:rPr>
        <w:t>。</w:t>
      </w:r>
    </w:p>
    <w:p w14:paraId="581EC7BF">
      <w:pPr>
        <w:pStyle w:val="40"/>
        <w:numPr>
          <w:ilvl w:val="0"/>
          <w:numId w:val="0"/>
        </w:numPr>
        <w:spacing w:before="0" w:beforeAutospacing="0" w:after="0" w:afterAutospacing="0" w:line="360" w:lineRule="auto"/>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本项目开标会议通过政采云电子交易系统在线完成，请供应商代表自行准备联网的计算机设备、“政府采购云平台”CA数字证书。会议开始后，应全程关注政采云电子交易系统的各类通知：在线询标等，及时澄清、响应等，避免逾期无效等情况的发生。  </w:t>
      </w:r>
    </w:p>
    <w:p w14:paraId="50AEFCBB">
      <w:pPr>
        <w:pStyle w:val="40"/>
        <w:spacing w:before="0" w:beforeAutospacing="0" w:after="0" w:afterAutospacing="0" w:line="360" w:lineRule="auto"/>
        <w:jc w:val="both"/>
        <w:rPr>
          <w:rStyle w:val="47"/>
          <w:rFonts w:hint="eastAsia" w:ascii="宋体" w:hAnsi="宋体" w:cs="宋体"/>
          <w:sz w:val="24"/>
        </w:rPr>
      </w:pPr>
      <w:r>
        <w:rPr>
          <w:rStyle w:val="47"/>
          <w:rFonts w:hint="eastAsia" w:ascii="宋体" w:hAnsi="宋体" w:cs="宋体"/>
          <w:sz w:val="24"/>
          <w:lang w:val="en-US"/>
        </w:rPr>
        <w:t>八</w:t>
      </w:r>
      <w:r>
        <w:rPr>
          <w:rStyle w:val="47"/>
          <w:rFonts w:hint="eastAsia" w:ascii="宋体" w:hAnsi="宋体" w:cs="宋体"/>
          <w:sz w:val="24"/>
        </w:rPr>
        <w:t>、对本次采购提出询问、质疑、投诉，请按以下方式联系</w:t>
      </w:r>
    </w:p>
    <w:p w14:paraId="20455702">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1.采购人信息</w:t>
      </w:r>
    </w:p>
    <w:p w14:paraId="719A5F8D">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名    称：</w:t>
      </w:r>
      <w:r>
        <w:rPr>
          <w:rFonts w:hint="eastAsia" w:ascii="宋体" w:hAnsi="宋体" w:eastAsia="宋体" w:cs="宋体"/>
          <w:sz w:val="24"/>
          <w:szCs w:val="24"/>
          <w:lang w:eastAsia="zh-CN"/>
        </w:rPr>
        <w:t>龙港市第五中学</w:t>
      </w:r>
      <w:r>
        <w:rPr>
          <w:rFonts w:hint="eastAsia" w:ascii="宋体" w:hAnsi="宋体" w:eastAsia="宋体" w:cs="宋体"/>
          <w:sz w:val="24"/>
          <w:szCs w:val="24"/>
        </w:rPr>
        <w:t> </w:t>
      </w:r>
    </w:p>
    <w:p w14:paraId="67090236">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地    址：龙港市人民南路1194号 </w:t>
      </w:r>
    </w:p>
    <w:p w14:paraId="34EB1780">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传    真：/  </w:t>
      </w:r>
    </w:p>
    <w:p w14:paraId="0611B6B9">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项目联系人（询问）：</w:t>
      </w:r>
      <w:r>
        <w:rPr>
          <w:rFonts w:hint="eastAsia" w:ascii="宋体" w:hAnsi="宋体" w:eastAsia="宋体" w:cs="宋体"/>
          <w:sz w:val="24"/>
          <w:szCs w:val="24"/>
          <w:lang w:val="en-US" w:eastAsia="zh-CN"/>
        </w:rPr>
        <w:t>陈老师</w:t>
      </w:r>
      <w:r>
        <w:rPr>
          <w:rFonts w:hint="eastAsia" w:ascii="宋体" w:hAnsi="宋体" w:eastAsia="宋体" w:cs="宋体"/>
          <w:sz w:val="24"/>
          <w:szCs w:val="24"/>
        </w:rPr>
        <w:t>  </w:t>
      </w:r>
    </w:p>
    <w:p w14:paraId="35087464">
      <w:pPr>
        <w:pStyle w:val="40"/>
        <w:spacing w:before="0" w:beforeAutospacing="0" w:after="0" w:afterAutospacing="0" w:line="360" w:lineRule="auto"/>
        <w:ind w:firstLine="720"/>
        <w:rPr>
          <w:rFonts w:hint="eastAsia" w:ascii="宋体" w:hAnsi="宋体" w:eastAsia="宋体" w:cs="宋体"/>
          <w:sz w:val="24"/>
          <w:szCs w:val="24"/>
          <w:lang w:eastAsia="zh-CN"/>
        </w:rPr>
      </w:pPr>
      <w:r>
        <w:rPr>
          <w:rFonts w:hint="eastAsia" w:ascii="宋体" w:hAnsi="宋体" w:eastAsia="宋体" w:cs="宋体"/>
          <w:sz w:val="24"/>
          <w:szCs w:val="24"/>
        </w:rPr>
        <w:t>项目联系方式（询问）：</w:t>
      </w:r>
      <w:r>
        <w:rPr>
          <w:rFonts w:hint="eastAsia" w:ascii="宋体" w:hAnsi="宋体" w:eastAsia="宋体" w:cs="宋体"/>
          <w:sz w:val="24"/>
          <w:szCs w:val="24"/>
          <w:lang w:val="en-US" w:eastAsia="zh-CN"/>
        </w:rPr>
        <w:t xml:space="preserve">0577-64193292 </w:t>
      </w:r>
    </w:p>
    <w:p w14:paraId="249C1F1F">
      <w:pPr>
        <w:pStyle w:val="40"/>
        <w:spacing w:before="0" w:beforeAutospacing="0" w:after="0" w:afterAutospacing="0" w:line="360" w:lineRule="auto"/>
        <w:ind w:firstLine="720"/>
        <w:rPr>
          <w:rFonts w:hint="eastAsia" w:ascii="宋体" w:hAnsi="宋体" w:eastAsia="宋体" w:cs="宋体"/>
          <w:sz w:val="24"/>
          <w:szCs w:val="24"/>
        </w:rPr>
      </w:pPr>
      <w:r>
        <w:rPr>
          <w:rFonts w:hint="eastAsia" w:ascii="宋体" w:hAnsi="宋体" w:eastAsia="宋体" w:cs="宋体"/>
          <w:sz w:val="24"/>
          <w:szCs w:val="24"/>
        </w:rPr>
        <w:t>质疑联系人：</w:t>
      </w:r>
      <w:r>
        <w:rPr>
          <w:rFonts w:hint="eastAsia" w:ascii="宋体" w:hAnsi="宋体" w:eastAsia="宋体" w:cs="宋体"/>
          <w:sz w:val="24"/>
          <w:szCs w:val="24"/>
          <w:lang w:val="en-US" w:eastAsia="zh-CN"/>
        </w:rPr>
        <w:t>陈老师</w:t>
      </w:r>
      <w:r>
        <w:rPr>
          <w:rFonts w:hint="eastAsia" w:ascii="宋体" w:hAnsi="宋体" w:eastAsia="宋体" w:cs="宋体"/>
          <w:sz w:val="24"/>
          <w:szCs w:val="24"/>
        </w:rPr>
        <w:t>    </w:t>
      </w:r>
    </w:p>
    <w:p w14:paraId="144A209A">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质疑联系方式：</w:t>
      </w:r>
      <w:r>
        <w:rPr>
          <w:rFonts w:hint="eastAsia" w:ascii="宋体" w:hAnsi="宋体" w:eastAsia="宋体" w:cs="宋体"/>
          <w:sz w:val="24"/>
          <w:szCs w:val="24"/>
          <w:lang w:val="en-US" w:eastAsia="zh-CN"/>
        </w:rPr>
        <w:t>0577-64193292</w:t>
      </w:r>
      <w:r>
        <w:rPr>
          <w:rFonts w:hint="eastAsia" w:ascii="宋体" w:hAnsi="宋体" w:eastAsia="宋体" w:cs="宋体"/>
          <w:sz w:val="24"/>
          <w:szCs w:val="24"/>
        </w:rPr>
        <w:t> </w:t>
      </w:r>
    </w:p>
    <w:p w14:paraId="6745D4E6">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2.采购代理机构信息            </w:t>
      </w:r>
    </w:p>
    <w:p w14:paraId="274A9D5C">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名    称：</w:t>
      </w:r>
      <w:r>
        <w:rPr>
          <w:rFonts w:hint="eastAsia" w:ascii="宋体" w:hAnsi="宋体" w:eastAsia="宋体" w:cs="宋体"/>
          <w:sz w:val="24"/>
          <w:szCs w:val="24"/>
          <w:lang w:eastAsia="zh-CN"/>
        </w:rPr>
        <w:t>温州立民招标代理有限公司</w:t>
      </w:r>
      <w:r>
        <w:rPr>
          <w:rFonts w:hint="eastAsia" w:ascii="宋体" w:hAnsi="宋体" w:eastAsia="宋体" w:cs="宋体"/>
          <w:sz w:val="24"/>
          <w:szCs w:val="24"/>
        </w:rPr>
        <w:t>             </w:t>
      </w:r>
    </w:p>
    <w:p w14:paraId="2959D94D">
      <w:pPr>
        <w:pStyle w:val="40"/>
        <w:spacing w:before="0" w:beforeAutospacing="0" w:after="0" w:afterAutospacing="0"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val="en-US" w:eastAsia="zh-CN"/>
        </w:rPr>
        <w:t>龙港市西五路咸园社区办公楼一层</w:t>
      </w:r>
    </w:p>
    <w:p w14:paraId="54F50D1E">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传    真：</w:t>
      </w:r>
      <w:r>
        <w:rPr>
          <w:rFonts w:hint="eastAsia" w:ascii="宋体" w:hAnsi="宋体" w:eastAsia="宋体" w:cs="宋体"/>
          <w:sz w:val="24"/>
          <w:szCs w:val="24"/>
          <w:lang w:val="en-US" w:eastAsia="zh-CN"/>
        </w:rPr>
        <w:t>/</w:t>
      </w:r>
      <w:r>
        <w:rPr>
          <w:rFonts w:hint="eastAsia" w:ascii="宋体" w:hAnsi="宋体" w:eastAsia="宋体" w:cs="宋体"/>
          <w:sz w:val="24"/>
          <w:szCs w:val="24"/>
        </w:rPr>
        <w:t>             </w:t>
      </w:r>
    </w:p>
    <w:p w14:paraId="53B01B1D">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项目联系人（询问）：周先生              </w:t>
      </w:r>
    </w:p>
    <w:p w14:paraId="31ED21D5">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项目联系方式（询问）：18668780078 </w:t>
      </w:r>
    </w:p>
    <w:p w14:paraId="43DFC361">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质疑联系人：</w:t>
      </w:r>
      <w:r>
        <w:rPr>
          <w:rFonts w:hint="eastAsia" w:ascii="宋体" w:hAnsi="宋体" w:eastAsia="宋体" w:cs="宋体"/>
          <w:sz w:val="24"/>
          <w:szCs w:val="24"/>
          <w:lang w:val="en-US" w:eastAsia="zh-CN"/>
        </w:rPr>
        <w:t>吴连形</w:t>
      </w:r>
      <w:r>
        <w:rPr>
          <w:rFonts w:hint="eastAsia" w:ascii="宋体" w:hAnsi="宋体" w:eastAsia="宋体" w:cs="宋体"/>
          <w:sz w:val="24"/>
          <w:szCs w:val="24"/>
        </w:rPr>
        <w:t>             </w:t>
      </w:r>
    </w:p>
    <w:p w14:paraId="43F46588">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质疑联系方式：19906503901 　　　　　　     </w:t>
      </w:r>
    </w:p>
    <w:p w14:paraId="346D742A">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3.同级政府采购监督管理部门            </w:t>
      </w:r>
    </w:p>
    <w:p w14:paraId="31FE7202">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名    称：龙港市财政局财政监督科             </w:t>
      </w:r>
    </w:p>
    <w:p w14:paraId="5098681F">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地    址：龙港市龙港大道与西五街交叉路口             </w:t>
      </w:r>
    </w:p>
    <w:p w14:paraId="4D713937">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传    真：0577-68081810             </w:t>
      </w:r>
    </w:p>
    <w:p w14:paraId="3B6B0D55">
      <w:pPr>
        <w:pStyle w:val="4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    联系人 ：</w:t>
      </w:r>
      <w:r>
        <w:rPr>
          <w:rFonts w:hint="eastAsia" w:ascii="宋体" w:hAnsi="宋体" w:eastAsia="宋体" w:cs="宋体"/>
          <w:sz w:val="24"/>
          <w:szCs w:val="24"/>
          <w:lang w:val="en-US" w:eastAsia="zh-CN"/>
        </w:rPr>
        <w:t>陈先生</w:t>
      </w:r>
      <w:r>
        <w:rPr>
          <w:rFonts w:hint="eastAsia" w:ascii="宋体" w:hAnsi="宋体" w:eastAsia="宋体" w:cs="宋体"/>
          <w:sz w:val="24"/>
          <w:szCs w:val="24"/>
        </w:rPr>
        <w:t>             </w:t>
      </w:r>
    </w:p>
    <w:p w14:paraId="4A884928">
      <w:pPr>
        <w:widowControl/>
        <w:spacing w:line="360" w:lineRule="auto"/>
        <w:jc w:val="left"/>
        <w:rPr>
          <w:rFonts w:hint="eastAsia" w:ascii="宋体" w:hAnsi="宋体" w:cs="宋体"/>
          <w:color w:val="000000"/>
          <w:sz w:val="24"/>
          <w:szCs w:val="24"/>
        </w:rPr>
      </w:pPr>
      <w:r>
        <w:rPr>
          <w:rFonts w:hint="eastAsia" w:ascii="宋体" w:hAnsi="宋体" w:eastAsia="宋体" w:cs="宋体"/>
          <w:sz w:val="24"/>
          <w:szCs w:val="24"/>
        </w:rPr>
        <w:t>    监督投诉电话：0577-68081810           </w:t>
      </w:r>
      <w:r>
        <w:rPr>
          <w:rFonts w:hint="eastAsia" w:ascii="宋体" w:hAnsi="宋体" w:eastAsia="宋体" w:cs="宋体"/>
          <w:sz w:val="24"/>
          <w:szCs w:val="24"/>
        </w:rPr>
        <w:br w:type="textWrapping"/>
      </w:r>
      <w:r>
        <w:rPr>
          <w:rFonts w:hint="eastAsia" w:ascii="宋体" w:hAnsi="宋体" w:cs="宋体"/>
          <w:color w:val="000000"/>
          <w:kern w:val="0"/>
          <w:sz w:val="24"/>
          <w:szCs w:val="24"/>
          <w:lang w:bidi="ar"/>
        </w:rPr>
        <w:t>若对项目采购电子交易系统操作有疑问，可登录政采云（https://www.zcygov.cn/），点击右侧咨询小采，获取采小蜜智能服务管家帮助，或拨打政采云服务热线400-881-7190获取热线服务帮助。       </w:t>
      </w:r>
    </w:p>
    <w:p w14:paraId="62D0D83B">
      <w:pPr>
        <w:widowControl/>
        <w:spacing w:line="360" w:lineRule="auto"/>
        <w:jc w:val="left"/>
        <w:rPr>
          <w:rFonts w:hint="eastAsia" w:ascii="宋体" w:hAnsi="宋体" w:cs="宋体"/>
          <w:color w:val="000000"/>
          <w:sz w:val="24"/>
          <w:szCs w:val="24"/>
        </w:rPr>
      </w:pPr>
      <w:r>
        <w:rPr>
          <w:rFonts w:hint="eastAsia" w:ascii="宋体" w:hAnsi="宋体" w:cs="宋体"/>
          <w:color w:val="000000"/>
          <w:kern w:val="0"/>
          <w:sz w:val="24"/>
          <w:szCs w:val="24"/>
          <w:lang w:bidi="ar"/>
        </w:rPr>
        <w:t>CA问题联系电话（人工）：汇信CA 400-888-4636；天谷CA 400-087-8198。</w:t>
      </w:r>
    </w:p>
    <w:p w14:paraId="322074A0">
      <w:pPr>
        <w:rPr>
          <w:rFonts w:hint="eastAsia" w:ascii="宋体" w:hAnsi="宋体" w:cs="宋体"/>
          <w:sz w:val="22"/>
          <w:szCs w:val="22"/>
        </w:rPr>
      </w:pPr>
    </w:p>
    <w:p w14:paraId="052E0A40">
      <w:pPr>
        <w:pStyle w:val="8"/>
        <w:spacing w:before="0" w:after="0"/>
        <w:ind w:firstLine="739" w:firstLineChars="200"/>
        <w:jc w:val="center"/>
        <w:rPr>
          <w:rFonts w:hint="eastAsia" w:ascii="宋体" w:hAnsi="宋体" w:eastAsia="宋体" w:cs="宋体"/>
          <w:b/>
          <w:bCs/>
          <w:spacing w:val="0"/>
          <w:szCs w:val="22"/>
        </w:rPr>
      </w:pPr>
      <w:r>
        <w:rPr>
          <w:rFonts w:hint="eastAsia" w:ascii="宋体" w:hAnsi="宋体" w:cs="宋体"/>
          <w:b/>
          <w:bCs/>
          <w:szCs w:val="22"/>
        </w:rPr>
        <w:br w:type="page"/>
      </w:r>
      <w:bookmarkStart w:id="7" w:name="_Toc16714"/>
      <w:bookmarkStart w:id="8" w:name="_Toc4655"/>
      <w:bookmarkStart w:id="9" w:name="_Toc24219"/>
      <w:r>
        <w:rPr>
          <w:rFonts w:hint="eastAsia" w:ascii="宋体" w:hAnsi="宋体" w:eastAsia="宋体" w:cs="宋体"/>
          <w:b/>
          <w:bCs/>
          <w:spacing w:val="0"/>
          <w:szCs w:val="22"/>
        </w:rPr>
        <w:t>投 标 通 知 (邀 请) 书</w:t>
      </w:r>
      <w:bookmarkEnd w:id="7"/>
      <w:bookmarkEnd w:id="8"/>
      <w:bookmarkEnd w:id="9"/>
    </w:p>
    <w:p w14:paraId="52386E85">
      <w:pPr>
        <w:spacing w:line="440" w:lineRule="exact"/>
        <w:ind w:firstLine="440" w:firstLineChars="200"/>
        <w:rPr>
          <w:rFonts w:hint="eastAsia" w:ascii="宋体" w:hAnsi="宋体" w:cs="宋体"/>
          <w:kern w:val="0"/>
          <w:sz w:val="22"/>
          <w:szCs w:val="22"/>
        </w:rPr>
      </w:pPr>
      <w:r>
        <w:rPr>
          <w:rFonts w:hint="eastAsia" w:ascii="宋体" w:hAnsi="宋体" w:eastAsia="宋体" w:cs="宋体"/>
          <w:kern w:val="0"/>
          <w:sz w:val="22"/>
          <w:szCs w:val="22"/>
          <w:lang w:eastAsia="zh-CN"/>
        </w:rPr>
        <w:t>温州立民招标代理有限公司</w:t>
      </w:r>
      <w:r>
        <w:rPr>
          <w:rFonts w:hint="eastAsia" w:ascii="宋体" w:hAnsi="宋体" w:eastAsia="宋体" w:cs="宋体"/>
          <w:kern w:val="0"/>
          <w:sz w:val="22"/>
          <w:szCs w:val="22"/>
        </w:rPr>
        <w:t>对</w:t>
      </w:r>
      <w:r>
        <w:rPr>
          <w:rFonts w:hint="eastAsia" w:ascii="宋体" w:hAnsi="宋体" w:eastAsia="宋体" w:cs="宋体"/>
          <w:kern w:val="0"/>
          <w:sz w:val="22"/>
          <w:szCs w:val="22"/>
          <w:lang w:eastAsia="zh-CN"/>
        </w:rPr>
        <w:t>龙港市第五中学新建教学楼二次装修及智能化工程采购项目</w:t>
      </w:r>
      <w:r>
        <w:rPr>
          <w:rFonts w:hint="eastAsia" w:ascii="宋体" w:hAnsi="宋体" w:eastAsia="宋体" w:cs="宋体"/>
          <w:kern w:val="0"/>
          <w:sz w:val="22"/>
          <w:szCs w:val="22"/>
        </w:rPr>
        <w:t>进行</w:t>
      </w:r>
      <w:r>
        <w:rPr>
          <w:rFonts w:hint="eastAsia" w:ascii="宋体" w:hAnsi="宋体" w:eastAsia="宋体" w:cs="宋体"/>
          <w:kern w:val="0"/>
          <w:sz w:val="22"/>
          <w:szCs w:val="22"/>
          <w:lang w:val="en-US" w:eastAsia="zh-CN"/>
        </w:rPr>
        <w:t>竞争性磋商</w:t>
      </w:r>
      <w:r>
        <w:rPr>
          <w:rFonts w:hint="eastAsia" w:ascii="宋体" w:hAnsi="宋体" w:eastAsia="宋体" w:cs="宋体"/>
          <w:kern w:val="0"/>
          <w:sz w:val="22"/>
          <w:szCs w:val="22"/>
        </w:rPr>
        <w:t>，特通知贵公司（企业）前来投标。并请按</w:t>
      </w:r>
      <w:r>
        <w:rPr>
          <w:rFonts w:hint="eastAsia" w:ascii="宋体" w:hAnsi="宋体" w:eastAsia="宋体" w:cs="宋体"/>
          <w:kern w:val="0"/>
          <w:sz w:val="22"/>
          <w:szCs w:val="22"/>
          <w:lang w:val="en-US" w:eastAsia="zh-CN"/>
        </w:rPr>
        <w:t>采购</w:t>
      </w:r>
      <w:r>
        <w:rPr>
          <w:rFonts w:hint="eastAsia" w:ascii="宋体" w:hAnsi="宋体" w:eastAsia="宋体" w:cs="宋体"/>
          <w:kern w:val="0"/>
          <w:sz w:val="22"/>
          <w:szCs w:val="22"/>
        </w:rPr>
        <w:t>文件的要求认真准备好投标</w:t>
      </w:r>
      <w:r>
        <w:rPr>
          <w:rFonts w:hint="eastAsia" w:ascii="宋体" w:hAnsi="宋体" w:eastAsia="宋体" w:cs="宋体"/>
          <w:kern w:val="0"/>
          <w:sz w:val="22"/>
          <w:szCs w:val="22"/>
          <w:lang w:val="en-US" w:eastAsia="zh-CN"/>
        </w:rPr>
        <w:t>响应</w:t>
      </w:r>
      <w:r>
        <w:rPr>
          <w:rFonts w:hint="eastAsia" w:ascii="宋体" w:hAnsi="宋体" w:eastAsia="宋体" w:cs="宋体"/>
          <w:kern w:val="0"/>
          <w:sz w:val="22"/>
          <w:szCs w:val="22"/>
        </w:rPr>
        <w:t>文件，按时前来投标。</w:t>
      </w:r>
    </w:p>
    <w:tbl>
      <w:tblPr>
        <w:tblStyle w:val="44"/>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6901"/>
      </w:tblGrid>
      <w:tr w14:paraId="4BBE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34" w:type="dxa"/>
            <w:tcBorders>
              <w:top w:val="double" w:color="auto" w:sz="4" w:space="0"/>
              <w:left w:val="double" w:color="auto" w:sz="4" w:space="0"/>
            </w:tcBorders>
            <w:noWrap w:val="0"/>
            <w:vAlign w:val="center"/>
          </w:tcPr>
          <w:p w14:paraId="6B612CB3">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采购编号</w:t>
            </w:r>
          </w:p>
        </w:tc>
        <w:tc>
          <w:tcPr>
            <w:tcW w:w="6901" w:type="dxa"/>
            <w:tcBorders>
              <w:top w:val="double" w:color="auto" w:sz="4" w:space="0"/>
              <w:right w:val="double" w:color="auto" w:sz="4" w:space="0"/>
            </w:tcBorders>
            <w:noWrap w:val="0"/>
            <w:vAlign w:val="center"/>
          </w:tcPr>
          <w:p w14:paraId="7600E2C8">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eastAsia="zh-CN"/>
              </w:rPr>
            </w:pPr>
            <w:r>
              <w:rPr>
                <w:rFonts w:hint="eastAsia" w:ascii="宋体" w:hAnsi="宋体" w:cs="宋体"/>
                <w:sz w:val="22"/>
                <w:szCs w:val="22"/>
                <w:lang w:eastAsia="zh-CN"/>
              </w:rPr>
              <w:t>LGCG2024273</w:t>
            </w:r>
          </w:p>
        </w:tc>
      </w:tr>
      <w:tr w14:paraId="502C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634" w:type="dxa"/>
            <w:tcBorders>
              <w:left w:val="double" w:color="auto" w:sz="4" w:space="0"/>
            </w:tcBorders>
            <w:noWrap w:val="0"/>
            <w:vAlign w:val="center"/>
          </w:tcPr>
          <w:p w14:paraId="32235D0B">
            <w:pPr>
              <w:spacing w:line="360" w:lineRule="auto"/>
              <w:jc w:val="center"/>
              <w:rPr>
                <w:rFonts w:hint="eastAsia" w:ascii="宋体" w:hAnsi="宋体" w:eastAsia="宋体" w:cs="宋体"/>
                <w:b/>
                <w:bCs/>
                <w:sz w:val="22"/>
                <w:szCs w:val="22"/>
                <w:u w:val="none" w:color="800080"/>
                <w:lang w:val="en-US" w:eastAsia="zh-CN"/>
              </w:rPr>
            </w:pPr>
            <w:r>
              <w:rPr>
                <w:rFonts w:hint="eastAsia" w:ascii="宋体" w:hAnsi="宋体" w:eastAsia="宋体" w:cs="宋体"/>
                <w:b/>
                <w:bCs/>
                <w:sz w:val="22"/>
                <w:szCs w:val="22"/>
                <w:u w:val="none" w:color="800080"/>
                <w:lang w:val="en-US" w:eastAsia="zh-CN"/>
              </w:rPr>
              <w:t>项目名称</w:t>
            </w:r>
          </w:p>
        </w:tc>
        <w:tc>
          <w:tcPr>
            <w:tcW w:w="6901" w:type="dxa"/>
            <w:tcBorders>
              <w:right w:val="double" w:color="auto" w:sz="4" w:space="0"/>
            </w:tcBorders>
            <w:noWrap w:val="0"/>
            <w:vAlign w:val="center"/>
          </w:tcPr>
          <w:p w14:paraId="73E34D8C">
            <w:pPr>
              <w:keepNext w:val="0"/>
              <w:keepLines w:val="0"/>
              <w:pageBreakBefore w:val="0"/>
              <w:tabs>
                <w:tab w:val="center" w:pos="3342"/>
              </w:tabs>
              <w:kinsoku/>
              <w:wordWrap/>
              <w:overflowPunct/>
              <w:topLinePunct w:val="0"/>
              <w:autoSpaceDE/>
              <w:autoSpaceDN/>
              <w:bidi w:val="0"/>
              <w:spacing w:line="296" w:lineRule="auto"/>
              <w:textAlignment w:val="auto"/>
              <w:rPr>
                <w:rFonts w:hint="eastAsia" w:ascii="宋体" w:hAnsi="宋体" w:eastAsia="宋体" w:cs="宋体"/>
                <w:sz w:val="22"/>
                <w:szCs w:val="22"/>
                <w:u w:val="none" w:color="800080"/>
                <w:lang w:eastAsia="zh-CN"/>
              </w:rPr>
            </w:pPr>
            <w:r>
              <w:rPr>
                <w:rFonts w:hint="eastAsia" w:ascii="宋体" w:hAnsi="宋体" w:eastAsia="宋体" w:cs="宋体"/>
                <w:sz w:val="22"/>
                <w:szCs w:val="22"/>
                <w:u w:val="none" w:color="800080"/>
                <w:lang w:eastAsia="zh-CN"/>
              </w:rPr>
              <w:t>龙港市第五中学新建教学楼二次装修及智能化工程采购项目</w:t>
            </w:r>
          </w:p>
        </w:tc>
      </w:tr>
      <w:tr w14:paraId="6A54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34" w:type="dxa"/>
            <w:tcBorders>
              <w:left w:val="double" w:color="auto" w:sz="4" w:space="0"/>
            </w:tcBorders>
            <w:noWrap w:val="0"/>
            <w:vAlign w:val="center"/>
          </w:tcPr>
          <w:p w14:paraId="55874FC5">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资金来源</w:t>
            </w:r>
          </w:p>
        </w:tc>
        <w:tc>
          <w:tcPr>
            <w:tcW w:w="6901" w:type="dxa"/>
            <w:tcBorders>
              <w:right w:val="double" w:color="auto" w:sz="4" w:space="0"/>
            </w:tcBorders>
            <w:noWrap w:val="0"/>
            <w:vAlign w:val="center"/>
          </w:tcPr>
          <w:p w14:paraId="59ED908B">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rPr>
              <w:t>财政资金</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已落实</w:t>
            </w:r>
          </w:p>
        </w:tc>
      </w:tr>
      <w:tr w14:paraId="78F6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34" w:type="dxa"/>
            <w:tcBorders>
              <w:left w:val="double" w:color="auto" w:sz="4" w:space="0"/>
            </w:tcBorders>
            <w:noWrap w:val="0"/>
            <w:vAlign w:val="center"/>
          </w:tcPr>
          <w:p w14:paraId="6A30FC11">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采购方式</w:t>
            </w:r>
          </w:p>
        </w:tc>
        <w:tc>
          <w:tcPr>
            <w:tcW w:w="6901" w:type="dxa"/>
            <w:tcBorders>
              <w:right w:val="double" w:color="auto" w:sz="4" w:space="0"/>
            </w:tcBorders>
            <w:noWrap w:val="0"/>
            <w:vAlign w:val="center"/>
          </w:tcPr>
          <w:p w14:paraId="5331837B">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bCs/>
                <w:sz w:val="22"/>
                <w:szCs w:val="22"/>
              </w:rPr>
            </w:pPr>
            <w:r>
              <w:rPr>
                <w:rFonts w:hint="eastAsia" w:ascii="宋体" w:hAnsi="宋体" w:eastAsia="宋体" w:cs="宋体"/>
                <w:sz w:val="22"/>
                <w:szCs w:val="22"/>
                <w:lang w:val="en-US" w:eastAsia="zh-CN"/>
              </w:rPr>
              <w:t>竞争性磋商</w:t>
            </w:r>
            <w:r>
              <w:rPr>
                <w:rFonts w:hint="eastAsia" w:ascii="宋体" w:hAnsi="宋体" w:eastAsia="宋体" w:cs="宋体"/>
                <w:sz w:val="22"/>
                <w:szCs w:val="22"/>
              </w:rPr>
              <w:t>（电子交易）</w:t>
            </w:r>
          </w:p>
        </w:tc>
      </w:tr>
      <w:tr w14:paraId="0B48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634" w:type="dxa"/>
            <w:tcBorders>
              <w:left w:val="double" w:color="auto" w:sz="4" w:space="0"/>
            </w:tcBorders>
            <w:noWrap w:val="0"/>
            <w:vAlign w:val="center"/>
          </w:tcPr>
          <w:p w14:paraId="7B6D3E32">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确定成交供应商办法</w:t>
            </w:r>
          </w:p>
        </w:tc>
        <w:tc>
          <w:tcPr>
            <w:tcW w:w="6901" w:type="dxa"/>
            <w:tcBorders>
              <w:right w:val="double" w:color="auto" w:sz="4" w:space="0"/>
            </w:tcBorders>
            <w:noWrap w:val="0"/>
            <w:vAlign w:val="center"/>
          </w:tcPr>
          <w:p w14:paraId="445C609D">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bCs/>
                <w:sz w:val="22"/>
                <w:szCs w:val="22"/>
              </w:rPr>
            </w:pPr>
            <w:r>
              <w:rPr>
                <w:rFonts w:hint="eastAsia" w:ascii="宋体" w:hAnsi="宋体" w:eastAsia="宋体" w:cs="宋体"/>
                <w:bCs/>
                <w:sz w:val="22"/>
                <w:szCs w:val="22"/>
              </w:rPr>
              <w:t>综合评分法</w:t>
            </w:r>
          </w:p>
        </w:tc>
      </w:tr>
      <w:tr w14:paraId="54AD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634" w:type="dxa"/>
            <w:tcBorders>
              <w:left w:val="double" w:color="auto" w:sz="4" w:space="0"/>
            </w:tcBorders>
            <w:noWrap w:val="0"/>
            <w:vAlign w:val="center"/>
          </w:tcPr>
          <w:p w14:paraId="5D7ACA47">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采购类型</w:t>
            </w:r>
          </w:p>
        </w:tc>
        <w:tc>
          <w:tcPr>
            <w:tcW w:w="6901" w:type="dxa"/>
            <w:tcBorders>
              <w:right w:val="double" w:color="auto" w:sz="4" w:space="0"/>
            </w:tcBorders>
            <w:noWrap w:val="0"/>
            <w:vAlign w:val="center"/>
          </w:tcPr>
          <w:p w14:paraId="73E5923E">
            <w:pPr>
              <w:spacing w:line="312" w:lineRule="auto"/>
              <w:rPr>
                <w:rFonts w:hint="eastAsia" w:ascii="宋体" w:hAnsi="宋体" w:eastAsia="宋体" w:cs="宋体"/>
                <w:bCs/>
                <w:sz w:val="22"/>
                <w:szCs w:val="22"/>
              </w:rPr>
            </w:pPr>
            <w:r>
              <w:rPr>
                <w:rFonts w:hint="eastAsia" w:ascii="宋体" w:hAnsi="宋体" w:eastAsia="宋体" w:cs="宋体"/>
                <w:sz w:val="22"/>
                <w:szCs w:val="24"/>
                <w:u w:val="single"/>
              </w:rPr>
              <w:fldChar w:fldCharType="begin"/>
            </w:r>
            <w:r>
              <w:rPr>
                <w:rFonts w:hint="eastAsia" w:ascii="宋体" w:hAnsi="宋体" w:eastAsia="宋体" w:cs="宋体"/>
                <w:sz w:val="22"/>
                <w:szCs w:val="24"/>
                <w:u w:val="single"/>
              </w:rPr>
              <w:instrText xml:space="preserve"> eq \o\ac(</w:instrText>
            </w:r>
            <w:r>
              <w:rPr>
                <w:rFonts w:hint="eastAsia" w:ascii="宋体" w:hAnsi="宋体" w:eastAsia="宋体" w:cs="宋体"/>
                <w:position w:val="-4"/>
                <w:sz w:val="33"/>
                <w:szCs w:val="24"/>
                <w:u w:val="single"/>
              </w:rPr>
              <w:instrText xml:space="preserve">□</w:instrText>
            </w:r>
            <w:r>
              <w:rPr>
                <w:rFonts w:hint="eastAsia" w:ascii="宋体" w:hAnsi="宋体" w:eastAsia="宋体" w:cs="宋体"/>
                <w:position w:val="0"/>
                <w:sz w:val="22"/>
                <w:szCs w:val="24"/>
                <w:u w:val="single"/>
              </w:rPr>
              <w:instrText xml:space="preserve">)</w:instrText>
            </w:r>
            <w:r>
              <w:rPr>
                <w:rFonts w:hint="eastAsia" w:ascii="宋体" w:hAnsi="宋体" w:eastAsia="宋体" w:cs="宋体"/>
                <w:sz w:val="22"/>
                <w:szCs w:val="24"/>
              </w:rPr>
              <w:fldChar w:fldCharType="end"/>
            </w:r>
            <w:r>
              <w:rPr>
                <w:rFonts w:hint="eastAsia" w:ascii="宋体" w:hAnsi="宋体" w:eastAsia="宋体" w:cs="宋体"/>
                <w:sz w:val="22"/>
                <w:szCs w:val="24"/>
              </w:rPr>
              <w:t xml:space="preserve">货物类       </w:t>
            </w:r>
            <w:r>
              <w:rPr>
                <w:rFonts w:hint="eastAsia" w:ascii="宋体" w:hAnsi="宋体" w:eastAsia="宋体" w:cs="宋体"/>
                <w:b w:val="0"/>
                <w:bCs w:val="0"/>
                <w:sz w:val="22"/>
                <w:szCs w:val="24"/>
                <w:u w:val="single"/>
              </w:rPr>
              <w:fldChar w:fldCharType="begin"/>
            </w:r>
            <w:r>
              <w:rPr>
                <w:rFonts w:hint="eastAsia" w:ascii="宋体" w:hAnsi="宋体" w:eastAsia="宋体" w:cs="宋体"/>
                <w:b w:val="0"/>
                <w:bCs w:val="0"/>
                <w:sz w:val="22"/>
                <w:szCs w:val="24"/>
                <w:u w:val="single"/>
              </w:rPr>
              <w:instrText xml:space="preserve"> eq \o\ac(</w:instrText>
            </w:r>
            <w:r>
              <w:rPr>
                <w:rFonts w:hint="eastAsia" w:ascii="宋体" w:hAnsi="宋体" w:eastAsia="宋体" w:cs="宋体"/>
                <w:b w:val="0"/>
                <w:bCs w:val="0"/>
                <w:position w:val="-4"/>
                <w:sz w:val="33"/>
                <w:szCs w:val="24"/>
                <w:u w:val="single"/>
              </w:rPr>
              <w:instrText xml:space="preserve">□</w:instrText>
            </w:r>
            <w:r>
              <w:rPr>
                <w:rFonts w:hint="eastAsia" w:ascii="宋体" w:hAnsi="宋体" w:eastAsia="宋体" w:cs="宋体"/>
                <w:b w:val="0"/>
                <w:bCs w:val="0"/>
                <w:position w:val="0"/>
                <w:sz w:val="22"/>
                <w:szCs w:val="24"/>
                <w:u w:val="single"/>
              </w:rPr>
              <w:instrText xml:space="preserve">)</w:instrText>
            </w:r>
            <w:r>
              <w:rPr>
                <w:rFonts w:hint="eastAsia" w:ascii="宋体" w:hAnsi="宋体" w:eastAsia="宋体" w:cs="宋体"/>
                <w:b w:val="0"/>
                <w:bCs w:val="0"/>
                <w:sz w:val="22"/>
                <w:szCs w:val="24"/>
              </w:rPr>
              <w:fldChar w:fldCharType="end"/>
            </w:r>
            <w:r>
              <w:rPr>
                <w:rFonts w:hint="eastAsia" w:ascii="宋体" w:hAnsi="宋体" w:eastAsia="宋体" w:cs="宋体"/>
                <w:b w:val="0"/>
                <w:bCs w:val="0"/>
                <w:sz w:val="22"/>
                <w:szCs w:val="24"/>
              </w:rPr>
              <w:t xml:space="preserve">服务类 </w:t>
            </w:r>
            <w:r>
              <w:rPr>
                <w:rFonts w:hint="eastAsia" w:ascii="宋体" w:hAnsi="宋体" w:eastAsia="宋体" w:cs="宋体"/>
                <w:sz w:val="22"/>
                <w:szCs w:val="24"/>
              </w:rPr>
              <w:t xml:space="preserve">       </w:t>
            </w:r>
            <w:r>
              <w:rPr>
                <w:rFonts w:hint="eastAsia" w:ascii="宋体" w:hAnsi="宋体" w:eastAsia="宋体" w:cs="宋体"/>
                <w:b/>
                <w:bCs/>
                <w:sz w:val="22"/>
                <w:szCs w:val="24"/>
                <w:u w:val="single"/>
              </w:rPr>
              <w:fldChar w:fldCharType="begin"/>
            </w:r>
            <w:r>
              <w:rPr>
                <w:rFonts w:hint="eastAsia" w:ascii="宋体" w:hAnsi="宋体" w:eastAsia="宋体" w:cs="宋体"/>
                <w:b/>
                <w:bCs/>
                <w:sz w:val="22"/>
                <w:szCs w:val="24"/>
                <w:u w:val="single"/>
              </w:rPr>
              <w:instrText xml:space="preserve"> eq \o\ac(</w:instrText>
            </w:r>
            <w:r>
              <w:rPr>
                <w:rFonts w:hint="eastAsia" w:ascii="宋体" w:hAnsi="宋体" w:eastAsia="宋体" w:cs="宋体"/>
                <w:b/>
                <w:bCs/>
                <w:position w:val="-4"/>
                <w:sz w:val="33"/>
                <w:szCs w:val="24"/>
                <w:u w:val="single"/>
              </w:rPr>
              <w:instrText xml:space="preserve">□</w:instrText>
            </w:r>
            <w:r>
              <w:rPr>
                <w:rFonts w:hint="eastAsia" w:ascii="宋体" w:hAnsi="宋体" w:eastAsia="宋体" w:cs="宋体"/>
                <w:b/>
                <w:bCs/>
                <w:position w:val="-4"/>
                <w:sz w:val="33"/>
                <w:szCs w:val="24"/>
                <w:u w:val="single"/>
                <w:lang w:eastAsia="zh-CN"/>
              </w:rPr>
              <w:instrText xml:space="preserve">,</w:instrText>
            </w:r>
            <w:r>
              <w:rPr>
                <w:rFonts w:hint="eastAsia" w:ascii="宋体" w:hAnsi="宋体" w:eastAsia="宋体" w:cs="宋体"/>
                <w:b/>
                <w:bCs/>
                <w:position w:val="0"/>
                <w:sz w:val="23"/>
                <w:szCs w:val="24"/>
                <w:u w:val="single"/>
                <w:lang w:eastAsia="zh-CN"/>
              </w:rPr>
              <w:instrText xml:space="preserve">√</w:instrText>
            </w:r>
            <w:r>
              <w:rPr>
                <w:rFonts w:hint="eastAsia" w:ascii="宋体" w:hAnsi="宋体" w:eastAsia="宋体" w:cs="宋体"/>
                <w:b/>
                <w:bCs/>
                <w:position w:val="0"/>
                <w:sz w:val="22"/>
                <w:szCs w:val="24"/>
                <w:u w:val="single"/>
              </w:rPr>
              <w:instrText xml:space="preserve">)</w:instrText>
            </w:r>
            <w:r>
              <w:rPr>
                <w:rFonts w:hint="eastAsia" w:ascii="宋体" w:hAnsi="宋体" w:eastAsia="宋体" w:cs="宋体"/>
                <w:b/>
                <w:bCs/>
                <w:sz w:val="22"/>
                <w:szCs w:val="24"/>
              </w:rPr>
              <w:fldChar w:fldCharType="end"/>
            </w:r>
            <w:r>
              <w:rPr>
                <w:rFonts w:hint="eastAsia" w:ascii="宋体" w:hAnsi="宋体" w:eastAsia="宋体" w:cs="宋体"/>
                <w:b/>
                <w:bCs/>
                <w:sz w:val="22"/>
                <w:szCs w:val="24"/>
              </w:rPr>
              <w:t>工程类</w:t>
            </w:r>
          </w:p>
        </w:tc>
      </w:tr>
      <w:tr w14:paraId="3E45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634" w:type="dxa"/>
            <w:tcBorders>
              <w:left w:val="double" w:color="auto" w:sz="4" w:space="0"/>
            </w:tcBorders>
            <w:noWrap w:val="0"/>
            <w:vAlign w:val="center"/>
          </w:tcPr>
          <w:p w14:paraId="3C9955F4">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报价有效期</w:t>
            </w:r>
          </w:p>
        </w:tc>
        <w:tc>
          <w:tcPr>
            <w:tcW w:w="6901" w:type="dxa"/>
            <w:tcBorders>
              <w:right w:val="double" w:color="auto" w:sz="4" w:space="0"/>
            </w:tcBorders>
            <w:noWrap w:val="0"/>
            <w:vAlign w:val="center"/>
          </w:tcPr>
          <w:p w14:paraId="39347861">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90日历天（自</w:t>
            </w:r>
            <w:r>
              <w:rPr>
                <w:rFonts w:hint="eastAsia" w:ascii="宋体" w:hAnsi="宋体" w:eastAsia="宋体" w:cs="宋体"/>
                <w:sz w:val="22"/>
                <w:szCs w:val="22"/>
                <w:lang w:val="en-US" w:eastAsia="zh-CN"/>
              </w:rPr>
              <w:t>投标响应</w:t>
            </w:r>
            <w:r>
              <w:rPr>
                <w:rFonts w:hint="eastAsia" w:ascii="宋体" w:hAnsi="宋体" w:eastAsia="宋体" w:cs="宋体"/>
                <w:sz w:val="22"/>
                <w:szCs w:val="22"/>
              </w:rPr>
              <w:t>文件递交截止日起计算）</w:t>
            </w:r>
          </w:p>
        </w:tc>
      </w:tr>
      <w:tr w14:paraId="71F7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4" w:type="dxa"/>
            <w:tcBorders>
              <w:left w:val="double" w:color="auto" w:sz="4" w:space="0"/>
            </w:tcBorders>
            <w:noWrap w:val="0"/>
            <w:vAlign w:val="center"/>
          </w:tcPr>
          <w:p w14:paraId="7BC0B651">
            <w:pPr>
              <w:spacing w:line="360" w:lineRule="auto"/>
              <w:jc w:val="center"/>
              <w:rPr>
                <w:rFonts w:hint="eastAsia" w:ascii="宋体" w:hAnsi="宋体" w:eastAsia="宋体" w:cs="宋体"/>
                <w:b/>
                <w:bCs/>
                <w:sz w:val="22"/>
                <w:szCs w:val="22"/>
              </w:rPr>
            </w:pPr>
            <w:r>
              <w:rPr>
                <w:rFonts w:hint="eastAsia" w:ascii="宋体" w:hAnsi="宋体" w:eastAsia="宋体" w:cs="宋体"/>
                <w:b/>
                <w:bCs/>
                <w:kern w:val="0"/>
                <w:sz w:val="22"/>
                <w:szCs w:val="22"/>
              </w:rPr>
              <w:t>投标</w:t>
            </w:r>
            <w:r>
              <w:rPr>
                <w:rFonts w:hint="eastAsia" w:ascii="宋体" w:hAnsi="宋体" w:eastAsia="宋体" w:cs="宋体"/>
                <w:b/>
                <w:bCs/>
                <w:kern w:val="0"/>
                <w:sz w:val="22"/>
                <w:szCs w:val="22"/>
                <w:lang w:val="en-US" w:eastAsia="zh-CN"/>
              </w:rPr>
              <w:t>响应</w:t>
            </w:r>
            <w:r>
              <w:rPr>
                <w:rFonts w:hint="eastAsia" w:ascii="宋体" w:hAnsi="宋体" w:eastAsia="宋体" w:cs="宋体"/>
                <w:b/>
                <w:bCs/>
                <w:sz w:val="22"/>
                <w:szCs w:val="22"/>
              </w:rPr>
              <w:t>文件递交平台与</w:t>
            </w:r>
            <w:r>
              <w:rPr>
                <w:rFonts w:hint="eastAsia" w:ascii="宋体" w:hAnsi="宋体" w:eastAsia="宋体" w:cs="宋体"/>
                <w:b/>
                <w:bCs/>
                <w:sz w:val="22"/>
                <w:szCs w:val="22"/>
                <w:lang w:val="en-US" w:eastAsia="zh-CN"/>
              </w:rPr>
              <w:t>开标</w:t>
            </w:r>
            <w:r>
              <w:rPr>
                <w:rFonts w:hint="eastAsia" w:ascii="宋体" w:hAnsi="宋体" w:eastAsia="宋体" w:cs="宋体"/>
                <w:b/>
                <w:bCs/>
                <w:sz w:val="22"/>
                <w:szCs w:val="22"/>
              </w:rPr>
              <w:t>平台</w:t>
            </w:r>
          </w:p>
        </w:tc>
        <w:tc>
          <w:tcPr>
            <w:tcW w:w="6901" w:type="dxa"/>
            <w:tcBorders>
              <w:right w:val="double" w:color="auto" w:sz="4" w:space="0"/>
            </w:tcBorders>
            <w:noWrap w:val="0"/>
            <w:vAlign w:val="center"/>
          </w:tcPr>
          <w:p w14:paraId="6068C646">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浙江政府采购云平台（http://www.zcygov.cn/）</w:t>
            </w:r>
          </w:p>
        </w:tc>
      </w:tr>
      <w:tr w14:paraId="09A5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34" w:type="dxa"/>
            <w:tcBorders>
              <w:left w:val="double" w:color="auto" w:sz="4" w:space="0"/>
            </w:tcBorders>
            <w:noWrap w:val="0"/>
            <w:vAlign w:val="center"/>
          </w:tcPr>
          <w:p w14:paraId="445B2EE7">
            <w:pPr>
              <w:spacing w:line="360" w:lineRule="auto"/>
              <w:jc w:val="center"/>
              <w:rPr>
                <w:rFonts w:hint="eastAsia" w:ascii="宋体" w:hAnsi="宋体" w:eastAsia="宋体" w:cs="宋体"/>
                <w:b/>
                <w:bCs/>
                <w:sz w:val="22"/>
                <w:szCs w:val="22"/>
              </w:rPr>
            </w:pPr>
            <w:r>
              <w:rPr>
                <w:rFonts w:hint="eastAsia" w:ascii="宋体" w:hAnsi="宋体" w:eastAsia="宋体" w:cs="宋体"/>
                <w:b/>
                <w:bCs/>
                <w:kern w:val="0"/>
                <w:sz w:val="22"/>
                <w:szCs w:val="22"/>
              </w:rPr>
              <w:t>投标</w:t>
            </w:r>
            <w:r>
              <w:rPr>
                <w:rFonts w:hint="eastAsia" w:ascii="宋体" w:hAnsi="宋体" w:eastAsia="宋体" w:cs="宋体"/>
                <w:b/>
                <w:bCs/>
                <w:kern w:val="0"/>
                <w:sz w:val="22"/>
                <w:szCs w:val="22"/>
                <w:lang w:val="en-US" w:eastAsia="zh-CN"/>
              </w:rPr>
              <w:t>响应</w:t>
            </w:r>
            <w:r>
              <w:rPr>
                <w:rFonts w:hint="eastAsia" w:ascii="宋体" w:hAnsi="宋体" w:eastAsia="宋体" w:cs="宋体"/>
                <w:b/>
                <w:bCs/>
                <w:kern w:val="0"/>
                <w:sz w:val="22"/>
                <w:szCs w:val="22"/>
              </w:rPr>
              <w:t>文件</w:t>
            </w:r>
            <w:r>
              <w:rPr>
                <w:rFonts w:hint="eastAsia" w:ascii="宋体" w:hAnsi="宋体" w:eastAsia="宋体" w:cs="宋体"/>
                <w:b/>
                <w:bCs/>
                <w:sz w:val="22"/>
                <w:szCs w:val="22"/>
              </w:rPr>
              <w:t>递交截止时间与</w:t>
            </w:r>
            <w:r>
              <w:rPr>
                <w:rFonts w:hint="eastAsia" w:ascii="宋体" w:hAnsi="宋体" w:eastAsia="宋体" w:cs="宋体"/>
                <w:b/>
                <w:bCs/>
                <w:kern w:val="0"/>
                <w:sz w:val="22"/>
                <w:szCs w:val="22"/>
                <w:lang w:val="en-US" w:eastAsia="zh-CN"/>
              </w:rPr>
              <w:t>开标</w:t>
            </w:r>
            <w:r>
              <w:rPr>
                <w:rFonts w:hint="eastAsia" w:ascii="宋体" w:hAnsi="宋体" w:eastAsia="宋体" w:cs="宋体"/>
                <w:b/>
                <w:bCs/>
                <w:sz w:val="22"/>
                <w:szCs w:val="22"/>
              </w:rPr>
              <w:t>时间</w:t>
            </w:r>
          </w:p>
        </w:tc>
        <w:tc>
          <w:tcPr>
            <w:tcW w:w="6901" w:type="dxa"/>
            <w:tcBorders>
              <w:right w:val="double" w:color="auto" w:sz="4" w:space="0"/>
            </w:tcBorders>
            <w:noWrap w:val="0"/>
            <w:vAlign w:val="center"/>
          </w:tcPr>
          <w:p w14:paraId="25E54239">
            <w:pPr>
              <w:keepNext w:val="0"/>
              <w:keepLines w:val="0"/>
              <w:pageBreakBefore w:val="0"/>
              <w:widowControl/>
              <w:kinsoku/>
              <w:wordWrap/>
              <w:overflowPunct/>
              <w:topLinePunct w:val="0"/>
              <w:autoSpaceDE/>
              <w:autoSpaceDN/>
              <w:bidi w:val="0"/>
              <w:snapToGrid w:val="0"/>
              <w:spacing w:line="296" w:lineRule="auto"/>
              <w:ind w:left="62" w:right="62"/>
              <w:textAlignment w:val="auto"/>
              <w:rPr>
                <w:rFonts w:hint="default" w:ascii="宋体" w:hAnsi="宋体" w:eastAsia="宋体" w:cs="宋体"/>
                <w:sz w:val="22"/>
                <w:szCs w:val="22"/>
                <w:lang w:val="en-US"/>
              </w:rPr>
            </w:pPr>
            <w:r>
              <w:rPr>
                <w:rFonts w:hint="eastAsia" w:ascii="宋体" w:hAnsi="宋体" w:eastAsia="宋体" w:cs="宋体"/>
                <w:b/>
                <w:bCs/>
                <w:sz w:val="24"/>
                <w:szCs w:val="24"/>
                <w:lang w:eastAsia="zh-CN"/>
              </w:rPr>
              <w:t>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年</w:t>
            </w:r>
            <w:r>
              <w:rPr>
                <w:rFonts w:hint="eastAsia" w:ascii="宋体" w:hAnsi="宋体" w:eastAsia="宋体" w:cs="宋体"/>
                <w:b/>
                <w:bCs/>
                <w:sz w:val="24"/>
                <w:szCs w:val="24"/>
                <w:lang w:val="en-US" w:eastAsia="zh-CN"/>
              </w:rPr>
              <w:t>11</w:t>
            </w:r>
            <w:r>
              <w:rPr>
                <w:rFonts w:hint="eastAsia" w:ascii="宋体" w:hAnsi="宋体" w:eastAsia="宋体" w:cs="宋体"/>
                <w:b/>
                <w:bCs/>
                <w:sz w:val="24"/>
                <w:szCs w:val="24"/>
                <w:lang w:eastAsia="zh-CN"/>
              </w:rPr>
              <w:t>月</w:t>
            </w:r>
            <w:r>
              <w:rPr>
                <w:rFonts w:hint="eastAsia" w:ascii="宋体" w:hAnsi="宋体" w:cs="宋体"/>
                <w:b/>
                <w:bCs/>
                <w:sz w:val="24"/>
                <w:szCs w:val="24"/>
                <w:lang w:val="en-US" w:eastAsia="zh-CN"/>
              </w:rPr>
              <w:t>11</w:t>
            </w:r>
            <w:r>
              <w:rPr>
                <w:rFonts w:hint="eastAsia" w:ascii="宋体" w:hAnsi="宋体" w:eastAsia="宋体" w:cs="宋体"/>
                <w:b/>
                <w:bCs/>
                <w:sz w:val="24"/>
                <w:szCs w:val="24"/>
                <w:lang w:eastAsia="zh-CN"/>
              </w:rPr>
              <w:t xml:space="preserve">日 </w:t>
            </w:r>
            <w:r>
              <w:rPr>
                <w:rFonts w:hint="eastAsia" w:ascii="宋体" w:hAnsi="宋体" w:cs="宋体"/>
                <w:b/>
                <w:bCs/>
                <w:sz w:val="24"/>
                <w:szCs w:val="24"/>
                <w:lang w:val="en-US" w:eastAsia="zh-CN"/>
              </w:rPr>
              <w:t>09</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30</w:t>
            </w:r>
          </w:p>
        </w:tc>
      </w:tr>
      <w:tr w14:paraId="5CA0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4" w:type="dxa"/>
            <w:tcBorders>
              <w:left w:val="double" w:color="auto" w:sz="4" w:space="0"/>
            </w:tcBorders>
            <w:noWrap w:val="0"/>
            <w:vAlign w:val="center"/>
          </w:tcPr>
          <w:p w14:paraId="1FEDECAB">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保证金</w:t>
            </w:r>
          </w:p>
        </w:tc>
        <w:tc>
          <w:tcPr>
            <w:tcW w:w="6901" w:type="dxa"/>
            <w:tcBorders>
              <w:right w:val="double" w:color="auto" w:sz="4" w:space="0"/>
            </w:tcBorders>
            <w:noWrap w:val="0"/>
            <w:vAlign w:val="center"/>
          </w:tcPr>
          <w:p w14:paraId="36E6A117">
            <w:pPr>
              <w:keepNext w:val="0"/>
              <w:keepLines w:val="0"/>
              <w:pageBreakBefore w:val="0"/>
              <w:kinsoku/>
              <w:wordWrap/>
              <w:overflowPunct/>
              <w:topLinePunct w:val="0"/>
              <w:autoSpaceDE/>
              <w:autoSpaceDN/>
              <w:bidi w:val="0"/>
              <w:adjustRightInd w:val="0"/>
              <w:snapToGrid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依据浙江省财政厅关于明确政府采购保证金管理</w:t>
            </w:r>
            <w:r>
              <w:rPr>
                <w:rFonts w:hint="eastAsia" w:ascii="宋体" w:hAnsi="宋体" w:eastAsia="宋体" w:cs="宋体"/>
                <w:sz w:val="22"/>
                <w:szCs w:val="22"/>
                <w:lang w:eastAsia="zh-CN"/>
              </w:rPr>
              <w:t>工作</w:t>
            </w:r>
            <w:r>
              <w:rPr>
                <w:rFonts w:hint="eastAsia" w:ascii="宋体" w:hAnsi="宋体" w:eastAsia="宋体" w:cs="宋体"/>
                <w:sz w:val="22"/>
                <w:szCs w:val="22"/>
              </w:rPr>
              <w:t xml:space="preserve">5 号文件规定，本项目供应商无需缴纳投标保证金。 </w:t>
            </w:r>
          </w:p>
        </w:tc>
      </w:tr>
      <w:tr w14:paraId="62B2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4" w:type="dxa"/>
            <w:tcBorders>
              <w:left w:val="double" w:color="auto" w:sz="4" w:space="0"/>
            </w:tcBorders>
            <w:noWrap w:val="0"/>
            <w:vAlign w:val="center"/>
          </w:tcPr>
          <w:p w14:paraId="4C26689F">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投标</w:t>
            </w:r>
            <w:r>
              <w:rPr>
                <w:rFonts w:hint="eastAsia" w:ascii="宋体" w:hAnsi="宋体" w:eastAsia="宋体" w:cs="宋体"/>
                <w:b/>
                <w:bCs/>
                <w:sz w:val="22"/>
                <w:szCs w:val="22"/>
                <w:lang w:val="en-US" w:eastAsia="zh-CN"/>
              </w:rPr>
              <w:t>响应</w:t>
            </w:r>
            <w:r>
              <w:rPr>
                <w:rFonts w:hint="eastAsia" w:ascii="宋体" w:hAnsi="宋体" w:eastAsia="宋体" w:cs="宋体"/>
                <w:b/>
                <w:bCs/>
                <w:sz w:val="22"/>
                <w:szCs w:val="22"/>
                <w:lang w:bidi="ar"/>
              </w:rPr>
              <w:t>文件的编制</w:t>
            </w:r>
          </w:p>
        </w:tc>
        <w:tc>
          <w:tcPr>
            <w:tcW w:w="6901" w:type="dxa"/>
            <w:tcBorders>
              <w:right w:val="double" w:color="auto" w:sz="4" w:space="0"/>
            </w:tcBorders>
            <w:noWrap w:val="0"/>
            <w:vAlign w:val="center"/>
          </w:tcPr>
          <w:p w14:paraId="44D7AF05">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供应商应先安装“政采云电子交易客户端”和申领“CA数字证书”，并按照本采购文件和“政采云平台”的要求，通过“政采云电子交易客户端”编制并加密响应文件。</w:t>
            </w:r>
          </w:p>
        </w:tc>
      </w:tr>
      <w:tr w14:paraId="6B78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4" w:type="dxa"/>
            <w:tcBorders>
              <w:left w:val="double" w:color="auto" w:sz="4" w:space="0"/>
            </w:tcBorders>
            <w:noWrap w:val="0"/>
            <w:vAlign w:val="center"/>
          </w:tcPr>
          <w:p w14:paraId="3A7E6C09">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投标</w:t>
            </w:r>
            <w:r>
              <w:rPr>
                <w:rFonts w:hint="eastAsia" w:ascii="宋体" w:hAnsi="宋体" w:eastAsia="宋体" w:cs="宋体"/>
                <w:b/>
                <w:bCs/>
                <w:sz w:val="22"/>
                <w:szCs w:val="22"/>
                <w:lang w:val="en-US" w:eastAsia="zh-CN"/>
              </w:rPr>
              <w:t>响应</w:t>
            </w:r>
            <w:r>
              <w:rPr>
                <w:rFonts w:hint="eastAsia" w:ascii="宋体" w:hAnsi="宋体" w:eastAsia="宋体" w:cs="宋体"/>
                <w:b/>
                <w:bCs/>
                <w:sz w:val="22"/>
                <w:szCs w:val="22"/>
                <w:lang w:bidi="ar"/>
              </w:rPr>
              <w:t>文件的签章</w:t>
            </w:r>
          </w:p>
        </w:tc>
        <w:tc>
          <w:tcPr>
            <w:tcW w:w="6901" w:type="dxa"/>
            <w:tcBorders>
              <w:right w:val="double" w:color="auto" w:sz="4" w:space="0"/>
            </w:tcBorders>
            <w:noWrap w:val="0"/>
            <w:vAlign w:val="center"/>
          </w:tcPr>
          <w:p w14:paraId="760B00D9">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☑电子签章（</w:t>
            </w:r>
            <w:r>
              <w:rPr>
                <w:rFonts w:hint="eastAsia" w:ascii="宋体" w:hAnsi="宋体" w:eastAsia="宋体" w:cs="宋体"/>
                <w:sz w:val="22"/>
                <w:szCs w:val="22"/>
                <w:lang w:val="en-US" w:eastAsia="zh-CN" w:bidi="ar"/>
              </w:rPr>
              <w:t>采购</w:t>
            </w:r>
            <w:r>
              <w:rPr>
                <w:rFonts w:hint="eastAsia" w:ascii="宋体" w:hAnsi="宋体" w:eastAsia="宋体" w:cs="宋体"/>
                <w:sz w:val="22"/>
                <w:szCs w:val="22"/>
                <w:lang w:bidi="ar"/>
              </w:rPr>
              <w:t>文件里要求盖公章使用电子签章）。</w:t>
            </w:r>
          </w:p>
        </w:tc>
      </w:tr>
      <w:tr w14:paraId="04E2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2634" w:type="dxa"/>
            <w:tcBorders>
              <w:left w:val="double" w:color="auto" w:sz="4" w:space="0"/>
            </w:tcBorders>
            <w:noWrap w:val="0"/>
            <w:vAlign w:val="center"/>
          </w:tcPr>
          <w:p w14:paraId="249F115F">
            <w:pPr>
              <w:snapToGrid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投标</w:t>
            </w:r>
            <w:r>
              <w:rPr>
                <w:rFonts w:hint="eastAsia" w:ascii="宋体" w:hAnsi="宋体" w:eastAsia="宋体" w:cs="宋体"/>
                <w:b/>
                <w:bCs/>
                <w:sz w:val="22"/>
                <w:szCs w:val="22"/>
                <w:lang w:val="en-US" w:eastAsia="zh-CN"/>
              </w:rPr>
              <w:t>响应</w:t>
            </w:r>
            <w:r>
              <w:rPr>
                <w:rFonts w:hint="eastAsia" w:ascii="宋体" w:hAnsi="宋体" w:eastAsia="宋体" w:cs="宋体"/>
                <w:b/>
                <w:bCs/>
                <w:sz w:val="22"/>
                <w:szCs w:val="22"/>
                <w:lang w:bidi="ar"/>
              </w:rPr>
              <w:t>文件的形式</w:t>
            </w:r>
          </w:p>
        </w:tc>
        <w:tc>
          <w:tcPr>
            <w:tcW w:w="6901" w:type="dxa"/>
            <w:tcBorders>
              <w:right w:val="double" w:color="auto" w:sz="4" w:space="0"/>
            </w:tcBorders>
            <w:noWrap w:val="0"/>
            <w:vAlign w:val="center"/>
          </w:tcPr>
          <w:p w14:paraId="41607EC1">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☑电子响应文件（包括《电子加密响应文件》和《备份响应文件》，在响应文件编制完成后同时生成）；</w:t>
            </w:r>
          </w:p>
          <w:p w14:paraId="11E22156">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（1）《电子加密响应文件》是指通过“政采云电子交易客户端”完成响应文件编制后生成并加密的数据电文形式的响应文件。</w:t>
            </w:r>
          </w:p>
          <w:p w14:paraId="51BA0B41">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（2）《备份响应文件》是指与《电子加密响应文件》同时生成的数据电文形式的电子文件（备份响应文件），其他方式编制的备份响应文件视为无效备份响应文件。</w:t>
            </w:r>
          </w:p>
        </w:tc>
      </w:tr>
      <w:tr w14:paraId="44E9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4" w:type="dxa"/>
            <w:tcBorders>
              <w:left w:val="double" w:color="auto" w:sz="4" w:space="0"/>
            </w:tcBorders>
            <w:noWrap w:val="0"/>
            <w:vAlign w:val="center"/>
          </w:tcPr>
          <w:p w14:paraId="10255F1D">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投标</w:t>
            </w:r>
            <w:r>
              <w:rPr>
                <w:rFonts w:hint="eastAsia" w:ascii="宋体" w:hAnsi="宋体" w:eastAsia="宋体" w:cs="宋体"/>
                <w:b/>
                <w:bCs/>
                <w:sz w:val="22"/>
                <w:szCs w:val="22"/>
                <w:lang w:val="en-US" w:eastAsia="zh-CN"/>
              </w:rPr>
              <w:t>响应</w:t>
            </w:r>
            <w:r>
              <w:rPr>
                <w:rFonts w:hint="eastAsia" w:ascii="宋体" w:hAnsi="宋体" w:eastAsia="宋体" w:cs="宋体"/>
                <w:b/>
                <w:bCs/>
                <w:sz w:val="22"/>
                <w:szCs w:val="22"/>
                <w:lang w:bidi="ar"/>
              </w:rPr>
              <w:t>文件份数</w:t>
            </w:r>
          </w:p>
        </w:tc>
        <w:tc>
          <w:tcPr>
            <w:tcW w:w="6901" w:type="dxa"/>
            <w:tcBorders>
              <w:right w:val="double" w:color="auto" w:sz="4" w:space="0"/>
            </w:tcBorders>
            <w:noWrap w:val="0"/>
            <w:vAlign w:val="center"/>
          </w:tcPr>
          <w:p w14:paraId="174B74CC">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（1）《电子加密响应文件》：在线上传递交。</w:t>
            </w:r>
          </w:p>
          <w:p w14:paraId="2C0C5C5C">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（2）《备份响应文件》：人工递交</w:t>
            </w:r>
            <w:r>
              <w:rPr>
                <w:rFonts w:hint="eastAsia" w:ascii="宋体" w:hAnsi="宋体" w:eastAsia="宋体" w:cs="宋体"/>
                <w:sz w:val="22"/>
                <w:szCs w:val="22"/>
                <w:lang w:val="en-US" w:eastAsia="zh-CN" w:bidi="ar"/>
              </w:rPr>
              <w:t>或</w:t>
            </w:r>
            <w:r>
              <w:rPr>
                <w:rFonts w:hint="eastAsia" w:ascii="宋体" w:hAnsi="宋体" w:eastAsia="宋体" w:cs="宋体"/>
                <w:sz w:val="22"/>
                <w:szCs w:val="22"/>
                <w:lang w:bidi="ar"/>
              </w:rPr>
              <w:t>密封包装后（EMS</w:t>
            </w:r>
            <w:r>
              <w:rPr>
                <w:rFonts w:hint="eastAsia" w:ascii="宋体" w:hAnsi="宋体" w:eastAsia="宋体" w:cs="宋体"/>
                <w:sz w:val="22"/>
                <w:szCs w:val="22"/>
                <w:lang w:val="en-US" w:eastAsia="zh-CN" w:bidi="ar"/>
              </w:rPr>
              <w:t>或顺丰</w:t>
            </w:r>
            <w:r>
              <w:rPr>
                <w:rFonts w:hint="eastAsia" w:ascii="宋体" w:hAnsi="宋体" w:eastAsia="宋体" w:cs="宋体"/>
                <w:sz w:val="22"/>
                <w:szCs w:val="22"/>
                <w:lang w:bidi="ar"/>
              </w:rPr>
              <w:t>邮寄形式）投标截止时间前递交或邮寄、数量一份（</w:t>
            </w:r>
            <w:r>
              <w:rPr>
                <w:rFonts w:hint="eastAsia" w:ascii="宋体" w:hAnsi="宋体" w:eastAsia="宋体" w:cs="宋体"/>
                <w:sz w:val="22"/>
                <w:szCs w:val="22"/>
                <w:lang w:val="en-US" w:eastAsia="zh-CN" w:bidi="ar"/>
              </w:rPr>
              <w:t>收件</w:t>
            </w:r>
            <w:r>
              <w:rPr>
                <w:rFonts w:hint="eastAsia" w:ascii="宋体" w:hAnsi="宋体" w:eastAsia="宋体" w:cs="宋体"/>
                <w:sz w:val="22"/>
                <w:szCs w:val="22"/>
                <w:lang w:bidi="ar"/>
              </w:rPr>
              <w:t>地址：</w:t>
            </w:r>
            <w:r>
              <w:rPr>
                <w:rFonts w:hint="eastAsia" w:ascii="宋体" w:hAnsi="宋体" w:eastAsia="宋体" w:cs="宋体"/>
                <w:sz w:val="22"/>
                <w:szCs w:val="22"/>
                <w:lang w:val="en-US" w:eastAsia="zh-CN" w:bidi="ar"/>
              </w:rPr>
              <w:t>龙港市西五路咸园社区办公楼一层</w:t>
            </w:r>
            <w:r>
              <w:rPr>
                <w:rFonts w:hint="eastAsia" w:ascii="宋体" w:hAnsi="宋体" w:eastAsia="宋体" w:cs="宋体"/>
                <w:sz w:val="22"/>
                <w:szCs w:val="22"/>
                <w:lang w:bidi="ar"/>
              </w:rPr>
              <w:t>，</w:t>
            </w:r>
            <w:r>
              <w:rPr>
                <w:rFonts w:hint="eastAsia" w:ascii="宋体" w:hAnsi="宋体" w:eastAsia="宋体" w:cs="宋体"/>
                <w:sz w:val="22"/>
                <w:szCs w:val="22"/>
                <w:lang w:eastAsia="zh-CN" w:bidi="ar"/>
              </w:rPr>
              <w:t>周先生</w:t>
            </w:r>
            <w:r>
              <w:rPr>
                <w:rFonts w:hint="eastAsia" w:ascii="宋体" w:hAnsi="宋体" w:eastAsia="宋体" w:cs="宋体"/>
                <w:sz w:val="22"/>
                <w:szCs w:val="22"/>
                <w:lang w:bidi="ar"/>
              </w:rPr>
              <w:t>收，邮编32580</w:t>
            </w:r>
            <w:r>
              <w:rPr>
                <w:rFonts w:hint="eastAsia" w:ascii="宋体" w:hAnsi="宋体" w:eastAsia="宋体" w:cs="宋体"/>
                <w:sz w:val="22"/>
                <w:szCs w:val="22"/>
                <w:lang w:val="en-US" w:eastAsia="zh-CN" w:bidi="ar"/>
              </w:rPr>
              <w:t>2</w:t>
            </w:r>
            <w:r>
              <w:rPr>
                <w:rFonts w:hint="eastAsia" w:ascii="宋体" w:hAnsi="宋体" w:eastAsia="宋体" w:cs="宋体"/>
                <w:sz w:val="22"/>
                <w:szCs w:val="22"/>
                <w:lang w:bidi="ar"/>
              </w:rPr>
              <w:t>，电话</w:t>
            </w:r>
            <w:r>
              <w:rPr>
                <w:rFonts w:hint="eastAsia" w:ascii="宋体" w:hAnsi="宋体" w:eastAsia="宋体" w:cs="宋体"/>
                <w:sz w:val="22"/>
                <w:szCs w:val="22"/>
                <w:lang w:val="en-US" w:eastAsia="zh-CN"/>
              </w:rPr>
              <w:t>18668780078</w:t>
            </w:r>
            <w:r>
              <w:rPr>
                <w:rFonts w:hint="eastAsia" w:ascii="宋体" w:hAnsi="宋体" w:eastAsia="宋体" w:cs="宋体"/>
                <w:sz w:val="22"/>
                <w:szCs w:val="22"/>
                <w:lang w:bidi="ar"/>
              </w:rPr>
              <w:t>）。投标供应商需自行考虑/承担邮寄运输过程中运输耗费时间及其他不可预测风险，建议在投标截止时前一天送达至代理公司,避免逾期递交。</w:t>
            </w:r>
          </w:p>
        </w:tc>
      </w:tr>
      <w:tr w14:paraId="1A44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4" w:type="dxa"/>
            <w:tcBorders>
              <w:left w:val="double" w:color="auto" w:sz="4" w:space="0"/>
            </w:tcBorders>
            <w:noWrap w:val="0"/>
            <w:vAlign w:val="center"/>
          </w:tcPr>
          <w:p w14:paraId="1C2B0D29">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lang w:bidi="ar"/>
              </w:rPr>
              <w:t>响应文件的上传和递交</w:t>
            </w:r>
          </w:p>
        </w:tc>
        <w:tc>
          <w:tcPr>
            <w:tcW w:w="6901" w:type="dxa"/>
            <w:tcBorders>
              <w:right w:val="double" w:color="auto" w:sz="4" w:space="0"/>
            </w:tcBorders>
            <w:noWrap w:val="0"/>
            <w:vAlign w:val="center"/>
          </w:tcPr>
          <w:p w14:paraId="6343DD67">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（1）《电子加密响应文件》的上传、递交：</w:t>
            </w:r>
          </w:p>
          <w:p w14:paraId="21BECFC7">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a.投标供应商应在投标截止时间前将《电子加密响应文件》成功上传递交至“政采云平台”，否则投标无效。</w:t>
            </w:r>
          </w:p>
          <w:p w14:paraId="12B2611B">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b.《电子加密响应文件》成功上传递交后，供应商可自行打印</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接收回执。</w:t>
            </w:r>
          </w:p>
          <w:p w14:paraId="052315F3">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（2）《备份响应文件》的密封包装、递交：</w:t>
            </w:r>
          </w:p>
          <w:p w14:paraId="21E50256">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a.投标供应商在“政采云平台”完成《电子加密响应文件》的上传递交后，还可以人工递交或（EMS</w:t>
            </w:r>
            <w:r>
              <w:rPr>
                <w:rFonts w:hint="eastAsia" w:ascii="宋体" w:hAnsi="宋体" w:eastAsia="宋体" w:cs="宋体"/>
                <w:sz w:val="22"/>
                <w:szCs w:val="22"/>
                <w:lang w:val="en-US" w:eastAsia="zh-CN" w:bidi="ar"/>
              </w:rPr>
              <w:t>或顺丰</w:t>
            </w:r>
            <w:r>
              <w:rPr>
                <w:rFonts w:hint="eastAsia" w:ascii="宋体" w:hAnsi="宋体" w:eastAsia="宋体" w:cs="宋体"/>
                <w:sz w:val="22"/>
                <w:szCs w:val="22"/>
                <w:lang w:bidi="ar"/>
              </w:rPr>
              <w:t>邮寄形式）在投标截止时间前递交以U盘存储的 《备份响应文件》（一份）；</w:t>
            </w:r>
          </w:p>
          <w:p w14:paraId="2C0DD109">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b.《备份响应文件》应当密封包装，并在包装上标注投标项目名称、投标单位名称并加盖公章。没有密封包装或者逾期邮寄送达至指定地点的《备份响应文件》将不予接收；</w:t>
            </w:r>
          </w:p>
          <w:p w14:paraId="6A3EC111">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c.</w:t>
            </w:r>
            <w:r>
              <w:rPr>
                <w:rFonts w:hint="eastAsia" w:ascii="宋体" w:hAnsi="宋体" w:eastAsia="宋体" w:cs="宋体"/>
                <w:b/>
                <w:bCs/>
                <w:sz w:val="22"/>
                <w:szCs w:val="22"/>
                <w:lang w:bidi="ar"/>
              </w:rPr>
              <w:t>投标供应商可以不提供“备份</w:t>
            </w:r>
            <w:r>
              <w:rPr>
                <w:rFonts w:hint="eastAsia" w:ascii="宋体" w:hAnsi="宋体" w:eastAsia="宋体" w:cs="宋体"/>
                <w:b/>
                <w:bCs/>
                <w:sz w:val="22"/>
                <w:szCs w:val="22"/>
                <w:lang w:eastAsia="zh-CN" w:bidi="ar"/>
              </w:rPr>
              <w:t>投标响应文件</w:t>
            </w:r>
            <w:r>
              <w:rPr>
                <w:rFonts w:hint="eastAsia" w:ascii="宋体" w:hAnsi="宋体" w:eastAsia="宋体" w:cs="宋体"/>
                <w:b/>
                <w:bCs/>
                <w:sz w:val="22"/>
                <w:szCs w:val="22"/>
                <w:lang w:bidi="ar"/>
              </w:rPr>
              <w:t>”</w:t>
            </w:r>
            <w:r>
              <w:rPr>
                <w:rFonts w:hint="eastAsia" w:ascii="宋体" w:hAnsi="宋体" w:eastAsia="宋体" w:cs="宋体"/>
                <w:sz w:val="22"/>
                <w:szCs w:val="22"/>
                <w:lang w:bidi="ar"/>
              </w:rPr>
              <w:t>。未提供“备份</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”的投标供应商自行承担“电子加密</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”解密失败造成的投标无效的后果。</w:t>
            </w:r>
          </w:p>
          <w:p w14:paraId="6994E7F1">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d.通过“政采云平台”成功上传递交的《电子加密响应文件》已按时解密的，《备份响应文件》自动失效。投标截止时间前，投标供应商仅递交了《备份响应文件》而未将《电子加密响应文件》成功上传至“政采云平台”的，投标无效。</w:t>
            </w:r>
          </w:p>
        </w:tc>
      </w:tr>
      <w:tr w14:paraId="4B42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4" w:type="dxa"/>
            <w:tcBorders>
              <w:left w:val="double" w:color="auto" w:sz="4" w:space="0"/>
            </w:tcBorders>
            <w:noWrap w:val="0"/>
            <w:vAlign w:val="center"/>
          </w:tcPr>
          <w:p w14:paraId="71FFF3B6">
            <w:pPr>
              <w:spacing w:line="360" w:lineRule="auto"/>
              <w:jc w:val="center"/>
              <w:rPr>
                <w:rFonts w:hint="eastAsia" w:ascii="宋体" w:hAnsi="宋体" w:eastAsia="宋体" w:cs="宋体"/>
                <w:b/>
                <w:bCs/>
                <w:sz w:val="22"/>
                <w:szCs w:val="22"/>
                <w:lang w:bidi="ar"/>
              </w:rPr>
            </w:pPr>
            <w:r>
              <w:rPr>
                <w:rFonts w:hint="eastAsia" w:ascii="宋体" w:hAnsi="宋体" w:eastAsia="宋体" w:cs="宋体"/>
                <w:b/>
                <w:bCs/>
                <w:sz w:val="22"/>
                <w:szCs w:val="22"/>
                <w:lang w:bidi="ar"/>
              </w:rPr>
              <w:t>电子加密</w:t>
            </w:r>
            <w:r>
              <w:rPr>
                <w:rFonts w:hint="eastAsia" w:ascii="宋体" w:hAnsi="宋体" w:eastAsia="宋体" w:cs="宋体"/>
                <w:b/>
                <w:bCs/>
                <w:sz w:val="22"/>
                <w:szCs w:val="22"/>
                <w:lang w:eastAsia="zh-CN" w:bidi="ar"/>
              </w:rPr>
              <w:t>投标响应文件</w:t>
            </w:r>
            <w:r>
              <w:rPr>
                <w:rFonts w:hint="eastAsia" w:ascii="宋体" w:hAnsi="宋体" w:eastAsia="宋体" w:cs="宋体"/>
                <w:b/>
                <w:bCs/>
                <w:sz w:val="22"/>
                <w:szCs w:val="22"/>
                <w:lang w:bidi="ar"/>
              </w:rPr>
              <w:t>的解密和异常情况处理</w:t>
            </w:r>
          </w:p>
          <w:p w14:paraId="1B3F48B8">
            <w:pPr>
              <w:snapToGrid w:val="0"/>
              <w:spacing w:line="360" w:lineRule="auto"/>
              <w:jc w:val="center"/>
              <w:rPr>
                <w:rFonts w:hint="eastAsia" w:ascii="宋体" w:hAnsi="宋体" w:eastAsia="宋体" w:cs="宋体"/>
                <w:b/>
                <w:bCs/>
                <w:sz w:val="22"/>
                <w:szCs w:val="22"/>
              </w:rPr>
            </w:pPr>
          </w:p>
        </w:tc>
        <w:tc>
          <w:tcPr>
            <w:tcW w:w="6901" w:type="dxa"/>
            <w:tcBorders>
              <w:right w:val="double" w:color="auto" w:sz="4" w:space="0"/>
            </w:tcBorders>
            <w:noWrap w:val="0"/>
            <w:vAlign w:val="center"/>
          </w:tcPr>
          <w:p w14:paraId="3D3D00B1">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（1）开标后，采购组织机构将向各投标供应商发出《电子加密响应文件》的解密通知，各投标供应商代表应当在接到解密通知后按政采云规定时间内自行完成《电子加密响应文件》的在线解密。</w:t>
            </w:r>
          </w:p>
          <w:p w14:paraId="59498C6E">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（2）通过“政采云平台”成功上传递交的《电子加密</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》无法按时解密，投标供应商如递交了《备份</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》的，以《备份</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》为依据（由采购组织机构按“政采云平台”操作规范将《备份</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》上传至《政采云平台》，上传成功后，《电子加密</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》自动失效），否则视为</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撤回，放弃投标。</w:t>
            </w:r>
          </w:p>
          <w:p w14:paraId="7EA44344">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lang w:bidi="ar"/>
              </w:rPr>
            </w:pPr>
            <w:r>
              <w:rPr>
                <w:rFonts w:hint="eastAsia" w:ascii="宋体" w:hAnsi="宋体" w:eastAsia="宋体" w:cs="宋体"/>
                <w:sz w:val="22"/>
                <w:szCs w:val="22"/>
                <w:lang w:bidi="ar"/>
              </w:rPr>
              <w:t>（3）投标截止时间前，投标供应商仅递交了“备份</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”而未将电子加密</w:t>
            </w:r>
            <w:r>
              <w:rPr>
                <w:rFonts w:hint="eastAsia" w:ascii="宋体" w:hAnsi="宋体" w:eastAsia="宋体" w:cs="宋体"/>
                <w:sz w:val="22"/>
                <w:szCs w:val="22"/>
                <w:lang w:eastAsia="zh-CN" w:bidi="ar"/>
              </w:rPr>
              <w:t>投标响应文件</w:t>
            </w:r>
            <w:r>
              <w:rPr>
                <w:rFonts w:hint="eastAsia" w:ascii="宋体" w:hAnsi="宋体" w:eastAsia="宋体" w:cs="宋体"/>
                <w:sz w:val="22"/>
                <w:szCs w:val="22"/>
                <w:lang w:bidi="ar"/>
              </w:rPr>
              <w:t>上传至“政采云平台”的，投标无效。</w:t>
            </w:r>
          </w:p>
        </w:tc>
      </w:tr>
      <w:tr w14:paraId="4E66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4" w:type="dxa"/>
            <w:tcBorders>
              <w:left w:val="double" w:color="auto" w:sz="4" w:space="0"/>
            </w:tcBorders>
            <w:noWrap w:val="0"/>
            <w:vAlign w:val="center"/>
          </w:tcPr>
          <w:p w14:paraId="230E0A2E">
            <w:pPr>
              <w:snapToGrid w:val="0"/>
              <w:spacing w:line="400" w:lineRule="atLeast"/>
              <w:rPr>
                <w:rFonts w:hint="eastAsia" w:ascii="宋体" w:hAnsi="宋体" w:eastAsia="宋体" w:cs="宋体"/>
                <w:b/>
                <w:bCs/>
                <w:sz w:val="22"/>
                <w:szCs w:val="22"/>
              </w:rPr>
            </w:pPr>
            <w:r>
              <w:rPr>
                <w:rFonts w:hint="eastAsia" w:ascii="宋体" w:hAnsi="宋体" w:eastAsia="宋体" w:cs="宋体"/>
                <w:b w:val="0"/>
                <w:bCs w:val="0"/>
                <w:sz w:val="22"/>
                <w:szCs w:val="22"/>
                <w:lang w:bidi="ar"/>
              </w:rPr>
              <w:t>落实政府采购支持中小企业、监狱企业及残疾人福利性单位发展政策</w:t>
            </w:r>
          </w:p>
        </w:tc>
        <w:tc>
          <w:tcPr>
            <w:tcW w:w="6901" w:type="dxa"/>
            <w:tcBorders>
              <w:right w:val="double" w:color="auto" w:sz="4" w:space="0"/>
            </w:tcBorders>
            <w:noWrap w:val="0"/>
            <w:vAlign w:val="center"/>
          </w:tcPr>
          <w:p w14:paraId="66DC8818">
            <w:pPr>
              <w:keepNext w:val="0"/>
              <w:keepLines w:val="0"/>
              <w:pageBreakBefore w:val="0"/>
              <w:kinsoku/>
              <w:wordWrap/>
              <w:overflowPunct/>
              <w:topLinePunct w:val="0"/>
              <w:autoSpaceDE/>
              <w:autoSpaceDN/>
              <w:bidi w:val="0"/>
              <w:snapToGrid w:val="0"/>
              <w:spacing w:line="296" w:lineRule="auto"/>
              <w:textAlignment w:val="auto"/>
              <w:rPr>
                <w:rFonts w:hint="eastAsia" w:ascii="宋体" w:hAnsi="宋体" w:eastAsia="宋体" w:cs="宋体"/>
                <w:b/>
                <w:bCs/>
                <w:sz w:val="22"/>
                <w:szCs w:val="22"/>
              </w:rPr>
            </w:pPr>
            <w:r>
              <w:rPr>
                <w:rFonts w:hint="eastAsia" w:ascii="宋体" w:hAnsi="宋体" w:eastAsia="宋体" w:cs="宋体"/>
                <w:b/>
                <w:bCs/>
                <w:sz w:val="28"/>
                <w:szCs w:val="28"/>
                <w:lang w:eastAsia="zh-CN"/>
              </w:rPr>
              <w:t>☑</w:t>
            </w:r>
            <w:r>
              <w:rPr>
                <w:rFonts w:hint="eastAsia" w:ascii="宋体" w:hAnsi="宋体" w:eastAsia="宋体" w:cs="宋体"/>
                <w:b/>
                <w:bCs/>
                <w:sz w:val="28"/>
                <w:szCs w:val="28"/>
              </w:rPr>
              <w:t xml:space="preserve"> </w:t>
            </w:r>
            <w:r>
              <w:rPr>
                <w:rFonts w:hint="eastAsia" w:ascii="宋体" w:hAnsi="宋体" w:eastAsia="宋体" w:cs="宋体"/>
                <w:b/>
                <w:bCs/>
                <w:sz w:val="22"/>
                <w:szCs w:val="22"/>
              </w:rPr>
              <w:t>专门面向中小企业采购项目</w:t>
            </w:r>
          </w:p>
          <w:p w14:paraId="18C7D5C4">
            <w:pPr>
              <w:keepNext w:val="0"/>
              <w:keepLines w:val="0"/>
              <w:pageBreakBefore w:val="0"/>
              <w:kinsoku/>
              <w:wordWrap/>
              <w:overflowPunct/>
              <w:topLinePunct w:val="0"/>
              <w:autoSpaceDE/>
              <w:autoSpaceDN/>
              <w:bidi w:val="0"/>
              <w:snapToGrid w:val="0"/>
              <w:spacing w:line="296" w:lineRule="auto"/>
              <w:textAlignment w:val="auto"/>
              <w:rPr>
                <w:rFonts w:hint="eastAsia" w:ascii="宋体" w:hAnsi="宋体" w:eastAsia="宋体" w:cs="宋体"/>
                <w:b w:val="0"/>
                <w:bCs w:val="0"/>
                <w:sz w:val="22"/>
                <w:szCs w:val="22"/>
              </w:rPr>
            </w:pPr>
            <w:r>
              <w:rPr>
                <w:rFonts w:hint="eastAsia" w:ascii="宋体" w:hAnsi="宋体" w:eastAsia="宋体" w:cs="宋体"/>
                <w:b w:val="0"/>
                <w:bCs w:val="0"/>
                <w:sz w:val="18"/>
                <w:szCs w:val="18"/>
              </w:rPr>
              <w:fldChar w:fldCharType="begin"/>
            </w:r>
            <w:r>
              <w:rPr>
                <w:rFonts w:hint="eastAsia" w:ascii="宋体" w:hAnsi="宋体" w:eastAsia="宋体" w:cs="宋体"/>
                <w:b w:val="0"/>
                <w:bCs w:val="0"/>
                <w:sz w:val="18"/>
                <w:szCs w:val="18"/>
              </w:rPr>
              <w:instrText xml:space="preserve"> eq \o\ac(</w:instrText>
            </w:r>
            <w:r>
              <w:rPr>
                <w:rFonts w:hint="eastAsia" w:ascii="宋体" w:hAnsi="宋体" w:eastAsia="宋体" w:cs="宋体"/>
                <w:b w:val="0"/>
                <w:bCs w:val="0"/>
                <w:position w:val="-3"/>
                <w:sz w:val="27"/>
                <w:szCs w:val="18"/>
              </w:rPr>
              <w:instrText xml:space="preserve">□</w:instrText>
            </w:r>
            <w:r>
              <w:rPr>
                <w:rFonts w:hint="eastAsia" w:ascii="宋体" w:hAnsi="宋体" w:eastAsia="宋体" w:cs="宋体"/>
                <w:b w:val="0"/>
                <w:bCs w:val="0"/>
                <w:position w:val="0"/>
                <w:sz w:val="18"/>
                <w:szCs w:val="18"/>
              </w:rPr>
              <w:instrText xml:space="preserve">)</w:instrText>
            </w:r>
            <w:r>
              <w:rPr>
                <w:rFonts w:hint="eastAsia" w:ascii="宋体" w:hAnsi="宋体" w:eastAsia="宋体" w:cs="宋体"/>
                <w:b w:val="0"/>
                <w:bCs w:val="0"/>
                <w:sz w:val="18"/>
                <w:szCs w:val="18"/>
              </w:rPr>
              <w:fldChar w:fldCharType="end"/>
            </w:r>
            <w:r>
              <w:rPr>
                <w:rFonts w:hint="eastAsia" w:ascii="宋体" w:hAnsi="宋体" w:eastAsia="宋体" w:cs="宋体"/>
                <w:b w:val="0"/>
                <w:bCs w:val="0"/>
                <w:sz w:val="20"/>
                <w:szCs w:val="20"/>
              </w:rPr>
              <w:t xml:space="preserve"> </w:t>
            </w:r>
            <w:r>
              <w:rPr>
                <w:rFonts w:hint="eastAsia" w:ascii="宋体" w:hAnsi="宋体" w:eastAsia="宋体" w:cs="宋体"/>
                <w:b w:val="0"/>
                <w:bCs w:val="0"/>
                <w:sz w:val="22"/>
                <w:szCs w:val="22"/>
              </w:rPr>
              <w:t>非专门面向中小企业采购项目。对小型和微型企业报价给予</w:t>
            </w: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%的扣除，用扣除后的价格参与评审。</w:t>
            </w:r>
          </w:p>
          <w:p w14:paraId="7FE660DE">
            <w:pPr>
              <w:keepNext w:val="0"/>
              <w:keepLines w:val="0"/>
              <w:pageBreakBefore w:val="0"/>
              <w:kinsoku/>
              <w:wordWrap/>
              <w:overflowPunct/>
              <w:topLinePunct w:val="0"/>
              <w:autoSpaceDE/>
              <w:autoSpaceDN/>
              <w:bidi w:val="0"/>
              <w:snapToGrid w:val="0"/>
              <w:spacing w:line="296" w:lineRule="auto"/>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根据《政府采购促进中小企业发展管理办法》（财库﹝2020﹞46 号）的规定本次政府采购，</w:t>
            </w:r>
            <w:r>
              <w:rPr>
                <w:rFonts w:hint="eastAsia" w:ascii="宋体" w:hAnsi="宋体" w:eastAsia="宋体" w:cs="宋体"/>
                <w:b/>
                <w:bCs/>
                <w:sz w:val="22"/>
                <w:szCs w:val="22"/>
                <w:lang w:val="en-US" w:eastAsia="zh-CN"/>
              </w:rPr>
              <w:t>本项目专门面向中型企业、小型企业、微型企业，大型企业不得参与</w:t>
            </w:r>
            <w:r>
              <w:rPr>
                <w:rFonts w:hint="eastAsia" w:ascii="宋体" w:hAnsi="宋体" w:eastAsia="宋体" w:cs="宋体"/>
                <w:b/>
                <w:bCs/>
                <w:sz w:val="22"/>
                <w:szCs w:val="22"/>
              </w:rPr>
              <w:t>。</w:t>
            </w:r>
            <w:r>
              <w:rPr>
                <w:rFonts w:hint="eastAsia" w:ascii="宋体" w:hAnsi="宋体" w:eastAsia="宋体" w:cs="宋体"/>
                <w:b w:val="0"/>
                <w:bCs w:val="0"/>
                <w:sz w:val="22"/>
                <w:szCs w:val="22"/>
              </w:rPr>
              <w:t>（详见第六部分  评审方法）</w:t>
            </w:r>
          </w:p>
          <w:p w14:paraId="3DAEDF91">
            <w:pPr>
              <w:keepNext w:val="0"/>
              <w:keepLines w:val="0"/>
              <w:pageBreakBefore w:val="0"/>
              <w:kinsoku/>
              <w:wordWrap/>
              <w:overflowPunct/>
              <w:topLinePunct w:val="0"/>
              <w:autoSpaceDE/>
              <w:autoSpaceDN/>
              <w:bidi w:val="0"/>
              <w:snapToGrid w:val="0"/>
              <w:spacing w:line="296" w:lineRule="auto"/>
              <w:textAlignment w:val="auto"/>
              <w:rPr>
                <w:rFonts w:hint="eastAsia" w:ascii="宋体" w:hAnsi="宋体" w:eastAsia="宋体" w:cs="宋体"/>
                <w:sz w:val="22"/>
                <w:szCs w:val="22"/>
                <w:lang w:bidi="ar"/>
              </w:rPr>
            </w:pPr>
            <w:r>
              <w:rPr>
                <w:rFonts w:hint="eastAsia" w:ascii="宋体" w:hAnsi="宋体" w:eastAsia="宋体" w:cs="宋体"/>
                <w:b w:val="0"/>
                <w:bCs w:val="0"/>
                <w:sz w:val="22"/>
                <w:szCs w:val="22"/>
                <w:lang w:val="en-US" w:eastAsia="zh-CN"/>
              </w:rPr>
              <w:t>投标供应商</w:t>
            </w:r>
            <w:r>
              <w:rPr>
                <w:rFonts w:hint="eastAsia" w:ascii="宋体" w:hAnsi="宋体" w:eastAsia="宋体" w:cs="宋体"/>
                <w:b w:val="0"/>
                <w:bCs w:val="0"/>
                <w:sz w:val="22"/>
                <w:szCs w:val="22"/>
              </w:rPr>
              <w:t>存在</w:t>
            </w:r>
            <w:r>
              <w:rPr>
                <w:rFonts w:hint="eastAsia" w:ascii="宋体" w:hAnsi="宋体" w:eastAsia="宋体" w:cs="宋体"/>
                <w:b w:val="0"/>
                <w:bCs w:val="0"/>
                <w:sz w:val="22"/>
                <w:szCs w:val="22"/>
                <w:lang w:val="en-US" w:eastAsia="zh-CN"/>
              </w:rPr>
              <w:t>大型企业</w:t>
            </w:r>
            <w:r>
              <w:rPr>
                <w:rFonts w:hint="eastAsia" w:ascii="宋体" w:hAnsi="宋体" w:eastAsia="宋体" w:cs="宋体"/>
                <w:b w:val="0"/>
                <w:bCs w:val="0"/>
                <w:sz w:val="22"/>
                <w:szCs w:val="22"/>
              </w:rPr>
              <w:t>直接控股</w:t>
            </w:r>
            <w:r>
              <w:rPr>
                <w:rFonts w:hint="eastAsia" w:ascii="宋体" w:hAnsi="宋体" w:eastAsia="宋体" w:cs="宋体"/>
                <w:b w:val="0"/>
                <w:bCs w:val="0"/>
                <w:sz w:val="22"/>
                <w:szCs w:val="22"/>
                <w:lang w:val="en-US" w:eastAsia="zh-CN"/>
              </w:rPr>
              <w:t>或者大型企业分支机构的情形，不享受</w:t>
            </w:r>
            <w:r>
              <w:rPr>
                <w:rFonts w:hint="eastAsia" w:ascii="宋体" w:hAnsi="宋体" w:eastAsia="宋体" w:cs="宋体"/>
                <w:b w:val="0"/>
                <w:bCs w:val="0"/>
                <w:sz w:val="22"/>
                <w:szCs w:val="22"/>
              </w:rPr>
              <w:t>中小企业</w:t>
            </w:r>
            <w:r>
              <w:rPr>
                <w:rFonts w:hint="eastAsia" w:ascii="宋体" w:hAnsi="宋体" w:eastAsia="宋体" w:cs="宋体"/>
                <w:b w:val="0"/>
                <w:bCs w:val="0"/>
                <w:sz w:val="22"/>
                <w:szCs w:val="22"/>
                <w:lang w:val="en-US" w:eastAsia="zh-CN"/>
              </w:rPr>
              <w:t>扶持政策</w:t>
            </w:r>
            <w:r>
              <w:rPr>
                <w:rFonts w:hint="eastAsia" w:ascii="宋体" w:hAnsi="宋体" w:eastAsia="宋体" w:cs="宋体"/>
                <w:b w:val="0"/>
                <w:bCs w:val="0"/>
                <w:sz w:val="22"/>
                <w:szCs w:val="22"/>
              </w:rPr>
              <w:t>。</w:t>
            </w:r>
          </w:p>
        </w:tc>
      </w:tr>
      <w:tr w14:paraId="6537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4" w:type="dxa"/>
            <w:tcBorders>
              <w:left w:val="double" w:color="auto" w:sz="4" w:space="0"/>
            </w:tcBorders>
            <w:noWrap w:val="0"/>
            <w:vAlign w:val="center"/>
          </w:tcPr>
          <w:p w14:paraId="24683EAB">
            <w:pPr>
              <w:snapToGrid w:val="0"/>
              <w:spacing w:line="400" w:lineRule="atLeast"/>
              <w:jc w:val="center"/>
              <w:rPr>
                <w:rFonts w:hint="eastAsia" w:ascii="宋体" w:hAnsi="宋体" w:eastAsia="宋体" w:cs="宋体"/>
                <w:b w:val="0"/>
                <w:bCs w:val="0"/>
                <w:sz w:val="22"/>
                <w:szCs w:val="22"/>
                <w:lang w:val="en-US" w:eastAsia="zh-CN" w:bidi="ar"/>
              </w:rPr>
            </w:pPr>
            <w:r>
              <w:rPr>
                <w:rFonts w:hint="eastAsia" w:ascii="宋体" w:hAnsi="宋体" w:eastAsia="宋体" w:cs="宋体"/>
                <w:b w:val="0"/>
                <w:bCs w:val="0"/>
                <w:sz w:val="22"/>
                <w:szCs w:val="22"/>
                <w:lang w:val="en-US" w:eastAsia="zh-CN" w:bidi="ar"/>
              </w:rPr>
              <w:t>中小企业分包</w:t>
            </w:r>
          </w:p>
        </w:tc>
        <w:tc>
          <w:tcPr>
            <w:tcW w:w="6901" w:type="dxa"/>
            <w:tcBorders>
              <w:right w:val="double" w:color="auto" w:sz="4" w:space="0"/>
            </w:tcBorders>
            <w:noWrap w:val="0"/>
            <w:vAlign w:val="center"/>
          </w:tcPr>
          <w:p w14:paraId="0891C580">
            <w:pPr>
              <w:keepNext w:val="0"/>
              <w:keepLines w:val="0"/>
              <w:pageBreakBefore w:val="0"/>
              <w:kinsoku/>
              <w:wordWrap/>
              <w:overflowPunct/>
              <w:topLinePunct w:val="0"/>
              <w:autoSpaceDE/>
              <w:autoSpaceDN/>
              <w:bidi w:val="0"/>
              <w:snapToGrid w:val="0"/>
              <w:spacing w:line="296"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享受扶持政策获得政府采购合同的，小微企业不得将合同分包给大中型企业，中型企业不得将合同分包给大型企业。</w:t>
            </w:r>
          </w:p>
          <w:p w14:paraId="02A3A5E2">
            <w:pPr>
              <w:keepNext w:val="0"/>
              <w:keepLines w:val="0"/>
              <w:pageBreakBefore w:val="0"/>
              <w:kinsoku/>
              <w:wordWrap/>
              <w:overflowPunct/>
              <w:topLinePunct w:val="0"/>
              <w:autoSpaceDE/>
              <w:autoSpaceDN/>
              <w:bidi w:val="0"/>
              <w:snapToGrid w:val="0"/>
              <w:spacing w:line="296" w:lineRule="auto"/>
              <w:textAlignment w:val="auto"/>
              <w:rPr>
                <w:rFonts w:hint="eastAsia" w:ascii="宋体" w:hAnsi="宋体" w:eastAsia="宋体" w:cs="宋体"/>
                <w:sz w:val="22"/>
                <w:szCs w:val="22"/>
                <w:lang w:val="en-US" w:eastAsia="zh-CN"/>
              </w:rPr>
            </w:pPr>
            <w:r>
              <w:rPr>
                <w:rFonts w:hint="eastAsia" w:ascii="宋体" w:hAnsi="宋体" w:eastAsia="宋体" w:cs="宋体"/>
                <w:b w:val="0"/>
                <w:bCs w:val="0"/>
                <w:sz w:val="22"/>
                <w:szCs w:val="22"/>
                <w:lang w:val="en-US" w:eastAsia="zh-CN"/>
              </w:rPr>
              <w:t>接受分包的中小企业之间不得存在直接控股、管理关系。</w:t>
            </w:r>
          </w:p>
        </w:tc>
      </w:tr>
      <w:tr w14:paraId="595F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4" w:type="dxa"/>
            <w:tcBorders>
              <w:left w:val="double" w:color="auto" w:sz="4" w:space="0"/>
            </w:tcBorders>
            <w:noWrap w:val="0"/>
            <w:vAlign w:val="center"/>
          </w:tcPr>
          <w:p w14:paraId="1E92C677">
            <w:pPr>
              <w:spacing w:line="360" w:lineRule="auto"/>
              <w:jc w:val="center"/>
              <w:rPr>
                <w:rFonts w:hint="eastAsia" w:ascii="宋体" w:hAnsi="宋体" w:eastAsia="宋体" w:cs="宋体"/>
                <w:b/>
                <w:bCs/>
                <w:sz w:val="22"/>
                <w:szCs w:val="22"/>
                <w:lang w:bidi="ar"/>
              </w:rPr>
            </w:pPr>
            <w:r>
              <w:rPr>
                <w:rFonts w:hint="eastAsia" w:ascii="宋体" w:hAnsi="宋体" w:eastAsia="宋体" w:cs="宋体"/>
                <w:b/>
                <w:bCs/>
                <w:sz w:val="22"/>
                <w:szCs w:val="22"/>
                <w:lang w:bidi="ar"/>
              </w:rPr>
              <w:t>节能环保政策</w:t>
            </w:r>
          </w:p>
        </w:tc>
        <w:tc>
          <w:tcPr>
            <w:tcW w:w="6901" w:type="dxa"/>
            <w:tcBorders>
              <w:right w:val="double" w:color="auto" w:sz="4" w:space="0"/>
            </w:tcBorders>
            <w:noWrap w:val="0"/>
            <w:vAlign w:val="center"/>
          </w:tcPr>
          <w:p w14:paraId="7C35D0FE">
            <w:pPr>
              <w:keepNext w:val="0"/>
              <w:keepLines w:val="0"/>
              <w:pageBreakBefore w:val="0"/>
              <w:kinsoku/>
              <w:wordWrap/>
              <w:overflowPunct/>
              <w:topLinePunct w:val="0"/>
              <w:autoSpaceDE/>
              <w:autoSpaceDN/>
              <w:bidi w:val="0"/>
              <w:snapToGrid w:val="0"/>
              <w:spacing w:line="296"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0AA374B">
            <w:pPr>
              <w:keepNext w:val="0"/>
              <w:keepLines w:val="0"/>
              <w:pageBreakBefore w:val="0"/>
              <w:kinsoku/>
              <w:wordWrap/>
              <w:overflowPunct/>
              <w:topLinePunct w:val="0"/>
              <w:autoSpaceDE/>
              <w:autoSpaceDN/>
              <w:bidi w:val="0"/>
              <w:snapToGrid w:val="0"/>
              <w:spacing w:line="296" w:lineRule="auto"/>
              <w:textAlignment w:val="auto"/>
              <w:rPr>
                <w:rFonts w:hint="eastAsia"/>
              </w:rPr>
            </w:pPr>
            <w:r>
              <w:rPr>
                <w:rFonts w:hint="eastAsia" w:ascii="宋体" w:hAnsi="宋体" w:eastAsia="宋体" w:cs="宋体"/>
                <w:b w:val="0"/>
                <w:bCs w:val="0"/>
                <w:sz w:val="22"/>
                <w:szCs w:val="22"/>
                <w:lang w:val="en-US" w:eastAsia="zh-CN"/>
              </w:rPr>
              <w:t>供应商须按采购文件要求提供相关产品认证证书。采购人拟采购的产品属于政府强制采购的节能产品品目清单范围的，供应商未按采购文件要求提供国家确定的认证机构出具的、处于有效期之内的节能产品认证证书的，响应文件无效。</w:t>
            </w:r>
          </w:p>
        </w:tc>
      </w:tr>
      <w:tr w14:paraId="7CB0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4" w:type="dxa"/>
            <w:vMerge w:val="restart"/>
            <w:tcBorders>
              <w:left w:val="double" w:color="auto" w:sz="4" w:space="0"/>
            </w:tcBorders>
            <w:noWrap w:val="0"/>
            <w:vAlign w:val="center"/>
          </w:tcPr>
          <w:p w14:paraId="5EC38F7A">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质疑时间及事项</w:t>
            </w:r>
          </w:p>
        </w:tc>
        <w:tc>
          <w:tcPr>
            <w:tcW w:w="6901" w:type="dxa"/>
            <w:tcBorders>
              <w:right w:val="double" w:color="auto" w:sz="4" w:space="0"/>
            </w:tcBorders>
            <w:noWrap w:val="0"/>
            <w:vAlign w:val="center"/>
          </w:tcPr>
          <w:p w14:paraId="07E3BA43">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在采购公告质疑时间前一次性提出所有询问和质疑事项并以书面形式壹式贰份原件送达至代理机构，非法定代表人办理，需授权代理人全权负责，提交《法定代表人授权委托书原件》附后，《质疑函》范本请到“浙江政府采购网-下载专区-疑投诉模板”下载编制。逾期不递交的，视为放弃上述权利。</w:t>
            </w:r>
          </w:p>
        </w:tc>
      </w:tr>
      <w:tr w14:paraId="068C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4" w:type="dxa"/>
            <w:vMerge w:val="continue"/>
            <w:tcBorders>
              <w:left w:val="double" w:color="auto" w:sz="4" w:space="0"/>
            </w:tcBorders>
            <w:noWrap w:val="0"/>
            <w:vAlign w:val="center"/>
          </w:tcPr>
          <w:p w14:paraId="313403CD">
            <w:pPr>
              <w:spacing w:line="360" w:lineRule="auto"/>
              <w:jc w:val="center"/>
              <w:rPr>
                <w:rFonts w:hint="eastAsia" w:ascii="宋体" w:hAnsi="宋体" w:eastAsia="宋体" w:cs="宋体"/>
                <w:b/>
                <w:bCs/>
                <w:sz w:val="22"/>
                <w:szCs w:val="22"/>
              </w:rPr>
            </w:pPr>
          </w:p>
        </w:tc>
        <w:tc>
          <w:tcPr>
            <w:tcW w:w="6901" w:type="dxa"/>
            <w:tcBorders>
              <w:right w:val="double" w:color="auto" w:sz="4" w:space="0"/>
            </w:tcBorders>
            <w:noWrap w:val="0"/>
            <w:vAlign w:val="center"/>
          </w:tcPr>
          <w:p w14:paraId="4E52B2EF">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询问：在采购活动中供应商可以就某一事项向采购组织机构发出“询问”，采购组织机构将在收到供应商“询问”后三个工作日内予以答复，但规定不予答复的内容除外。</w:t>
            </w:r>
          </w:p>
          <w:p w14:paraId="0F83F15D">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质疑：投标供应商认为采购文件、采购过程和采购结果使自己的合法权益受到损害的，应当在知道或者应知其权益受到损害之日起七个工作日内，以书面形式向采购组织机构提出质疑。对采购文件提出质疑的，最迟应在采购响应截止时间前提出，否则采购组织机构可以不予答复。</w:t>
            </w:r>
          </w:p>
          <w:p w14:paraId="0A1C64CA">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上述所指“供应商应知其权益受到损害之日”，是指：</w:t>
            </w:r>
          </w:p>
          <w:p w14:paraId="34F56E4D">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对采购文件提出质疑的，为获取采购文件之日或者采购文件公告期限届满之日（公告期限届满后获取采购文件的，以公告期限届满之日为准）起7个工作日内；</w:t>
            </w:r>
          </w:p>
          <w:p w14:paraId="621C38EC">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对采购过程提出质疑的，为各采购程序环节结束之日；</w:t>
            </w:r>
          </w:p>
          <w:p w14:paraId="19108003">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对中标或者成交结果提出质疑的，为中标或者成交结果公告期限届满之日。</w:t>
            </w:r>
          </w:p>
          <w:p w14:paraId="53122740">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质疑书须包括以下内容：</w:t>
            </w:r>
          </w:p>
          <w:p w14:paraId="21AA61CF">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质疑人的名称、地址、邮政编码、联系人、联系电话、法定代表人签字或盖章；</w:t>
            </w:r>
          </w:p>
          <w:p w14:paraId="717FEC13">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被质疑采购项目名称、编号及采购内容；</w:t>
            </w:r>
          </w:p>
          <w:p w14:paraId="6A616A9F">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具体的质疑事项及事实依据；</w:t>
            </w:r>
          </w:p>
          <w:p w14:paraId="5A73723B">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认为自己合法权益受到损害或可能受到损害的相关证据材料；</w:t>
            </w:r>
          </w:p>
          <w:p w14:paraId="3213243B">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提出质疑的日期。</w:t>
            </w:r>
          </w:p>
          <w:p w14:paraId="6577A70D">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w:t>
            </w:r>
            <w:r>
              <w:rPr>
                <w:rFonts w:hint="eastAsia" w:ascii="宋体" w:hAnsi="宋体" w:eastAsia="宋体" w:cs="宋体"/>
                <w:sz w:val="22"/>
                <w:szCs w:val="22"/>
              </w:rPr>
              <w:t>投标供应商认可采购组织机构在质疑答复程序中启用的调查和重新评审等程序，在该程序操作过程未明显违反法律禁止性规定时，不得再提出异议。</w:t>
            </w:r>
          </w:p>
          <w:p w14:paraId="1A7E0AE7">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w:t>
            </w:r>
            <w:r>
              <w:rPr>
                <w:rFonts w:hint="eastAsia" w:ascii="宋体" w:hAnsi="宋体" w:eastAsia="宋体" w:cs="宋体"/>
                <w:sz w:val="22"/>
                <w:szCs w:val="22"/>
              </w:rPr>
              <w:t>质疑、投诉应当采用书面形式，经法定代表人或其授权代表签署后加盖单位公章，质疑书、投诉书均应明确阐述《</w:t>
            </w:r>
            <w:r>
              <w:rPr>
                <w:rFonts w:hint="eastAsia" w:ascii="宋体" w:hAnsi="宋体" w:eastAsia="宋体" w:cs="宋体"/>
                <w:sz w:val="22"/>
                <w:szCs w:val="22"/>
                <w:lang w:val="en-US" w:eastAsia="zh-CN"/>
              </w:rPr>
              <w:t>采购</w:t>
            </w:r>
            <w:r>
              <w:rPr>
                <w:rFonts w:hint="eastAsia" w:ascii="宋体" w:hAnsi="宋体" w:eastAsia="宋体" w:cs="宋体"/>
                <w:sz w:val="22"/>
                <w:szCs w:val="22"/>
              </w:rPr>
              <w:t>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56A9CF9D">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7</w:t>
            </w:r>
            <w:r>
              <w:rPr>
                <w:rFonts w:hint="eastAsia" w:ascii="宋体" w:hAnsi="宋体" w:eastAsia="宋体" w:cs="宋体"/>
                <w:sz w:val="22"/>
                <w:szCs w:val="22"/>
                <w:lang w:eastAsia="zh-CN"/>
              </w:rPr>
              <w:t>）</w:t>
            </w:r>
            <w:r>
              <w:rPr>
                <w:rFonts w:hint="eastAsia" w:ascii="宋体" w:hAnsi="宋体" w:eastAsia="宋体" w:cs="宋体"/>
                <w:sz w:val="22"/>
                <w:szCs w:val="22"/>
              </w:rPr>
              <w:t>投诉：投标供应商对采购组织机构的质疑答复不满意或者采购组织机构未在规定时间内作出答复的，可以在答复期满后十五个工作日内向同级采购监管部门投诉。</w:t>
            </w:r>
          </w:p>
        </w:tc>
      </w:tr>
      <w:tr w14:paraId="29DF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34" w:type="dxa"/>
            <w:tcBorders>
              <w:left w:val="double" w:color="auto" w:sz="4" w:space="0"/>
              <w:bottom w:val="single" w:color="auto" w:sz="4" w:space="0"/>
            </w:tcBorders>
            <w:noWrap w:val="0"/>
            <w:vAlign w:val="center"/>
          </w:tcPr>
          <w:p w14:paraId="7B9DEC00">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信用记录</w:t>
            </w:r>
          </w:p>
        </w:tc>
        <w:tc>
          <w:tcPr>
            <w:tcW w:w="6901" w:type="dxa"/>
            <w:tcBorders>
              <w:bottom w:val="single" w:color="auto" w:sz="4" w:space="0"/>
              <w:right w:val="double" w:color="auto" w:sz="4" w:space="0"/>
            </w:tcBorders>
            <w:noWrap w:val="0"/>
            <w:vAlign w:val="center"/>
          </w:tcPr>
          <w:p w14:paraId="0AE16B78">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根据《财政部关于在政府采购活动中查询及使用信用记录的通知》（财库〔2016〕125号）相关规定，采购组织机构将统一通过“信用中国”网站（www.creditchina.gov.cn）、中国政府采购网（www.ccgp.gov.cn）等渠道查询供应商信用记录，对供应商信用记录进行甄别。凡是列入失信被执行人、重大税收违法案件当事人名单、政府采购严重违法失信行为记录名单及其他不符合《中华人民共和国政府采购法》第二十二条规定条件的供应商，一律拒绝其参加本次政府采购活动。相关处理办法如下：</w:t>
            </w:r>
          </w:p>
          <w:p w14:paraId="3DC5EA3D">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（1）投标截止时间前发现供应商存在上述“被拒绝情形”的，拒绝其报名登记。</w:t>
            </w:r>
          </w:p>
          <w:p w14:paraId="16297927">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（2）投标截止时间后、采购结果公告前发现供应商存在上述“被拒绝情形”的，对其递交的</w:t>
            </w:r>
            <w:r>
              <w:rPr>
                <w:rFonts w:hint="eastAsia" w:ascii="宋体" w:hAnsi="宋体" w:eastAsia="宋体" w:cs="宋体"/>
                <w:sz w:val="22"/>
                <w:szCs w:val="22"/>
                <w:lang w:eastAsia="zh-CN"/>
              </w:rPr>
              <w:t>投标响应文件</w:t>
            </w:r>
            <w:r>
              <w:rPr>
                <w:rFonts w:hint="eastAsia" w:ascii="宋体" w:hAnsi="宋体" w:eastAsia="宋体" w:cs="宋体"/>
                <w:sz w:val="22"/>
                <w:szCs w:val="22"/>
              </w:rPr>
              <w:t>（响应文件）作无效标处理。</w:t>
            </w:r>
          </w:p>
          <w:p w14:paraId="1796D53D">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（3）采购结果公告后（合同签订前）发现中标单位存在上述“被拒绝情形”的，取消其中标资格。</w:t>
            </w:r>
          </w:p>
          <w:p w14:paraId="3EA4EA58">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（4）“被拒绝情形”是指列入失信被执行人、重大税收违法案件当事人名单、政府采购严重违法失信行为记录名单及其他不符合《中华人民共和国政府采购法》第二十二条规定条件的情形。</w:t>
            </w:r>
          </w:p>
          <w:p w14:paraId="4986753E">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（5）查询工作由采购组织机构（采购人或采购代理机构）统一进行，并以统一记录的形式留存备案。</w:t>
            </w:r>
          </w:p>
        </w:tc>
      </w:tr>
      <w:tr w14:paraId="7011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34" w:type="dxa"/>
            <w:tcBorders>
              <w:left w:val="double" w:color="auto" w:sz="4" w:space="0"/>
              <w:bottom w:val="single" w:color="auto" w:sz="4" w:space="0"/>
            </w:tcBorders>
            <w:noWrap w:val="0"/>
            <w:vAlign w:val="center"/>
          </w:tcPr>
          <w:p w14:paraId="72A1D5DE">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合同履约管理</w:t>
            </w:r>
          </w:p>
        </w:tc>
        <w:tc>
          <w:tcPr>
            <w:tcW w:w="6901" w:type="dxa"/>
            <w:tcBorders>
              <w:bottom w:val="single" w:color="auto" w:sz="4" w:space="0"/>
              <w:right w:val="double" w:color="auto" w:sz="4" w:space="0"/>
            </w:tcBorders>
            <w:noWrap w:val="0"/>
            <w:vAlign w:val="center"/>
          </w:tcPr>
          <w:p w14:paraId="603BE891">
            <w:pPr>
              <w:keepNext w:val="0"/>
              <w:keepLines w:val="0"/>
              <w:pageBreakBefore w:val="0"/>
              <w:kinsoku/>
              <w:wordWrap/>
              <w:overflowPunct/>
              <w:topLinePunct w:val="0"/>
              <w:autoSpaceDE/>
              <w:autoSpaceDN/>
              <w:bidi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合同签订后，采购人依法加强对合同履约进行管理，并在项目验收等重要关节，及时向同级财政部门报告验收过程中遇到的问题。</w:t>
            </w:r>
          </w:p>
        </w:tc>
      </w:tr>
      <w:tr w14:paraId="4948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34" w:type="dxa"/>
            <w:tcBorders>
              <w:left w:val="double" w:color="auto" w:sz="4" w:space="0"/>
              <w:bottom w:val="single" w:color="auto" w:sz="4" w:space="0"/>
            </w:tcBorders>
            <w:noWrap w:val="0"/>
            <w:vAlign w:val="center"/>
          </w:tcPr>
          <w:p w14:paraId="273D5051">
            <w:pPr>
              <w:snapToGrid w:val="0"/>
              <w:spacing w:line="400" w:lineRule="atLeast"/>
              <w:jc w:val="center"/>
              <w:rPr>
                <w:rFonts w:hint="eastAsia" w:ascii="宋体" w:hAnsi="宋体" w:eastAsia="宋体" w:cs="宋体"/>
                <w:b/>
                <w:bCs/>
                <w:sz w:val="22"/>
                <w:szCs w:val="22"/>
              </w:rPr>
            </w:pPr>
            <w:r>
              <w:rPr>
                <w:rFonts w:hint="eastAsia" w:ascii="宋体" w:hAnsi="宋体" w:cs="宋体"/>
                <w:b/>
                <w:bCs/>
                <w:sz w:val="22"/>
                <w:szCs w:val="22"/>
              </w:rPr>
              <w:t>中小企业政府采购信用融资政策</w:t>
            </w:r>
          </w:p>
        </w:tc>
        <w:tc>
          <w:tcPr>
            <w:tcW w:w="6901" w:type="dxa"/>
            <w:tcBorders>
              <w:bottom w:val="single" w:color="auto" w:sz="4" w:space="0"/>
              <w:right w:val="double" w:color="auto" w:sz="4" w:space="0"/>
            </w:tcBorders>
            <w:noWrap w:val="0"/>
            <w:vAlign w:val="center"/>
          </w:tcPr>
          <w:p w14:paraId="1D7BFAA9">
            <w:pPr>
              <w:snapToGrid w:val="0"/>
              <w:spacing w:line="312" w:lineRule="auto"/>
              <w:rPr>
                <w:rFonts w:hint="eastAsia" w:ascii="宋体" w:hAnsi="宋体" w:eastAsia="宋体" w:cs="宋体"/>
                <w:sz w:val="22"/>
                <w:szCs w:val="22"/>
              </w:rPr>
            </w:pPr>
            <w:r>
              <w:rPr>
                <w:rFonts w:hint="eastAsia" w:ascii="宋体" w:hAnsi="宋体" w:cs="宋体"/>
                <w:sz w:val="22"/>
                <w:szCs w:val="22"/>
              </w:rPr>
              <w:t>中标供应商可以登录政采云平台金融服务模块里进行线上申请https://jinrong.zcygov.cn/finance-service/#/home，金融支持服务</w:t>
            </w:r>
          </w:p>
        </w:tc>
      </w:tr>
      <w:tr w14:paraId="05F3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34" w:type="dxa"/>
            <w:tcBorders>
              <w:left w:val="double" w:color="auto" w:sz="4" w:space="0"/>
              <w:bottom w:val="double" w:color="auto" w:sz="4" w:space="0"/>
            </w:tcBorders>
            <w:noWrap w:val="0"/>
            <w:vAlign w:val="center"/>
          </w:tcPr>
          <w:p w14:paraId="33CEA423">
            <w:pPr>
              <w:pStyle w:val="22"/>
              <w:spacing w:before="0"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备注</w:t>
            </w:r>
          </w:p>
        </w:tc>
        <w:tc>
          <w:tcPr>
            <w:tcW w:w="6901" w:type="dxa"/>
            <w:tcBorders>
              <w:bottom w:val="double" w:color="auto" w:sz="4" w:space="0"/>
              <w:right w:val="double" w:color="auto" w:sz="4" w:space="0"/>
            </w:tcBorders>
            <w:noWrap w:val="0"/>
            <w:vAlign w:val="center"/>
          </w:tcPr>
          <w:p w14:paraId="4446056E">
            <w:pPr>
              <w:keepNext w:val="0"/>
              <w:keepLines w:val="0"/>
              <w:pageBreakBefore w:val="0"/>
              <w:numPr>
                <w:ilvl w:val="0"/>
                <w:numId w:val="4"/>
              </w:numPr>
              <w:kinsoku/>
              <w:wordWrap/>
              <w:overflowPunct/>
              <w:topLinePunct w:val="0"/>
              <w:autoSpaceDE/>
              <w:autoSpaceDN/>
              <w:bidi w:val="0"/>
              <w:adjustRightInd w:val="0"/>
              <w:snapToGrid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如发现</w:t>
            </w:r>
            <w:r>
              <w:rPr>
                <w:rFonts w:hint="eastAsia" w:ascii="宋体" w:hAnsi="宋体" w:eastAsia="宋体" w:cs="宋体"/>
                <w:sz w:val="22"/>
                <w:szCs w:val="22"/>
                <w:lang w:val="en-US" w:eastAsia="zh-CN"/>
              </w:rPr>
              <w:t>采购</w:t>
            </w:r>
            <w:r>
              <w:rPr>
                <w:rFonts w:hint="eastAsia" w:ascii="宋体" w:hAnsi="宋体" w:eastAsia="宋体" w:cs="宋体"/>
                <w:sz w:val="22"/>
                <w:szCs w:val="22"/>
              </w:rPr>
              <w:t>文件及其评审办法中存在含糊不清、相互矛盾、多种含义以及歧视性不公正条款或违法违规等内容时，</w:t>
            </w:r>
            <w:r>
              <w:rPr>
                <w:rFonts w:hint="eastAsia" w:ascii="宋体" w:hAnsi="宋体" w:eastAsia="宋体" w:cs="宋体"/>
                <w:sz w:val="22"/>
                <w:szCs w:val="22"/>
                <w:u w:val="single"/>
              </w:rPr>
              <w:t>请在规定的质疑截止时间前向采购机构或采购人书面提交《询问函》或《质疑函》反映，逾期不得再对</w:t>
            </w:r>
            <w:r>
              <w:rPr>
                <w:rFonts w:hint="eastAsia" w:ascii="宋体" w:hAnsi="宋体" w:eastAsia="宋体" w:cs="宋体"/>
                <w:sz w:val="22"/>
                <w:szCs w:val="22"/>
                <w:u w:val="single"/>
                <w:lang w:val="en-US" w:eastAsia="zh-CN"/>
              </w:rPr>
              <w:t>采购</w:t>
            </w:r>
            <w:r>
              <w:rPr>
                <w:rFonts w:hint="eastAsia" w:ascii="宋体" w:hAnsi="宋体" w:eastAsia="宋体" w:cs="宋体"/>
                <w:sz w:val="22"/>
                <w:szCs w:val="22"/>
                <w:u w:val="single"/>
              </w:rPr>
              <w:t>文件的条款提出质疑</w:t>
            </w:r>
            <w:r>
              <w:rPr>
                <w:rFonts w:hint="eastAsia" w:ascii="宋体" w:hAnsi="宋体" w:eastAsia="宋体" w:cs="宋体"/>
                <w:sz w:val="22"/>
                <w:szCs w:val="22"/>
              </w:rPr>
              <w:t>。</w:t>
            </w:r>
          </w:p>
          <w:p w14:paraId="08BE80E0">
            <w:pPr>
              <w:keepNext w:val="0"/>
              <w:keepLines w:val="0"/>
              <w:pageBreakBefore w:val="0"/>
              <w:numPr>
                <w:ilvl w:val="0"/>
                <w:numId w:val="4"/>
              </w:numPr>
              <w:kinsoku/>
              <w:wordWrap/>
              <w:overflowPunct/>
              <w:topLinePunct w:val="0"/>
              <w:autoSpaceDE/>
              <w:autoSpaceDN/>
              <w:bidi w:val="0"/>
              <w:adjustRightInd w:val="0"/>
              <w:snapToGrid w:val="0"/>
              <w:spacing w:line="296" w:lineRule="auto"/>
              <w:textAlignment w:val="auto"/>
              <w:rPr>
                <w:rFonts w:hint="eastAsia" w:ascii="宋体" w:hAnsi="宋体" w:eastAsia="宋体" w:cs="宋体"/>
                <w:b/>
                <w:bCs/>
                <w:color w:val="FF0000"/>
                <w:sz w:val="22"/>
                <w:szCs w:val="22"/>
              </w:rPr>
            </w:pPr>
            <w:r>
              <w:rPr>
                <w:rFonts w:hint="eastAsia" w:ascii="宋体" w:hAnsi="宋体" w:eastAsia="宋体" w:cs="宋体"/>
                <w:b/>
                <w:bCs/>
                <w:color w:val="FF0000"/>
                <w:sz w:val="22"/>
                <w:szCs w:val="22"/>
              </w:rPr>
              <w:t>在线投标时如遇平台操作/技术问题详询政采云客服400-881-7190。</w:t>
            </w:r>
          </w:p>
          <w:p w14:paraId="03FF0A0C">
            <w:pPr>
              <w:keepNext w:val="0"/>
              <w:keepLines w:val="0"/>
              <w:pageBreakBefore w:val="0"/>
              <w:numPr>
                <w:ilvl w:val="0"/>
                <w:numId w:val="4"/>
              </w:numPr>
              <w:kinsoku/>
              <w:wordWrap/>
              <w:overflowPunct/>
              <w:topLinePunct w:val="0"/>
              <w:autoSpaceDE/>
              <w:autoSpaceDN/>
              <w:bidi w:val="0"/>
              <w:adjustRightInd w:val="0"/>
              <w:snapToGrid w:val="0"/>
              <w:spacing w:line="296" w:lineRule="auto"/>
              <w:textAlignment w:val="auto"/>
              <w:rPr>
                <w:rFonts w:hint="eastAsia" w:ascii="宋体" w:hAnsi="宋体" w:eastAsia="宋体" w:cs="宋体"/>
                <w:b/>
                <w:bCs/>
                <w:color w:val="FF0000"/>
                <w:sz w:val="22"/>
                <w:szCs w:val="22"/>
              </w:rPr>
            </w:pPr>
            <w:r>
              <w:rPr>
                <w:rFonts w:hint="eastAsia" w:ascii="宋体" w:hAnsi="宋体" w:eastAsia="宋体" w:cs="宋体"/>
                <w:b/>
                <w:bCs/>
                <w:color w:val="FF0000"/>
                <w:sz w:val="22"/>
                <w:szCs w:val="22"/>
              </w:rPr>
              <w:t>投标截止时间后，供应商登录政采云平台，用“项目采购-开标评标”功能对电子</w:t>
            </w:r>
            <w:r>
              <w:rPr>
                <w:rFonts w:hint="eastAsia" w:ascii="宋体" w:hAnsi="宋体" w:eastAsia="宋体" w:cs="宋体"/>
                <w:b/>
                <w:bCs/>
                <w:color w:val="FF0000"/>
                <w:sz w:val="22"/>
                <w:szCs w:val="22"/>
                <w:lang w:eastAsia="zh-CN"/>
              </w:rPr>
              <w:t>投标响应文件</w:t>
            </w:r>
            <w:r>
              <w:rPr>
                <w:rFonts w:hint="eastAsia" w:ascii="宋体" w:hAnsi="宋体" w:eastAsia="宋体" w:cs="宋体"/>
                <w:b/>
                <w:bCs/>
                <w:color w:val="FF0000"/>
                <w:sz w:val="22"/>
                <w:szCs w:val="22"/>
              </w:rPr>
              <w:t>进行在线解密。在线解密电子</w:t>
            </w:r>
            <w:r>
              <w:rPr>
                <w:rFonts w:hint="eastAsia" w:ascii="宋体" w:hAnsi="宋体" w:eastAsia="宋体" w:cs="宋体"/>
                <w:b/>
                <w:bCs/>
                <w:color w:val="FF0000"/>
                <w:sz w:val="22"/>
                <w:szCs w:val="22"/>
                <w:lang w:eastAsia="zh-CN"/>
              </w:rPr>
              <w:t>投标响应文件</w:t>
            </w:r>
            <w:r>
              <w:rPr>
                <w:rFonts w:hint="eastAsia" w:ascii="宋体" w:hAnsi="宋体" w:eastAsia="宋体" w:cs="宋体"/>
                <w:b/>
                <w:bCs/>
                <w:color w:val="FF0000"/>
                <w:sz w:val="22"/>
                <w:szCs w:val="22"/>
              </w:rPr>
              <w:t>时间为开标时间起规定时间内，否则视为放弃投标。</w:t>
            </w:r>
          </w:p>
          <w:p w14:paraId="3C877B05">
            <w:pPr>
              <w:keepNext w:val="0"/>
              <w:keepLines w:val="0"/>
              <w:pageBreakBefore w:val="0"/>
              <w:numPr>
                <w:ilvl w:val="0"/>
                <w:numId w:val="4"/>
              </w:numPr>
              <w:kinsoku/>
              <w:wordWrap/>
              <w:overflowPunct/>
              <w:topLinePunct w:val="0"/>
              <w:autoSpaceDE/>
              <w:autoSpaceDN/>
              <w:bidi w:val="0"/>
              <w:adjustRightInd w:val="0"/>
              <w:snapToGrid w:val="0"/>
              <w:spacing w:line="296" w:lineRule="auto"/>
              <w:textAlignment w:val="auto"/>
              <w:rPr>
                <w:rFonts w:hint="eastAsia" w:ascii="宋体" w:hAnsi="宋体" w:eastAsia="宋体" w:cs="宋体"/>
                <w:b/>
                <w:bCs/>
                <w:color w:val="FF0000"/>
                <w:sz w:val="22"/>
                <w:szCs w:val="22"/>
              </w:rPr>
            </w:pPr>
            <w:r>
              <w:rPr>
                <w:rFonts w:hint="eastAsia" w:ascii="宋体" w:hAnsi="宋体" w:eastAsia="宋体" w:cs="宋体"/>
                <w:b/>
                <w:bCs/>
                <w:color w:val="FF0000"/>
                <w:sz w:val="22"/>
                <w:szCs w:val="22"/>
              </w:rPr>
              <w:t>所有开标流程，均在线上完成，请各供应商务必不要离开电脑太久，并留意手机短信。（请提前检查“政采云”内，关于“项目采购”的岗位权限是否已勾选上。如有问题，请致电400-8817190）</w:t>
            </w:r>
          </w:p>
          <w:p w14:paraId="0B89210C">
            <w:pPr>
              <w:keepNext w:val="0"/>
              <w:keepLines w:val="0"/>
              <w:pageBreakBefore w:val="0"/>
              <w:numPr>
                <w:ilvl w:val="0"/>
                <w:numId w:val="4"/>
              </w:numPr>
              <w:kinsoku/>
              <w:wordWrap/>
              <w:overflowPunct/>
              <w:topLinePunct w:val="0"/>
              <w:autoSpaceDE/>
              <w:autoSpaceDN/>
              <w:bidi w:val="0"/>
              <w:adjustRightInd w:val="0"/>
              <w:snapToGrid w:val="0"/>
              <w:spacing w:line="296" w:lineRule="auto"/>
              <w:textAlignment w:val="auto"/>
              <w:rPr>
                <w:rFonts w:hint="eastAsia" w:ascii="宋体" w:hAnsi="宋体" w:eastAsia="宋体" w:cs="宋体"/>
                <w:color w:val="FF0000"/>
                <w:sz w:val="22"/>
                <w:szCs w:val="22"/>
              </w:rPr>
            </w:pPr>
            <w:r>
              <w:rPr>
                <w:rFonts w:hint="eastAsia" w:ascii="宋体" w:hAnsi="宋体" w:eastAsia="宋体" w:cs="宋体"/>
                <w:b/>
                <w:bCs/>
                <w:color w:val="FF0000"/>
                <w:sz w:val="22"/>
                <w:szCs w:val="22"/>
              </w:rPr>
              <w:t>供应商无须到开标现场，只需自备电脑在规定时间前进行在线解密文件即可。</w:t>
            </w:r>
          </w:p>
          <w:p w14:paraId="171C42E0">
            <w:pPr>
              <w:keepNext w:val="0"/>
              <w:keepLines w:val="0"/>
              <w:pageBreakBefore w:val="0"/>
              <w:numPr>
                <w:ilvl w:val="0"/>
                <w:numId w:val="4"/>
              </w:numPr>
              <w:kinsoku/>
              <w:wordWrap/>
              <w:overflowPunct/>
              <w:topLinePunct w:val="0"/>
              <w:autoSpaceDE/>
              <w:autoSpaceDN/>
              <w:bidi w:val="0"/>
              <w:adjustRightInd w:val="0"/>
              <w:snapToGrid w:val="0"/>
              <w:spacing w:line="296" w:lineRule="auto"/>
              <w:textAlignment w:val="auto"/>
              <w:rPr>
                <w:rFonts w:hint="eastAsia" w:ascii="宋体" w:hAnsi="宋体" w:eastAsia="宋体" w:cs="宋体"/>
                <w:sz w:val="22"/>
                <w:szCs w:val="22"/>
              </w:rPr>
            </w:pPr>
            <w:r>
              <w:rPr>
                <w:rFonts w:hint="eastAsia" w:ascii="宋体" w:hAnsi="宋体" w:eastAsia="宋体" w:cs="宋体"/>
                <w:sz w:val="22"/>
                <w:szCs w:val="22"/>
              </w:rPr>
              <w:t>本</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文件的解释权归采购代理机构与采购人所有。</w:t>
            </w:r>
          </w:p>
          <w:p w14:paraId="5784BD7B">
            <w:pPr>
              <w:keepNext w:val="0"/>
              <w:keepLines w:val="0"/>
              <w:pageBreakBefore w:val="0"/>
              <w:numPr>
                <w:ilvl w:val="0"/>
                <w:numId w:val="4"/>
              </w:numPr>
              <w:kinsoku/>
              <w:wordWrap/>
              <w:overflowPunct/>
              <w:topLinePunct w:val="0"/>
              <w:autoSpaceDE/>
              <w:autoSpaceDN/>
              <w:bidi w:val="0"/>
              <w:adjustRightInd w:val="0"/>
              <w:snapToGrid w:val="0"/>
              <w:spacing w:line="296" w:lineRule="auto"/>
              <w:textAlignment w:val="auto"/>
              <w:rPr>
                <w:rFonts w:hint="eastAsia" w:ascii="宋体" w:hAnsi="宋体" w:eastAsia="宋体" w:cs="宋体"/>
                <w:sz w:val="22"/>
                <w:szCs w:val="22"/>
              </w:rPr>
            </w:pPr>
            <w:r>
              <w:rPr>
                <w:rFonts w:hint="eastAsia" w:ascii="宋体" w:hAnsi="宋体" w:eastAsia="宋体" w:cs="宋体"/>
                <w:b/>
                <w:bCs/>
                <w:color w:val="000000"/>
                <w:sz w:val="22"/>
                <w:szCs w:val="22"/>
              </w:rPr>
              <w:t>如遇“政采云平台”电子化开标或评审程序调整的，按调整后程序执行。</w:t>
            </w:r>
          </w:p>
          <w:p w14:paraId="2B746CCF">
            <w:pPr>
              <w:keepNext w:val="0"/>
              <w:keepLines w:val="0"/>
              <w:pageBreakBefore w:val="0"/>
              <w:numPr>
                <w:ilvl w:val="0"/>
                <w:numId w:val="4"/>
              </w:numPr>
              <w:kinsoku/>
              <w:wordWrap/>
              <w:overflowPunct/>
              <w:topLinePunct w:val="0"/>
              <w:autoSpaceDE/>
              <w:autoSpaceDN/>
              <w:bidi w:val="0"/>
              <w:adjustRightInd w:val="0"/>
              <w:snapToGrid w:val="0"/>
              <w:spacing w:line="296" w:lineRule="auto"/>
              <w:textAlignment w:val="auto"/>
              <w:rPr>
                <w:rFonts w:hint="eastAsia" w:ascii="宋体" w:hAnsi="宋体" w:eastAsia="宋体" w:cs="宋体"/>
                <w:sz w:val="22"/>
                <w:szCs w:val="22"/>
              </w:rPr>
            </w:pPr>
            <w:r>
              <w:rPr>
                <w:rFonts w:hint="eastAsia" w:ascii="宋体" w:hAnsi="宋体" w:eastAsia="宋体" w:cs="宋体"/>
                <w:b/>
                <w:bCs/>
                <w:sz w:val="22"/>
                <w:szCs w:val="22"/>
              </w:rPr>
              <w:t>中标后，供应商应按采购人要求提供与</w:t>
            </w:r>
            <w:r>
              <w:rPr>
                <w:rFonts w:hint="eastAsia" w:ascii="宋体" w:hAnsi="宋体" w:eastAsia="宋体" w:cs="宋体"/>
                <w:b/>
                <w:bCs/>
                <w:sz w:val="22"/>
                <w:szCs w:val="22"/>
                <w:lang w:eastAsia="zh-CN"/>
              </w:rPr>
              <w:t>投标响应文件</w:t>
            </w:r>
            <w:r>
              <w:rPr>
                <w:rFonts w:hint="eastAsia" w:ascii="宋体" w:hAnsi="宋体" w:eastAsia="宋体" w:cs="宋体"/>
                <w:b/>
                <w:bCs/>
                <w:sz w:val="22"/>
                <w:szCs w:val="22"/>
              </w:rPr>
              <w:t>相同的纸质文件，具体份数按采购人要求提供，代理机构一份存档。</w:t>
            </w:r>
          </w:p>
        </w:tc>
      </w:tr>
    </w:tbl>
    <w:p w14:paraId="29B7C6C1">
      <w:pPr>
        <w:autoSpaceDE w:val="0"/>
        <w:autoSpaceDN w:val="0"/>
        <w:adjustRightInd w:val="0"/>
        <w:spacing w:line="360" w:lineRule="auto"/>
        <w:jc w:val="center"/>
        <w:textAlignment w:val="bottom"/>
        <w:rPr>
          <w:rStyle w:val="56"/>
          <w:rFonts w:hint="eastAsia" w:ascii="宋体" w:hAnsi="宋体" w:eastAsia="宋体" w:cs="宋体"/>
          <w:b/>
          <w:bCs/>
          <w:spacing w:val="0"/>
        </w:rPr>
      </w:pPr>
      <w:r>
        <w:rPr>
          <w:rFonts w:hint="eastAsia" w:ascii="宋体" w:hAnsi="宋体" w:cs="宋体"/>
          <w:b/>
          <w:sz w:val="44"/>
        </w:rPr>
        <w:br w:type="page"/>
      </w:r>
      <w:bookmarkStart w:id="10" w:name="_Toc13835"/>
      <w:bookmarkStart w:id="11" w:name="_Toc21087"/>
      <w:bookmarkStart w:id="12" w:name="_Toc27187"/>
      <w:r>
        <w:rPr>
          <w:rStyle w:val="56"/>
          <w:rFonts w:hint="eastAsia" w:ascii="宋体" w:hAnsi="宋体" w:eastAsia="宋体" w:cs="宋体"/>
          <w:b/>
          <w:bCs/>
          <w:spacing w:val="0"/>
        </w:rPr>
        <w:t>第一部分   项目简介</w:t>
      </w:r>
    </w:p>
    <w:bookmarkEnd w:id="10"/>
    <w:bookmarkEnd w:id="11"/>
    <w:bookmarkEnd w:id="12"/>
    <w:p w14:paraId="2C725827">
      <w:pPr>
        <w:pStyle w:val="37"/>
        <w:adjustRightInd w:val="0"/>
        <w:spacing w:line="360" w:lineRule="auto"/>
        <w:ind w:firstLine="521" w:firstLineChars="237"/>
        <w:rPr>
          <w:rFonts w:hint="eastAsia" w:ascii="宋体" w:hAnsi="宋体" w:eastAsia="宋体" w:cs="宋体"/>
          <w:sz w:val="22"/>
          <w:szCs w:val="22"/>
        </w:rPr>
      </w:pPr>
      <w:r>
        <w:rPr>
          <w:rFonts w:hint="eastAsia" w:ascii="宋体" w:hAnsi="宋体" w:eastAsia="宋体" w:cs="宋体"/>
          <w:sz w:val="22"/>
          <w:szCs w:val="22"/>
        </w:rPr>
        <w:t>一、项目简介</w:t>
      </w:r>
    </w:p>
    <w:p w14:paraId="3FA462F7">
      <w:pPr>
        <w:snapToGrid w:val="0"/>
        <w:spacing w:line="360" w:lineRule="auto"/>
        <w:ind w:firstLine="590" w:firstLineChars="246"/>
        <w:rPr>
          <w:rFonts w:hint="eastAsia" w:ascii="宋体" w:hAnsi="宋体" w:eastAsia="宋体" w:cs="宋体"/>
          <w:bCs/>
          <w:sz w:val="22"/>
          <w:szCs w:val="22"/>
        </w:rPr>
      </w:pPr>
      <w:r>
        <w:rPr>
          <w:rFonts w:hint="eastAsia" w:ascii="宋体" w:hAnsi="宋体" w:eastAsia="宋体" w:cs="宋体"/>
          <w:sz w:val="24"/>
          <w:szCs w:val="24"/>
          <w:lang w:eastAsia="zh-CN"/>
        </w:rPr>
        <w:t>温州立民招标代理有限公司</w:t>
      </w:r>
      <w:r>
        <w:rPr>
          <w:rFonts w:hint="eastAsia" w:ascii="宋体" w:hAnsi="宋体" w:eastAsia="宋体" w:cs="宋体"/>
          <w:sz w:val="24"/>
          <w:szCs w:val="24"/>
        </w:rPr>
        <w:t>受</w:t>
      </w:r>
      <w:r>
        <w:rPr>
          <w:rFonts w:hint="eastAsia" w:ascii="宋体" w:hAnsi="宋体" w:eastAsia="宋体" w:cs="宋体"/>
          <w:sz w:val="24"/>
          <w:szCs w:val="24"/>
          <w:lang w:eastAsia="zh-CN"/>
        </w:rPr>
        <w:t>龙港市第五中学</w:t>
      </w:r>
      <w:r>
        <w:rPr>
          <w:rFonts w:hint="eastAsia" w:ascii="宋体" w:hAnsi="宋体" w:eastAsia="宋体" w:cs="宋体"/>
          <w:sz w:val="24"/>
          <w:szCs w:val="24"/>
        </w:rPr>
        <w:t>委托</w:t>
      </w:r>
      <w:r>
        <w:rPr>
          <w:rFonts w:hint="eastAsia" w:ascii="宋体" w:hAnsi="宋体" w:eastAsia="宋体" w:cs="宋体"/>
          <w:color w:val="000000"/>
          <w:sz w:val="24"/>
          <w:szCs w:val="24"/>
        </w:rPr>
        <w:t>，以</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rPr>
        <w:t>方式采购</w:t>
      </w:r>
      <w:r>
        <w:rPr>
          <w:rFonts w:hint="eastAsia" w:ascii="宋体" w:hAnsi="宋体" w:eastAsia="宋体" w:cs="宋体"/>
          <w:b/>
          <w:bCs/>
          <w:color w:val="000000"/>
          <w:sz w:val="24"/>
          <w:szCs w:val="24"/>
          <w:lang w:eastAsia="zh-CN"/>
        </w:rPr>
        <w:t>龙港市第五中学新建教学楼二次装修及智能化工程采购项目</w:t>
      </w:r>
      <w:r>
        <w:rPr>
          <w:rFonts w:hint="eastAsia" w:ascii="宋体" w:hAnsi="宋体" w:eastAsia="宋体" w:cs="宋体"/>
          <w:bCs/>
          <w:sz w:val="24"/>
          <w:szCs w:val="24"/>
        </w:rPr>
        <w:t>，</w:t>
      </w:r>
      <w:r>
        <w:rPr>
          <w:rFonts w:hint="eastAsia" w:ascii="宋体" w:hAnsi="宋体" w:eastAsia="宋体" w:cs="宋体"/>
          <w:sz w:val="24"/>
          <w:szCs w:val="24"/>
        </w:rPr>
        <w:t>本次招标资金已经落实。</w:t>
      </w:r>
    </w:p>
    <w:p w14:paraId="5B2DC181">
      <w:pPr>
        <w:snapToGrid w:val="0"/>
        <w:spacing w:line="360" w:lineRule="auto"/>
        <w:ind w:firstLine="590" w:firstLineChars="246"/>
        <w:rPr>
          <w:rFonts w:hint="eastAsia" w:ascii="宋体" w:hAnsi="宋体" w:eastAsia="宋体" w:cs="宋体"/>
          <w:sz w:val="24"/>
          <w:szCs w:val="24"/>
        </w:rPr>
      </w:pPr>
      <w:r>
        <w:rPr>
          <w:rFonts w:hint="eastAsia" w:ascii="宋体" w:hAnsi="宋体" w:eastAsia="宋体" w:cs="宋体"/>
          <w:sz w:val="24"/>
          <w:szCs w:val="24"/>
        </w:rPr>
        <w:t>我们热情欢迎有关公司（企业）前来进行投标。</w:t>
      </w:r>
    </w:p>
    <w:p w14:paraId="0CA18445">
      <w:pPr>
        <w:spacing w:line="288" w:lineRule="auto"/>
        <w:ind w:firstLine="482" w:firstLineChars="200"/>
        <w:outlineLvl w:val="1"/>
        <w:rPr>
          <w:rFonts w:hint="eastAsia" w:ascii="宋体" w:hAnsi="宋体" w:eastAsia="宋体" w:cs="宋体"/>
        </w:rPr>
      </w:pPr>
      <w:r>
        <w:rPr>
          <w:rFonts w:hint="eastAsia" w:ascii="宋体" w:hAnsi="宋体" w:eastAsia="宋体" w:cs="宋体"/>
          <w:b/>
          <w:sz w:val="24"/>
          <w:lang w:val="en-US" w:eastAsia="zh-CN"/>
        </w:rPr>
        <w:t>本项目</w:t>
      </w:r>
      <w:r>
        <w:rPr>
          <w:rFonts w:hint="eastAsia" w:ascii="宋体" w:hAnsi="宋体" w:eastAsia="宋体" w:cs="宋体"/>
          <w:b/>
          <w:sz w:val="24"/>
        </w:rPr>
        <w:t>为落实政府采购政策需满足的要求</w:t>
      </w:r>
    </w:p>
    <w:tbl>
      <w:tblPr>
        <w:tblStyle w:val="44"/>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3149"/>
        <w:gridCol w:w="5761"/>
      </w:tblGrid>
      <w:tr w14:paraId="31D9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8" w:type="dxa"/>
            <w:noWrap w:val="0"/>
            <w:vAlign w:val="center"/>
          </w:tcPr>
          <w:p w14:paraId="539A74EB">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3149" w:type="dxa"/>
            <w:noWrap w:val="0"/>
            <w:vAlign w:val="center"/>
          </w:tcPr>
          <w:p w14:paraId="3ECD6450">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政策名称</w:t>
            </w:r>
          </w:p>
        </w:tc>
        <w:tc>
          <w:tcPr>
            <w:tcW w:w="5761" w:type="dxa"/>
            <w:noWrap w:val="0"/>
            <w:vAlign w:val="center"/>
          </w:tcPr>
          <w:p w14:paraId="3486FD4C">
            <w:pPr>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内容</w:t>
            </w:r>
          </w:p>
        </w:tc>
      </w:tr>
      <w:tr w14:paraId="28E1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8" w:type="dxa"/>
            <w:noWrap w:val="0"/>
            <w:vAlign w:val="center"/>
          </w:tcPr>
          <w:p w14:paraId="6C07050B">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3149" w:type="dxa"/>
            <w:noWrap w:val="0"/>
            <w:vAlign w:val="center"/>
          </w:tcPr>
          <w:p w14:paraId="75F3406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政府采购促进中小企业发展</w:t>
            </w:r>
          </w:p>
        </w:tc>
        <w:tc>
          <w:tcPr>
            <w:tcW w:w="5761" w:type="dxa"/>
            <w:noWrap w:val="0"/>
            <w:vAlign w:val="center"/>
          </w:tcPr>
          <w:p w14:paraId="3213C58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提供材料详见</w:t>
            </w:r>
            <w:r>
              <w:rPr>
                <w:rFonts w:hint="eastAsia" w:ascii="宋体" w:hAnsi="宋体" w:eastAsia="宋体" w:cs="宋体"/>
                <w:sz w:val="22"/>
                <w:szCs w:val="22"/>
                <w:lang w:val="en-US" w:eastAsia="zh-CN"/>
              </w:rPr>
              <w:t>采购</w:t>
            </w:r>
            <w:r>
              <w:rPr>
                <w:rFonts w:hint="eastAsia" w:ascii="宋体" w:hAnsi="宋体" w:eastAsia="宋体" w:cs="宋体"/>
                <w:sz w:val="22"/>
                <w:szCs w:val="22"/>
              </w:rPr>
              <w:t xml:space="preserve">文件第五部分    </w:t>
            </w:r>
            <w:r>
              <w:rPr>
                <w:rFonts w:hint="eastAsia" w:ascii="宋体" w:hAnsi="宋体" w:eastAsia="宋体" w:cs="宋体"/>
                <w:sz w:val="22"/>
                <w:szCs w:val="22"/>
                <w:lang w:eastAsia="zh-CN"/>
              </w:rPr>
              <w:t>投标响应文件</w:t>
            </w:r>
            <w:r>
              <w:rPr>
                <w:rFonts w:hint="eastAsia" w:ascii="宋体" w:hAnsi="宋体" w:eastAsia="宋体" w:cs="宋体"/>
                <w:sz w:val="22"/>
                <w:szCs w:val="22"/>
              </w:rPr>
              <w:t>格式</w:t>
            </w:r>
          </w:p>
        </w:tc>
      </w:tr>
      <w:tr w14:paraId="79E5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8" w:type="dxa"/>
            <w:noWrap w:val="0"/>
            <w:vAlign w:val="center"/>
          </w:tcPr>
          <w:p w14:paraId="03521012">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3149" w:type="dxa"/>
            <w:noWrap w:val="0"/>
            <w:vAlign w:val="center"/>
          </w:tcPr>
          <w:p w14:paraId="2D3D263E">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政府采购支持监狱企业发展</w:t>
            </w:r>
          </w:p>
        </w:tc>
        <w:tc>
          <w:tcPr>
            <w:tcW w:w="5761" w:type="dxa"/>
            <w:noWrap w:val="0"/>
            <w:vAlign w:val="center"/>
          </w:tcPr>
          <w:p w14:paraId="42F7218E">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提供材料详见</w:t>
            </w:r>
            <w:r>
              <w:rPr>
                <w:rFonts w:hint="eastAsia" w:ascii="宋体" w:hAnsi="宋体" w:eastAsia="宋体" w:cs="宋体"/>
                <w:sz w:val="22"/>
                <w:szCs w:val="22"/>
                <w:lang w:val="en-US" w:eastAsia="zh-CN"/>
              </w:rPr>
              <w:t>采购</w:t>
            </w:r>
            <w:r>
              <w:rPr>
                <w:rFonts w:hint="eastAsia" w:ascii="宋体" w:hAnsi="宋体" w:eastAsia="宋体" w:cs="宋体"/>
                <w:sz w:val="22"/>
                <w:szCs w:val="22"/>
              </w:rPr>
              <w:t>文件</w:t>
            </w:r>
            <w:r>
              <w:rPr>
                <w:rFonts w:hint="eastAsia" w:ascii="宋体" w:hAnsi="宋体" w:eastAsia="宋体" w:cs="宋体"/>
                <w:bCs/>
                <w:sz w:val="22"/>
                <w:szCs w:val="22"/>
              </w:rPr>
              <w:t xml:space="preserve">第五部分    </w:t>
            </w:r>
            <w:r>
              <w:rPr>
                <w:rFonts w:hint="eastAsia" w:ascii="宋体" w:hAnsi="宋体" w:eastAsia="宋体" w:cs="宋体"/>
                <w:bCs/>
                <w:sz w:val="22"/>
                <w:szCs w:val="22"/>
                <w:lang w:eastAsia="zh-CN"/>
              </w:rPr>
              <w:t>投标响应文件</w:t>
            </w:r>
            <w:r>
              <w:rPr>
                <w:rFonts w:hint="eastAsia" w:ascii="宋体" w:hAnsi="宋体" w:eastAsia="宋体" w:cs="宋体"/>
                <w:bCs/>
                <w:sz w:val="22"/>
                <w:szCs w:val="22"/>
              </w:rPr>
              <w:t>格式</w:t>
            </w:r>
          </w:p>
        </w:tc>
      </w:tr>
      <w:tr w14:paraId="59E4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8" w:type="dxa"/>
            <w:noWrap w:val="0"/>
            <w:vAlign w:val="center"/>
          </w:tcPr>
          <w:p w14:paraId="546B76E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3149" w:type="dxa"/>
            <w:noWrap w:val="0"/>
            <w:vAlign w:val="center"/>
          </w:tcPr>
          <w:p w14:paraId="7E1D44B6">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政府采购促进残疾人就业</w:t>
            </w:r>
          </w:p>
        </w:tc>
        <w:tc>
          <w:tcPr>
            <w:tcW w:w="5761" w:type="dxa"/>
            <w:noWrap w:val="0"/>
            <w:vAlign w:val="center"/>
          </w:tcPr>
          <w:p w14:paraId="60C82896">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提供材料详见</w:t>
            </w:r>
            <w:r>
              <w:rPr>
                <w:rFonts w:hint="eastAsia" w:ascii="宋体" w:hAnsi="宋体" w:eastAsia="宋体" w:cs="宋体"/>
                <w:sz w:val="22"/>
                <w:szCs w:val="22"/>
                <w:lang w:val="en-US" w:eastAsia="zh-CN"/>
              </w:rPr>
              <w:t>采购</w:t>
            </w:r>
            <w:r>
              <w:rPr>
                <w:rFonts w:hint="eastAsia" w:ascii="宋体" w:hAnsi="宋体" w:eastAsia="宋体" w:cs="宋体"/>
                <w:sz w:val="22"/>
                <w:szCs w:val="22"/>
              </w:rPr>
              <w:t>文件</w:t>
            </w:r>
            <w:r>
              <w:rPr>
                <w:rFonts w:hint="eastAsia" w:ascii="宋体" w:hAnsi="宋体" w:eastAsia="宋体" w:cs="宋体"/>
                <w:bCs/>
                <w:sz w:val="22"/>
                <w:szCs w:val="22"/>
              </w:rPr>
              <w:t xml:space="preserve">第五部分    </w:t>
            </w:r>
            <w:r>
              <w:rPr>
                <w:rFonts w:hint="eastAsia" w:ascii="宋体" w:hAnsi="宋体" w:eastAsia="宋体" w:cs="宋体"/>
                <w:bCs/>
                <w:sz w:val="22"/>
                <w:szCs w:val="22"/>
                <w:lang w:eastAsia="zh-CN"/>
              </w:rPr>
              <w:t>投标响应文件</w:t>
            </w:r>
            <w:r>
              <w:rPr>
                <w:rFonts w:hint="eastAsia" w:ascii="宋体" w:hAnsi="宋体" w:eastAsia="宋体" w:cs="宋体"/>
                <w:bCs/>
                <w:sz w:val="22"/>
                <w:szCs w:val="22"/>
              </w:rPr>
              <w:t>格式</w:t>
            </w:r>
          </w:p>
        </w:tc>
      </w:tr>
      <w:tr w14:paraId="0FAE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8" w:type="dxa"/>
            <w:noWrap w:val="0"/>
            <w:vAlign w:val="center"/>
          </w:tcPr>
          <w:p w14:paraId="2798462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3149" w:type="dxa"/>
            <w:noWrap w:val="0"/>
            <w:vAlign w:val="center"/>
          </w:tcPr>
          <w:p w14:paraId="3743AB47">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政府强制采购节能产品</w:t>
            </w:r>
          </w:p>
        </w:tc>
        <w:tc>
          <w:tcPr>
            <w:tcW w:w="5761" w:type="dxa"/>
            <w:noWrap w:val="0"/>
            <w:vAlign w:val="center"/>
          </w:tcPr>
          <w:p w14:paraId="61BC5E07">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适用</w:t>
            </w:r>
          </w:p>
        </w:tc>
      </w:tr>
      <w:tr w14:paraId="63DF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8" w:type="dxa"/>
            <w:noWrap w:val="0"/>
            <w:vAlign w:val="center"/>
          </w:tcPr>
          <w:p w14:paraId="06F5262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5</w:t>
            </w:r>
          </w:p>
        </w:tc>
        <w:tc>
          <w:tcPr>
            <w:tcW w:w="3149" w:type="dxa"/>
            <w:noWrap w:val="0"/>
            <w:vAlign w:val="center"/>
          </w:tcPr>
          <w:p w14:paraId="36D20B1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政府优先采购节能、环保产品</w:t>
            </w:r>
          </w:p>
        </w:tc>
        <w:tc>
          <w:tcPr>
            <w:tcW w:w="5761" w:type="dxa"/>
            <w:noWrap w:val="0"/>
            <w:vAlign w:val="center"/>
          </w:tcPr>
          <w:p w14:paraId="1140A516">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适用</w:t>
            </w:r>
          </w:p>
        </w:tc>
      </w:tr>
      <w:tr w14:paraId="7111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8" w:type="dxa"/>
            <w:noWrap w:val="0"/>
            <w:vAlign w:val="center"/>
          </w:tcPr>
          <w:p w14:paraId="11FAB37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3149" w:type="dxa"/>
            <w:noWrap w:val="0"/>
            <w:vAlign w:val="center"/>
          </w:tcPr>
          <w:p w14:paraId="588CD86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政府采购进口产品</w:t>
            </w:r>
          </w:p>
        </w:tc>
        <w:tc>
          <w:tcPr>
            <w:tcW w:w="5761" w:type="dxa"/>
            <w:noWrap w:val="0"/>
            <w:vAlign w:val="center"/>
          </w:tcPr>
          <w:p w14:paraId="134937C4">
            <w:pPr>
              <w:spacing w:line="360" w:lineRule="auto"/>
              <w:jc w:val="center"/>
              <w:rPr>
                <w:rFonts w:hint="eastAsia" w:ascii="宋体" w:hAnsi="宋体" w:eastAsia="宋体" w:cs="宋体"/>
                <w:sz w:val="22"/>
                <w:szCs w:val="22"/>
              </w:rPr>
            </w:pPr>
            <w:r>
              <w:rPr>
                <w:rFonts w:hint="eastAsia" w:ascii="宋体" w:hAnsi="宋体" w:eastAsia="宋体" w:cs="宋体"/>
                <w:sz w:val="22"/>
                <w:szCs w:val="22"/>
              </w:rPr>
              <w:t>不适用</w:t>
            </w:r>
          </w:p>
        </w:tc>
      </w:tr>
    </w:tbl>
    <w:p w14:paraId="75620BBA">
      <w:pPr>
        <w:pStyle w:val="6"/>
        <w:rPr>
          <w:rFonts w:hint="eastAsia" w:ascii="宋体" w:hAnsi="宋体" w:eastAsia="宋体" w:cs="宋体"/>
        </w:rPr>
      </w:pPr>
    </w:p>
    <w:p w14:paraId="454D792C">
      <w:pPr>
        <w:autoSpaceDE w:val="0"/>
        <w:autoSpaceDN w:val="0"/>
        <w:adjustRightInd w:val="0"/>
        <w:spacing w:line="360" w:lineRule="auto"/>
        <w:jc w:val="center"/>
        <w:textAlignment w:val="bottom"/>
        <w:rPr>
          <w:rStyle w:val="56"/>
          <w:rFonts w:hint="eastAsia" w:ascii="宋体" w:hAnsi="宋体" w:eastAsia="宋体" w:cs="宋体"/>
          <w:b/>
          <w:bCs/>
          <w:spacing w:val="0"/>
          <w:szCs w:val="22"/>
        </w:rPr>
      </w:pPr>
      <w:bookmarkStart w:id="13" w:name="_Toc2649"/>
      <w:bookmarkStart w:id="14" w:name="_Toc6747"/>
      <w:bookmarkStart w:id="15" w:name="_Toc23504"/>
      <w:r>
        <w:rPr>
          <w:rStyle w:val="56"/>
          <w:rFonts w:hint="eastAsia" w:ascii="宋体" w:hAnsi="宋体" w:eastAsia="宋体" w:cs="宋体"/>
          <w:b/>
          <w:bCs/>
          <w:spacing w:val="0"/>
          <w:szCs w:val="22"/>
        </w:rPr>
        <w:t>第二部分   采购内容及技术要求</w:t>
      </w:r>
    </w:p>
    <w:bookmarkEnd w:id="13"/>
    <w:bookmarkEnd w:id="14"/>
    <w:bookmarkEnd w:id="15"/>
    <w:p w14:paraId="48C536B4">
      <w:pPr>
        <w:autoSpaceDE w:val="0"/>
        <w:autoSpaceDN w:val="0"/>
        <w:adjustRightInd w:val="0"/>
        <w:snapToGrid w:val="0"/>
        <w:spacing w:line="360" w:lineRule="auto"/>
        <w:rPr>
          <w:b/>
          <w:color w:val="auto"/>
          <w:sz w:val="22"/>
          <w:szCs w:val="22"/>
          <w:highlight w:val="none"/>
        </w:rPr>
      </w:pPr>
      <w:bookmarkStart w:id="16" w:name="_Toc526020078"/>
      <w:bookmarkStart w:id="17" w:name="_Toc493072529"/>
      <w:bookmarkStart w:id="18" w:name="_Toc20263"/>
      <w:bookmarkStart w:id="19" w:name="_Toc20158"/>
      <w:r>
        <w:rPr>
          <w:rFonts w:hint="eastAsia"/>
          <w:b/>
          <w:color w:val="auto"/>
          <w:sz w:val="22"/>
          <w:szCs w:val="22"/>
          <w:highlight w:val="none"/>
        </w:rPr>
        <w:t>一、采购总说明</w:t>
      </w:r>
    </w:p>
    <w:p w14:paraId="074697B6">
      <w:pPr>
        <w:spacing w:line="360" w:lineRule="auto"/>
        <w:ind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本技术规范要求提出的是最低限度的基本技术要求，并未对所有技术细节作出规定，供应商应提供符合本技术要求和国家标准、行业标准的优质</w:t>
      </w:r>
      <w:r>
        <w:rPr>
          <w:rFonts w:hint="eastAsia" w:ascii="宋体" w:hAnsi="宋体" w:eastAsia="宋体" w:cs="宋体"/>
          <w:color w:val="auto"/>
          <w:sz w:val="22"/>
          <w:szCs w:val="22"/>
          <w:highlight w:val="none"/>
          <w:lang w:eastAsia="zh-CN"/>
        </w:rPr>
        <w:t>工程</w:t>
      </w:r>
      <w:r>
        <w:rPr>
          <w:rFonts w:hint="eastAsia" w:ascii="宋体" w:hAnsi="宋体" w:eastAsia="宋体" w:cs="宋体"/>
          <w:color w:val="auto"/>
          <w:sz w:val="22"/>
          <w:szCs w:val="22"/>
          <w:highlight w:val="none"/>
        </w:rPr>
        <w:t>。</w:t>
      </w:r>
    </w:p>
    <w:p w14:paraId="75807C51">
      <w:pPr>
        <w:spacing w:line="360" w:lineRule="auto"/>
        <w:ind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2．技术要求及标准的执行</w:t>
      </w:r>
    </w:p>
    <w:p w14:paraId="16918B87">
      <w:pPr>
        <w:spacing w:line="360" w:lineRule="auto"/>
        <w:ind w:firstLine="418" w:firstLineChars="19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同一标准已颁发新标准，则按最新标准执行。若同一产品同时有几个标准（国际标准、国家标准、行业标准、企业标准等），则按最高层次的标准执行</w:t>
      </w:r>
      <w:r>
        <w:rPr>
          <w:rFonts w:hint="eastAsia" w:ascii="宋体" w:hAnsi="宋体" w:eastAsia="宋体" w:cs="宋体"/>
          <w:color w:val="auto"/>
          <w:sz w:val="22"/>
          <w:szCs w:val="22"/>
          <w:highlight w:val="none"/>
          <w:lang w:eastAsia="zh-CN"/>
        </w:rPr>
        <w:t>。</w:t>
      </w:r>
    </w:p>
    <w:p w14:paraId="2A430E3A">
      <w:pPr>
        <w:spacing w:line="360" w:lineRule="auto"/>
        <w:ind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以上规范和标准应以实施的最新版本为准。原有规范若已被废弃，则以相应的新规范为准。</w:t>
      </w:r>
    </w:p>
    <w:p w14:paraId="26B72E6C">
      <w:pPr>
        <w:ind w:firstLine="482" w:firstLineChars="200"/>
        <w:rPr>
          <w:rFonts w:hint="eastAsia"/>
          <w:b/>
          <w:bCs/>
          <w:sz w:val="24"/>
          <w:szCs w:val="21"/>
          <w:lang w:val="en-US" w:eastAsia="zh-CN"/>
        </w:rPr>
      </w:pPr>
    </w:p>
    <w:p w14:paraId="4C491F46">
      <w:pPr>
        <w:rPr>
          <w:rFonts w:hint="eastAsia"/>
          <w:b/>
          <w:bCs/>
          <w:sz w:val="24"/>
          <w:szCs w:val="21"/>
          <w:lang w:val="en-US" w:eastAsia="zh-CN"/>
        </w:rPr>
      </w:pPr>
      <w:r>
        <w:rPr>
          <w:rFonts w:hint="eastAsia"/>
          <w:b/>
          <w:bCs/>
          <w:sz w:val="24"/>
          <w:szCs w:val="21"/>
          <w:lang w:val="en-US" w:eastAsia="zh-CN"/>
        </w:rPr>
        <w:t>二、采购清单及技术参数</w:t>
      </w:r>
    </w:p>
    <w:p w14:paraId="4D51A588">
      <w:pPr>
        <w:spacing w:line="240" w:lineRule="auto"/>
        <w:jc w:val="center"/>
        <w:rPr>
          <w:rFonts w:hint="default"/>
          <w:lang w:val="en-US" w:eastAsia="zh-CN"/>
        </w:rPr>
      </w:pPr>
      <w:r>
        <w:rPr>
          <w:rFonts w:hint="eastAsia"/>
          <w:lang w:val="en-US" w:eastAsia="zh-CN"/>
        </w:rPr>
        <w:t>智能化部分</w:t>
      </w:r>
    </w:p>
    <w:tbl>
      <w:tblPr>
        <w:tblStyle w:val="44"/>
        <w:tblW w:w="10088"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445"/>
        <w:gridCol w:w="6325"/>
        <w:gridCol w:w="668"/>
        <w:gridCol w:w="1050"/>
      </w:tblGrid>
      <w:tr w14:paraId="0848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71DA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8D94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63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66FE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E6F3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计量</w:t>
            </w:r>
          </w:p>
          <w:p w14:paraId="19B4FCE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5705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r>
      <w:tr w14:paraId="071C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97F92">
            <w:pPr>
              <w:spacing w:line="240" w:lineRule="auto"/>
              <w:jc w:val="center"/>
              <w:rPr>
                <w:rFonts w:hint="eastAsia" w:ascii="宋体" w:hAnsi="宋体" w:eastAsia="宋体" w:cs="宋体"/>
                <w:i w:val="0"/>
                <w:iCs w:val="0"/>
                <w:color w:val="auto"/>
                <w:sz w:val="18"/>
                <w:szCs w:val="18"/>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9FA3C">
            <w:pPr>
              <w:spacing w:line="240" w:lineRule="auto"/>
              <w:jc w:val="center"/>
              <w:rPr>
                <w:rFonts w:hint="eastAsia" w:ascii="宋体" w:hAnsi="宋体" w:eastAsia="宋体" w:cs="宋体"/>
                <w:i w:val="0"/>
                <w:iCs w:val="0"/>
                <w:color w:val="auto"/>
                <w:sz w:val="18"/>
                <w:szCs w:val="18"/>
                <w:u w:val="none"/>
              </w:rPr>
            </w:pPr>
          </w:p>
        </w:tc>
        <w:tc>
          <w:tcPr>
            <w:tcW w:w="63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978C8">
            <w:pPr>
              <w:spacing w:line="240" w:lineRule="auto"/>
              <w:jc w:val="center"/>
              <w:rPr>
                <w:rFonts w:hint="eastAsia" w:ascii="宋体" w:hAnsi="宋体" w:eastAsia="宋体" w:cs="宋体"/>
                <w:i w:val="0"/>
                <w:iCs w:val="0"/>
                <w:color w:val="auto"/>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E9358">
            <w:pPr>
              <w:spacing w:line="240" w:lineRule="auto"/>
              <w:jc w:val="center"/>
              <w:rPr>
                <w:rFonts w:hint="eastAsia" w:ascii="宋体" w:hAnsi="宋体" w:eastAsia="宋体" w:cs="宋体"/>
                <w:i w:val="0"/>
                <w:iCs w:val="0"/>
                <w:color w:val="auto"/>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0A567">
            <w:pPr>
              <w:spacing w:line="240" w:lineRule="auto"/>
              <w:jc w:val="center"/>
              <w:rPr>
                <w:rFonts w:hint="eastAsia" w:ascii="宋体" w:hAnsi="宋体" w:eastAsia="宋体" w:cs="宋体"/>
                <w:i w:val="0"/>
                <w:iCs w:val="0"/>
                <w:color w:val="auto"/>
                <w:sz w:val="18"/>
                <w:szCs w:val="18"/>
                <w:u w:val="none"/>
              </w:rPr>
            </w:pPr>
          </w:p>
        </w:tc>
      </w:tr>
      <w:tr w14:paraId="6DD3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2F21F">
            <w:pPr>
              <w:spacing w:line="240" w:lineRule="auto"/>
              <w:jc w:val="center"/>
              <w:rPr>
                <w:rFonts w:hint="eastAsia" w:ascii="宋体" w:hAnsi="宋体" w:eastAsia="宋体" w:cs="宋体"/>
                <w:i w:val="0"/>
                <w:iCs w:val="0"/>
                <w:color w:val="auto"/>
                <w:sz w:val="18"/>
                <w:szCs w:val="18"/>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35EA6">
            <w:pPr>
              <w:spacing w:line="240" w:lineRule="auto"/>
              <w:jc w:val="center"/>
              <w:rPr>
                <w:rFonts w:hint="eastAsia" w:ascii="宋体" w:hAnsi="宋体" w:eastAsia="宋体" w:cs="宋体"/>
                <w:i w:val="0"/>
                <w:iCs w:val="0"/>
                <w:color w:val="auto"/>
                <w:sz w:val="18"/>
                <w:szCs w:val="18"/>
                <w:u w:val="none"/>
              </w:rPr>
            </w:pPr>
          </w:p>
        </w:tc>
        <w:tc>
          <w:tcPr>
            <w:tcW w:w="63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D3E30">
            <w:pPr>
              <w:spacing w:line="240" w:lineRule="auto"/>
              <w:jc w:val="center"/>
              <w:rPr>
                <w:rFonts w:hint="eastAsia" w:ascii="宋体" w:hAnsi="宋体" w:eastAsia="宋体" w:cs="宋体"/>
                <w:i w:val="0"/>
                <w:iCs w:val="0"/>
                <w:color w:val="auto"/>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83209">
            <w:pPr>
              <w:spacing w:line="240" w:lineRule="auto"/>
              <w:jc w:val="center"/>
              <w:rPr>
                <w:rFonts w:hint="eastAsia" w:ascii="宋体" w:hAnsi="宋体" w:eastAsia="宋体" w:cs="宋体"/>
                <w:i w:val="0"/>
                <w:iCs w:val="0"/>
                <w:color w:val="auto"/>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81049">
            <w:pPr>
              <w:spacing w:line="240" w:lineRule="auto"/>
              <w:jc w:val="center"/>
              <w:rPr>
                <w:rFonts w:hint="eastAsia" w:ascii="宋体" w:hAnsi="宋体" w:eastAsia="宋体" w:cs="宋体"/>
                <w:i w:val="0"/>
                <w:iCs w:val="0"/>
                <w:color w:val="auto"/>
                <w:sz w:val="18"/>
                <w:szCs w:val="18"/>
                <w:u w:val="none"/>
              </w:rPr>
            </w:pPr>
          </w:p>
        </w:tc>
      </w:tr>
      <w:tr w14:paraId="5D21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D7572">
            <w:pPr>
              <w:spacing w:line="240" w:lineRule="auto"/>
              <w:jc w:val="center"/>
              <w:rPr>
                <w:rFonts w:hint="eastAsia" w:ascii="宋体" w:hAnsi="宋体" w:eastAsia="宋体" w:cs="宋体"/>
                <w:i w:val="0"/>
                <w:iCs w:val="0"/>
                <w:color w:val="auto"/>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2D57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综合布线系统</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25283">
            <w:pPr>
              <w:spacing w:line="240" w:lineRule="auto"/>
              <w:jc w:val="left"/>
              <w:rPr>
                <w:rFonts w:hint="eastAsia" w:ascii="宋体" w:hAnsi="宋体" w:eastAsia="宋体" w:cs="宋体"/>
                <w:i w:val="0"/>
                <w:iCs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82718">
            <w:pPr>
              <w:spacing w:line="240" w:lineRule="auto"/>
              <w:jc w:val="center"/>
              <w:rPr>
                <w:rFonts w:hint="eastAsia" w:ascii="宋体" w:hAnsi="宋体" w:eastAsia="宋体" w:cs="宋体"/>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57A13">
            <w:pPr>
              <w:spacing w:line="240" w:lineRule="auto"/>
              <w:jc w:val="center"/>
              <w:rPr>
                <w:rFonts w:hint="eastAsia" w:ascii="宋体" w:hAnsi="宋体" w:eastAsia="宋体" w:cs="宋体"/>
                <w:i w:val="0"/>
                <w:iCs w:val="0"/>
                <w:color w:val="auto"/>
                <w:sz w:val="18"/>
                <w:szCs w:val="18"/>
                <w:u w:val="none"/>
              </w:rPr>
            </w:pPr>
          </w:p>
        </w:tc>
      </w:tr>
      <w:tr w14:paraId="1752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6A948">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0E55F">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信息插座</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93F23">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地插面板 额定电压250v，额定电流10A，不锈钢材质，尺寸120mm*120mm</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0878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314A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w:t>
            </w:r>
          </w:p>
        </w:tc>
      </w:tr>
      <w:tr w14:paraId="1702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89D4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CBAC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信息插座</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8D0F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双口面板</w:t>
            </w:r>
          </w:p>
          <w:p w14:paraId="5EC8008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1、信息插座与面板采用90度安装方式</w:t>
            </w:r>
          </w:p>
          <w:p w14:paraId="2F8AFDB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2、组合式结构，前后双层面板设计，外形美观，避免固定螺丝孔外露</w:t>
            </w:r>
          </w:p>
          <w:p w14:paraId="6F4ACEC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端口带弹簧式自动回弹防尘门设计，防止灰尘等异物侵入</w:t>
            </w:r>
          </w:p>
          <w:p w14:paraId="67518AA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带有标识纸和标识盖，方便维护和使用</w:t>
            </w:r>
          </w:p>
          <w:p w14:paraId="21D373D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规格：双口</w:t>
            </w:r>
          </w:p>
          <w:p w14:paraId="0B70BA8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面板尺寸：高度:86×宽度:86mm</w:t>
            </w:r>
          </w:p>
          <w:p w14:paraId="0CBB253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颜色：白色</w:t>
            </w:r>
          </w:p>
          <w:p w14:paraId="4BC1061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材料：ABS</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4735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6028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w:t>
            </w:r>
          </w:p>
        </w:tc>
      </w:tr>
      <w:tr w14:paraId="48BA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75EF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2A55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信息插座</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5A42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单口面板TO</w:t>
            </w:r>
          </w:p>
          <w:p w14:paraId="070AC15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1、信息插座与面板采用90度安装方式</w:t>
            </w:r>
          </w:p>
          <w:p w14:paraId="3A47B4E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2、组合式结构，前后双层面板设计，外形美观，避免固定螺丝孔外露</w:t>
            </w:r>
          </w:p>
          <w:p w14:paraId="71F4462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端口带弹簧式自动回弹防尘门设计，防止灰尘等异物侵入</w:t>
            </w:r>
          </w:p>
          <w:p w14:paraId="67B774E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带有标识纸和标识盖，方便维护和使用</w:t>
            </w:r>
          </w:p>
          <w:p w14:paraId="6896715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规格：单口</w:t>
            </w:r>
          </w:p>
          <w:p w14:paraId="0E9C298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面板尺寸：高度:86×宽度:86mm</w:t>
            </w:r>
          </w:p>
          <w:p w14:paraId="32C15A2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颜色：白色</w:t>
            </w:r>
          </w:p>
          <w:p w14:paraId="19E5F06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材料：ABS</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F8EF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D013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r>
      <w:tr w14:paraId="6F70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F4FA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5DE9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信息插座</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FC17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单口面板TV</w:t>
            </w:r>
          </w:p>
          <w:p w14:paraId="6088218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1、信息插座与面板采用90度安装方式</w:t>
            </w:r>
          </w:p>
          <w:p w14:paraId="3FEB4D8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2、组合式结构，前后双层面板设计，外形美观，避免固定螺丝孔外露</w:t>
            </w:r>
          </w:p>
          <w:p w14:paraId="53589D2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端口带弹簧式自动回弹防尘门设计，防止灰尘等异物侵入</w:t>
            </w:r>
          </w:p>
          <w:p w14:paraId="5639033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带有标识纸和标识盖，方便维护和使用</w:t>
            </w:r>
          </w:p>
          <w:p w14:paraId="69320F4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规格：单口</w:t>
            </w:r>
          </w:p>
          <w:p w14:paraId="0A63354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面板尺寸：高度:86×宽度:86mm</w:t>
            </w:r>
          </w:p>
          <w:p w14:paraId="1C0EAF0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颜色：白色</w:t>
            </w:r>
          </w:p>
          <w:p w14:paraId="33F32E2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材料：ABS</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B0E5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53A9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r>
      <w:tr w14:paraId="0FCC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C6E8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1BE3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信息插座</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0825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六类非屏蔽寻址模块</w:t>
            </w:r>
          </w:p>
          <w:p w14:paraId="6414C06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1、标准：YD/T 926.3，ISO/IEC 11801:2008；ANSI/TIA-568-C.2</w:t>
            </w:r>
          </w:p>
          <w:p w14:paraId="60C01E1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2、带寻址功能的信息插座模块，LED灯前置，发光后显而易见</w:t>
            </w:r>
          </w:p>
          <w:p w14:paraId="56E4EC7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LED灯有可靠的电路保护，闪烁寿命上万次，性能可靠安全，即使LED灯被恶意破坏，也不会影响链路的正常使用和六类的性能</w:t>
            </w:r>
          </w:p>
          <w:p w14:paraId="36ACC40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3、IDC：磷青铜，45°</w:t>
            </w:r>
          </w:p>
          <w:p w14:paraId="668FD58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金针：磷青铜表面镀金，异形的金针空间排列，有效提升近端串音余量</w:t>
            </w:r>
          </w:p>
          <w:p w14:paraId="742EFE3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防尘盖：透明PC材料-89159</w:t>
            </w:r>
          </w:p>
          <w:p w14:paraId="500D0B1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插头与插座插合次数：≥1000次</w:t>
            </w:r>
          </w:p>
          <w:p w14:paraId="5079471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导线端接次数：≥250次</w:t>
            </w:r>
          </w:p>
          <w:p w14:paraId="7BA4509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打线方式： T568A/T568B</w:t>
            </w:r>
          </w:p>
          <w:p w14:paraId="4736542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IDC与金针方向：180度</w:t>
            </w:r>
          </w:p>
          <w:p w14:paraId="6936DFB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卡接导体规格：单股、0.5mm～0.65mm、24AWG~22AWG</w:t>
            </w:r>
          </w:p>
          <w:p w14:paraId="3CBBF19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最高传输频率：250MHz</w:t>
            </w:r>
          </w:p>
          <w:p w14:paraId="0F4BF77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额定电流：0.75A</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1C7C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7FE6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330</w:t>
            </w:r>
          </w:p>
        </w:tc>
      </w:tr>
      <w:tr w14:paraId="52FE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B618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012C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D82B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24位六类非屏蔽插座寻址配线架</w:t>
            </w:r>
          </w:p>
          <w:p w14:paraId="64973C4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1、标准：YD/T 926.3，ISO/IEC 11801，ANSI/TIA - 568-C.2 </w:t>
            </w:r>
          </w:p>
          <w:p w14:paraId="43FC671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2、标准19英寸机架式安装，高度：1U， 端口数量：24口，采用模块化设计，便于安装和维护</w:t>
            </w:r>
          </w:p>
          <w:p w14:paraId="670B855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采用全塑料面板，金属底板结构，外形美观，机械强度高</w:t>
            </w:r>
          </w:p>
          <w:p w14:paraId="7AA77C3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后端自带线缆管理单元，采用双爪式免工具设计，便于安装和拆卸</w:t>
            </w:r>
          </w:p>
          <w:p w14:paraId="72C67CB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端口带弹簧式防尘门，防止灰尘等异物侵入，防尘门呈半透明，防止误插</w:t>
            </w:r>
          </w:p>
          <w:p w14:paraId="5FC9BB3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带寻址功能的信息插座模块，LED灯前置，发光后显而易见</w:t>
            </w:r>
          </w:p>
          <w:p w14:paraId="761388C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LED灯有可靠的电路保护，闪烁寿命上万次，性能可靠安全，即使LED灯被恶意破坏，也不会影响链路的正常使用和六类的性能</w:t>
            </w:r>
          </w:p>
          <w:p w14:paraId="7466875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标识管理：自带标识纸和标识盖，标识盖带指扣方便拆卸，端口带序号标识</w:t>
            </w:r>
          </w:p>
          <w:p w14:paraId="7972E48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阻燃级别：V-0</w:t>
            </w:r>
          </w:p>
          <w:p w14:paraId="40A0BB5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3、IDC：磷青铜</w:t>
            </w:r>
          </w:p>
          <w:p w14:paraId="4E716BA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金针：磷青铜表面镀金</w:t>
            </w:r>
          </w:p>
          <w:p w14:paraId="290A3AF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线缆保护盖：PC 材料</w:t>
            </w:r>
          </w:p>
          <w:p w14:paraId="33662F5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进线方式：180°进线，IDC：45°</w:t>
            </w:r>
          </w:p>
          <w:p w14:paraId="7AA3108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卡接导体规格：单股、0.5mm～0.65mm、24AWG~22AWG-89159</w:t>
            </w:r>
          </w:p>
          <w:p w14:paraId="3E9D02F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打线方式：T568A/T568B</w:t>
            </w:r>
          </w:p>
          <w:p w14:paraId="0AE4F0A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插头与插座插合次数：≥1000次</w:t>
            </w:r>
          </w:p>
          <w:p w14:paraId="50CB5D3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导线端接次数：≥250次</w:t>
            </w:r>
          </w:p>
          <w:p w14:paraId="5DA9464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最高传输频率：250MHz</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A3D1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C9F2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r>
      <w:tr w14:paraId="0CF6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1784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6776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跳线架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F407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110型配线架 </w:t>
            </w:r>
          </w:p>
          <w:p w14:paraId="0A1E09C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1、符合标准：YD/T 926.3，ISO/IEC 11801，ANSI/TIA - 568-C.2</w:t>
            </w:r>
          </w:p>
          <w:p w14:paraId="6897640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2、标准19英寸机架式安装，高度：1U</w:t>
            </w:r>
          </w:p>
          <w:p w14:paraId="7CB0BCD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规格：100对</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DD7E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C40B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14:paraId="7659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0545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956B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跳线架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005B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110型配线架</w:t>
            </w:r>
          </w:p>
          <w:p w14:paraId="3285253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1、符合标准：YD/T 926.3，ISO/IEC 11801，ANSI/TIA - 568-C.2</w:t>
            </w:r>
          </w:p>
          <w:p w14:paraId="7CC9B1F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2、标准19英寸机架式安装，高度：1U</w:t>
            </w:r>
          </w:p>
          <w:p w14:paraId="24F02D5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规格：50对</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ACD7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F49D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83A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DCE2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2E8A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跳线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8ADA8">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六类网络跳线3米</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E274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D8E2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330</w:t>
            </w:r>
          </w:p>
        </w:tc>
      </w:tr>
      <w:tr w14:paraId="5F80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BF47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A83F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跳线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AFCB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RJ11跳线 3米，110-RJ45</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DDBC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E055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r>
      <w:tr w14:paraId="452F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C95E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6075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双绞线缆</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D606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Cat6-4PrUTP（低烟无卤）</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8D40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72D9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10076.60</w:t>
            </w:r>
          </w:p>
        </w:tc>
      </w:tr>
      <w:tr w14:paraId="42D9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77AB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CC75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C2D9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穿照明线 BVR2.5</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D9BB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4B0E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375.00</w:t>
            </w:r>
          </w:p>
        </w:tc>
      </w:tr>
      <w:tr w14:paraId="2EF0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3A48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CD1E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ACD2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二芯单芯导线截面（mm2以内）RVV-2*1.0</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BB6B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B64C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250.00</w:t>
            </w:r>
          </w:p>
        </w:tc>
      </w:tr>
      <w:tr w14:paraId="6A441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2191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C24E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E683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二芯单芯导线截面（mm2以内）RVV-2*1.5</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F15D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04CE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890.00</w:t>
            </w:r>
          </w:p>
        </w:tc>
      </w:tr>
      <w:tr w14:paraId="6692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5911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3E468">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4E2D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室外广播音响线FS-RVS2*2.5</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998E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5B584">
            <w:pPr>
              <w:spacing w:line="240" w:lineRule="auto"/>
              <w:jc w:val="center"/>
              <w:rPr>
                <w:rFonts w:hint="eastAsia" w:ascii="宋体" w:hAnsi="宋体" w:eastAsia="宋体" w:cs="宋体"/>
                <w:i w:val="0"/>
                <w:iCs w:val="0"/>
                <w:color w:val="auto"/>
                <w:sz w:val="18"/>
                <w:szCs w:val="18"/>
                <w:u w:val="none"/>
              </w:rPr>
            </w:pPr>
          </w:p>
        </w:tc>
      </w:tr>
      <w:tr w14:paraId="7E07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2F70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31DB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大对数电缆</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E825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三类25对大对数电缆</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480E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9E4C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r>
      <w:tr w14:paraId="416F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3DCF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618D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光缆</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C78A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光缆 桥架（线槽）内布放 8芯单模光缆（含连接老楼光缆）</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6DAA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58F6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310.00</w:t>
            </w:r>
          </w:p>
        </w:tc>
      </w:tr>
      <w:tr w14:paraId="1AD9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7D57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C0AC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光缆</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A7BB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光缆 桥架（线槽）内布放 2芯皮线光缆</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7EE7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3BDF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1100.00</w:t>
            </w:r>
          </w:p>
        </w:tc>
      </w:tr>
      <w:tr w14:paraId="6C13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FDE9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974B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光缆</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5423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光缆 桥架（线槽）内布放 4芯单模光纤</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96CE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C1DE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55.00</w:t>
            </w:r>
          </w:p>
        </w:tc>
      </w:tr>
      <w:tr w14:paraId="3AE9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2871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0AB08">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8930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24口光纤配线架(含8口LC型安装面板)</w:t>
            </w:r>
          </w:p>
          <w:p w14:paraId="74D18B3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1、标准：YD/T778，ISO/IEC 11801，ANSI/TIA -568-C.3</w:t>
            </w:r>
          </w:p>
          <w:p w14:paraId="3EA25C7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2、安装方式：19″机架式安装</w:t>
            </w:r>
          </w:p>
          <w:p w14:paraId="544EC36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2个光纤熔接盘，4个光缆进线口，4个固定PG头，4个光缆护套固定装置，4个光缆加强件固定装置</w:t>
            </w:r>
          </w:p>
          <w:p w14:paraId="788E102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通用型设计，可兼容：LC双工、SC单工、FC、ST适配器，一个4口支架仅需一颗螺丝，便于安装和拆卸</w:t>
            </w:r>
          </w:p>
          <w:p w14:paraId="1542D7A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进出光纤方便灵活，有充裕的光纤盘存空间，光纤和尾纤弯曲半径不小于30mm</w:t>
            </w:r>
          </w:p>
          <w:p w14:paraId="2187524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端口数量：24口，空余端口可安装空白功能件（标配），安装LC双工、SC单工耦合器时安装支架的空隙可安装封堵功能件（标配）</w:t>
            </w:r>
          </w:p>
          <w:p w14:paraId="34E0A02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表面处理：静电喷塑</w:t>
            </w:r>
          </w:p>
          <w:p w14:paraId="7936EC5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材料：优质冷轧钢板</w:t>
            </w:r>
          </w:p>
          <w:p w14:paraId="09BC2E4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表面颜色：黑色-89159</w:t>
            </w:r>
          </w:p>
          <w:p w14:paraId="6AE918C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高度1U</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8FE9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0686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6F21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A107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303A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跳线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8EBC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3米跳纤LC-LC</w:t>
            </w:r>
          </w:p>
          <w:p w14:paraId="0EE7E02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1、标准：YD/T1272，ISO/IEC 11801，ANSI/TIA-568-C.3，光缆：IEC60332-1-2，IEC61034-2，IEC60754-1、IEC60754-2</w:t>
            </w:r>
          </w:p>
          <w:p w14:paraId="1DA75AA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2、高质量陶瓷插芯，插入损耗低，耐久性好</w:t>
            </w:r>
          </w:p>
          <w:p w14:paraId="4C518E0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重复性，互换性，光学特性稳定</w:t>
            </w:r>
          </w:p>
          <w:p w14:paraId="2139234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光纤类型与护套颜色：单模：G.657.A2（B6a2）黄色</w:t>
            </w:r>
          </w:p>
          <w:p w14:paraId="5BCCF5E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加强材料：芳纶纱</w:t>
            </w:r>
          </w:p>
          <w:p w14:paraId="41A97E4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光缆芯数与护套外径：SC-SC双芯：2.0×4.0mm（“8字形”）</w:t>
            </w:r>
          </w:p>
          <w:p w14:paraId="7889820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紧包与护套材料：LSZH</w:t>
            </w:r>
          </w:p>
          <w:p w14:paraId="3D13A3B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插针体端面结构：UPC</w:t>
            </w:r>
          </w:p>
          <w:p w14:paraId="79842CD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插入损耗（含重复性）：≤0.2dB</w:t>
            </w:r>
          </w:p>
          <w:p w14:paraId="62BBEB0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互换性：≤0.2dB</w:t>
            </w:r>
          </w:p>
          <w:p w14:paraId="137321D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回波损耗：单模：≥50dB</w:t>
            </w:r>
          </w:p>
          <w:p w14:paraId="53B85AA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重复性≥1000次</w:t>
            </w:r>
          </w:p>
          <w:p w14:paraId="62242EF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长度：3米</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7AA4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126F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r>
      <w:tr w14:paraId="78BB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0E6D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5DB2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布放尾纤</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D37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尾纤</w:t>
            </w:r>
          </w:p>
          <w:p w14:paraId="007ECA2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1、标准：YD/T1272，ISO/IEC 11801，ANSI/TIA-568-C.3，光缆：IEC60332-1-2，IEC61034-2，IEC60754-1、IEC60754-2</w:t>
            </w:r>
          </w:p>
          <w:p w14:paraId="62E4206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2、高质量陶瓷插芯，插入损耗低，耐久性好</w:t>
            </w:r>
          </w:p>
          <w:p w14:paraId="1D5CEC9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重复性，互换性，光学特性稳定</w:t>
            </w:r>
          </w:p>
          <w:p w14:paraId="0171BBA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光纤类型：单模：G.657.A2（B6a2）黄色</w:t>
            </w:r>
          </w:p>
          <w:p w14:paraId="6CD860E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光缆芯数与护套外径：SC单芯：2.0mm</w:t>
            </w:r>
          </w:p>
          <w:p w14:paraId="0FE84F8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紧包与护套材料：LSZH</w:t>
            </w:r>
          </w:p>
          <w:p w14:paraId="54CB1E4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插头接触方式：UPC</w:t>
            </w:r>
          </w:p>
          <w:p w14:paraId="6C05511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插入损耗（含重复性）：≤0.2dB</w:t>
            </w:r>
          </w:p>
          <w:p w14:paraId="296FCEC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互换性：≤0.2dB</w:t>
            </w:r>
          </w:p>
          <w:p w14:paraId="7119584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回波损耗：单模：≥50dB</w:t>
            </w:r>
          </w:p>
          <w:p w14:paraId="683C521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重复性≥1000次</w:t>
            </w:r>
          </w:p>
          <w:p w14:paraId="5E876A7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长度：1米</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1E5B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E71F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r>
      <w:tr w14:paraId="55DA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D9BC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B43B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机柜、机架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C6C1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15U机柜，含8插位防雷PDU</w:t>
            </w:r>
          </w:p>
          <w:p w14:paraId="59FED45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1.符合标准QNSI/EIQ RS-310-D,IEC297-2,DIN41491:PART1,DIN41491:PART7,GB/T3047.2-97ZN</w:t>
            </w:r>
          </w:p>
          <w:p w14:paraId="1E2EA63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2.型号：Q2.6642100</w:t>
            </w:r>
          </w:p>
          <w:p w14:paraId="7265D1D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3.尺寸大小：600*450*780MM</w:t>
            </w:r>
          </w:p>
          <w:p w14:paraId="39E0E0D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4.机柜容量：15U</w:t>
            </w:r>
          </w:p>
          <w:p w14:paraId="4BCE193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5.颜色：黑色</w:t>
            </w:r>
          </w:p>
          <w:p w14:paraId="6014F21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6.材料：优质冷轧钢板；机柜结构：拼装式机柜机架</w:t>
            </w:r>
          </w:p>
          <w:p w14:paraId="1BC906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7.前面：单开玻璃门，后门：单开钢板门，机柜侧板：两块侧板可拆卸</w:t>
            </w:r>
          </w:p>
          <w:p w14:paraId="48FE0D0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8.规格厚度：19英寸角规2.0，框架1.2，其他1.2</w:t>
            </w:r>
          </w:p>
          <w:p w14:paraId="4A8A24C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9.负载：动态 ≤600；静态≤1000</w:t>
            </w:r>
          </w:p>
          <w:p w14:paraId="53EE1C2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10.表面脱脂、磷化、静电喷塑处理，19英寸角规镀锌</w:t>
            </w:r>
          </w:p>
          <w:p w14:paraId="030A46E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11.最大开启角度：＞180度，防护等级：IP20</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910B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4B21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31F3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BC9D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09C6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机柜、机架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6F95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42U机柜，含8插位防雷PDU</w:t>
            </w:r>
          </w:p>
          <w:p w14:paraId="26D5740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1.符合标准QNSI/EIQ RS-310-D,IEC297-2,DIN41491:PART1,DIN41491:PART7,GB/T3047.2-97ZN</w:t>
            </w:r>
          </w:p>
          <w:p w14:paraId="337D64A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2.型号：Q2.6642100</w:t>
            </w:r>
          </w:p>
          <w:p w14:paraId="42DDB7A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3.尺寸大小：宽600mm*深600mm*高2000mm</w:t>
            </w:r>
          </w:p>
          <w:p w14:paraId="5E8E95F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4.机柜容量：42U</w:t>
            </w:r>
          </w:p>
          <w:p w14:paraId="1641355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5.颜色：黑色</w:t>
            </w:r>
          </w:p>
          <w:p w14:paraId="368BC3F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6.材料：优质冷轧钢板；机柜结构：拼装式机柜机架</w:t>
            </w:r>
          </w:p>
          <w:p w14:paraId="054CBA4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7.前面：单开玻璃门，后门：单开钢板门，机柜侧板：两块侧板可拆卸</w:t>
            </w:r>
          </w:p>
          <w:p w14:paraId="70CADEC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8.规格厚度：19英寸角规2.0，框架1.2，其他1.2</w:t>
            </w:r>
          </w:p>
          <w:p w14:paraId="123EB12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9.负载：动态 ≤600；静态≤1000</w:t>
            </w:r>
          </w:p>
          <w:p w14:paraId="250C5F2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10.表面脱脂、磷化、静电喷塑处理，19英寸角规镀锌</w:t>
            </w:r>
          </w:p>
          <w:p w14:paraId="7AC6431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11.最大开启角度：＞180度，防护等级：IP20</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A0EF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05F3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14:paraId="5C10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3B37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AE52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机柜、机架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CCCE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服务器机柜，含8插位防雷PDU</w:t>
            </w:r>
          </w:p>
          <w:p w14:paraId="47E7708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1.符合标准QNSI/EIQ RS-310-D，IEC297-2，DIN41491：PART1，DIN41491：PART7，GB/T3047.2-97ZN</w:t>
            </w:r>
          </w:p>
          <w:p w14:paraId="011983B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2.机柜容量：42U</w:t>
            </w:r>
          </w:p>
          <w:p w14:paraId="7046C97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3.颜色：黑色</w:t>
            </w:r>
          </w:p>
          <w:p w14:paraId="42205DD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4.材料：优质冷轧钢板；机柜结构：拼装式机柜机架</w:t>
            </w:r>
          </w:p>
          <w:p w14:paraId="4F0A3CF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5.前面：单开玻璃门，后门：单开钢板门，机柜侧板：两块侧板可拆卸</w:t>
            </w:r>
          </w:p>
          <w:p w14:paraId="619FE6D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6.规格厚度：19英寸角规2.0，框架1.2，其他1.2</w:t>
            </w:r>
          </w:p>
          <w:p w14:paraId="690213B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7.负载：动态 ≤600；静态≤1000</w:t>
            </w:r>
          </w:p>
          <w:p w14:paraId="443D8C0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8.表面脱脂、磷化、静电喷塑处理，19英寸角规镀锌</w:t>
            </w:r>
          </w:p>
          <w:p w14:paraId="25C8120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9.最大开启角度：＞180度，防护等级：IP20</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539F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B357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63F5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F050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86F9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分线接线箱（盒）</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22EC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多媒体接线箱300*200*100 ，配防雷3插位插排</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9301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014C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r>
      <w:tr w14:paraId="4FA3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7D1D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EE36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双绞线缆测试</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36648">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测试 4对双绞线缆</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E249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链路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5293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330</w:t>
            </w:r>
          </w:p>
        </w:tc>
      </w:tr>
      <w:tr w14:paraId="67BB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B98B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AF57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双绞线缆测试</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25EA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测试 大对数线缆（对）</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637C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B370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r>
      <w:tr w14:paraId="4D16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3D2F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EEEC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光纤测试</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3222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测试 光纤</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2C22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链路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83C0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r>
      <w:tr w14:paraId="6555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C367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1C11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光纤连接</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1828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光纤连接熔接法单模</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56D4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芯</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28A7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r>
      <w:tr w14:paraId="58F6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A39FD">
            <w:pPr>
              <w:spacing w:line="240" w:lineRule="auto"/>
              <w:jc w:val="center"/>
              <w:rPr>
                <w:rFonts w:hint="eastAsia" w:ascii="宋体" w:hAnsi="宋体" w:eastAsia="宋体" w:cs="宋体"/>
                <w:i w:val="0"/>
                <w:iCs w:val="0"/>
                <w:color w:val="auto"/>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0AC7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计算机网络系统</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7C373">
            <w:pPr>
              <w:spacing w:line="240" w:lineRule="auto"/>
              <w:jc w:val="left"/>
              <w:rPr>
                <w:rFonts w:hint="eastAsia" w:ascii="宋体" w:hAnsi="宋体" w:eastAsia="宋体" w:cs="宋体"/>
                <w:i w:val="0"/>
                <w:iCs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0C8D4">
            <w:pPr>
              <w:spacing w:line="240" w:lineRule="auto"/>
              <w:jc w:val="center"/>
              <w:rPr>
                <w:rFonts w:hint="eastAsia" w:ascii="宋体" w:hAnsi="宋体" w:eastAsia="宋体" w:cs="宋体"/>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14012">
            <w:pPr>
              <w:spacing w:line="240" w:lineRule="auto"/>
              <w:jc w:val="center"/>
              <w:rPr>
                <w:rFonts w:hint="eastAsia" w:ascii="宋体" w:hAnsi="宋体" w:eastAsia="宋体" w:cs="宋体"/>
                <w:i w:val="0"/>
                <w:iCs w:val="0"/>
                <w:color w:val="auto"/>
                <w:sz w:val="18"/>
                <w:szCs w:val="18"/>
                <w:u w:val="none"/>
              </w:rPr>
            </w:pPr>
          </w:p>
        </w:tc>
      </w:tr>
      <w:tr w14:paraId="4C0C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5020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83AC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D55B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24SFP汇聚交换机</w:t>
            </w:r>
          </w:p>
          <w:p w14:paraId="05B4B7A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1、交换容量≥670Gbps， 转发性能≥216Mpps，以官网最小值为准，提供官网截图和链接证明。</w:t>
            </w:r>
          </w:p>
          <w:p w14:paraId="2529526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2、固化千兆光端口≥24个，1G/10G SFP+光接口≥4个；支持双模块化电源，单电源功率≥70W，实现1+1冗余，供官网截图和链接证明。</w:t>
            </w:r>
          </w:p>
          <w:p w14:paraId="3E1FA2F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★3、保证设备在受到外界机械碰撞时能够正常运行，所投交换机IK防护测试级别至少达到IK05；</w:t>
            </w:r>
          </w:p>
          <w:p w14:paraId="1148242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4、求所投产品端口浪涌抗扰度≥10KV，即具备10KV的防雷能力；提供官网截图和链接证明。</w:t>
            </w:r>
          </w:p>
          <w:p w14:paraId="0A7E505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5、持静态路由、RIP/RIPng、OSPFv2/OSPFv3等三层路由协议；</w:t>
            </w:r>
          </w:p>
          <w:p w14:paraId="5BF523D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6、CPU保护功能，能限制非法报文对CPU的攻击，保护交换机在各种环境下稳定工作；</w:t>
            </w:r>
          </w:p>
          <w:p w14:paraId="2196A4D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7、专门基础网络保护机制，能够限制用户向网络中发送数据包的速率，对有攻击行为的用户进行隔离，保证设备和整网的安全稳定运行；</w:t>
            </w:r>
          </w:p>
          <w:p w14:paraId="6EBFAEF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8、快速以太网链路检测协议，可快速检测链路的通断和光纤链路的单向性，并支持端口下的环路检测功能；提供官网截图和链接证明。</w:t>
            </w:r>
          </w:p>
          <w:p w14:paraId="1596DC3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9、虚拟化功能，可将多台物理设备虚拟化为一台逻辑设备统一管理，并且链路故障的收敛时间最快50ms；</w:t>
            </w:r>
          </w:p>
          <w:p w14:paraId="319F788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10、合云管平台支持基于网关的网络拓扑自动发现，并以图形化形式呈现；支持基于云的工具箱功能（配置下发、配置备份、配置恢复、命令调试、访问eWeb、访问Telnet、访问SSH、重启、设备升级）；告警可以通过微信公众号，邮件；微信，企业钉钉发送提醒。</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6CA7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AF8A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0E79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7E05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4CAE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DABF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48口交换机</w:t>
            </w:r>
          </w:p>
          <w:p w14:paraId="6CD6BA8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1、交换容量≥336Gbps，包转发率≥144Mpps</w:t>
            </w:r>
          </w:p>
          <w:p w14:paraId="769E720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2、固化10/100/1000M以太网电口≥48，1000M/2.5G SFP千兆光接口≥4个，提供官网截图和链接证明。</w:t>
            </w:r>
          </w:p>
          <w:p w14:paraId="0481C94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3、支持4K 802.1Q VLAN，支持基于端口VLAN，支持Voice VLAN。</w:t>
            </w:r>
          </w:p>
          <w:p w14:paraId="22F10D2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4、要求所投产品防雷能力≥10KV，提供官网截图和链接证明。</w:t>
            </w:r>
          </w:p>
          <w:p w14:paraId="344D703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5、支持IP v4/v6静态路由协议。</w:t>
            </w:r>
          </w:p>
          <w:p w14:paraId="2F665D7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基础网络保护策略，能够限制用户向网络中发送ARP报文、ICMP请求报文、DHCP请求报文等数据包的数率，对超过限速阈值的报文进行丢弃处理，甚至能够识别攻击行为，对有攻击行为的用户进行隔离，提供官网截图和链接证明。</w:t>
            </w:r>
          </w:p>
          <w:p w14:paraId="46AA7A6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要求支持高效节能以太网特性。端口如果在连续一段时间之内空闲，系统会将该端口设置为节能模式，当有报文收发时再通过定时发送的监听码流唤醒端口恢复业务，达到节能的效果，整机最大功耗≤40W，提供官网截图和链接证明</w:t>
            </w:r>
          </w:p>
          <w:p w14:paraId="6D1BF32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★8、支持快速以太网链路检测协议，可快速检测链路的通断和光纤链路的单向性，并支持端口下的环路检测功能，防止端口下因私接Hub等设备形成的环路而导致网络故障的现象，提供官网截图和链接证明。</w:t>
            </w:r>
          </w:p>
          <w:p w14:paraId="38AACD5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9、支持SNMP、CLI(Telnet/Console)、Syslog、NTP、TFTP、Web。</w:t>
            </w:r>
          </w:p>
          <w:p w14:paraId="5EC17DC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10、设备自带云管理功能且实配，即插即用，可随时查看网络健康度，告警及时推送，有日记事件供回溯。</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49D9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7020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14:paraId="306E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7193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5EA6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7B49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24口交换机</w:t>
            </w:r>
          </w:p>
          <w:p w14:paraId="77A7271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1、交换容量≥335Gbps，转发性能≥125Mpps（以官网最小值为准)，提供官网截图和链接证明。</w:t>
            </w:r>
          </w:p>
          <w:p w14:paraId="3B9DB32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2、固化10/100/1000M以太网端口≥24个， 1G SFP光接口≥4个。</w:t>
            </w:r>
          </w:p>
          <w:p w14:paraId="321D393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3、支持IPv4和IPv6的静态路由。</w:t>
            </w:r>
          </w:p>
          <w:p w14:paraId="2125472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4、支持高效节能以太网（EEE），端口如果在连续一段时间之内空闲，系统会将该端口设置为节能模式，当有报文收发时再通过定时发送的监听码流唤醒端口恢复业务，达到节能的效果。</w:t>
            </w:r>
          </w:p>
          <w:p w14:paraId="3DFE1F9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5、支持CPU保护功能，支持VSU虚拟化技术。</w:t>
            </w:r>
          </w:p>
          <w:p w14:paraId="20104AF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★6、支持专门基础网络保护机制，能够限制用户向网络中发送数据包的速率，对有攻击行为的用户进行隔离，保证设备和整网的安全稳定运行。</w:t>
            </w:r>
          </w:p>
          <w:p w14:paraId="5649A7B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7、支持SNMP、CLI(Telnet/Console)、Syslog、NTP、TFTP、Web。</w:t>
            </w:r>
          </w:p>
          <w:p w14:paraId="1987EAF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8、提供工信部设备进网许可证。</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B4A0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3DEC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6C98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191C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2700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0FB6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接入层24口POE交换机</w:t>
            </w:r>
          </w:p>
          <w:p w14:paraId="4834A8C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1、交换容量≥335Gbps，转发性能≥125Mpps（以官网最小值为准)，提供官网截图和链接证明。</w:t>
            </w:r>
          </w:p>
          <w:p w14:paraId="79820C9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2、固化10/100/1000M以太网端口≥24个，1G SFP端口≥4个。≥24个电口支持POE和POE+远程供电，整机POE功率输出≥370W。</w:t>
            </w:r>
          </w:p>
          <w:p w14:paraId="1A8D933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★3、投标产品自带查看PoE供电状态功能的PoE，轻按即可查看设备当前的通信状态和供电状态。</w:t>
            </w:r>
          </w:p>
          <w:p w14:paraId="605BFD7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4、支持IPv4和IPv6的静态路由。</w:t>
            </w:r>
          </w:p>
          <w:p w14:paraId="3486986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5、支持高效节能以太网（EEE），端口如果在连续一段时间之内空闲，系统会将该端口设置为节能模式，当有报文收发时再通过定时发送的监听码流唤醒端口恢复业务，达到节能的效果。</w:t>
            </w:r>
          </w:p>
          <w:p w14:paraId="4227F9D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6、支持CPU保护功能，支持VSU虚拟化技术。</w:t>
            </w:r>
          </w:p>
          <w:p w14:paraId="714C716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★7、支持网络保护机制，能够限制用户向网络中发送数据包的速率，对有攻击行为的用户进行隔离，保证设备和整网的安全稳定运行。</w:t>
            </w:r>
          </w:p>
          <w:p w14:paraId="60FBA6B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8、支持SNMP、CLI(Telnet/Console)、Syslog、NTP、TFTP、Web。</w:t>
            </w:r>
          </w:p>
          <w:p w14:paraId="2C5259F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9、提供工信部设备进网许可证。</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18C2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BF85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14:paraId="4A38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20BE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8D45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路由器</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C2EC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吸顶无线AP</w:t>
            </w:r>
          </w:p>
          <w:p w14:paraId="02E26BA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1、支持802.11ax协议；整机支持≥4条空间流；整机最大无线速率≥2.97Gbps。提供官网截图和链接证明。</w:t>
            </w:r>
          </w:p>
          <w:p w14:paraId="5BFAB0F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2、由于AP部署在开放环境中，为保障设备受到外部机械碰撞仍可以保持结构完整、功能完备，至少达到防护等级IK08，提供第三方测试报告</w:t>
            </w:r>
          </w:p>
          <w:p w14:paraId="7F18943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3、内置蓝牙5.1。提供官网截图和链接证明。</w:t>
            </w:r>
          </w:p>
          <w:p w14:paraId="1AFE70C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4、至少支持1个1000M自适应以太网端口；至少支持1个2.5G SFP光口；提供官网截图和链接证明。</w:t>
            </w:r>
          </w:p>
          <w:p w14:paraId="779B41D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5、支持边缘智能感知（RIPT），支持终端智能识别技术</w:t>
            </w:r>
          </w:p>
          <w:p w14:paraId="0DDF0A3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★6、整机最大功耗≥12.95W</w:t>
            </w:r>
          </w:p>
          <w:p w14:paraId="3EECD16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★7、支持基础网络保护策略，限制用户向网络中发送ARP报文、ICMP请求报文、DHCP请求报文的数率，对超过限速阈值的报文进行丢弃处理，能够识别攻击行为，对有攻击行为的用户进行隔离，提供官网截图</w:t>
            </w:r>
          </w:p>
          <w:p w14:paraId="5C4F77E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8、实配管理平台，支持时间胶囊功能，分析设备版本及配置变更历史，便于故障回溯；能够对比配置的差异点。要求提供产品功能截图。</w:t>
            </w:r>
          </w:p>
          <w:p w14:paraId="4C7D696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要求产品提供用户终端全局体验图，可基于时段进行体验覆盖评估，以终端无线参数指标来评估终端的业务体验，分为：优质，良好，有点卡，上线难四类，该评估非应用识别，而是通过机器学习的算法计算当前网络状况是否适合这类应用，提供产品功能截图。</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C274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93C1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r>
      <w:tr w14:paraId="3FBC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A7C8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7C3C8">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路由器</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6741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蜂窝无线AP</w:t>
            </w:r>
          </w:p>
          <w:p w14:paraId="6E2F2EA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★1、支持802.11ax标准，采用三射频设计，整机空间流≥８条，整机最大无线速率≥7.775Gbps，提供官网截图和链接证明。</w:t>
            </w:r>
          </w:p>
          <w:p w14:paraId="15618B4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2、至少支持1个1G以太网接口、1个5G光电复用口。提供官网截图和链接证明。</w:t>
            </w:r>
          </w:p>
          <w:p w14:paraId="5F2178B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3、持内置蓝牙5.1。提供官网截图和链接证明。</w:t>
            </w:r>
          </w:p>
          <w:p w14:paraId="6EA8F90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4、AP部署在开放环境中，为保障设备受到外部机械碰撞仍可以保持结构完整、功能完备，要求所投室内无线接入点符合国标GB/T 20138-2006即《电器设备外壳对外界机械碰撞的防护等级（IK代码）》标准，至少达到防护等级IK08。</w:t>
            </w:r>
          </w:p>
          <w:p w14:paraId="3DCBE65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★5、于AP部署在高空环境，难以时常清洁，为保障设备堆积灰尘仍可以正常运行，要求所投无线接入点符合国标GB/T 4208-2017即《外壳防护等级（IP代码）》，至少达到防护等级IP51。</w:t>
            </w:r>
          </w:p>
          <w:p w14:paraId="460767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6、最大接入用户数≥1552。</w:t>
            </w:r>
          </w:p>
          <w:p w14:paraId="691D28B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7、支持Fat/Fit模式切换。当工作在Fit（瘦）模式时，可通过AC系列无线控制器切换为Fat模式；当工作在Fat（胖）模式时，可通过本地控制口、Telnet方式切换为Fit模式。</w:t>
            </w:r>
          </w:p>
          <w:p w14:paraId="6BA7049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8、为保证无线网络安全，支持PSK认证、Web认证、微信认证、二维码访客认证、短信认证、无感知认证等认证方式；支持WEP（64/128位）、WPA（TKIP）、WPA-PSK、WPA2（AES）、WPA3等数据加密方式。</w:t>
            </w:r>
          </w:p>
          <w:p w14:paraId="3B1B8D5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9、支持IPsec VPN，支持通过Telnet、TFTP、Web管理。</w:t>
            </w:r>
          </w:p>
          <w:p w14:paraId="4D5CFB6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10、支持非法AP检测及反制。支持数据帧过滤功能，支持白名单、静态黑名单、动态黑名单。</w:t>
            </w:r>
          </w:p>
          <w:p w14:paraId="71DD014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11、为保证无线网络运行稳定，需要提供网优工具分析网络运行情况。网优工具支持设备稳定度、信号覆盖度、关联稳定度、在线体验、网络饱和度、用户活跃度查询功能。</w:t>
            </w:r>
          </w:p>
          <w:p w14:paraId="6199341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产品提供用户终端全局体验图，可基于时段进行体验覆盖评估，以终端无线参数指标来评估终端的业务体验，分为：优质，良好，有点卡，上线难四类，该评估非应用识别，而是通过机器学习的算法计算当前网络状况是否适合这类应用，提供产品功能截图。</w:t>
            </w:r>
          </w:p>
          <w:p w14:paraId="7E13A27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13、平台提供一键优化功能，支持办公室，室外、宿舍、高密会议等常见场景优化方案，支持按AP组网优，为确保整体方案成熟可靠。要求提供软件后台项目记录截图。</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8B04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22CB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352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6346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91F7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接口卡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C0CC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千兆光模块 千兆10km光模块</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B30B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E6CD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14:paraId="4F52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EE6D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4B3E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接口卡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647A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万兆光模块 万兆10公里光模块</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D600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8110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4962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6378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2877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C073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AC管理器</w:t>
            </w:r>
          </w:p>
          <w:p w14:paraId="272C55B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★1、支持5口千兆，其中1个千兆WAN口，4个千兆LAN口；支持PoE，PoE供电总功率≤56W；支持1个USB扩展槽，要求提供官网截图证明。</w:t>
            </w:r>
          </w:p>
          <w:p w14:paraId="14CDE81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2、可支持本地转发和集中转发</w:t>
            </w:r>
          </w:p>
          <w:p w14:paraId="1628110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3、支持管理64个AP授权。</w:t>
            </w:r>
          </w:p>
          <w:p w14:paraId="52E0E65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4、支持5G用户优先接入，无线射频定时开关</w:t>
            </w:r>
          </w:p>
          <w:p w14:paraId="6CAC59B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5、支持静态路由功能。</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A23F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4806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65D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D2A27">
            <w:pPr>
              <w:spacing w:line="240" w:lineRule="auto"/>
              <w:jc w:val="center"/>
              <w:rPr>
                <w:rFonts w:hint="eastAsia" w:ascii="宋体" w:hAnsi="宋体" w:eastAsia="宋体" w:cs="宋体"/>
                <w:i w:val="0"/>
                <w:iCs w:val="0"/>
                <w:color w:val="auto"/>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B568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安防监控系统</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F4E64">
            <w:pPr>
              <w:spacing w:line="240" w:lineRule="auto"/>
              <w:jc w:val="left"/>
              <w:rPr>
                <w:rFonts w:hint="eastAsia" w:ascii="宋体" w:hAnsi="宋体" w:eastAsia="宋体" w:cs="宋体"/>
                <w:i w:val="0"/>
                <w:iCs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9BBEB">
            <w:pPr>
              <w:spacing w:line="240" w:lineRule="auto"/>
              <w:jc w:val="center"/>
              <w:rPr>
                <w:rFonts w:hint="eastAsia" w:ascii="宋体" w:hAnsi="宋体" w:eastAsia="宋体" w:cs="宋体"/>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D7AE8">
            <w:pPr>
              <w:spacing w:line="240" w:lineRule="auto"/>
              <w:jc w:val="center"/>
              <w:rPr>
                <w:rFonts w:hint="eastAsia" w:ascii="宋体" w:hAnsi="宋体" w:eastAsia="宋体" w:cs="宋体"/>
                <w:i w:val="0"/>
                <w:iCs w:val="0"/>
                <w:color w:val="auto"/>
                <w:sz w:val="18"/>
                <w:szCs w:val="18"/>
                <w:u w:val="none"/>
              </w:rPr>
            </w:pPr>
          </w:p>
        </w:tc>
      </w:tr>
      <w:tr w14:paraId="7DA1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F7BD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0011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监控摄像设备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F79A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200万筒型摄像机；</w:t>
            </w:r>
          </w:p>
          <w:p w14:paraId="1D0B08B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具有200万像素 CMOS传感器；</w:t>
            </w:r>
          </w:p>
          <w:p w14:paraId="59803E3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最低照度彩色不大于0.005 lx，黑白不大于0.0005 lx。（检验报告证明）</w:t>
            </w:r>
          </w:p>
          <w:p w14:paraId="363923C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1个内置麦克风；</w:t>
            </w:r>
          </w:p>
          <w:p w14:paraId="06C4DE3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动态范围不小于106dB；</w:t>
            </w:r>
          </w:p>
          <w:p w14:paraId="4A68CF6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信噪比不小于62dB；</w:t>
            </w:r>
          </w:p>
          <w:p w14:paraId="71EA05A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需支持IP67防尘防水；</w:t>
            </w:r>
          </w:p>
          <w:p w14:paraId="3DEBE83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需支持DC12V供电，且在不小于DC12V±30%范围内变化时可以正常工作；</w:t>
            </w:r>
          </w:p>
          <w:p w14:paraId="28600C2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需支持POE供电；</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95CC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9C97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r>
      <w:tr w14:paraId="46EF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2B52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0FDE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监控摄像设备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895F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200万臻全彩筒型网络摄像机；</w:t>
            </w:r>
          </w:p>
          <w:p w14:paraId="3E81E26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具有200万像素 CMOS传感器；</w:t>
            </w:r>
          </w:p>
          <w:p w14:paraId="0F3B74D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最低照度彩色不大于0.0005 lx。</w:t>
            </w:r>
          </w:p>
          <w:p w14:paraId="7DE5DA3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内置暖白光补光灯。</w:t>
            </w:r>
          </w:p>
          <w:p w14:paraId="6741B12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1个内置麦克风；</w:t>
            </w:r>
          </w:p>
          <w:p w14:paraId="3E8A803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补光距离不小于60米；</w:t>
            </w:r>
          </w:p>
          <w:p w14:paraId="64B04E8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动态范围不小于106dB；</w:t>
            </w:r>
          </w:p>
          <w:p w14:paraId="44961EC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信噪比不小于62dB；</w:t>
            </w:r>
          </w:p>
          <w:p w14:paraId="3059767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需支持IP67防尘防水；</w:t>
            </w:r>
          </w:p>
          <w:p w14:paraId="1BD7CE4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需支持DC12V供电，且在不小于DC12V±30%范围内变化时可以正常工作；</w:t>
            </w:r>
          </w:p>
          <w:p w14:paraId="3978C2B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需支持POE供电；</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9470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DB7F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14:paraId="04D3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A8FB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6676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录像设备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35FF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1、3U机架式16盘位嵌入式网络硬盘录像机，采用短机箱设计，搭载高性能ATX电源；</w:t>
            </w:r>
          </w:p>
          <w:p w14:paraId="73BA1F9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2、存储接口：16个SATA接口，已内置16块8TB硬盘，总容量128TB；视频接口：2×HDMI，2×VGA；网络接口：2×RJ45 10/100/1000Mbps自适应以太网口；报警接口：16路报警输入，9路报警输出（其中第9路支持CTRL 12V）；反向供电：1路DC12V 1A；串行接口：1路RS-232接口，1路半双工RS-485接口；USB接口：2×USB 2.0，2×USB 3.0；</w:t>
            </w:r>
          </w:p>
          <w:p w14:paraId="1D15FC2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3、输入带宽：320Mbps；输出带宽：256Mbps；接入能力：64路H.264、H.265格式高清码流接入；解码能力：最大支持12×1080P；显示能力：最大支持4K+1080P异源输出；</w:t>
            </w:r>
          </w:p>
          <w:p w14:paraId="2A7DF90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4、★可接入 1T、2T、3T、4T、6T、8T、10T、12TB、14TB、16TB、18TB、20TB 容量的 SATA接口硬盘；可接入 AI 硬盘； 支持不同品牌、不同转速的监控级和企业级硬盘混合接入。</w:t>
            </w:r>
          </w:p>
          <w:p w14:paraId="24ECD8A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5、★支持接入具有专家模式的移动侦测的摄像机，移动侦测报警能够区分是人、车还是其它目标产生，可录像和记录报警信息。</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3803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6404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55E3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0F2D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A421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录像设备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2439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1、2U机架式8盘位嵌入式网络硬盘录像机，采用短机箱设计，搭载高性能ATX电源；</w:t>
            </w:r>
          </w:p>
          <w:p w14:paraId="41FC765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2、存储接口：8个SATA接口，已内置8块4TB硬盘，总容量32TB；视频接口：2×HDMI，2×VGA；网络接口：2×RJ45 10/100/1000Mbps自适应以太网口；报警接口：16路报警输入，4路报警输出；串行接口：1路RS-232接口，1路半双工RS-485接口；USB接口：2×USB 2.0，1×USB 3.0；</w:t>
            </w:r>
          </w:p>
          <w:p w14:paraId="433EE3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3、输入带宽：256Mbps；输出带宽：160Mbps；接入能力：32路H.264、H.265格式高清码流接入；解码能力：最大支持12×1080P；显示能力：最大支持4K+1080P异源输出；</w:t>
            </w:r>
          </w:p>
          <w:p w14:paraId="6E0D072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4、具有存储安全保障功能，当存储压力过高或硬盘出现性能不足时，可优先录像业务存储。（以检测报告为准）</w:t>
            </w:r>
          </w:p>
          <w:p w14:paraId="73D878E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最大可接入32路支持高空抛物行为检测的IPC，可联动录像、抓图、蜂鸣报警、预置点、邮件、本地报警输出、IPC报警输出以及日志记录；支持按通道、日期对高空抛物行为进行录像检索，以及关联录像回放，并导出图片。（以检测报告为准）</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175B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8AC5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26BD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4587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715C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输入设备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1DEE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8T硬盘</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66F9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5086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r>
      <w:tr w14:paraId="59B1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8BB2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ACBC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输入设备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DBD0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4T硬盘</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50A5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03DC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5787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96CF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F269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安全防范分系统调试</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0396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安全防范分系统调试</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19A1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60B6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6EC1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2B66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E02B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安全防范系统工程试运行</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A181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安全防范系统工程试运行</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44B2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15EC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6BD4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D718E">
            <w:pPr>
              <w:spacing w:line="240" w:lineRule="auto"/>
              <w:jc w:val="center"/>
              <w:rPr>
                <w:rFonts w:hint="eastAsia" w:ascii="宋体" w:hAnsi="宋体" w:eastAsia="宋体" w:cs="宋体"/>
                <w:i w:val="0"/>
                <w:iCs w:val="0"/>
                <w:color w:val="auto"/>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C457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校园广播系统</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B0F13">
            <w:pPr>
              <w:spacing w:line="240" w:lineRule="auto"/>
              <w:jc w:val="left"/>
              <w:rPr>
                <w:rFonts w:hint="eastAsia" w:ascii="宋体" w:hAnsi="宋体" w:eastAsia="宋体" w:cs="宋体"/>
                <w:i w:val="0"/>
                <w:iCs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8050E">
            <w:pPr>
              <w:spacing w:line="240" w:lineRule="auto"/>
              <w:jc w:val="center"/>
              <w:rPr>
                <w:rFonts w:hint="eastAsia" w:ascii="宋体" w:hAnsi="宋体" w:eastAsia="宋体" w:cs="宋体"/>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B4ECB">
            <w:pPr>
              <w:spacing w:line="240" w:lineRule="auto"/>
              <w:jc w:val="center"/>
              <w:rPr>
                <w:rFonts w:hint="eastAsia" w:ascii="宋体" w:hAnsi="宋体" w:eastAsia="宋体" w:cs="宋体"/>
                <w:i w:val="0"/>
                <w:iCs w:val="0"/>
                <w:color w:val="auto"/>
                <w:sz w:val="18"/>
                <w:szCs w:val="18"/>
                <w:u w:val="none"/>
              </w:rPr>
            </w:pPr>
          </w:p>
        </w:tc>
      </w:tr>
      <w:tr w14:paraId="7A42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232B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152D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网络服务器</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77B9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1、工业级机柜式机箱设计；</w:t>
            </w:r>
          </w:p>
          <w:p w14:paraId="4BBA998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2、≥17.3英寸LED液晶显示屏，内置5线工业加固触摸屏；</w:t>
            </w:r>
          </w:p>
          <w:p w14:paraId="1E9BD5A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3、服务器芯片组X99平台，四核至强E5 CPU，处理速度更快；</w:t>
            </w:r>
          </w:p>
          <w:p w14:paraId="0202444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4、内置大容量SSD固态硬盘；</w:t>
            </w:r>
          </w:p>
          <w:p w14:paraId="0027775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5、支持4路声卡，支持双显卡，可外接最大FullHD显示设备；</w:t>
            </w:r>
          </w:p>
          <w:p w14:paraId="200C1C8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6、具有一路短路触发开机运行接口，用于定时驱动开机运行，实现无人值守功能；</w:t>
            </w:r>
          </w:p>
          <w:p w14:paraId="1415AF9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7、支持DHCP，兼容路由器、交换机、网桥网关、Modem、Intelnet、2G、3G、4G、组播、单播等任意网络结构。</w:t>
            </w:r>
          </w:p>
          <w:p w14:paraId="5433843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技术参数：</w:t>
            </w:r>
          </w:p>
          <w:p w14:paraId="0FAF81D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1、屏幕尺寸：≥17.3英寸</w:t>
            </w:r>
          </w:p>
          <w:p w14:paraId="3CF7D0B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2、屏幕颜色：TFT24位真彩色</w:t>
            </w:r>
          </w:p>
          <w:p w14:paraId="7D648EF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3、操控方式：1920×1080分辨率液晶电阻式（五线）触摸屏</w:t>
            </w:r>
          </w:p>
          <w:p w14:paraId="160BF07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4、标准接口：≥2个RJ45接口，≥6个USB2.0，≥2个USB3.0，≥1个串口，≥1组PS/2接口，≥6个音频接口</w:t>
            </w:r>
          </w:p>
          <w:p w14:paraId="165E930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5、支持协议：TCP/IP,UDP,IGMP，FTP，ICMP,ARP,支持跨网关跨路由配置</w:t>
            </w:r>
          </w:p>
          <w:p w14:paraId="781503B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6、主板：服务器芯片组X99平台</w:t>
            </w:r>
          </w:p>
          <w:p w14:paraId="5BB1AD2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7、内存：≥8GB DDR4</w:t>
            </w:r>
          </w:p>
          <w:p w14:paraId="0F7D8F1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8、网卡：REALTEK集成网卡</w:t>
            </w:r>
          </w:p>
          <w:p w14:paraId="49145FD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9、显卡：INTEL集成显卡</w:t>
            </w:r>
          </w:p>
          <w:p w14:paraId="79831EE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10、声卡：REALTEK集成声卡，支持2/4/5.1声道输出，高清音频</w:t>
            </w:r>
          </w:p>
          <w:p w14:paraId="12814F5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11、CPU：不低于四核至强E5 CPU</w:t>
            </w:r>
          </w:p>
          <w:p w14:paraId="09DCFA3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12、存储容量：SSD固态硬盘</w:t>
            </w:r>
          </w:p>
          <w:p w14:paraId="1C52C20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13、传输速率：100/1000Mbps</w:t>
            </w:r>
          </w:p>
          <w:p w14:paraId="3049208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14、音频模式：网络数据包，CD音质</w:t>
            </w:r>
          </w:p>
          <w:p w14:paraId="010F850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15、工作温度：-20℃～+60℃</w:t>
            </w:r>
          </w:p>
          <w:p w14:paraId="2E653B8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16、工作湿度：10%～90%</w:t>
            </w:r>
          </w:p>
          <w:p w14:paraId="2C66658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17、功耗：≤300W</w:t>
            </w:r>
          </w:p>
          <w:p w14:paraId="6B81366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18、电源：AC110～240V/50Hz                                                                  </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D846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078A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0D1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D9DD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FAA2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C71E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IP广播系统软件</w:t>
            </w:r>
          </w:p>
          <w:p w14:paraId="3DDD48B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1、统一管理系统内所有音频终端，包括寻呼话筒、对讲终端、广播终端和消防接口设备，实时显示音频终端的IP地址、在线状态、任务状态、音量等运行状态。</w:t>
            </w:r>
          </w:p>
          <w:p w14:paraId="0D6714F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2、支撑各音频终端的运行，负责音频流传输管理，响应各音频终端播放请求和音频全双工交换，支持CS架构，可实现终端管理、用户管理、节目播放管理、音频文件管理、录音存贮、内部通讯调度处理等功能。</w:t>
            </w:r>
          </w:p>
          <w:p w14:paraId="33246BA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3、管理节目库资源，为所有音频终端器提供定时播放和实时点播媒体服务，响应各终端的节目播放请求，为各音频工作站提供数据接口服务。</w:t>
            </w:r>
          </w:p>
          <w:p w14:paraId="5335744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4、提供全双工语音数据交换，响应各对讲终端的呼叫和通话请求，支持一键呼叫、一键对讲、一键求助、一键报警等通话模式，支持自动接听、手动接听，支持自定义接听提示音。</w:t>
            </w:r>
          </w:p>
          <w:p w14:paraId="226B17D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14:paraId="3F4C4FC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6、支持终端短路输入联动触发，可任意设置联动触发方案和触发终端数量，触发方案包括短路输出、音乐播放等。</w:t>
            </w:r>
          </w:p>
          <w:p w14:paraId="6E33FDA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7、编程定时任务，支持编程多套定时方案，支持选择任意终端和设置任意时间；支持定时任务执行测试、设置重复周期。支持定时任务多种音源选择（音乐播放、声卡采集、终端采集）。</w:t>
            </w:r>
          </w:p>
          <w:p w14:paraId="74A6A93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8、支持多套定时打铃方案同时启用，每套定时打铃方案支持多套任务同时进行，支持一键启用/停用所有方案。</w:t>
            </w:r>
          </w:p>
          <w:p w14:paraId="59CEEFA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9、支持定时打铃功能，支持打铃方案克隆，任务执行与停止控制、定时任务禁用与启用功能。</w:t>
            </w:r>
          </w:p>
          <w:p w14:paraId="2E20256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10、支持定时打铃方案管理方式切换，其中包括：无切换模式、按日期切换模式、按星期切换模式、多任务同时运行模式。</w:t>
            </w:r>
          </w:p>
          <w:p w14:paraId="6B661F9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11、支持定时打铃任务无切换模式（即正常定时任务设置），同时支持在启用后自定义时间内不启用该任务。</w:t>
            </w:r>
          </w:p>
          <w:p w14:paraId="68BAE61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12、支持定时打铃任务按日期切换模式，支持添加多个日期，每个日期可设置不同的打铃方案，可按照日期进行排序，支持该日期到下一日期时，打铃方案进行切换。支持自定义时间内不执行任何打铃方案。</w:t>
            </w:r>
          </w:p>
          <w:p w14:paraId="49463E0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13、支持定时打铃任务按星期切换，周一到周日每天配置不同的定时打铃方案，支持自定义时间内不执行任何打铃方案。</w:t>
            </w:r>
          </w:p>
          <w:p w14:paraId="5A79DBF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14、支持定时打铃任务按多任务同时进行，可同时进行三个打铃任务，支持自定义时间内不执行任何打铃方案。</w:t>
            </w:r>
          </w:p>
          <w:p w14:paraId="74A8A26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15、支持今日任务列表查看，轻松管理今日执行的所有定时任务信息和执行状态。</w:t>
            </w:r>
          </w:p>
          <w:p w14:paraId="222BBDF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16、通过登陆广播系统客户端可对终端进行5段均衡器调节：可对终端进行80Hz、300Hz、1KHz、3KHz、10KHz频点的±12dB调节，使得终端设备在现场使用环境不同而调节修饰音效。</w:t>
            </w:r>
          </w:p>
          <w:p w14:paraId="5E8966E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17、支持对8路功率分区终端进行功率控制分区设置，通过分控客户端均可轻松设置分区。</w:t>
            </w:r>
          </w:p>
          <w:p w14:paraId="436641A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18、支持终端呼叫优先级设置，具体100级优先级，可自由设置临时任务优先级。</w:t>
            </w:r>
          </w:p>
          <w:p w14:paraId="7FEEBD1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19、系统可以同时向各个网络节点传送多路音频，可以外接传统音源信号与文件音源相结合的形式进行传输，即每路音频所占用带宽不大于100KBPS，软件支持WINDOWS支持的所有音频格式（MP3、WAV等）。 </w:t>
            </w:r>
          </w:p>
          <w:p w14:paraId="7C65259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20、支持对终端设置时间显示配置，可设置0-6级别亮度值，可设置离线后不显示时间等模式。</w:t>
            </w:r>
          </w:p>
          <w:p w14:paraId="1FABE50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21、支持对终端设置不同的灯光模式，可分别自定义设置红灯亮、红灯灭、绿灯亮、绿灯灭时间0.1S-10S。支持配置终端冻结时间，在终端被冻结期间禁止终端执行任务，适用于考试或休息等场景。</w:t>
            </w:r>
          </w:p>
          <w:p w14:paraId="2957160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22、支持广播、对讲、实时采集、终端监听进行录音；支持文本广播功能，可实现将文本转成语音，支持11级语速、语调调整，支持多种男声、女声设置，支持播放音量调节（需配置定制版服务器）。</w:t>
            </w:r>
          </w:p>
          <w:p w14:paraId="22D4BA5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23、支持对终端进行远程固件升级，无需到终端本地升级，减轻维护人员工作强度。</w:t>
            </w:r>
          </w:p>
          <w:p w14:paraId="19F9C9C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24、支持终端明细导出功能，支持通过表格方式导出当前系统终端的配置详情，为系统管理带来方便。支持批量修改定时任务的时间、执行终端。</w:t>
            </w:r>
          </w:p>
          <w:p w14:paraId="47FD3D1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25、日志记录系统运行状态，实时记录系统运行及终端工作状态，每次呼叫、通话和广播操作均有记录。</w:t>
            </w:r>
          </w:p>
          <w:p w14:paraId="503ACF8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26、支持电子地图功能，载入对应区域电子地图至软件，在地图对应区域添加对应终端，可以实时查看终端位置和状态。</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4824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24A9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E30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D665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D38D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2052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DVD/CD/VCD/MP3播放器</w:t>
            </w:r>
          </w:p>
          <w:p w14:paraId="2E73E15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1.能够实现DVD的所有的通用功能。</w:t>
            </w:r>
          </w:p>
          <w:p w14:paraId="2D10AA6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2.支持USB2.0和支持3合1读卡的U盘/ SD卡可以实现即插即放。</w:t>
            </w:r>
          </w:p>
          <w:p w14:paraId="605A958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3.支持多机级联，可最多扩展到8台设备。</w:t>
            </w:r>
          </w:p>
          <w:p w14:paraId="4CD1E31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4.前面板有LED显示屏，可清楚显示工作状态。</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5ED7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B46E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3223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434F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D7E1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4314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数字调谐器</w:t>
            </w:r>
          </w:p>
          <w:p w14:paraId="194CB85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1.调频、调幅（AM/FM）立体声二波段接收可选，电台频率记忆存储可达99个；</w:t>
            </w:r>
          </w:p>
          <w:p w14:paraId="3142B75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2.电台频率自动搜索存储功能，且有断电记忆功能；</w:t>
            </w:r>
          </w:p>
          <w:p w14:paraId="07208C5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3.采用石英锁相环路频率合成器式调谐回路技术，接收频率精确稳定；</w:t>
            </w:r>
          </w:p>
          <w:p w14:paraId="0F704A4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4.两组接收天线输入：AM接收天线输入；FM接收天线75Ω输入；</w:t>
            </w:r>
          </w:p>
          <w:p w14:paraId="4D7E3F2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5.1路音频信号左右声道（L/R）输出；</w:t>
            </w:r>
          </w:p>
          <w:p w14:paraId="0676039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6.可通过面板按键或红外遥控器控制操作</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C2EE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D660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01BF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20AA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81D3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5060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前置放大器</w:t>
            </w:r>
          </w:p>
          <w:p w14:paraId="2B6DA99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1.标准机柜式设计（2U）；</w:t>
            </w:r>
          </w:p>
          <w:p w14:paraId="63F4779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2.具有5路话筒（MIC）输入，3路标准信号线路（AUX）输入，2路紧急线路（EMC）输入；</w:t>
            </w:r>
          </w:p>
          <w:p w14:paraId="760F28E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3.第5个话筒（MIC5）具有最高优先、强行切入优先功能；</w:t>
            </w:r>
          </w:p>
          <w:p w14:paraId="0477257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4.带默音电平调节开关，支持默音调节；</w:t>
            </w:r>
          </w:p>
          <w:p w14:paraId="2B3D726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5.2路紧急输入线路具有二级优先，强行切入优先功能；</w:t>
            </w:r>
          </w:p>
          <w:p w14:paraId="2AA5713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6.话筒（MIC）输入通道和线路（AUX）输入通道均可独立调校音量；</w:t>
            </w:r>
          </w:p>
          <w:p w14:paraId="066FE36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7.设有高音（TREBLE）和低音（BASS）独立调节旋钮；设有总音量（MASTER）调节旋钮；</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697F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DB77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997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4D28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E641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8C46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IP网络音频采集终端</w:t>
            </w:r>
          </w:p>
          <w:p w14:paraId="5829EC2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1、IP语音编码终端采用机架式设计，自带4.3英寸电容触摸屏控制。</w:t>
            </w:r>
          </w:p>
          <w:p w14:paraId="3EB376C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不少于4路电源管理，每路电源可通过按钮实现定时或手动独立打开与关闭，每路电源最大输出功率可达2000W，总功率为4000W。（提供设备前后面板高清大图，标注不少于4路电源接口及每路电源手动打开与关闭的按钮位置）</w:t>
            </w:r>
          </w:p>
          <w:p w14:paraId="6AAFA50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不少于4路MIC与4路AUX音频输入，输入接口可根据用户实际应用环境灵活选择，每路音量可独立控制，独立信号指示灯显示工作状态，并设有默音调切旋钮。（提供设备前后面板高清大图，并标注不小于4.3寸触控屏、4路MIC与4路AUX音频输入、4路音量独立调节、指标灯状态显示与默音调节旋钮）</w:t>
            </w:r>
          </w:p>
          <w:p w14:paraId="0B10B89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4、IP语音编码终端应用人性化播放模式设计，可选择任何音源播放给任何区域，并设有高、中、低3种音质效果选择，实现了CD级音质效果传送给每个区域。</w:t>
            </w:r>
          </w:p>
          <w:p w14:paraId="319626D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5、自定义区域或选号播放模式，使用户及时有效的把相关音源播到所指定的区域。</w:t>
            </w:r>
          </w:p>
          <w:p w14:paraId="5F5DA3B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6、采用嵌入式计算机技术和DSP音频处理技术设计。</w:t>
            </w:r>
          </w:p>
          <w:p w14:paraId="456EA77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7、1个10/100M RJ45网络交换机接口，支持局域网与广域网。</w:t>
            </w:r>
          </w:p>
          <w:p w14:paraId="3265D51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8、设备标配不少于1路USB接口，可直接用于读取或写入产品IP地址。</w:t>
            </w:r>
          </w:p>
          <w:p w14:paraId="0FC68F4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 IP语音编码终端可支持局域网与广域网的远程升级。</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9CA0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45A3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27E9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30A4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1AE8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D04F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IP网络消防矩阵</w:t>
            </w:r>
          </w:p>
          <w:p w14:paraId="148C9C0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1、16路消防报警信号接入，接入方式可设为两种：短路与12V-24V信号。</w:t>
            </w:r>
          </w:p>
          <w:p w14:paraId="024497D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2、16路电平指示灯显示工作状态，当那个区域出现报警时，相对应的指示灯就会闪亮。</w:t>
            </w:r>
          </w:p>
          <w:p w14:paraId="340DE05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3、系统可支持多台IP网络消防采集器同时接入。</w:t>
            </w:r>
          </w:p>
          <w:p w14:paraId="3530C7C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4、自动发送报警信息到服务器，执行播放任务，可任意设置进行邻层报警、全区报警。</w:t>
            </w:r>
          </w:p>
          <w:p w14:paraId="07B590A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5、报警设有两种不同的结束模式，一种为报警结束后自动结束广播，另外一种为报警结束后需要手动结束广播，供于用户根据不同的环境设置不同的模式</w:t>
            </w:r>
          </w:p>
          <w:p w14:paraId="77A80B4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6、报警语音文件预存储在IP网络广播服务器中，无需再配置报警语音发生器，能对报警音乐任意设定，报警矩阵具有地址拨码功能，一套系统中可以任意添加多台报警矩阵。</w:t>
            </w:r>
          </w:p>
          <w:p w14:paraId="59208C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7、IP网络消防矩阵带有一个紧急预警按钮，当有紧急突发事件时，按下此按钮就及时启动广播预警。</w:t>
            </w:r>
          </w:p>
          <w:p w14:paraId="5327991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★8、IP网络消防矩阵带有一个报警取消按钮，当报警结束时，或误报时可及时中断广播预警。（提供设备前面板高清大图，标注紧急预警按钮与报警取消按钮位置）</w:t>
            </w:r>
          </w:p>
          <w:p w14:paraId="4E4F083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9、标配1个10/100MRJ45网络交换机接口，支持局域网与广域网。</w:t>
            </w:r>
          </w:p>
          <w:p w14:paraId="2632D6A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10、本设备可支持局域网与广域网的远程升级。</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C92C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D530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7A3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A908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6299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C0B2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16路电源时序器</w:t>
            </w:r>
          </w:p>
          <w:p w14:paraId="5AAF4D5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1.≥16路电源输出，每路输出AC220V(10A)，电源插口总容量达6KW；</w:t>
            </w:r>
          </w:p>
          <w:p w14:paraId="2451AE2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2.设有电子锁开关，可手动控制16个电源上断电；</w:t>
            </w:r>
          </w:p>
          <w:p w14:paraId="212A077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3.≥16路电源插座依次间隔1秒打开/关闭；</w:t>
            </w:r>
          </w:p>
          <w:p w14:paraId="1BB963E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4.有1路24V消防信号输入接口；1路消防短路报警触发信号输出接口；2路消防短路报警触发信号输入接口。</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364F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B0C1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5FC7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AE58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66F0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7F75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广播钟声话筒</w:t>
            </w:r>
          </w:p>
          <w:p w14:paraId="2910036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1、带钟声提示话筒</w:t>
            </w:r>
          </w:p>
          <w:p w14:paraId="29AD479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2、换能方式:双电容式</w:t>
            </w:r>
          </w:p>
          <w:p w14:paraId="726D47E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3、频率响应：40Hz-16kHz</w:t>
            </w:r>
          </w:p>
          <w:p w14:paraId="5C179E2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4、指向性:超心型指向</w:t>
            </w:r>
          </w:p>
          <w:p w14:paraId="49D3F97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5、输出阻抗（欧姆）:200Ω</w:t>
            </w:r>
          </w:p>
          <w:p w14:paraId="58926B9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6、灵敏度:-38dB±2dB</w:t>
            </w:r>
          </w:p>
          <w:p w14:paraId="7C1608E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7、供电电压(V):DC9V</w:t>
            </w:r>
          </w:p>
          <w:p w14:paraId="5B44515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8、咪管长度：400mm</w:t>
            </w:r>
          </w:p>
          <w:p w14:paraId="323290D8">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9、咪线长度、配置：8米单芯、卡侬母+6.35单声道插嘴</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ECCB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F985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A01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1197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D3AB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AC16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IP网络寻呼对讲话筒（触屏版）</w:t>
            </w:r>
          </w:p>
          <w:p w14:paraId="705E3C2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1、自带≥7英寸电容触摸屏控制。</w:t>
            </w:r>
          </w:p>
          <w:p w14:paraId="322FB0D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2、采用嵌入式计算机技术和DSP音频处理技术设计。</w:t>
            </w:r>
          </w:p>
          <w:p w14:paraId="2CDE532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3、支持呼叫分区及多个分区，呼叫全区广播；支持直接操作呼叫或对讲任意终端；支持直接操作监听（环境监听）任意终端根据实际环境，监听距离达到5m。</w:t>
            </w:r>
          </w:p>
          <w:p w14:paraId="124C3DA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4、支持全双工双向对讲功能，自带网络回声消除模块；IP终端之间实现两两双向对讲，网络延时低于40ms；同时网络回声啸叫彻底抑制。</w:t>
            </w:r>
          </w:p>
          <w:p w14:paraId="084D6BA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5、内置MP3解码模块，能显示歌曲名称，支持上一曲、下一曲、播放、暂停、停止、单曲循环、全部循环等播放功能，便于操作控制。</w:t>
            </w:r>
          </w:p>
          <w:p w14:paraId="6483C5F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6、支持求助信号铃声、闪灯提示，一键接受求助、对讲功能，同时也可以支持免提通话和接收广播。</w:t>
            </w:r>
          </w:p>
          <w:p w14:paraId="3BAFE18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7、内置≥1路网络硬件音频解码模块，支持TCP/IP、UDP、IGMP(组播)协议。</w:t>
            </w:r>
          </w:p>
          <w:p w14:paraId="7072524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8、内置≥5W全频高保真扬声器输出，实现双向通话和网络监听。</w:t>
            </w:r>
          </w:p>
          <w:p w14:paraId="06379BF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9、≥1路音频线路输出，外扩功率放大器；≥1路音频线路输入。</w:t>
            </w:r>
          </w:p>
          <w:p w14:paraId="3BE01A8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10、≥1路报警触发短路输出，级联外扩警示设备或控制门禁；≥2路短路输入，可以用作触发预置语音提示（或报警），亦可用于控制门禁联动输入短路信号。</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1764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FEB4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9DA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A682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89CA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2DCE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IP网络有源音箱</w:t>
            </w:r>
          </w:p>
          <w:p w14:paraId="1347651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1.内置≥2×20W数字功放，发热小功效更高。具有≥1组辅音箱输出接口，输出功率为8欧、≥20W，外接定阻音箱。</w:t>
            </w:r>
          </w:p>
          <w:p w14:paraId="3A15380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2.≥1路话筒输入，≥1路线路输入。</w:t>
            </w:r>
          </w:p>
          <w:p w14:paraId="37DF3F0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3.本终端设有高低音量调节，总音频输出还设有总音量调节控制。</w:t>
            </w:r>
          </w:p>
          <w:p w14:paraId="1F9412E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4.优先功能: MIC为最高优先级。网络和AUX是同等级别，它们与MIC的级别设有调节旋钮，用户可以根据使用环境自由调节为MIC是最高优先，或者是MIC与网络为同一级别。</w:t>
            </w:r>
          </w:p>
          <w:p w14:paraId="68B58BD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5.内设有话筒混响调节电位器。</w:t>
            </w:r>
          </w:p>
          <w:p w14:paraId="1350E9D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6.内置≥5寸低音+≥3寸高音高保真喇叭单元。</w:t>
            </w:r>
          </w:p>
          <w:p w14:paraId="00AFC74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7.标配≥1个10/100MRJ45网络交换机接口，支持局域网与广域网。</w:t>
            </w:r>
          </w:p>
          <w:p w14:paraId="5D45B70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8.本设备可支持局域网与广域网的远程升级。</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B790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4A1E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3735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2416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0E43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5579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IP网络功放500W</w:t>
            </w:r>
          </w:p>
          <w:p w14:paraId="5780AED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1、2U标准机箱设计，铝合金面板。</w:t>
            </w:r>
          </w:p>
          <w:p w14:paraId="4E7493F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2、4.3英寸电容触摸屏控制。无操作时进入休眠、低功耗省电状态。</w:t>
            </w:r>
          </w:p>
          <w:p w14:paraId="6C4E9EB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3、设备采用工业级双核处理芯片（ARM+DSP），启动时间小于1S。</w:t>
            </w:r>
          </w:p>
          <w:p w14:paraId="28140E8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4、内置网络IP解码模块可实时播网络音乐及呼叫功能；采集播放和呼叫功的网络延时时间小于30mS。</w:t>
            </w:r>
          </w:p>
          <w:p w14:paraId="4ECC8B8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5、2路话筒输入，2路线路输入，1路辅助输出，每路都设有独立音量调节。</w:t>
            </w:r>
          </w:p>
          <w:p w14:paraId="0E566E8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6、本终端设有3级优先功能，MIC1设为最高优先级。网络为第二级优先，MIC2、AUX1、AUX2为第三级优先。</w:t>
            </w:r>
          </w:p>
          <w:p w14:paraId="36EF9BA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7、设有一路短路输入，二路短路输出接口。</w:t>
            </w:r>
          </w:p>
          <w:p w14:paraId="7757A2F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8、设有一路DC24V强切电源备用接口，供于用户选配扩展。</w:t>
            </w:r>
          </w:p>
          <w:p w14:paraId="601FB49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9、本终端可支持双向点播、呼叫功能，可实现双方互相通话，通话延时时间小于30mS。</w:t>
            </w:r>
          </w:p>
          <w:p w14:paraId="2FA3B4B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10、内置MP3解码模块，能显示歌曲名称，支持上一曲、下一曲、播放、暂停、停止、单曲循环、全部循环等播放功能，便于操作控制。</w:t>
            </w:r>
          </w:p>
          <w:p w14:paraId="0D37948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11、设有单向点播功能，可通过服务器软件、对本终端自由点播服务器中节目</w:t>
            </w:r>
          </w:p>
          <w:p w14:paraId="290BB67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12、自带一路功率放大器，输出方式为100V、70V、4~16Ω，输出功率为500W。</w:t>
            </w:r>
          </w:p>
          <w:p w14:paraId="3E0E520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13、功放的控制电源采用节能环保模式设计，可手动或自动模式打开与关闭。</w:t>
            </w:r>
          </w:p>
          <w:p w14:paraId="2A67416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14、设有功放接通电源指示灯、功放保护指示灯、功放工作信号及削峰指示灯，对功放的工作状态一目了然。</w:t>
            </w:r>
          </w:p>
          <w:p w14:paraId="3EC25CE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15、采用先进高效功率放大电路，足功率输出，并设有过载、过温等多种保护，</w:t>
            </w:r>
          </w:p>
          <w:p w14:paraId="0370C64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16、标配1个10/100M RJ45网络接口，支持局域网与广域网。</w:t>
            </w:r>
          </w:p>
          <w:p w14:paraId="5DA57B5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17、本设备可支持局域网与广域网的远程升级。                                                                                                                                                                 </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E92B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AB17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36A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79FF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3C11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8C72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音箱(定压,10W)</w:t>
            </w:r>
          </w:p>
          <w:p w14:paraId="1EB10A5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1.额定功率：≥10W</w:t>
            </w:r>
          </w:p>
          <w:p w14:paraId="7B714E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2.最大功率：≥20W</w:t>
            </w:r>
          </w:p>
          <w:p w14:paraId="6687F96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4.频率响应：80～16KHZ</w:t>
            </w:r>
          </w:p>
          <w:p w14:paraId="0A7C737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5.灵敏度：≥88dB</w:t>
            </w:r>
          </w:p>
          <w:p w14:paraId="3ADBC87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6.喇叭单元：≥6.5"</w:t>
            </w:r>
          </w:p>
          <w:p w14:paraId="485FDD28">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7.材质：木制</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4B92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671A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r>
      <w:tr w14:paraId="6B13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7"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DD35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AB7B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82F8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IP网络壁挂终端(壁挂式网络功放20W)</w:t>
            </w:r>
          </w:p>
          <w:p w14:paraId="6353E34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1、内置网络IP解码模块可实时播网络音乐及呼叫功能；采集播放和呼叫功的网络延时时间小于30mS。</w:t>
            </w:r>
          </w:p>
          <w:p w14:paraId="42150F1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2、内置2×20W数字功放。</w:t>
            </w:r>
          </w:p>
          <w:p w14:paraId="3346C2E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3、一路话筒输入，一路线路输入，一路线路输出。</w:t>
            </w:r>
          </w:p>
          <w:p w14:paraId="75C080E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4、优先功能：网络报警为最高优先级。本地MIC和AUX是同等级别，它们与网络信号的级别设有调节旋钮，用户可以根据使用环境自由调节为网络是最高优先，或者是网络与本地为同一级别。</w:t>
            </w:r>
          </w:p>
          <w:p w14:paraId="32CFAED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5、内设有话筒混响调节电位器</w:t>
            </w:r>
          </w:p>
          <w:p w14:paraId="22CAE43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6、本终端采用节能降噪处理线路。</w:t>
            </w:r>
          </w:p>
          <w:p w14:paraId="6C8E95C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7、本终端面板设有电源指示、网络连接指示灯及音频信号输出检测指示灯。</w:t>
            </w:r>
          </w:p>
          <w:p w14:paraId="5B55DB1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8、标配1个10/100MRJ45网络交换机接口，支持局域网与广域网</w:t>
            </w:r>
          </w:p>
          <w:p w14:paraId="6AA6201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9、本设备可支持局域网与广域网的远程升级。</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ECD3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5D47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r>
      <w:tr w14:paraId="13AB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2A61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62AC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BCDF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有线话筒</w:t>
            </w:r>
          </w:p>
          <w:p w14:paraId="069E03F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1.换能方式：动圈式</w:t>
            </w:r>
          </w:p>
          <w:p w14:paraId="2275E22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2.指向性：超心型（单指向）</w:t>
            </w:r>
          </w:p>
          <w:p w14:paraId="0B6D0B1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3.频率范围：70Hz-16KHz</w:t>
            </w:r>
          </w:p>
          <w:p w14:paraId="11B75CE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4.输出阻抗：600Ω±15%</w:t>
            </w:r>
          </w:p>
          <w:p w14:paraId="4EF98B8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5.灵敏度：-53dB±3dB</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A779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A7C5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r>
      <w:tr w14:paraId="7DE0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2876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61FA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扩声系统调试</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1A63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扩声系统调试</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FCF8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FB7E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919A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5677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E8AC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扩声系统试运行</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31FA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扩声系统试运行</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CAE1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5854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67D5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82F16">
            <w:pPr>
              <w:spacing w:line="240" w:lineRule="auto"/>
              <w:jc w:val="center"/>
              <w:rPr>
                <w:rFonts w:hint="eastAsia" w:ascii="宋体" w:hAnsi="宋体" w:eastAsia="宋体" w:cs="宋体"/>
                <w:i w:val="0"/>
                <w:iCs w:val="0"/>
                <w:color w:val="auto"/>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4B0F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录播系统</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C458B">
            <w:pPr>
              <w:spacing w:line="240" w:lineRule="auto"/>
              <w:jc w:val="left"/>
              <w:rPr>
                <w:rFonts w:hint="eastAsia" w:ascii="宋体" w:hAnsi="宋体" w:eastAsia="宋体" w:cs="宋体"/>
                <w:i w:val="0"/>
                <w:iCs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AC301">
            <w:pPr>
              <w:spacing w:line="240" w:lineRule="auto"/>
              <w:jc w:val="center"/>
              <w:rPr>
                <w:rFonts w:hint="eastAsia" w:ascii="宋体" w:hAnsi="宋体" w:eastAsia="宋体" w:cs="宋体"/>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4E440">
            <w:pPr>
              <w:spacing w:line="240" w:lineRule="auto"/>
              <w:jc w:val="center"/>
              <w:rPr>
                <w:rFonts w:hint="eastAsia" w:ascii="宋体" w:hAnsi="宋体" w:eastAsia="宋体" w:cs="宋体"/>
                <w:i w:val="0"/>
                <w:iCs w:val="0"/>
                <w:color w:val="auto"/>
                <w:sz w:val="18"/>
                <w:szCs w:val="18"/>
                <w:u w:val="none"/>
              </w:rPr>
            </w:pPr>
          </w:p>
        </w:tc>
      </w:tr>
      <w:tr w14:paraId="1DA5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0E75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B875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E87E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86寸交互智能平板</w:t>
            </w:r>
          </w:p>
          <w:p w14:paraId="0BC8836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一、整机设计</w:t>
            </w:r>
          </w:p>
          <w:p w14:paraId="6B76EEC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1.智能交互平板整体采用一体化设计，外部无任何可见内部功能模块连接线，采用全金属外壳设计，边角采用弧形设计，表面无尖锐边缘或凸起</w:t>
            </w:r>
          </w:p>
          <w:p w14:paraId="7D9EDCC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2.★整机采用UHD超高清LED液晶屏，A规屏，显示尺寸≧86英寸，分辨率：3840*2160 ，采用红外触控技术，在双系统下均支持20点同时触控及书写（提供CMA或CNAS认证测机构出具的检测报告）</w:t>
            </w:r>
          </w:p>
          <w:p w14:paraId="07C3C99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3.为保证屏体画面色彩质量，屏体对比度≥4000：1，最大可视角度≥178度，灰度等级≥256级，色彩覆盖率≥85%，色彩度≥10bit（提供CMA或CNAS认证测机构出具的检测报告）</w:t>
            </w:r>
          </w:p>
          <w:p w14:paraId="53232EC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4.★屏幕表面采用钢化玻璃全贴合技术，玻璃厚度≤3mm，屏幕玻璃表面硬度≥9H，防撞防划，具备防眩光效果（提供CMA或CNAS认证测机构出具的检测报告）</w:t>
            </w:r>
          </w:p>
          <w:p w14:paraId="3C8C904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5.交互平板功率≤400W，且符合GB21520-2015能源1级要求（提供CMA或CNAS认证测机构出具的检测报告）</w:t>
            </w:r>
          </w:p>
          <w:p w14:paraId="1F858BE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6.不应出现可察觉得闪烁：闪烁等级≤-30dB，亮度均匀性：≧70%（提供CMA或CNAS认证测机构出具的检测报告）</w:t>
            </w:r>
          </w:p>
          <w:p w14:paraId="48DF40D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7.整机具备至少3路前置双通道USB接口，插入U盘自动打开，1路HDMI接口，接入信号源自动跳转，不接受扩展坞形式（提供CMA或CNAS认证测机构出具的检测报告）；</w:t>
            </w:r>
          </w:p>
          <w:p w14:paraId="0962384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8.为保护学生眼部视力健康，符合GB40070-2021国家儿童青少年学习用品防控卫生要求标准，屏体亮度≤400cd/㎡，蓝光防护要求达到RG0（提供国家儿童青少年学习用品防控卫生要求检测报告）；</w:t>
            </w:r>
          </w:p>
          <w:p w14:paraId="7934E15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9.★为方便用户外接拓展设备，整机USB接口≥4个，其中至少包含2路双通道接口，标配VGA输入接口≥1路，音频输入≥1，音频输出≥1（提供CMA或CNAS认证测机构出具的检测报告）；</w:t>
            </w:r>
          </w:p>
          <w:p w14:paraId="7745B98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10.★为方便教师使用，交互平板具有笔槽放置书写笔、粉笔、水性笔等教学工具</w:t>
            </w:r>
          </w:p>
          <w:p w14:paraId="628E027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11.整机具备前置按键，可实现一键开关机、音量+/-、护眼等基础操作，并且每个按键具有多种不同的功能（提供CMA或CNAS认证测机构出具的检测报告）</w:t>
            </w:r>
          </w:p>
          <w:p w14:paraId="65E9F01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12.前置面板具有标识的天线模块，PC模块无任何外接或转接天线，网卡可实现Wi-Fi无线上网连接；Wi-Fi支持频段 2.4GHz/5GHz ，满足IEEE 802.11 a/b/g/n/ac标准；（提供CMA或CNAS认证测机构出具的检测报告）</w:t>
            </w:r>
          </w:p>
          <w:p w14:paraId="473D99F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13.★前置U盘接口采用隐藏式设计，具有翻转式防护盖板，高度不少于4cm（提供CMA或CNAS认证测机构出具的检测报告）</w:t>
            </w:r>
          </w:p>
          <w:p w14:paraId="297B158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14.为方便用户售后维修，前置接口面板和前置按键面板支持单独前拆，无需拆卸智能平板背板（提供CMA或CNAS认证测机构出具的检测报告）</w:t>
            </w:r>
          </w:p>
          <w:p w14:paraId="2C7924D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15.整机内置≥2.0声道扬声器，额定总功率≥40W，谐振频率≤260Hz，可单独对高音、低音、平衡音进行调整可对高低音进行调整（提供CMA或CNAS认证测机构出具的检测报告）</w:t>
            </w:r>
          </w:p>
          <w:p w14:paraId="59AE95D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16.★设备具备无线MIC输入接口，可通过设备进行无线扩音，一体机关机通电的状况下，仍可通过音箱实现无线扩声。（提供CMA或CNAS认证测机构出具的检测报告）</w:t>
            </w:r>
          </w:p>
          <w:p w14:paraId="0EECE47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17.★采用物理减滤蓝光设计，不接受通过菜单或按键设置方式进行防蓝光模式与非防蓝光模式的切换，扫描设备自带的二维码可获取检测机构的认证证书；（提供CMA或CNAS认证测机构出具的检测报告）</w:t>
            </w:r>
          </w:p>
          <w:p w14:paraId="687DB02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18.★具有一体化摄像头，支持1200W像素以上，视场角大于120°， 支持降噪功能，支持扫描二维码功能，支持搭配人脸识别实现互动教学功能，具备摄像头工作指示灯，运行时，指示灯具备提示功能。（提供CMA或CNAS认证测机构出具的检测报告）；</w:t>
            </w:r>
          </w:p>
          <w:p w14:paraId="5D6BB1D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19.★整机具备前置针孔式设计电脑还原按键，不需专业人员即可轻松解决电脑系统故障，并有配有中文标识；（提供CMA或CNAS认证测机构出具的检测报告）</w:t>
            </w:r>
          </w:p>
          <w:p w14:paraId="1061374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20.设备支持录屏功能，通过前置按键的方式一键启动，可将屏幕中显示的课件、音频内容与老师人声同时录制。（提供CMA或CNAS认证测机构出具的检测报告）；</w:t>
            </w:r>
          </w:p>
          <w:p w14:paraId="42EEF4D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21.机身浪涌（冲击）抗扰度满足GB/T 17626.5-2019标准，电快速瞬变脉冲群抗扰度试验满足GB/T 17626.4-2018标准；</w:t>
            </w:r>
          </w:p>
          <w:p w14:paraId="6B018C3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22.具备供电保护模块，在插拔式电脑未固定的情况下，不给插拔式电脑供电。</w:t>
            </w:r>
          </w:p>
          <w:p w14:paraId="0974E00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二、主要功能：</w:t>
            </w:r>
          </w:p>
          <w:p w14:paraId="7B927C8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23.通过多指滑动屏幕，可快速实现Windows与教学系统界面的切换；</w:t>
            </w:r>
          </w:p>
          <w:p w14:paraId="1829FCC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24.支持在任意通道下，通过前置物理按键打开教学应用桌面</w:t>
            </w:r>
          </w:p>
          <w:p w14:paraId="3D16015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25.★为满足教师不同教学场景的使用需求，设备需支持三种以上方式进行屏幕下移，屏幕下移后仍可进行触控、书写等操作，不影响教师正常教学（提供CMA或CNAS认证测机构出具的检测报告）；</w:t>
            </w:r>
          </w:p>
          <w:p w14:paraId="41A95B3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26.Android主板四核CPU，Android系统不低于11.0，主页提供不少于5个应用程序，也可替代其他应用程序；（提供CMA或CNAS认证测机构出具的检测报告）</w:t>
            </w:r>
          </w:p>
          <w:p w14:paraId="6B0CD05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27.支持多指长按屏幕部分达到息屏及屏幕唤醒功能；</w:t>
            </w:r>
          </w:p>
          <w:p w14:paraId="4B1E956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28.安卓系统切换到WINDOWS系统速度≤1秒，外接信号源HDMI到内置电脑≤3秒；</w:t>
            </w:r>
          </w:p>
          <w:p w14:paraId="791EB6B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29.隐藏式菜单功能，整机在任意通道下，左右两侧可提供与教学应用密切相关的快捷键，可自定义设置为经典模式和极简模式，无论哪种模式都至少具有关闭窗口、屏幕下移等常用功能；</w:t>
            </w:r>
          </w:p>
          <w:p w14:paraId="25FA373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30.★整机具有悬浮菜单，两指可快速移动悬浮菜单至按压位置，悬浮菜单可进行自定义分组，可添加多屏互动软件等不少于30个应用；（提供CMA或CNAS认证测机构出具的检测报告）</w:t>
            </w:r>
          </w:p>
          <w:p w14:paraId="0FB2DA2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通过五指抓操作屏幕任意位置可调出多任务窗口，对正在运行的应用进行浏览，快速切换或结束进程，同时可通过五指按压实现对屏幕的开关，实现整机背光的关闭与开启；（提供CMA或CNAS认证测机构出具的检测报告）</w:t>
            </w:r>
          </w:p>
          <w:p w14:paraId="433CA8F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32.整机表面覆盖玻璃选用国标优等品，面板的抗冲击性、霰弹袋冲击性能、耐热冲击性能均符合GB 15763.2-2005标准，表面应力≥90Mpa,弯曲度≤0.3%，适应学校复杂环境，保障教学安全；</w:t>
            </w:r>
          </w:p>
          <w:p w14:paraId="7D4D228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33.交互平板处于关机通电状态，外接电脑、机顶盒等设备接入交互平板时，交互平板可识别到外接设备的输入信号后自动开机；</w:t>
            </w:r>
          </w:p>
          <w:p w14:paraId="1BF6030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34.支持windows系统和安卓系统，同一界面下实现windows教学应用和安卓系统应用的快捷调用。</w:t>
            </w:r>
          </w:p>
          <w:p w14:paraId="762513A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触摸系统</w:t>
            </w:r>
          </w:p>
          <w:p w14:paraId="3E1F943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采用红外触控技术，在双系统下均支持20点同时触控及书写；</w:t>
            </w:r>
          </w:p>
          <w:p w14:paraId="13F5049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触摸屏在照度200k lux 环境下可正常工作；</w:t>
            </w:r>
          </w:p>
          <w:p w14:paraId="0DB1FC7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触摸响应时间≤4ms，最小识别物≤2mm，书写延迟速度≤15ms；</w:t>
            </w:r>
          </w:p>
          <w:p w14:paraId="551D275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触摸屏具有防遮挡功能，触摸接收器在单点或多点遮挡后仍能正常书写；</w:t>
            </w:r>
          </w:p>
          <w:p w14:paraId="3B52892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红外技术支持HID免驱协议，window7/8/10/Mac os/Linux/国产化系统下自动识别，无需额外安装驱动程序；</w:t>
            </w:r>
          </w:p>
          <w:p w14:paraId="60A7AC9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内置电脑</w:t>
            </w:r>
          </w:p>
          <w:p w14:paraId="4C3F065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35.采用80pin Intel通用标准接口,即插即用，易于维护；</w:t>
            </w:r>
          </w:p>
          <w:p w14:paraId="2EA8F3D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36.CPU采用Intel第9代及以上平台处理器酷睿I5处理器；</w:t>
            </w:r>
          </w:p>
          <w:p w14:paraId="1269433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37.内存：≥8G DDR4；硬盘：≥256G SSD固态硬盘； </w:t>
            </w:r>
          </w:p>
          <w:p w14:paraId="69367BF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38.接口：整机非外扩展具备5个USB接口；具有独立非外扩展的视频输出接口：≥1路HDMI等，≥1路DP；</w:t>
            </w:r>
          </w:p>
          <w:p w14:paraId="020E1CA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39.内置电脑模块品牌与触控一体机品牌一致。</w:t>
            </w:r>
          </w:p>
          <w:p w14:paraId="49CCEBA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教学软件</w:t>
            </w:r>
          </w:p>
          <w:p w14:paraId="43D0517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1.提供互动教学应用软件统一入口：可整合互动应用软件，集中管理，方便老师在各软件之间的切换和使用； </w:t>
            </w:r>
          </w:p>
          <w:p w14:paraId="708131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免登录直接使用本地教学工具，支持账号、U盘和扫码三种方式登录；老师的每个个人账号提供不少于45G云端存储空间，无需用户通过完成特定任务才能获取，注册即得，方便老师存储资料；（提供CMA或CNAS认证测机构出具的检测报告）</w:t>
            </w:r>
          </w:p>
          <w:p w14:paraId="4219761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3.提供音、视频编辑功能；视频文件可一键全屏播放，支持动态截图，截取图片可自动生成图片索引栏，图片索引栏可跨页面显示并展示打开；</w:t>
            </w:r>
          </w:p>
          <w:p w14:paraId="68AA1A7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课堂互动工具：能够创建知识连线、互动分类、选词填空、趣味竞赛、翻翻卡、连词成句、判断对错、比大小等互动类游戏，每类互动游戏提供至少12个适用普教K12不同学科、学段风格的模板，直接选择并输入相应内容即可轻松生成互动分类游戏，课堂互动模板中背景、各个元素图标可替换为其他风格，也可设置为本地图片；（提供CMA或CNAS认证测机构出具的检测报告）</w:t>
            </w:r>
          </w:p>
          <w:p w14:paraId="22FDD31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学科工具：至少提供12门以上学科工具，包含语文、数学、英语、物理、化学、生物、地理、历史、音乐、体育、书法等；针对以上学科，学科工具里包含内容丰富，其中交互式操作的动画支持一键全屏显示，批注标记；（提供CMA或CNAS认证测机构出具的检测报告） </w:t>
            </w:r>
          </w:p>
          <w:p w14:paraId="4D347F7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数学学科工具：包含公式、动态课件、立体图形、平面图形；公式工具可实现数学公式编辑，提供常规输入与LaTeX模式两种输入方式；动态课件可根据年级章节选择动态课件一键插入、个人动态课件制作编辑；平面图形工具提供线段、角、弧、三角形、正方形等各种几何图形，支持图形动点调整、一键插入白板；</w:t>
            </w:r>
          </w:p>
          <w:p w14:paraId="0D3C7A2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生物学科工具提供显微镜功能，模拟实物显微镜，可以进行装片展示，物镜目镜调整及旋转聚焦等操作；提供氨基酸、核苷酸、染色体、细胞膜、信息传递等工具，可进行R基替换、脱水缩合、互补配对、聚合、信息传递等相应的操作演示，为方便向学生展示，学科工具支持一键全屏播放；（提供CMA或CNAS认证测机构出具的检测报告）</w:t>
            </w:r>
          </w:p>
          <w:p w14:paraId="797E031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提供CMA或CNAS认证测机构出具的检测报告）</w:t>
            </w:r>
          </w:p>
          <w:p w14:paraId="72A484C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书写工具:为方便教师授课板书，提供粉笔、硬笔、智能笔、纹理笔、图章笔、手势笔等不少于9种书写工具；老师可通过手势笔实现多种手势教学，如圈选即可识别为选中对象，画圆即可识别为聚光灯，画方形为放大镜功能，左右划线为前后翻页等，为方便老师快速掌握，在点击手势笔功能时，笔工具栏提供图例操作说明；（提供CMA或CNAS认证测机构出具的检测报告）</w:t>
            </w:r>
          </w:p>
          <w:p w14:paraId="29BDE9D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10.PPT课件批注功能：PPT全屏播放时可自动开启工具菜单，支持工具菜单收起与打开，提供PPT课件的播放控制(如前后翻页)、聚光灯、放大镜和书写批注等功能,支持生成二维码，快速分享课件；</w:t>
            </w:r>
          </w:p>
          <w:p w14:paraId="24E1837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11.★支持一键为白板软件中任意中、英文文本添加标准人声朗读音频，无需手动上传音频文件；（提供CMA或CNAS认证测机构出具的检测报告）</w:t>
            </w:r>
          </w:p>
          <w:p w14:paraId="6519988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12.软件支持屏幕、屏幕+摄像头等多种形式的录制，也可结合录播系统进行全景录制；</w:t>
            </w:r>
          </w:p>
          <w:p w14:paraId="24C1F50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13.录制过程中支持随时开启分享直播功能，生成直播海报、直播码，听课端无需下载软件，扫描二维码即可进入直播课堂并进行互动，可实现课堂实时评论；结束录制即生成回看视频； </w:t>
            </w:r>
          </w:p>
          <w:p w14:paraId="524E6B8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提供预置的高质量课件素材，允许老师在网页端、移动端、电脑端及钉钉内进行内容的选择与组合，快速生成课件并浏览；所有制作的课件均实时保存至云端，老师只需登录即可查看；（提供CMA或CNAS认证测机构出具的检测报告））</w:t>
            </w:r>
          </w:p>
          <w:p w14:paraId="05FFF3B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15.支持根据老师选择的课件组合自动生成与课件内容相匹配的个性化教案，并支持教案的在线编辑及教案的保存和打印；（提供CMA或CNAS认证测机构出具的检测报告））</w:t>
            </w:r>
          </w:p>
          <w:p w14:paraId="499FA3B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16.★为保障兼容性，白板软件支持对接国产化系统。（提供相关证明）</w:t>
            </w:r>
          </w:p>
          <w:p w14:paraId="022FE78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17.★投标产品具有信息安全等级保护三级或以上证书。</w:t>
            </w:r>
          </w:p>
          <w:p w14:paraId="36C026B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18.★为保证师生信息安全，所投软件不存在强制、过度、频繁获取权限的行为，且不能出现过在工信部通报的信息违规软件名单中；</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B737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785B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60CE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D0E6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1174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A641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视频展台（USB有线）</w:t>
            </w:r>
          </w:p>
          <w:p w14:paraId="366A6C5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硬件配置：</w:t>
            </w:r>
          </w:p>
          <w:p w14:paraId="61D698F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1、整机壁挂式安装，托板及挂墙部分采用金属加强，托板可承重3kg；整机采用圆弧式设计，无锐角。</w:t>
            </w:r>
          </w:p>
          <w:p w14:paraId="02B983B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2、采用 USB五伏电源直接供电，无需额外配置电源适配器；箱内USB连线采用隐藏式设计，箱内无可见连线且USB口下出，有效防止积尘，且方便布线和返修。</w:t>
            </w:r>
          </w:p>
          <w:p w14:paraId="3A7D334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★3、清晰度：采用≥1200万像素定焦镜头；中心≥1200线，拍摄幅面不小于A4。</w:t>
            </w:r>
          </w:p>
          <w:p w14:paraId="16F1827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4、图像色彩：24位；输出格式：图片JPG，视频MP4。</w:t>
            </w:r>
          </w:p>
          <w:p w14:paraId="508BCA3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5、光源：LED灯补光，支持多级调光。</w:t>
            </w:r>
          </w:p>
          <w:p w14:paraId="056E474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6、动态视频帧率：1080P动态视频预览达到30帧/秒。</w:t>
            </w:r>
          </w:p>
          <w:p w14:paraId="586041D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7、对焦/白平衡：自动。</w:t>
            </w:r>
          </w:p>
          <w:p w14:paraId="68FFBF4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★8、提供所投壁挂展台平均无故障≥10万小时证书。</w:t>
            </w:r>
          </w:p>
          <w:p w14:paraId="1D3A45F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软件功能：</w:t>
            </w:r>
          </w:p>
          <w:p w14:paraId="4C56746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1、支持展台成像画面实时批注，预设多种笔划粗细及颜色供选择，且支持对展台成像画面联同批注内容进行同步缩放、移动。</w:t>
            </w:r>
          </w:p>
          <w:p w14:paraId="3FEDD3C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2、可选择图像、文本或动态等多种情景模式，适应不同展示内容。</w:t>
            </w:r>
          </w:p>
          <w:p w14:paraId="04BB9E7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3、支持对展台画面进行放大、缩小、旋转、自适应、冻结画面等操作。</w:t>
            </w:r>
          </w:p>
          <w:p w14:paraId="15243AB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4、支持展台画面拍照截图并进行多图预览，可对任一图片进行全屏显示。</w:t>
            </w:r>
          </w:p>
          <w:p w14:paraId="32A638A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5、具备图像增强功能，可自动裁剪背景并增强文字显示，使文档画面更清晰。</w:t>
            </w:r>
          </w:p>
          <w:p w14:paraId="7AC7B86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6、支持二维码扫码功能：打开扫一扫功能后，将书本上的二维码放入扫描框内即可自动扫描，并进入系统浏览器获取二维码的链接内容，帮助老师快速获取电子教学资源。</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7909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B73D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631B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C813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97EF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推拉黑板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39B0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推拉黑板</w:t>
            </w:r>
          </w:p>
          <w:p w14:paraId="44B297C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结构：内外双层，内层居中镶嵌安装触控一体机，外层两块滑动书写板，可左右推拉；滑动板上配有安全锁，易开易锁，确保电子产品安全管理；滑动板在同一平面，电子设备嵌套配合一体化，外形简洁、美观。</w:t>
            </w:r>
          </w:p>
          <w:p w14:paraId="5F8E90B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2.规格：外径≥4000mm×1300mm，保证与配套电子设备尺寸有效对接，可根据学校实际情况进行款式和尺寸的适当调整。</w:t>
            </w:r>
          </w:p>
          <w:p w14:paraId="0B123A2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书写面板：材质采用优质烤漆钢板，涂层为丙烯酸树脂漆，板面基板厚度≥0.3mm，整板无拼接；颜色：墨绿色，表面附有透明保护膜；硬度：涂层硬度≥8H；光泽度：光泽度≤6%，无明显眩光；使用寿命：面板正常使用寿命≥5年。</w:t>
            </w:r>
          </w:p>
          <w:p w14:paraId="3636420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4.衬板：采用防潮、吸音、挺度好的聚苯乙烯泡沫板，厚度≥15mm；书写时板面不颤动。</w:t>
            </w:r>
          </w:p>
          <w:p w14:paraId="07266CC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5.背板：采用优质防锈亚光彩涂钢板，厚度≥0.20mm，每间隔8cm有2cm加强凹槽，增强板体挺度。</w:t>
            </w:r>
          </w:p>
          <w:p w14:paraId="2641C4F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覆板：采用环保型胶水，胶合牢固，不鼓包，不脱胶，甲醛释放量符合国家省部级以上权威部门对有害物质释放量的检测标准；书写板板体由复合粘压机自动化流水线作业，一次成型，板体受压均匀，胶合牢固，经久耐用。</w:t>
            </w:r>
          </w:p>
          <w:p w14:paraId="55CE087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边框：材质采用高级亚光铝合金，在灯光下无明显眩光，表面经氧化、磨砂涂层处理，模具一次成型；内边框规格≥38mm×29mm，封闭管状，内加助筋，增加有效书写面积，提高书写板挺度；外框：横框≥80mm×58mm，轨道与外框一体化设计，后置轨道，避免粉尘进入，影响推拉。</w:t>
            </w:r>
          </w:p>
          <w:p w14:paraId="156152D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8.滑轮：每块滑动板安装4组滑轮（滑轮数量≥8个）；滑轮组隐形安装，看面不漏滑轮、螺钉；滑轮一体化，滑动板前后定位准确不晃动。</w:t>
            </w:r>
          </w:p>
          <w:p w14:paraId="51E4D2F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9.安全性：黑板固定要考虑到墙体的特殊性，保证黑板安装牢固可靠，符合GB28231-2011《书写板安全卫生要求》。</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1C3F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A05D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F52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7C7E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C8A6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5577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高清录播主机</w:t>
            </w:r>
          </w:p>
          <w:p w14:paraId="6E9EBFB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一.整体设计</w:t>
            </w:r>
          </w:p>
          <w:p w14:paraId="7DCB041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14:paraId="7A62812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★功能设计：要求主机功能高度集成化，需具备录制、导播、自动跟踪、互动等多功能功于一体，无需额外增加跟踪主机、互动主机等其他主机。</w:t>
            </w:r>
          </w:p>
          <w:p w14:paraId="0C9185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3.节能环保：应具有嵌入式低功耗环保特性，需采用不高于DC36V安全电压供电，额定功率不超过40W。</w:t>
            </w:r>
          </w:p>
          <w:p w14:paraId="625B938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4.低噪声设计：要求所投录播主机运行状态下噪声最大值≤20dB(A)。</w:t>
            </w:r>
          </w:p>
          <w:p w14:paraId="32BE618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5.平台对接：支持FTP文件传输协议，实现主机录制生成的视频文件自动上传平台归档。</w:t>
            </w:r>
          </w:p>
          <w:p w14:paraId="56BE457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6.★主机功耗≤40w、工作噪声≤20dB指标（提供具备CMA和CNAS标识的检测报告复印件证明。）</w:t>
            </w:r>
          </w:p>
          <w:p w14:paraId="08608EE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二.主机性能</w:t>
            </w:r>
          </w:p>
          <w:p w14:paraId="2D35EEA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1.视频输入输出：具备高清视频输入接口3G-SDI in≥4、HDMI in≥2；高清输出接口HDMI out≥3；且采集和输出分辨率均支持1080P@30fps。</w:t>
            </w:r>
          </w:p>
          <w:p w14:paraId="64A4947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2.视频编解码：支持标准H.264视频编解码协议，要求支持1080P30fps、720P30fps分辨率格式编解码。</w:t>
            </w:r>
          </w:p>
          <w:p w14:paraId="3EB1A73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3.POC供电：主机支持连接摄像机通过一根SDI线进行POC供电和视频信号同传。</w:t>
            </w:r>
          </w:p>
          <w:p w14:paraId="79B698B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4.★音频输入输出：具备数字音频输入接口Digital mic≥6、线性音频输入接口Line in≥2；线性音频输出接口Line out≥2。</w:t>
            </w:r>
          </w:p>
          <w:p w14:paraId="3E17B7A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5.★音频处理：内置音频处理功能，支持EQ均衡、AEC回声抑制、AGC自动增益、ANS噪声抑制等音频处理功能。（提供具备CMA和CNAS标识的检测报告复印件证明。）</w:t>
            </w:r>
          </w:p>
          <w:p w14:paraId="6FBB05E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6.音频编解码：采用AAC音频编解码协议标准，并支持音频处理功能。</w:t>
            </w:r>
          </w:p>
          <w:p w14:paraId="06CE294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7.网络接入：具备标准RJ45网络接口，支持100/1000M网络自适应。并要求支持IPv4、IPv6双协议栈。</w:t>
            </w:r>
          </w:p>
          <w:p w14:paraId="27F6EB7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8.存储容量：内置不少于2T存储空间，用于录制视频文件的本地存储。</w:t>
            </w:r>
          </w:p>
          <w:p w14:paraId="1BDC9BA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9.主机控制：具备Console控制接口≥2，支持RS232/422协议。</w:t>
            </w:r>
          </w:p>
          <w:p w14:paraId="4399409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10.外设连接：具备USB 2.0接口≥2，可用于连接U盘等外设。</w:t>
            </w:r>
          </w:p>
          <w:p w14:paraId="15B5EE6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三.其他要求</w:t>
            </w:r>
          </w:p>
          <w:p w14:paraId="4A2B82E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1.要求主机与视频资源管理平台、高清摄像机设备为同一品牌。</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0486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1F81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88B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D248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B0D8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FB63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录播流媒体处理软件</w:t>
            </w:r>
          </w:p>
          <w:p w14:paraId="1636116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一.整体要求</w:t>
            </w:r>
          </w:p>
          <w:p w14:paraId="6396593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1.要求配套的录播流媒体处理软件在出厂时内置于高清录播主机中。</w:t>
            </w:r>
          </w:p>
          <w:p w14:paraId="75F5B22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2.软件架构：软件需采用B/S架构设计，使用主流浏览器通过网络即可访问软件后台进行管理应用。</w:t>
            </w:r>
          </w:p>
          <w:p w14:paraId="4A7E672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3.自主知识产权：要求录播流媒体处理软件具备自主知识产权</w:t>
            </w:r>
          </w:p>
          <w:p w14:paraId="06564C3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p>
          <w:p w14:paraId="7C265D9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二.录播模块</w:t>
            </w:r>
          </w:p>
          <w:p w14:paraId="577EFCD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1.录制存储：要求在断网情况下也可以对本地教室进行视频录制，并将录制文件保存在录播主机的内置硬盘中。并要求支持1080P高清分辨率录制，采用MP4视频格式封装。</w:t>
            </w:r>
          </w:p>
          <w:p w14:paraId="7FECE10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2.录制模式：支持电影模式、资源模式等录制模式。电影模式下实现多路信号的复合成一路画面进行录制；资源模式下要求摄像机画面、电脑画面均可独立录制封装，实现多流录制。</w:t>
            </w:r>
          </w:p>
          <w:p w14:paraId="42D9F95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3.★要求录播主机支持录制质量设置，提供1080P、720P等高清标清质量选择，并支持自定义录制分辨率、fps（帧率）、bps（比特率）、gop（画面组）。</w:t>
            </w:r>
          </w:p>
          <w:p w14:paraId="78C9333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4.要求录播主机支持码流64Kbps～10Mbps自定义可设，并支持动态比特率或静态比特率两种模式，可主子码流同步录制。</w:t>
            </w:r>
          </w:p>
          <w:p w14:paraId="351F0CF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p>
          <w:p w14:paraId="4E35337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同步录制：要求支持U盘与服务器外挂存储等录制形式，有外设设备接入主机或已对接ftp与http存储服务器时，主机正常录制完成的文件将另存为一份保存到U盘与对应的存储服务器中，实现分布式录制集中存储与视频资源的自动归档。</w:t>
            </w:r>
          </w:p>
          <w:p w14:paraId="2D66166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7.★音频处理：要求内置音频处理模块，支持EQ均衡、AEC回声抑制、AGC自动增益、ANS噪声抑制等音频处理功能。</w:t>
            </w:r>
          </w:p>
          <w:p w14:paraId="2B4E0F8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8.录播主机支持摄像机云台控制技术，实现对接入摄像机的画面进行云台控制，包括画面上下左右移动、放大缩小变焦等操作。云台控制功能应具有鼠标快速定位功能，通过鼠标点击快速居中画面区域。</w:t>
            </w:r>
          </w:p>
          <w:p w14:paraId="3D6F95B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为保障系统使用便捷与工作稳定，要求录播主机支持基于计算机视觉CV技术的AI人工智能跟踪算法，无需额外配置跟踪辅助拍摄装置，实现画面自动跟踪切换以及全自动跟踪录制。完成教师走动全景、教师授课特写、学生起立特写与学生听课全景、教师课件等多画面的自动跟踪与切换。</w:t>
            </w:r>
          </w:p>
          <w:p w14:paraId="61D4601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录播主机支持自定义设置跟踪检测区域，避免如教室门窗窗帘、风扇空调、教学大屏等易产生额外干扰导致跟踪效果不佳的区域，自定义选择检测区域则该区域系统将在指定区域进行图像识别分析，保障课堂正常跟踪拍摄效果</w:t>
            </w:r>
          </w:p>
          <w:p w14:paraId="7F74FF9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11.★录播主机支持录像文件循环覆盖功能，开启循环覆盖功能后，录播硬盘在已存储90%的空间时，再次启动录制将删除录播内现存时间最早的录像文件以应对录制频率比较高的情况。</w:t>
            </w:r>
          </w:p>
          <w:p w14:paraId="35C813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12.录播主机支持FTP上传功能，使用者可自定义录像文件上传的FTP路径，并可勾选是否自动上传。</w:t>
            </w:r>
          </w:p>
          <w:p w14:paraId="16CF308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13.★录播主机支持全自动跟踪模式切换布局逻辑自定义，使用者可以按照自己的需求选择全自动跟踪所切换的画面内容与逻辑，且画面内容支持双分屏、画中画与自定义布局等。</w:t>
            </w:r>
          </w:p>
          <w:p w14:paraId="6AD6C87D">
            <w:pPr>
              <w:keepNext w:val="0"/>
              <w:keepLines w:val="0"/>
              <w:widowControl/>
              <w:suppressLineNumbers w:val="0"/>
              <w:spacing w:line="240" w:lineRule="auto"/>
              <w:jc w:val="left"/>
              <w:textAlignment w:val="center"/>
              <w:rPr>
                <w:rFonts w:hint="eastAsia"/>
                <w:color w:val="auto"/>
                <w:lang w:val="en-US" w:eastAsia="zh-CN"/>
              </w:rPr>
            </w:pPr>
            <w:r>
              <w:rPr>
                <w:rFonts w:hint="eastAsia" w:ascii="宋体" w:hAnsi="宋体" w:eastAsia="宋体" w:cs="宋体"/>
                <w:i w:val="0"/>
                <w:iCs w:val="0"/>
                <w:color w:val="auto"/>
                <w:kern w:val="0"/>
                <w:sz w:val="18"/>
                <w:szCs w:val="18"/>
                <w:u w:val="none"/>
                <w:lang w:val="en-US" w:eastAsia="zh-CN" w:bidi="ar"/>
              </w:rPr>
              <w:t>14.★录播主机与同品牌摄像机支持在多机位接入的情况下所有画面高度同步。在多画面布局以及多流录制、多流直播的使用场景下不同画面保持无延迟的播放效果，满足最佳的使用体验。</w:t>
            </w:r>
          </w:p>
          <w:p w14:paraId="0B072E5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三.导播模块</w:t>
            </w:r>
          </w:p>
          <w:p w14:paraId="4684D3C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1.本地导播：要求支持连接外接导播台进行控制导播，实现本地导播控制。</w:t>
            </w:r>
          </w:p>
          <w:p w14:paraId="2C518B3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2.WEB导播方式：支持基于web浏览器访问导播后台。</w:t>
            </w:r>
          </w:p>
          <w:p w14:paraId="43B5DE2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3.导播模式：支持全自动、半自动、手动三种导播模式，并支持录制过程中任意切换导播模式。</w:t>
            </w:r>
          </w:p>
          <w:p w14:paraId="7B687C0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4.导播预览：要求导播界面可实现接入画面的导播预览，预览画面需包括教师特写、教师全景、学生全景、学生特写、电脑画面等。并支持点击预览画面可自由切换录制画面进行录制。</w:t>
            </w:r>
          </w:p>
          <w:p w14:paraId="4FAEA7A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5.画面布局：提供双分屏、三分屏、画中画等录制布局，并支持自定义布局方式，支持多个视频图层自由叠加组合，自定义布局时可随意拖拉画面窗口。6.导播跟踪：要求支持自动、半自动、手动三种导播模式。</w:t>
            </w:r>
          </w:p>
          <w:p w14:paraId="118D9F0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7.摄像机预置位：要求支持8个摄像机云台预制位设置，导播过程中可便捷调取摄像机预设位置的画面。</w:t>
            </w:r>
          </w:p>
          <w:p w14:paraId="3005684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8.字幕台标：要求录制模式下支持Logo台标、字幕设置，可自主上传Logo图标、编辑字幕内容。</w:t>
            </w:r>
          </w:p>
          <w:p w14:paraId="49D8C26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9音量控制：要求可通过导播界面进行音量控制，调整相关输入输出音量大小。</w:t>
            </w:r>
          </w:p>
          <w:p w14:paraId="51ABA5B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10.录播主机支持片头片尾设置，可上传JPG格式图片作为录制默认的片头或片尾画面，并可自定义片头片尾显示时长，最高不超过10秒。</w:t>
            </w:r>
          </w:p>
          <w:p w14:paraId="480341C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11.★为保证录制效果与质量录播主机音频设置支持多场景设置配置，支持对录制、互动两个使用场景分别配置音频设置参数。并可在对应使用场景自动生效。</w:t>
            </w:r>
          </w:p>
          <w:p w14:paraId="212E918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12.★支持对录播主机任意线性音频输入通道做单独配置，提供无线MIC或多媒体设备等多种类型选择，支持对音频比特率与采样率进行配置，保障音频效果。</w:t>
            </w:r>
          </w:p>
          <w:p w14:paraId="4361001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13.★录播主机支持视频信号源标签设置，对摄像机实时拍摄信号或HDMI高清输入信号均可自定义名称标签，为导播控制与编辑灵活性提供便利。</w:t>
            </w:r>
          </w:p>
          <w:p w14:paraId="379A774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p>
          <w:p w14:paraId="2B51AFB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四.直播模块</w:t>
            </w:r>
          </w:p>
          <w:p w14:paraId="77DD49B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1.多流直播：要求支持RTMP和RTSP视频传输协议，支持不少于3路RTMP同步推流直播，并要求自定义选择主码流或子码流信号源进行推流，实现多流直播。</w:t>
            </w:r>
          </w:p>
          <w:p w14:paraId="2F5E492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2.直播码流：支持自定义直播分辨率和码率，最高支持1080P@30fps，以适应不同网络环境下保持直播的流畅性。</w:t>
            </w:r>
          </w:p>
          <w:p w14:paraId="77FB6B4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p>
          <w:p w14:paraId="787C4FA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五.互动模块</w:t>
            </w:r>
          </w:p>
          <w:p w14:paraId="471C625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1.支持H.323、SIP、BFCP、WebRTC等视音频互动协议技术，便捷进行远程互动教学应用，</w:t>
            </w:r>
          </w:p>
          <w:p w14:paraId="1A6AB45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2.★要求内置互动模块，无需额外部署MCU类设备即可支持“1+3”的互动授课模式，实现专递课堂教学应用。同时也需支持会议互动模式，创建或加入大规模视音频实时互动。</w:t>
            </w:r>
          </w:p>
          <w:p w14:paraId="117FCE6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14:paraId="27EB619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4.分组短号系统：为使用便捷，要求支持通过一个或多个短号实现快速发起互动，也可对通讯录自定义添加分组，对分组内账号进行快速批量呼叫。</w:t>
            </w:r>
          </w:p>
          <w:p w14:paraId="672624D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5.★发言权限控制：通过录播主机的网络导播界面，需支持主讲端在互动过程中对其余互动参与者的发言权限进行控制，支持单人禁言/开启以及全场禁言/开启的控制方式。</w:t>
            </w:r>
          </w:p>
          <w:p w14:paraId="1B52FAA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6.互动画质：要求录播主机在双向互动过程中，可实现1080P@30FPS画质，并支持网络自适应功能。</w:t>
            </w:r>
          </w:p>
          <w:p w14:paraId="1A5D777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要求录播主机支持呼叫应答设置，默认支持自动应答与勾选手动应答两种方式以满足在专递课堂场景下听讲端的自动入会，以及在其余场景下录播教室内的用户接收到互动申请可自主选择是否加入会议的情况。</w:t>
            </w:r>
          </w:p>
          <w:p w14:paraId="4DFF037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六.管理模块</w:t>
            </w:r>
          </w:p>
          <w:p w14:paraId="6D30166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1.视频修复：支持硬盘格式化功能，支持对设备异常断电、宕机造成的损坏视频文件进行修复。</w:t>
            </w:r>
          </w:p>
          <w:p w14:paraId="1E71538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2.版本切换：支持中英双语版本切换，适合不同用户的应用需求。要求通过网络导播界面即可便捷切换，无需进行更改授权、系统升级等复杂操作。</w:t>
            </w:r>
          </w:p>
          <w:p w14:paraId="4F8A06F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3.面板管控：支持接入控制面板，对录播设备进行唤醒、录制管理。</w:t>
            </w:r>
          </w:p>
          <w:p w14:paraId="11950B3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4.★权限管理：支持对主机后台设置管理员用户与普通用户两种使用权限，普通用户账号无法进行相关参数与配置修改。</w:t>
            </w:r>
          </w:p>
          <w:p w14:paraId="4E11487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5.★录播主机支持上电模式选择，提供通电后自动开机或通电后主机开机但出于睡眠状态以及通电后需手动开机三种模式选择。</w:t>
            </w:r>
          </w:p>
          <w:p w14:paraId="00F86B2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6.★录播主机支持定时休眠唤醒功能，提供精确到秒的自定义时间设置，可以单独设置是否定时休眠或者定时唤醒。</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F90A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7BFD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3DE1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0887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DC32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6385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AI智能跟踪处理软件</w:t>
            </w:r>
          </w:p>
          <w:p w14:paraId="3EB4CB8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1.摄像机跟踪逻辑分配：支持智能识别接入摄像机的使用定位，并联动摄像机选用对应的跟踪逻辑，如教师跟踪、学生跟踪等。</w:t>
            </w:r>
          </w:p>
          <w:p w14:paraId="23C548D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2.云台控制：支持对接入摄像机进行云台控制技术，实现画面的上下左右移动、放大缩小变焦等操作。</w:t>
            </w:r>
          </w:p>
          <w:p w14:paraId="413D419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3.检测区域设置：支持对接入摄像机的AI跟踪检测区域设置，可根据实景拍摄画面中框选跟踪区域，框选后只在区域中方能触发跟踪，所见所得方便操作。</w:t>
            </w:r>
          </w:p>
          <w:p w14:paraId="08C6D94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4.录制跟踪切换：根据设定的跟踪策略形成跟踪指令，实现多路接入摄像机的全自动AI跟踪画面切换。</w:t>
            </w:r>
          </w:p>
          <w:p w14:paraId="3506607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p>
          <w:p w14:paraId="0CC8D0A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跟踪屏蔽：支持设置跟踪屏蔽区域，如主动屏蔽掉教师观摩区、窗户窗帘、教室门口、大屏液晶电视等易干扰跟踪效果的地方，所屏蔽的地方系统将不对其进行AI分析跟踪运算，以避免这些地方干扰整体的跟踪效果。提供跟踪场景的屏蔽区域功能设置界面截图。</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9F7A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4B92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6253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0512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0452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录像设备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824C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高清摄像机</w:t>
            </w:r>
          </w:p>
          <w:p w14:paraId="7A633C7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1.传感器：要求采用CMOS类型图像传感器，尺寸≥1/2.5英寸</w:t>
            </w:r>
          </w:p>
          <w:p w14:paraId="53ABCF7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2.像素：有效像素不低于207万</w:t>
            </w:r>
          </w:p>
          <w:p w14:paraId="7679959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3.变焦：要求支持自动和手动变焦，变焦倍数≥12倍</w:t>
            </w:r>
          </w:p>
          <w:p w14:paraId="7FE401C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4.云台转动：要求具备机械云台可进行转动跟踪。水平转动速度范围不少于1.0° ~ 94.2°/s，垂直转动速度范围不少于1.0° ~ 74.8°/s</w:t>
            </w:r>
          </w:p>
          <w:p w14:paraId="77166F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5.拍摄视场角：要求水平视场角度范围不少于72.0° ~ 6.1°，垂直视场角度范围不少于43.2° ~ 3.5°</w:t>
            </w:r>
          </w:p>
          <w:p w14:paraId="6253153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6.视频编码：要求支持H.265、H.264高清视频编码协议</w:t>
            </w:r>
          </w:p>
          <w:p w14:paraId="387A912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7.视频输出：要求具备标准SDI视频输出口≥1，HDMI视频输出口≥1</w:t>
            </w:r>
          </w:p>
          <w:p w14:paraId="66666A9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8.背光补偿：要求具备背光补偿功能</w:t>
            </w:r>
          </w:p>
          <w:p w14:paraId="0477C73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9.控制协议：要求采用VISCA标准摄像机控制协议</w:t>
            </w:r>
          </w:p>
          <w:p w14:paraId="0386C04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10.通讯接口：要求具备RS232/RS422≥1</w:t>
            </w:r>
          </w:p>
          <w:p w14:paraId="2A77C7D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11.网络输出：要求具备标准RJ45网络接口，并支持RTSP协议支持网络视频输出</w:t>
            </w:r>
          </w:p>
          <w:p w14:paraId="1D36CB8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12.音频接口：要求具备不少于1路Line in输入口</w:t>
            </w:r>
          </w:p>
          <w:p w14:paraId="0E626A4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13.USB接口：要求具备USB Type-A≥1</w:t>
            </w:r>
          </w:p>
          <w:p w14:paraId="66EC257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14.预置位：要求支持设置摄像机预置位，预置位数量≥255</w:t>
            </w:r>
          </w:p>
          <w:p w14:paraId="4555B5A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15.图像翻转：要求支持图像水平、垂直翻转，适应摄像机不同的安装方式要求</w:t>
            </w:r>
          </w:p>
          <w:p w14:paraId="64BEEF9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16.一线通：要求与搭配的录播主机连接，可实现摄像机供电、控制以及视频信号传输</w:t>
            </w:r>
          </w:p>
          <w:p w14:paraId="1AB2628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17.AI跟踪：要求内置跟踪算法，无需增加任何辅助设备即可实现人像自动跟踪，包括水平运动、俯仰运动、变焦、聚焦四维实时跟踪</w:t>
            </w:r>
          </w:p>
          <w:p w14:paraId="7C4A8F7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18.跟踪逻辑自选：要求支持根据AI智能算法，同一摄像机可根据部署使用场景智能应用为教师、学生跟踪模式，无需手动设置</w:t>
            </w:r>
          </w:p>
          <w:p w14:paraId="4E7F95A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19.电源支持：支持录播主机供电、POC和DC12V电源适配器等供电方式</w:t>
            </w:r>
          </w:p>
          <w:p w14:paraId="15FD71F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20.要求摄像机与录播主机为同一品牌</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7C0A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B908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0DD6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E90A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CBB0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EB84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高清摄像机传输管理软件</w:t>
            </w:r>
          </w:p>
          <w:p w14:paraId="02546B9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1.摄像机管理软件采用B/S架构，支持通用浏览器直接访问进行管理。</w:t>
            </w:r>
          </w:p>
          <w:p w14:paraId="7D54CCD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2.支持曝光模式设置功能，包括自动、手动。</w:t>
            </w:r>
          </w:p>
          <w:p w14:paraId="1E8D6FF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3.支持抗闪烁频率、动态范围、光圈、快门参数设置。</w:t>
            </w:r>
          </w:p>
          <w:p w14:paraId="5446A65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4.支持自动白平衡设置功能，红、蓝增益可调。</w:t>
            </w:r>
          </w:p>
          <w:p w14:paraId="3CC3C6B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5.支持噪声抑制设置功能，支持2D、3D降噪。</w:t>
            </w:r>
          </w:p>
          <w:p w14:paraId="3E1F998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6.支持摄像机图像质量调节功能，包括亮度、对比度、色调、饱和度。</w:t>
            </w:r>
          </w:p>
          <w:p w14:paraId="124C7FB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7.支持摄像机控制功能，包括云台控制、预置位设置与调用、焦距调节等。</w:t>
            </w:r>
          </w:p>
          <w:p w14:paraId="5CB1C63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8.支持教师和学生的AI自动识别切换，根据部署位置、模式自主适配教师或学生的跟踪逻辑。</w:t>
            </w:r>
          </w:p>
          <w:p w14:paraId="3FDCFD8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9.支持AI人体特征识别，能够自动识别并锁定跟踪人，人物丢失后再进入拍摄区域可以继续识别锁定进行跟踪。</w:t>
            </w:r>
          </w:p>
          <w:p w14:paraId="4A72038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9.采用教师角色识别逻辑，可基于站立姿态、面/背向状态等多维判定，快速识别教师，避免学生站立影响。</w:t>
            </w:r>
          </w:p>
          <w:p w14:paraId="0A5806C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10.支持划分自动跟踪区域，当锁定跟踪人物走出自动跟踪区域时即停止跟踪，直到重新回到区域出现在画面中为止。</w:t>
            </w:r>
          </w:p>
          <w:p w14:paraId="3EF7F61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11.支持设置跟踪锁定解除时间，被锁定教师人员脱离画面跟踪区域后，在跟踪锁定解除时间到达之后自动解除人员锁定，回归默认状态，等待下一位人员进入画面中开始重新锁定跟踪。</w:t>
            </w:r>
          </w:p>
          <w:p w14:paraId="4DA2E59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12.支持五分像、七分像、全身像等多种教师图像跟踪画面模式，根据实际需要设置选用教师跟踪画面的大小。</w:t>
            </w:r>
          </w:p>
          <w:p w14:paraId="7AFC273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13.支持学生智能跟踪，根据学生站立/做下动作状态，进行学生特写跟踪拍摄，并通知录播主机完成画面切换。</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3815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8D5D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59D2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03C6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11E0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0CC3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音频处理器</w:t>
            </w:r>
          </w:p>
          <w:p w14:paraId="07A29C8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1.采用工业级嵌入式架构，稳定可靠，音频处理部分和无线麦接收部分一体化设计；</w:t>
            </w:r>
          </w:p>
          <w:p w14:paraId="79FCDA5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2.集成自动噪音抑制技术，（去除包含空调、排气扇等噪音干扰）保证声音质量；</w:t>
            </w:r>
          </w:p>
          <w:p w14:paraId="0A9BF0D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3.内置U段无线麦接收模块，可配2只无线发射端，支持头戴、领夹、手持任意组合；</w:t>
            </w:r>
          </w:p>
          <w:p w14:paraId="05CA714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4.可通过网络进行远程监听，软件升级和参数配置；</w:t>
            </w:r>
          </w:p>
          <w:p w14:paraId="299F99C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5.8路差分输入，支持软硬件48V幻象供电开启关闭；4路单声道Line-IN输入；4路平衡输出；8路平衡输入可做16段EQ处理；</w:t>
            </w:r>
          </w:p>
          <w:p w14:paraId="08347DF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6.支持智能混音、抗混响、回声消除、AGC功能及远程回声消除；</w:t>
            </w:r>
          </w:p>
          <w:p w14:paraId="26A162F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数字音频主机具有可视化环境声场检测软件，根据GB-50118提出的教室声环境国家标准，数字音频主机能够检测标准中要求的：不同频段混响时间、背景噪音、语言传输指数STIPA、C50等声学参数，以应对各类复杂教室声学环境；</w:t>
            </w:r>
          </w:p>
          <w:p w14:paraId="4FE8444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8.回声抑制比：＞60dB；环境噪声消除，稳态噪声消除比：30dB ；频率响应 ：20Hz-16KHz；  </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A7C5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9AB6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19A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B66F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46CC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CE60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高保真话筒</w:t>
            </w:r>
          </w:p>
          <w:p w14:paraId="32DDAF0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单体：背极式驻极体</w:t>
            </w:r>
          </w:p>
          <w:p w14:paraId="3C4474F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指向性：超心型</w:t>
            </w:r>
          </w:p>
          <w:p w14:paraId="2E1400E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频率响应：40Hz—16kHz</w:t>
            </w:r>
          </w:p>
          <w:p w14:paraId="5B628A3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低频衰减：内置</w:t>
            </w:r>
          </w:p>
          <w:p w14:paraId="3515786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灵敏度：-29dB±3dB（1dB=1V/Pa at 1kHz.</w:t>
            </w:r>
          </w:p>
          <w:p w14:paraId="3916685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 输出抗阻：500Ω±20%（at 1kHz.</w:t>
            </w:r>
          </w:p>
          <w:p w14:paraId="4570A3F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最大声压级：130dB（T.H.D≤1% at 1kHz.</w:t>
            </w:r>
          </w:p>
          <w:p w14:paraId="61AD9AF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 信噪比：70dB（1KHz at 1Pa.</w:t>
            </w:r>
          </w:p>
          <w:p w14:paraId="0693D97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 动态范围：106dB（1kHz at Max SPL.</w:t>
            </w:r>
          </w:p>
          <w:p w14:paraId="2580A3F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 使用电源：48V 幻象电源（48V DC.，2mA</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6A3E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1E4C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14:paraId="71A0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1317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9B8C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录播控制面板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FC52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录播控制面板</w:t>
            </w:r>
          </w:p>
          <w:p w14:paraId="18F1F85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1.一键式录播系统电源开关机。</w:t>
            </w:r>
          </w:p>
          <w:p w14:paraId="6CE2C72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2.一键式录制、停止、锁定电脑信号；</w:t>
            </w:r>
          </w:p>
          <w:p w14:paraId="1FC2115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一键式开启录播系统的录播模式和互动模式；</w:t>
            </w:r>
          </w:p>
          <w:p w14:paraId="3F6E9C0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4.一键式发起与远端设备互动连接；</w:t>
            </w:r>
          </w:p>
          <w:p w14:paraId="020165F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5.一键式“一键静音”功能，主讲端可一键关闭远端互动教室发言，进入主讲授课模式。                                                                      6.支持控制面板切换互动画面的信号源，并传输到听课室，包括本地老师信号、学生信号、电脑信号、远端课室画面。</w:t>
            </w:r>
          </w:p>
          <w:p w14:paraId="2C814D9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7.支持对各画面的自由布局控制，包括单画面全屏、双分屏、三分屏、四分屏、画中画，并传输到听课室。</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6614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8FF3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2ACF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D2BF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5B79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9D4D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录播电源管理器</w:t>
            </w:r>
          </w:p>
          <w:p w14:paraId="6BEC4CD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1.支持对录播系统控制功能；</w:t>
            </w:r>
          </w:p>
          <w:p w14:paraId="79FCE20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2.向录播视频系统、音频系统、显示系统提供统一的、至少八路电源管理；从而实现对录播系统的远程集中统一控制。</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4726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A5A2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A8F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C90F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9DF6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5C05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互动显示屏</w:t>
            </w:r>
          </w:p>
          <w:p w14:paraId="12ADEF0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要求为LED液晶智能电视；能效等级：等于或优于2级；屏幕尺寸：55英寸；屏幕比例：16:9；物理分辨率：3840*2160；产品功耗：≤200W；待机功率：≤0.5W;有线/WIFI/蓝牙功能；输入端口：HDMI 接口：2个；USB2.0*2路；网络接口：1路；具备机身按键。</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280C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4460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4EFA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DF06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F3EE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82DFE">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教室音箱</w:t>
            </w:r>
          </w:p>
          <w:p w14:paraId="3B53B33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频率响应：70Hz-18KHz(-6dB）</w:t>
            </w:r>
          </w:p>
          <w:p w14:paraId="5929DD4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标称阻抗：8Ω</w:t>
            </w:r>
          </w:p>
          <w:p w14:paraId="1CBF48E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灵敏度：94dB</w:t>
            </w:r>
          </w:p>
          <w:p w14:paraId="3A77F4D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额定功率（AES）：150W</w:t>
            </w:r>
          </w:p>
          <w:p w14:paraId="6854FA8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分频点：2.5KHZ</w:t>
            </w:r>
          </w:p>
          <w:p w14:paraId="60E9ACF9">
            <w:pPr>
              <w:keepNext w:val="0"/>
              <w:keepLines w:val="0"/>
              <w:widowControl/>
              <w:suppressLineNumbers w:val="0"/>
              <w:spacing w:line="240" w:lineRule="auto"/>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低音单元：8”纸盆低音（38mm音圈）</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BBE0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4908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5346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4B8F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E2F7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E36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教室功放</w:t>
            </w:r>
          </w:p>
          <w:p w14:paraId="6820DF0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输出功率，1 kHz, 0.1 % 削波</w:t>
            </w:r>
          </w:p>
          <w:p w14:paraId="283573D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8Ω 双通道驱动350W</w:t>
            </w:r>
          </w:p>
          <w:p w14:paraId="54E8800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4Ω 双通道驱动500W</w:t>
            </w:r>
          </w:p>
          <w:p w14:paraId="67DB370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信号到噪音 (20 Hz -20 kHz)100 Db</w:t>
            </w:r>
          </w:p>
          <w:p w14:paraId="5BC79AE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输入灵敏度1.2Vrms</w:t>
            </w:r>
          </w:p>
          <w:p w14:paraId="50C9221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电压增益 (8Ω)32.2dB    </w:t>
            </w:r>
          </w:p>
          <w:p w14:paraId="7038E94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输出电路B级     </w:t>
            </w:r>
          </w:p>
          <w:p w14:paraId="7986D7D0">
            <w:pPr>
              <w:keepNext w:val="0"/>
              <w:keepLines w:val="0"/>
              <w:widowControl/>
              <w:suppressLineNumbers w:val="0"/>
              <w:spacing w:line="240" w:lineRule="auto"/>
              <w:jc w:val="left"/>
              <w:textAlignment w:val="center"/>
              <w:rPr>
                <w:rFonts w:hint="eastAsia"/>
                <w:color w:val="auto"/>
              </w:rPr>
            </w:pPr>
            <w:r>
              <w:rPr>
                <w:rFonts w:hint="eastAsia" w:ascii="宋体" w:hAnsi="宋体" w:eastAsia="宋体" w:cs="宋体"/>
                <w:i w:val="0"/>
                <w:iCs w:val="0"/>
                <w:color w:val="auto"/>
                <w:kern w:val="0"/>
                <w:sz w:val="18"/>
                <w:szCs w:val="18"/>
                <w:u w:val="none"/>
                <w:lang w:val="en-US" w:eastAsia="zh-CN" w:bidi="ar"/>
              </w:rPr>
              <w:t>功率要求（1/8 功率，粉红噪音6.3A 6A 11.5A在4Ω220VAC时）</w:t>
            </w:r>
            <w:r>
              <w:rPr>
                <w:rFonts w:hint="eastAsia" w:ascii="宋体" w:hAnsi="宋体" w:eastAsia="宋体" w:cs="宋体"/>
                <w:color w:val="auto"/>
                <w:sz w:val="18"/>
                <w:szCs w:val="18"/>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F15F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A365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67F6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84B1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71D5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机柜、机架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008C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规格：600×600×1200mm</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8F46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F53B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509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C853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8850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999A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接入层24口POE交换机</w:t>
            </w:r>
          </w:p>
          <w:p w14:paraId="60D744D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1、交换容量≥335Gbps，转发性能≥125Mpps（以官网最小值为准)，提供官网截图和链接证明。</w:t>
            </w:r>
          </w:p>
          <w:p w14:paraId="6D1141B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2、固化10/100/1000M以太网端口≥24个， 1G SFP光接口≥4个。</w:t>
            </w:r>
          </w:p>
          <w:p w14:paraId="75D90D5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3、支持IPv4和IPv6的静态路由。</w:t>
            </w:r>
          </w:p>
          <w:p w14:paraId="6FFF510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4、支持高效节能以太网（EEE），端口如果在连续一段时间之内空闲，系统会将该端口设置为节能模式，当有报文收发时再通过定时发送的监听码流唤醒端口恢复业务，达到节能的效果。</w:t>
            </w:r>
          </w:p>
          <w:p w14:paraId="2D62DC0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5、支持CPU保护功能，支持VSU虚拟化技术。</w:t>
            </w:r>
          </w:p>
          <w:p w14:paraId="458F924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★6、支持专门基础网络保护机制，能够限制用户向网络中发送数据包的速率，对有攻击行为的用户进行隔离，保证设备和整网的安全稳定运行。</w:t>
            </w:r>
          </w:p>
          <w:p w14:paraId="040CE11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7、支持SNMP、CLI(Telnet/Console)、Syslog、NTP、TFTP、Web。</w:t>
            </w:r>
          </w:p>
          <w:p w14:paraId="50C3893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8、提供工信部设备进网许可证。</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128C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844E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88F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8176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5AA9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讲台</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3F78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讲台</w:t>
            </w:r>
          </w:p>
          <w:p w14:paraId="09B4E20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升降范围: 735-1135mm</w:t>
            </w:r>
          </w:p>
          <w:p w14:paraId="4135E77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外形尺寸：690*560*735/1135mm</w:t>
            </w:r>
          </w:p>
          <w:p w14:paraId="566C9E9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最大承重: 60kgs</w:t>
            </w:r>
          </w:p>
          <w:p w14:paraId="6F0257B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配 件：挡书条+平板槽</w:t>
            </w:r>
          </w:p>
          <w:p w14:paraId="2F85856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桌面: MDF吸塑板, 690*470*18mm</w:t>
            </w:r>
          </w:p>
          <w:p w14:paraId="05D51AF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支架: 铝, 喷粉</w:t>
            </w:r>
          </w:p>
          <w:p w14:paraId="715AE1F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桌脚: 金属, 喷粉</w:t>
            </w:r>
          </w:p>
          <w:p w14:paraId="38ED9228">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轮子: 2.0'万向轮, 2轮可锁定</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F988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9CB2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6CA7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AF0E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A910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拼接多功能桌</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C855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拼接多功能桌</w:t>
            </w:r>
          </w:p>
          <w:p w14:paraId="2D3E5F6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台面板 采用优质刨花板（三聚氰胺板），甲醛释放量≤0.124mg/m3，静曲强度≤11.0Mpa，弹性模量≤1600Mpa，内胶合强度≤0.35Mpa，表面胶合强度≤0.80Mpa，2h吸水厚度膨胀率≤8.0%；等所有参数均符合国家最新E1级环保标准，符合GB/T 4897-2015相关标准。长为1200mm，宽为550mm，厚度25mm，面粘三聚氰胺胶面，采用优质PVC封边条，厚度1.5mm，外观检测合格，耐干热性、耐磨性、耐开裂性、耐老化性、耐冷热循环性、耐光色牢度均合格，甲醛释放量未检出，邻苯二甲酸酯未检出，多溴联苯未检出，氯乙烯单台未检出，可迁移元素（铅、镉、铬、汞、砷、钡、锑、硒）含量均≤5mg/kg。台面形状是长条形。（面板可封PU胶边封边，可加配笔槽、线盒）</w:t>
            </w:r>
          </w:p>
          <w:p w14:paraId="458E080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台面托架 采用优质冷轧钢板经冲压折弯工艺一体而成，长280MM*宽30MM材料壁厚：（2.8MM）表面采用防锈静电喷涂处理,实用牢固，承受力大。</w:t>
            </w:r>
          </w:p>
          <w:p w14:paraId="0F80D6A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折叠机构 桌子两侧采用优质高精度冷轧60圆形钢管，材料壁厚：（4.0MM），焊接在锥形立柱上，是产品接头工艺更加牢固，耐用，不易断裂。需安装舌芯+铝芯+弹簧折叠装置，中间配制六角管传动轴连接铝芯，外侧配置优质PP一体成型旋钮开关，任何一侧只需轻轻一扭便可折叠， </w:t>
            </w:r>
          </w:p>
          <w:p w14:paraId="7C8A5C5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前挡板 采用优质高密度冷轧钢板，长为930mm，宽为340mm，壁厚为0.8mm ，档板四周以折弯工艺完成让档板更牢固耐用，抗变型，挡板表面经防锈静电喷涂处理后使挡板更加美观大方(注：挡板长度跟随定制尺寸变化，宽度不变）</w:t>
            </w:r>
          </w:p>
          <w:p w14:paraId="56B49A9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侧脚 采用优质高精度冷轧锥形钢管，锥形管经弯管工艺及装配塑胶配件而成， 前后脚跨度为590mm，管材壁厚平均为1.2mm ，表面经防锈静电喷涂处理，整体牢固耐用，美观大方，抗变型。</w:t>
            </w:r>
          </w:p>
          <w:p w14:paraId="6C11F48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横梁 采用优质φ50MM圆形冷轧钢管，长度为1035MM壁厚1.2MM,表面再经防锈静电喷涂处理，实用牢固，承受力大。（横梁长度跟随定制尺寸变化）</w:t>
            </w:r>
          </w:p>
          <w:p w14:paraId="5BEBD12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书网 采用优质φ14MM圆管 长度为940MM(厚度为0.8mm)经塑料件与圆管组合成型表面采用防锈静电喷涂处理。(书网长度跟随定制尺寸变化）</w:t>
            </w:r>
          </w:p>
          <w:p w14:paraId="7DC80B6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外观设计 采用人体工程理念及个性化需求，整件产品拼接好，接缝齐整，整体颜色基本相符，过渡自然;台架有旋钮拆叠装置，脚轮采用φ50MM  PU万向脚轮带刹车，造型美观大方，有现代特色。</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CEC6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DA25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14:paraId="731D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913F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323B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多功能折叠椅</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5644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多功能折叠椅</w:t>
            </w:r>
          </w:p>
          <w:p w14:paraId="767637E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靠背 靠背采用PP+20%纤维，连接件装饰盖采用ABS材质，无扶手连接件采用PP+10%纤维，胶条采用PE材料，</w:t>
            </w:r>
          </w:p>
          <w:p w14:paraId="2697C9D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扶手 扶手采用PP材质，扶手可以滑动</w:t>
            </w:r>
          </w:p>
          <w:p w14:paraId="206803E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坐垫 坐垫定型海绵采用聚合物多元醇二苯基甲烷二异氰酸酯，座布采用长丝pp+纤维材质，坐垫底盘采用PP材质，</w:t>
            </w:r>
          </w:p>
          <w:p w14:paraId="6F081E1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铁框架 椅架采用33mmX20mm壁厚1.2MM优质冷轧钢管，椅架中间采用直径19圆管壁厚1.5mm做横梁连接，使椅架更加牢固稳定，安装坐垫时，不易变形；椅架焊接采用全自动机械手焊接，焊口精确牢固、平滑美观；脚轮：采用φ50MM普通尼龙材质+PVC，静音设置，移动时不会发出噪音；脚塞采用pp+30%纤维材质</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1B09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8745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r>
      <w:tr w14:paraId="0685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AEA0C">
            <w:pPr>
              <w:spacing w:line="240" w:lineRule="auto"/>
              <w:jc w:val="center"/>
              <w:rPr>
                <w:rFonts w:hint="eastAsia" w:ascii="宋体" w:hAnsi="宋体" w:eastAsia="宋体" w:cs="宋体"/>
                <w:i w:val="0"/>
                <w:iCs w:val="0"/>
                <w:color w:val="auto"/>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CFC7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多媒体教学系统</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D1B1B">
            <w:pPr>
              <w:spacing w:line="240" w:lineRule="auto"/>
              <w:jc w:val="left"/>
              <w:rPr>
                <w:rFonts w:hint="eastAsia" w:ascii="宋体" w:hAnsi="宋体" w:eastAsia="宋体" w:cs="宋体"/>
                <w:i w:val="0"/>
                <w:iCs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40C73">
            <w:pPr>
              <w:spacing w:line="240" w:lineRule="auto"/>
              <w:jc w:val="center"/>
              <w:rPr>
                <w:rFonts w:hint="eastAsia" w:ascii="宋体" w:hAnsi="宋体" w:eastAsia="宋体" w:cs="宋体"/>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7FCFD">
            <w:pPr>
              <w:spacing w:line="240" w:lineRule="auto"/>
              <w:jc w:val="center"/>
              <w:rPr>
                <w:rFonts w:hint="eastAsia" w:ascii="宋体" w:hAnsi="宋体" w:eastAsia="宋体" w:cs="宋体"/>
                <w:i w:val="0"/>
                <w:iCs w:val="0"/>
                <w:color w:val="auto"/>
                <w:sz w:val="18"/>
                <w:szCs w:val="18"/>
                <w:u w:val="none"/>
              </w:rPr>
            </w:pPr>
          </w:p>
        </w:tc>
      </w:tr>
      <w:tr w14:paraId="18CE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8"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33FD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326C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A405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86寸交互智能平板</w:t>
            </w:r>
          </w:p>
          <w:p w14:paraId="7241C57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一、整机设计</w:t>
            </w:r>
          </w:p>
          <w:p w14:paraId="084EAC3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1.智能交互平板整体采用一体化设计，外部无任何可见内部功能模块连接线，采用全金属外壳设计，边角采用弧形设计，表面无尖锐边缘或凸起</w:t>
            </w:r>
          </w:p>
          <w:p w14:paraId="5EAC585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2.★整机采用UHD超高清LED液晶屏，A规屏，显示尺寸≧86英寸，分辨率：3840*2160 ，采用红外触控技术，在双系统下均支持20点同时触控及书写（提供CMA或CNAS认证测机构出具的检测报告）</w:t>
            </w:r>
          </w:p>
          <w:p w14:paraId="49734A8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3.为保证屏体画面色彩质量，屏体对比度≥4000：1，最大可视角度≥178度，灰度等级≥256级，色彩覆盖率≥85%，色彩度≥10bit（提供CMA或CNAS认证测机构出具的检测报告）</w:t>
            </w:r>
          </w:p>
          <w:p w14:paraId="1E059D7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4.★屏幕表面采用钢化玻璃全贴合技术，玻璃厚度≤3mm，屏幕玻璃表面硬度≥9H，防撞防划，具备防眩光效果（提供CMA或CNAS认证测机构出具的检测报告）</w:t>
            </w:r>
          </w:p>
          <w:p w14:paraId="3A8D3ED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5.交互平板功率≤400W，且符合GB21520-2015能源1级要求（提供CMA或CNAS认证测机构出具的检测报告）</w:t>
            </w:r>
          </w:p>
          <w:p w14:paraId="4E0F397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6.不应出现可察觉得闪烁：闪烁等级≤-30dB，亮度均匀性：≧70%（提供CMA或CNAS认证测机构出具的检测报告）</w:t>
            </w:r>
          </w:p>
          <w:p w14:paraId="59F53DC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7.整机具备至少3路前置双通道USB接口，插入U盘自动打开，1路HDMI接口，接入信号源自动跳转，不接受扩展坞形式（提供CMA或CNAS认证测机构出具的检测报告）；</w:t>
            </w:r>
          </w:p>
          <w:p w14:paraId="00F5440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8.为保护学生眼部视力健康，符合GB40070-2021国家儿童青少年学习用品防控卫生要求标准，屏体亮度≤400cd/㎡，蓝光防护要求达到RG0（提供国家儿童青少年学习用品防控卫生要求检测报告）；</w:t>
            </w:r>
          </w:p>
          <w:p w14:paraId="167451C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9.★为方便用户外接拓展设备，整机USB接口≥4个，其中至少包含2路双通道接口，标配VGA输入接口≥1路，音频输入≥1，音频输出≥1（提供CMA或CNAS认证测机构出具的检测报告）；</w:t>
            </w:r>
          </w:p>
          <w:p w14:paraId="6FB021C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10.★为方便教师使用，交互平板具有笔槽放置书写笔、粉笔、水性笔等教学工具</w:t>
            </w:r>
          </w:p>
          <w:p w14:paraId="54F123C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11.整机具备前置按键，可实现一键开关机、音量+/-、护眼等基础操作，并且每个按键具有多种不同的功能（提供CMA或CNAS认证测机构出具的检测报告）</w:t>
            </w:r>
          </w:p>
          <w:p w14:paraId="469BA33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12.前置面板具有标识的天线模块，PC模块无任何外接或转接天线，网卡可实现Wi-Fi无线上网连接；Wi-Fi支持频段 2.4GHz/5GHz ，满足IEEE 802.11 a/b/g/n/ac标准；（提供CMA或CNAS认证测机构出具的检测报告）</w:t>
            </w:r>
          </w:p>
          <w:p w14:paraId="7963BCB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13.★前置U盘接口采用隐藏式设计，具有翻转式防护盖板，高度不少于4cm（提供CMA或CNAS认证测机构出具的检测报告）</w:t>
            </w:r>
          </w:p>
          <w:p w14:paraId="7D7E5C4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14.为方便用户售后维修，前置接口面板和前置按键面板支持单独前拆，无需拆卸智能平板背板（提供CMA或CNAS认证测机构出具的检测报告）</w:t>
            </w:r>
          </w:p>
          <w:p w14:paraId="0F7B100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15.整机内置≥2.0声道扬声器，额定总功率≥40W，谐振频率≤260Hz，可单独对高音、低音、平衡音进行调整可对高低音进行调整（提供CMA或CNAS认证测机构出具的检测报告）</w:t>
            </w:r>
          </w:p>
          <w:p w14:paraId="50B9F75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16.★设备具备无线MIC输入接口，可通过设备进行无线扩音，一体机关机通电的状况下，仍可通过音箱实现无线扩声。（提供CMA或CNAS认证测机构出具的检测报告）</w:t>
            </w:r>
          </w:p>
          <w:p w14:paraId="075E1DA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17.★采用物理减滤蓝光设计，不接受通过菜单或按键设置方式进行防蓝光模式与非防蓝光模式的切换，扫描设备自带的二维码可获取检测机构的认证证书；（提供CMA或CNAS认证测机构出具的检测报告）</w:t>
            </w:r>
          </w:p>
          <w:p w14:paraId="4FBE879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18.★具有一体化摄像头，支持1200W像素以上，视场角大于120°， 支持降噪功能，支持扫描二维码功能，支持搭配人脸识别实现互动教学功能，具备摄像头工作指示灯，运行时，指示灯具备提示功能。（提供CMA或CNAS认证测机构出具的检测报告）；</w:t>
            </w:r>
          </w:p>
          <w:p w14:paraId="31B6AF7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19.★整机具备前置针孔式设计电脑还原按键，不需专业人员即可轻松解决电脑系统故障，并有配有中文标识；（提供CMA或CNAS认证测机构出具的检测报告）</w:t>
            </w:r>
          </w:p>
          <w:p w14:paraId="36105A8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20.设备支持录屏功能，通过前置按键的方式一键启动，可将屏幕中显示的课件、音频内容与老师人声同时录制。（提供CMA或CNAS认证测机构出具的检测报告）；</w:t>
            </w:r>
          </w:p>
          <w:p w14:paraId="20B2961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21.机身浪涌（冲击）抗扰度满足GB/T 17626.5-2019标准，电快速瞬变脉冲群抗扰度试验满足GB/T 17626.4-2018标准；</w:t>
            </w:r>
          </w:p>
          <w:p w14:paraId="141CF4A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22.具备供电保护模块，在插拔式电脑未固定的情况下，不给插拔式电脑供电。</w:t>
            </w:r>
          </w:p>
          <w:p w14:paraId="34C2113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二、主要功能：</w:t>
            </w:r>
          </w:p>
          <w:p w14:paraId="5C7022F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23.通过多指滑动屏幕，可快速实现Windows与教学系统界面的切换；</w:t>
            </w:r>
          </w:p>
          <w:p w14:paraId="44BFB30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24.支持在任意通道下，通过前置物理按键打开教学应用桌面</w:t>
            </w:r>
          </w:p>
          <w:p w14:paraId="5504B8D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25.★为满足教师不同教学场景的使用需求，设备需支持三种以上方式进行屏幕下移，屏幕下移后仍可进行触控、书写等操作，不影响教师正常教学（提供CMA或CNAS认证测机构出具的检测报告）；</w:t>
            </w:r>
          </w:p>
          <w:p w14:paraId="48934F5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26.Android主板四核CPU，Android系统不低于11.0，主页提供不少于5个应用程序，也可替代其他应用程序；（提供CMA或CNAS认证测机构出具的检测报告）</w:t>
            </w:r>
          </w:p>
          <w:p w14:paraId="6DCCC66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27.支持多指长按屏幕部分达到息屏及屏幕唤醒功能；</w:t>
            </w:r>
          </w:p>
          <w:p w14:paraId="6B4456B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28.安卓系统切换到WINDOWS系统速度≤1秒，外接信号源HDMI到内置电脑≤3秒；</w:t>
            </w:r>
          </w:p>
          <w:p w14:paraId="3A124C0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29.隐藏式菜单功能，整机在任意通道下，左右两侧可提供与教学应用密切相关的快捷键，可自定义设置为经典模式和极简模式，无论哪种模式都至少具有关闭窗口、屏幕下移等常用功能；</w:t>
            </w:r>
          </w:p>
          <w:p w14:paraId="6DAB458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30.★整机具有悬浮菜单，两指可快速移动悬浮菜单至按压位置，悬浮菜单可进行自定义分组，可添加多屏互动软件等不少于30个应用；（提供CMA或CNAS认证测机构出具的检测报告）</w:t>
            </w:r>
          </w:p>
          <w:p w14:paraId="090402E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通过五指抓操作屏幕任意位置可调出多任务窗口，对正在运行的应用进行浏览，快速切换或结束进程，同时可通过五指按压实现对屏幕的开关，实现整机背光的关闭与开启；（提供CMA或CNAS认证测机构出具的检测报告）</w:t>
            </w:r>
          </w:p>
          <w:p w14:paraId="7A8B341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32.整机表面覆盖玻璃选用国标优等品，面板的抗冲击性、霰弹袋冲击性能、耐热冲击性能均符合GB 15763.2-2005标准，表面应力≥90Mpa,弯曲度≤0.3%，适应学校复杂环境，保障教学安全；</w:t>
            </w:r>
          </w:p>
          <w:p w14:paraId="2E32A8B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33.交互平板处于关机通电状态，外接电脑、机顶盒等设备接入交互平板时，交互平板可识别到外接设备的输入信号后自动开机；</w:t>
            </w:r>
          </w:p>
          <w:p w14:paraId="66F4E71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34.支持windows系统和安卓系统，同一界面下实现windows教学应用和安卓系统应用的快捷调用。</w:t>
            </w:r>
          </w:p>
          <w:p w14:paraId="454FF48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触摸系统</w:t>
            </w:r>
          </w:p>
          <w:p w14:paraId="0B6DE38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采用红外触控技术，在双系统下均支持20点同时触控及书写；</w:t>
            </w:r>
          </w:p>
          <w:p w14:paraId="6952D0C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触摸屏在照度200k lux 环境下可正常工作；</w:t>
            </w:r>
          </w:p>
          <w:p w14:paraId="5371989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触摸响应时间≤4ms，最小识别物≤2mm，书写延迟速度≤15ms；</w:t>
            </w:r>
          </w:p>
          <w:p w14:paraId="078BDBC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触摸屏具有防遮挡功能，触摸接收器在单点或多点遮挡后仍能正常书写；</w:t>
            </w:r>
          </w:p>
          <w:p w14:paraId="227A1A1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红外技术支持HID免驱协议，window7/8/10/Mac os/Linux/国产化系统下自动识别，无需额外安装驱动程序；</w:t>
            </w:r>
          </w:p>
          <w:p w14:paraId="27D8019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内置电脑</w:t>
            </w:r>
          </w:p>
          <w:p w14:paraId="61280EF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35.采用80pin Intel通用标准接口,即插即用，易于维护；</w:t>
            </w:r>
          </w:p>
          <w:p w14:paraId="4C8C81A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36.CPU采用Intel第9代及以上平台处理器酷睿I5处理器；</w:t>
            </w:r>
          </w:p>
          <w:p w14:paraId="10982E2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37.内存：≥8G DDR4；硬盘：≥256G SSD固态硬盘； </w:t>
            </w:r>
          </w:p>
          <w:p w14:paraId="6A2055B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38.接口：整机非外扩展具备5个USB接口；具有独立非外扩展的视频输出接口：≥1路HDMI等，≥1路DP；</w:t>
            </w:r>
          </w:p>
          <w:p w14:paraId="15B8B5A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39.内置电脑模块品牌与触控一体机品牌一致。</w:t>
            </w:r>
          </w:p>
          <w:p w14:paraId="65AABF5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教学软件</w:t>
            </w:r>
          </w:p>
          <w:p w14:paraId="4FB45E6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1.提供互动教学应用软件统一入口：可整合互动应用软件，集中管理，方便老师在各软件之间的切换和使用； </w:t>
            </w:r>
          </w:p>
          <w:p w14:paraId="707A00E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支持免登录直接使用本地教学工具，支持账号、U盘和扫码三种方式登录；老师的每个个人账号提供不少于45G云端存储空间，无需用户通过完成特定任务才能获取，注册即得，方便老师存储资料；（提供CMA或CNAS认证测机构出具的检测报告）</w:t>
            </w:r>
          </w:p>
          <w:p w14:paraId="4A89848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3.提供音、视频编辑功能；视频文件可一键全屏播放，支持动态截图，截取图片可自动生成图片索引栏，图片索引栏可跨页面显示并展示打开；</w:t>
            </w:r>
          </w:p>
          <w:p w14:paraId="680891E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课堂互动工具：能够创建知识连线、互动分类、选词填空、趣味竞赛、翻翻卡、连词成句、判断对错、比大小等互动类游戏，每类互动游戏提供至少12个适用普教K12不同学科、学段风格的模板，直接选择并输入相应内容即可轻松生成互动分类游戏，课堂互动模板中背景、各个元素图标可替换为其他风格，也可设置为本地图片；（提供CMA或CNAS认证测机构出具的检测报告）</w:t>
            </w:r>
          </w:p>
          <w:p w14:paraId="4CD196A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学科工具：至少提供12门以上学科工具，包含语文、数学、英语、物理、化学、生物、地理、历史、音乐、体育、书法等；针对以上学科，学科工具里包含内容丰富，其中交互式操作的动画支持一键全屏显示，批注标记；（提供CMA或CNAS认证测机构出具的检测报告） </w:t>
            </w:r>
          </w:p>
          <w:p w14:paraId="59D0933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数学学科工具：包含公式、动态课件、立体图形、平面图形；公式工具可实现数学公式编辑，提供常规输入与LaTeX模式两种输入方式；动态课件可根据年级章节选择动态课件一键插入、个人动态课件制作编辑；平面图形工具提供线段、角、弧、三角形、正方形等各种几何图形，支持图形动点调整、一键插入白板；</w:t>
            </w:r>
          </w:p>
          <w:p w14:paraId="17F0E44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生物学科工具提供显微镜功能，模拟实物显微镜，可以进行装片展示，物镜目镜调整及旋转聚焦等操作；提供氨基酸、核苷酸、染色体、细胞膜、信息传递等工具，可进行R基替换、脱水缩合、互补配对、聚合、信息传递等相应的操作演示，为方便向学生展示，学科工具支持一键全屏播放；（提供CMA或CNAS认证测机构出具的检测报告）</w:t>
            </w:r>
          </w:p>
          <w:p w14:paraId="378BB73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提供CMA或CNAS认证测机构出具的检测报告）</w:t>
            </w:r>
          </w:p>
          <w:p w14:paraId="359B409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书写工具:为方便教师授课板书，提供粉笔、硬笔、智能笔、纹理笔、图章笔、手势笔等不少于9种书写工具；老师可通过手势笔实现多种手势教学，如圈选即可识别为选中对象，画圆即可识别为聚光灯，画方形为放大镜功能，左右划线为前后翻页等，为方便老师快速掌握，在点击手势笔功能时，笔工具栏提供图例操作说明；（提供CMA或CNAS认证测机构出具的检测报告）</w:t>
            </w:r>
          </w:p>
          <w:p w14:paraId="456E796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10.PPT课件批注功能：PPT全屏播放时可自动开启工具菜单，支持工具菜单收起与打开，提供PPT课件的播放控制(如前后翻页)、聚光灯、放大镜和书写批注等功能,支持生成二维码，快速分享课件；</w:t>
            </w:r>
          </w:p>
          <w:p w14:paraId="3590A15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11.★支持一键为白板软件中任意中、英文文本添加标准人声朗读音频，无需手动上传音频文件；（提供CMA或CNAS认证测机构出具的检测报告）</w:t>
            </w:r>
          </w:p>
          <w:p w14:paraId="112D52F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12.软件支持屏幕、屏幕+摄像头等多种形式的录制，也可结合录播系统进行全景录制；</w:t>
            </w:r>
          </w:p>
          <w:p w14:paraId="243AF1C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13.录制过程中支持随时开启分享直播功能，生成直播海报、直播码，听课端无需下载软件，扫描二维码即可进入直播课堂并进行互动，可实现课堂实时评论；结束录制即生成回看视频； </w:t>
            </w:r>
          </w:p>
          <w:p w14:paraId="491EB0C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提供预置的高质量课件素材，允许老师在网页端、移动端、电脑端及钉钉内进行内容的选择与组合，快速生成课件并浏览；所有制作的课件均实时保存至云端，老师只需登录即可查看；（提供CMA或CNAS认证测机构出具的检测报告））</w:t>
            </w:r>
          </w:p>
          <w:p w14:paraId="254A290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15.支持根据老师选择的课件组合自动生成与课件内容相匹配的个性化教案，并支持教案的在线编辑及教案的保存和打印；（提供CMA或CNAS认证测机构出具的检测报告））</w:t>
            </w:r>
          </w:p>
          <w:p w14:paraId="2F1EB85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16.★为保障兼容性，白板软件支持对接国产化系统。（提供相关证明）</w:t>
            </w:r>
          </w:p>
          <w:p w14:paraId="0A1EF30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17.★投标产品具有信息安全等级保护三级或以上证书。</w:t>
            </w:r>
          </w:p>
          <w:p w14:paraId="2487F22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18.★为保证师生信息安全，所投软件不存在强制、过度、频繁获取权限的行为，且不能出现过在工信部通报的信息违规软件名单中；</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C63A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9388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r>
      <w:tr w14:paraId="1B0D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A31A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8A54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中央管理系统</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DE0A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集中控制管理系统</w:t>
            </w:r>
          </w:p>
          <w:p w14:paraId="2BD805F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1、后台控制端采用B/S架构设计，可在Windows、Linux、Android、IOS等多种不同的操作系统上通过网页浏览器登陆进行操作，可控制在局域网或互联网内的一体机终端设备。</w:t>
            </w:r>
          </w:p>
          <w:p w14:paraId="7435365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教室受控端：</w:t>
            </w:r>
          </w:p>
          <w:p w14:paraId="2091F0F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2、使用校园集控系统的每个学校/区域拥有专属代码，该学校/区域的一体机设备只需接入互联网，并在受控端输入该代码进行连接，管理员即可在后台对设备进行远程管理。</w:t>
            </w:r>
          </w:p>
          <w:p w14:paraId="135F11D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3、可在管理后台查看设备基本信息，如：尺寸、分辨率、系统、CPU、安卓版本等信息，方便老师管理设备。</w:t>
            </w:r>
          </w:p>
          <w:p w14:paraId="54364CF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4、支持按照一体机安装的年级、班级，设置教室受控端的名称，方便管理员对应管理。</w:t>
            </w:r>
          </w:p>
          <w:p w14:paraId="771733E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校园控制：</w:t>
            </w:r>
          </w:p>
          <w:p w14:paraId="3CB276C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5、远程监控：在控制端网页可实时监控已连接的一体机，可远程查看开关机状态、使用状态评估、整机温度、以及系统内存、硬盘空间等设备信息。</w:t>
            </w:r>
          </w:p>
          <w:p w14:paraId="033FFB5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6、远程设备控制：在控制端网页可对已连接的一体机进行实时控制，包括开关机、切换通道、更改图像及声音模式、锁屏等功能。</w:t>
            </w:r>
          </w:p>
          <w:p w14:paraId="52FA05D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锁定时段控制：控制端可远程设置设备锁屏时间段，如“周一至周五中午12点至14点锁屏”，在锁屏时间段内，设备功能按键及触摸均无法使用，方便管理员保证机器在非正常使用时间段内，不被无关人员操作。</w:t>
            </w:r>
          </w:p>
          <w:p w14:paraId="5358644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8、远程桌面控制：在控制端网页可实时查看已连接并处于开机状态下的一体机桌面，同时可在控制端远程操作桌面内容。</w:t>
            </w:r>
          </w:p>
          <w:p w14:paraId="652AAC4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9、任意通道信息发布：可远程对选定的一体机在任意通道下即时发布走马灯文字信息和屏幕常驻信息，可设置播放次数，选择播放位置。</w:t>
            </w:r>
          </w:p>
          <w:p w14:paraId="708DBF0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10、数据统计：控制端可根据设备使用情况，生成多个数据报表，包括开机次数、使用人数累计、活跃人数、软件使用次数、学科使用率等，方便管理员检查设备使用情况。</w:t>
            </w:r>
          </w:p>
          <w:p w14:paraId="504B5D1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11、管理员分组：系统可将管理权限分配给多个管理员，共同管理受控范围内设备；顶级管理员可查看普通管理员进行的操作，并可对普通管理员进行权限管理，根据不同管理员职责开放适当权限。</w:t>
            </w:r>
          </w:p>
          <w:p w14:paraId="261015E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12、分组管理：顶级管理员可按照年级、楼层等，将一体机控制、监控等权限分配给对应的普通管理员，进行分组管理。</w:t>
            </w:r>
          </w:p>
          <w:p w14:paraId="3CD6CF9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★13、以上所有功能操作需在同一软件平台上实现。</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E690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7ABE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B84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0A45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8EE3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C010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视频展台（USB有线）</w:t>
            </w:r>
          </w:p>
          <w:p w14:paraId="56A8135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硬件配置：</w:t>
            </w:r>
          </w:p>
          <w:p w14:paraId="3E1B89E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1、整机壁挂式安装，托板及挂墙部分采用金属加强，托板可承重3kg；整机采用圆弧式设计，无锐角。</w:t>
            </w:r>
          </w:p>
          <w:p w14:paraId="54B300F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2、采用 USB五伏电源直接供电，无需额外配置电源适配器；箱内USB连线采用隐藏式设计，箱内无可见连线且USB口下出，有效防止积尘，且方便布线和返修。</w:t>
            </w:r>
          </w:p>
          <w:p w14:paraId="0178C6E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★3、清晰度：采用≥1200万像素定焦镜头；中心≥1200线，拍摄幅面不小于A4。</w:t>
            </w:r>
          </w:p>
          <w:p w14:paraId="58CBB88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4、图像色彩：24位；输出格式：图片JPG，视频MP4。</w:t>
            </w:r>
          </w:p>
          <w:p w14:paraId="5776C1B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5、光源：LED灯补光，支持多级调光。</w:t>
            </w:r>
          </w:p>
          <w:p w14:paraId="03610EC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6、动态视频帧率：1080P动态视频预览达到30帧/秒。</w:t>
            </w:r>
          </w:p>
          <w:p w14:paraId="1096113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7、对焦/白平衡：自动。</w:t>
            </w:r>
          </w:p>
          <w:p w14:paraId="19A311C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★8、提供所投壁挂展台平均无故障≥10万小时证书。</w:t>
            </w:r>
          </w:p>
          <w:p w14:paraId="4AFB5A1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软件功能：</w:t>
            </w:r>
          </w:p>
          <w:p w14:paraId="65BEF10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1、支持展台成像画面实时批注，预设多种笔划粗细及颜色供选择，且支持对展台成像画面联同批注内容进行同步缩放、移动。</w:t>
            </w:r>
          </w:p>
          <w:p w14:paraId="64EB310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2、可选择图像、文本或动态等多种情景模式，适应不同展示内容。</w:t>
            </w:r>
          </w:p>
          <w:p w14:paraId="06180D1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3、支持对展台画面进行放大、缩小、旋转、自适应、冻结画面等操作。</w:t>
            </w:r>
          </w:p>
          <w:p w14:paraId="78483DC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4、支持展台画面拍照截图并进行多图预览，可对任一图片进行全屏显示。</w:t>
            </w:r>
          </w:p>
          <w:p w14:paraId="1C328D3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5、具备图像增强功能，可自动裁剪背景并增强文字显示，使文档画面更清晰。</w:t>
            </w:r>
          </w:p>
          <w:p w14:paraId="49F9A92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6、支持二维码扫码功能：打开扫一扫功能后，将书本上的二维码放入扫描框内即可自动扫描，并进入系统浏览器获取二维码的链接内容，帮助老师快速获取电子教学资源。</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3D03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A281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r>
      <w:tr w14:paraId="23C6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779C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FC5B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推拉黑板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C799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推拉黑板</w:t>
            </w:r>
          </w:p>
          <w:p w14:paraId="0BD6D92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结构：内外双层，内层居中镶嵌安装触控一体机，外层两块滑动书写板，可左右推拉；滑动板上配有安全锁，易开易锁，确保电子产品安全管理；滑动板在同一平面，电子设备嵌套配合一体化，外形简洁、美观。</w:t>
            </w:r>
          </w:p>
          <w:p w14:paraId="3A461E7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2.规格：外径≥4000mm×1300mm，保证与配套电子设备尺寸有效对接，可根据学校实际情况进行款式和尺寸的适当调整。</w:t>
            </w:r>
          </w:p>
          <w:p w14:paraId="6B2C341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书写面板：材质采用优质烤漆钢板，涂层为丙烯酸树脂漆，板面基板厚度≥0.3mm，整板无拼接；颜色：墨绿色，表面附有透明保护膜；硬度：涂层硬度≥8H；光泽度：光泽度≤6%，无明显眩光；使用寿命：面板正常使用寿命≥5年。</w:t>
            </w:r>
          </w:p>
          <w:p w14:paraId="0B56A06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4.衬板：采用防潮、吸音、挺度好的聚苯乙烯泡沫板，厚度≥15mm；书写时板面不颤动。</w:t>
            </w:r>
          </w:p>
          <w:p w14:paraId="542BB52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5.背板：采用优质防锈亚光彩涂钢板，厚度≥0.20mm，每间隔8cm有2cm加强凹槽，增强板体挺度。</w:t>
            </w:r>
          </w:p>
          <w:p w14:paraId="18192C7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覆板：采用环保型胶水，胶合牢固，不鼓包，不脱胶，甲醛释放量符合国家省部级以上权威部门对有害物质释放量的检测标准；书写板板体由复合粘压机自动化流水线作业，一次成型，板体受压均匀，胶合牢固，经久耐用。</w:t>
            </w:r>
          </w:p>
          <w:p w14:paraId="5CC8192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边框：材质采用高级亚光铝合金，在灯光下无明显眩光，表面经氧化、磨砂涂层处理，模具一次成型；内边框规格≥38mm×29mm，封闭管状，内加助筋，增加有效书写面积，提高书写板挺度；外框：横框≥80mm×58mm，轨道与外框一体化设计，后置轨道，避免粉尘进入，影响推拉。</w:t>
            </w:r>
          </w:p>
          <w:p w14:paraId="27790C3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8.滑轮：每块滑动板安装4组滑轮（滑轮数量≥8个）；滑轮组隐形安装，看面不漏滑轮、螺钉；滑轮一体化，滑动板前后定位准确不晃动。</w:t>
            </w:r>
          </w:p>
          <w:p w14:paraId="26DD7A5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9.安全性：黑板固定要考虑到墙体的特殊性，保证黑板安装牢固可靠，符合GB28231-2011《书写板安全卫生要求》。</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B926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38C5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r>
      <w:tr w14:paraId="661F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FF4E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06FF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辅材辅件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6581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辅材辅件 含HDMI线、音频线等</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020A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5248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FBD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BBE13">
            <w:pPr>
              <w:spacing w:line="240" w:lineRule="auto"/>
              <w:jc w:val="center"/>
              <w:rPr>
                <w:rFonts w:hint="eastAsia" w:ascii="宋体" w:hAnsi="宋体" w:eastAsia="宋体" w:cs="宋体"/>
                <w:i w:val="0"/>
                <w:iCs w:val="0"/>
                <w:color w:val="auto"/>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2FB1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机房工程</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33A5B">
            <w:pPr>
              <w:spacing w:line="240" w:lineRule="auto"/>
              <w:jc w:val="left"/>
              <w:rPr>
                <w:rFonts w:hint="eastAsia" w:ascii="宋体" w:hAnsi="宋体" w:eastAsia="宋体" w:cs="宋体"/>
                <w:i w:val="0"/>
                <w:iCs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25A7D">
            <w:pPr>
              <w:spacing w:line="240" w:lineRule="auto"/>
              <w:jc w:val="center"/>
              <w:rPr>
                <w:rFonts w:hint="eastAsia" w:ascii="宋体" w:hAnsi="宋体" w:eastAsia="宋体" w:cs="宋体"/>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0318F">
            <w:pPr>
              <w:spacing w:line="240" w:lineRule="auto"/>
              <w:jc w:val="center"/>
              <w:rPr>
                <w:rFonts w:hint="eastAsia" w:ascii="宋体" w:hAnsi="宋体" w:eastAsia="宋体" w:cs="宋体"/>
                <w:i w:val="0"/>
                <w:iCs w:val="0"/>
                <w:color w:val="auto"/>
                <w:sz w:val="18"/>
                <w:szCs w:val="18"/>
                <w:u w:val="none"/>
              </w:rPr>
            </w:pPr>
          </w:p>
        </w:tc>
      </w:tr>
      <w:tr w14:paraId="1CE0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7738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278B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484B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UPS输入电缆 WDZC-YJY-5*10</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8960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65E6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r>
      <w:tr w14:paraId="27B1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E6DA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B10D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电力电缆头</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1D76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户内干包式电力电缆头制作、安装 干包终端头（1kV以下截面mm2以下）35`铜芯10mm2及以下三芯及以上电缆头制安</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4B1F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2101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0576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929D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13A0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2BBF8">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接地铜排 30*3mm</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33B4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B05F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90.00</w:t>
            </w:r>
          </w:p>
        </w:tc>
      </w:tr>
      <w:tr w14:paraId="7EAA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C7CA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32AA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Ups不间断电源及其附属设备安装</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F569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UPS不间断电源5KVA</w:t>
            </w:r>
          </w:p>
          <w:p w14:paraId="4091326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5KVA，单进单出，输入电压范围：110 -300VAC于50% 负载 ; 176-300 VAC于100% 负载；频率范围：46~54 Hz 或 56~64 Hz；功率因数：100% 负载时 ≧ 0.99；输出额定电压：208/220/230/240VAC；电压范围 (电池模式)：±1 %；频率范围 (同步校正范围)：46~54 Hz 或 56~64 Hz；频率范围 (电池模式)：50 Hz 或 60Hz ± 0.1 Hz；電流波鋒比：3:1；谐波失真：≦ 3 % THD ( 线性负载 ) </w:t>
            </w:r>
          </w:p>
          <w:p w14:paraId="626EB48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5 % THD ( 非线性负载 )；波形 (电池模式)：纯正弦波；效率（市电模式）：92%；效率（电池模式）：90%；使用环境（温湿度）：相对湿度 0-95 % 且 溫度 0- 40° C ( 不结露 )；使用环境（噪音）：少于55dBA @ 1米</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6801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085C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38A0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649C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2E7A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蓄电池屏（柜）</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45D2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电池箱，可放置8节100AH电池。</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A3A1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C143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9F3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B81D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7EDF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蓄电池</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9816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蓄电池</w:t>
            </w:r>
          </w:p>
          <w:p w14:paraId="0B7D5D9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电池额定容量100AH（20hr(25℃)）；采用耐腐蚀结构的重型铅钙合金极板；循环寿命 50%(C10)DOD 500次；内 阻：完全充电25℃ ≤5mΩ；可在-15℃—40℃的温度范围内使用，40℃：102%，25℃：100%；0℃：85%；-15℃：65%；循环使用（30A）充电电压：14.4-14.8V；浮充使用（20A）充电电压：13.5-13.8V</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E7A8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6C2F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14:paraId="3450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2ED1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8992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BE1C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机房配电箱</w:t>
            </w:r>
          </w:p>
          <w:p w14:paraId="1BFFC54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600*500*120mm厚1.0内部空开，电源防雷，漏电保护器</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9EC8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5BA8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3A1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3380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98648">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普通灯具</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C132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机房格栅灯</w:t>
            </w:r>
          </w:p>
          <w:p w14:paraId="40DAE2E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600*600mm防爆</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1E85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A267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53E3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044F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A6D9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1234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UPS到机房设备电源线WDZC-BYJ-4</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B13B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BD41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r>
      <w:tr w14:paraId="2CB1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7C8A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08A46">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9A9D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UPS到机房设备电源线WDZC-BYJR-4</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E700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80A4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r>
      <w:tr w14:paraId="55FA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9532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E834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电力电缆</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40FE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UPS到弱电井WDZC-YJY-3*2.5</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29AC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1341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r>
      <w:tr w14:paraId="2F09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7EC4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EE10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8359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BVR接地线BVR16</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5325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1E45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w:t>
            </w:r>
          </w:p>
        </w:tc>
      </w:tr>
      <w:tr w14:paraId="72D1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9932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0761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9451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BVR接地线BVR6</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2A7E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97E6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r>
      <w:tr w14:paraId="02A2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818F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6FDA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C50C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BVR16</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8F38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C01D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r>
      <w:tr w14:paraId="6C25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F97D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743B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67E2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设备箱电源线WDZ-RVV3*2.5</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7348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9AF3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300.00</w:t>
            </w:r>
          </w:p>
        </w:tc>
      </w:tr>
      <w:tr w14:paraId="6AA5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B4741">
            <w:pPr>
              <w:spacing w:line="240" w:lineRule="auto"/>
              <w:jc w:val="center"/>
              <w:rPr>
                <w:rFonts w:hint="eastAsia" w:ascii="宋体" w:hAnsi="宋体" w:eastAsia="宋体" w:cs="宋体"/>
                <w:i w:val="0"/>
                <w:iCs w:val="0"/>
                <w:color w:val="auto"/>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C704F">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综合管线系统</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FD4D0">
            <w:pPr>
              <w:spacing w:line="240" w:lineRule="auto"/>
              <w:jc w:val="left"/>
              <w:rPr>
                <w:rFonts w:hint="eastAsia" w:ascii="宋体" w:hAnsi="宋体" w:eastAsia="宋体" w:cs="宋体"/>
                <w:i w:val="0"/>
                <w:iCs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D7EFA">
            <w:pPr>
              <w:spacing w:line="240" w:lineRule="auto"/>
              <w:jc w:val="center"/>
              <w:rPr>
                <w:rFonts w:hint="eastAsia" w:ascii="宋体" w:hAnsi="宋体" w:eastAsia="宋体" w:cs="宋体"/>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979B7">
            <w:pPr>
              <w:spacing w:line="240" w:lineRule="auto"/>
              <w:jc w:val="center"/>
              <w:rPr>
                <w:rFonts w:hint="eastAsia" w:ascii="宋体" w:hAnsi="宋体" w:eastAsia="宋体" w:cs="宋体"/>
                <w:i w:val="0"/>
                <w:iCs w:val="0"/>
                <w:color w:val="auto"/>
                <w:sz w:val="18"/>
                <w:szCs w:val="18"/>
                <w:u w:val="none"/>
              </w:rPr>
            </w:pPr>
          </w:p>
        </w:tc>
      </w:tr>
      <w:tr w14:paraId="5A0A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66F6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B2D52">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821E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100*100mm桥架</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2A16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3349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553.59</w:t>
            </w:r>
          </w:p>
        </w:tc>
      </w:tr>
      <w:tr w14:paraId="4D86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6688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76AD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BD0A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200*100mm桥架</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E5B3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FE90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23.08</w:t>
            </w:r>
          </w:p>
        </w:tc>
      </w:tr>
      <w:tr w14:paraId="7EE6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073C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58C5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铁构件</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8607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桥架支架制作安装 含支架除锈刷油</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1846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CE32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633.60</w:t>
            </w:r>
          </w:p>
        </w:tc>
      </w:tr>
      <w:tr w14:paraId="399F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A339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41D9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防火封堵</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4179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防火封堵</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0320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D91A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1317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3F0E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C6E4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辅材</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7CAF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辅材</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39A0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01D4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38E8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42D67">
            <w:pPr>
              <w:spacing w:line="240" w:lineRule="auto"/>
              <w:jc w:val="center"/>
              <w:rPr>
                <w:rFonts w:hint="eastAsia" w:ascii="宋体" w:hAnsi="宋体" w:eastAsia="宋体" w:cs="宋体"/>
                <w:i w:val="0"/>
                <w:iCs w:val="0"/>
                <w:color w:val="auto"/>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C1C9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室内智能化预埋管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FF410">
            <w:pPr>
              <w:spacing w:line="240" w:lineRule="auto"/>
              <w:jc w:val="left"/>
              <w:rPr>
                <w:rFonts w:hint="eastAsia" w:ascii="宋体" w:hAnsi="宋体" w:eastAsia="宋体" w:cs="宋体"/>
                <w:i w:val="0"/>
                <w:iCs w:val="0"/>
                <w:color w:val="auto"/>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1FB83">
            <w:pPr>
              <w:spacing w:line="240" w:lineRule="auto"/>
              <w:jc w:val="center"/>
              <w:rPr>
                <w:rFonts w:hint="eastAsia" w:ascii="宋体" w:hAnsi="宋体" w:eastAsia="宋体" w:cs="宋体"/>
                <w:i w:val="0"/>
                <w:iCs w:val="0"/>
                <w:color w:val="auto"/>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679D6">
            <w:pPr>
              <w:spacing w:line="240" w:lineRule="auto"/>
              <w:jc w:val="center"/>
              <w:rPr>
                <w:rFonts w:hint="eastAsia" w:ascii="宋体" w:hAnsi="宋体" w:eastAsia="宋体" w:cs="宋体"/>
                <w:i w:val="0"/>
                <w:iCs w:val="0"/>
                <w:color w:val="auto"/>
                <w:sz w:val="18"/>
                <w:szCs w:val="18"/>
                <w:u w:val="none"/>
              </w:rPr>
            </w:pPr>
          </w:p>
        </w:tc>
      </w:tr>
      <w:tr w14:paraId="489D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DCB8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6C52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2DBB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砖、混凝土结构暗配刚性阻燃管  PC16</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20CB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B04AA">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188.53</w:t>
            </w:r>
          </w:p>
        </w:tc>
      </w:tr>
      <w:tr w14:paraId="319E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A7A56">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05AB0">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4E58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砖、混凝土结构暗配刚性阻燃管  PC20</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654C8">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C93E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1660.96</w:t>
            </w:r>
          </w:p>
        </w:tc>
      </w:tr>
      <w:tr w14:paraId="676F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64BA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CE70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13F7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砖、混凝土结构暗配刚性阻燃管  PC32</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6B19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7023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80.00</w:t>
            </w:r>
          </w:p>
        </w:tc>
      </w:tr>
      <w:tr w14:paraId="38A4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8D78E">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2156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8F594">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砖、混凝土结构暗配刚性阻燃管  PC25</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D08D4">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ED97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694.97</w:t>
            </w:r>
          </w:p>
        </w:tc>
      </w:tr>
      <w:tr w14:paraId="48C5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2158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CE7E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接线盒</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9869E">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86接线盒</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B615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13590">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r>
      <w:tr w14:paraId="54EC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900D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4E8F5">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BDF7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砖、混凝土结构暗配钢管  SC15</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088D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AFD2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890.00</w:t>
            </w:r>
          </w:p>
        </w:tc>
      </w:tr>
      <w:tr w14:paraId="40B2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22322">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53B43">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7B8C7">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砖、混凝土结构暗配JDG管 公称直径（mm）25</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B64B9">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8B7E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60.00</w:t>
            </w:r>
          </w:p>
        </w:tc>
      </w:tr>
      <w:tr w14:paraId="2BAC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32AD5">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9AD1A">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013B1">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砖、混凝土结构暗配钢管  SC50</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F436B">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BF1A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18.00</w:t>
            </w:r>
          </w:p>
        </w:tc>
      </w:tr>
      <w:tr w14:paraId="2721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9A261">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2FB7D">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配管</w:t>
            </w:r>
          </w:p>
        </w:tc>
        <w:tc>
          <w:tcPr>
            <w:tcW w:w="63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7B14B">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砖、混凝土结构暗配钢管  SC80</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4FFD3">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98C07">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r>
    </w:tbl>
    <w:p w14:paraId="22C0ADBB">
      <w:pPr>
        <w:spacing w:line="240" w:lineRule="auto"/>
        <w:rPr>
          <w:rFonts w:hint="eastAsia"/>
          <w:lang w:val="en-US" w:eastAsia="zh-CN"/>
        </w:rPr>
      </w:pPr>
    </w:p>
    <w:p w14:paraId="1FAF74FF">
      <w:pPr>
        <w:spacing w:line="240" w:lineRule="auto"/>
        <w:jc w:val="center"/>
        <w:rPr>
          <w:rFonts w:hint="eastAsia"/>
          <w:lang w:val="en-US" w:eastAsia="zh-CN"/>
        </w:rPr>
      </w:pPr>
      <w:r>
        <w:rPr>
          <w:rFonts w:hint="eastAsia"/>
          <w:lang w:val="en-US" w:eastAsia="zh-CN"/>
        </w:rPr>
        <w:t>空调机组</w:t>
      </w:r>
    </w:p>
    <w:tbl>
      <w:tblPr>
        <w:tblStyle w:val="44"/>
        <w:tblW w:w="10102"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076"/>
        <w:gridCol w:w="6749"/>
        <w:gridCol w:w="613"/>
        <w:gridCol w:w="1064"/>
      </w:tblGrid>
      <w:tr w14:paraId="4F718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1C4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76F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7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6CA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A3EF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w:t>
            </w:r>
          </w:p>
          <w:p w14:paraId="6A873F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555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086E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5F562">
            <w:pPr>
              <w:spacing w:line="240" w:lineRule="auto"/>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A02EB">
            <w:pPr>
              <w:spacing w:line="240" w:lineRule="auto"/>
              <w:jc w:val="center"/>
              <w:rPr>
                <w:rFonts w:hint="eastAsia" w:ascii="宋体" w:hAnsi="宋体" w:eastAsia="宋体" w:cs="宋体"/>
                <w:i w:val="0"/>
                <w:iCs w:val="0"/>
                <w:color w:val="000000"/>
                <w:sz w:val="18"/>
                <w:szCs w:val="18"/>
                <w:u w:val="none"/>
              </w:rPr>
            </w:pPr>
          </w:p>
        </w:tc>
        <w:tc>
          <w:tcPr>
            <w:tcW w:w="67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3C8A1">
            <w:pPr>
              <w:spacing w:line="240" w:lineRule="auto"/>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9A4C9">
            <w:pPr>
              <w:spacing w:line="240" w:lineRule="auto"/>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A5D0C">
            <w:pPr>
              <w:spacing w:line="240" w:lineRule="auto"/>
              <w:jc w:val="center"/>
              <w:rPr>
                <w:rFonts w:hint="eastAsia" w:ascii="宋体" w:hAnsi="宋体" w:eastAsia="宋体" w:cs="宋体"/>
                <w:i w:val="0"/>
                <w:iCs w:val="0"/>
                <w:color w:val="000000"/>
                <w:sz w:val="18"/>
                <w:szCs w:val="18"/>
                <w:u w:val="none"/>
              </w:rPr>
            </w:pPr>
          </w:p>
        </w:tc>
      </w:tr>
      <w:tr w14:paraId="04AC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48284">
            <w:pPr>
              <w:spacing w:line="240" w:lineRule="auto"/>
              <w:jc w:val="center"/>
              <w:rPr>
                <w:rFonts w:hint="eastAsia" w:ascii="宋体" w:hAnsi="宋体" w:eastAsia="宋体" w:cs="宋体"/>
                <w:i w:val="0"/>
                <w:iCs w:val="0"/>
                <w:color w:val="000000"/>
                <w:sz w:val="18"/>
                <w:szCs w:val="18"/>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B20B0">
            <w:pPr>
              <w:spacing w:line="240" w:lineRule="auto"/>
              <w:jc w:val="center"/>
              <w:rPr>
                <w:rFonts w:hint="eastAsia" w:ascii="宋体" w:hAnsi="宋体" w:eastAsia="宋体" w:cs="宋体"/>
                <w:i w:val="0"/>
                <w:iCs w:val="0"/>
                <w:color w:val="000000"/>
                <w:sz w:val="18"/>
                <w:szCs w:val="18"/>
                <w:u w:val="none"/>
              </w:rPr>
            </w:pPr>
          </w:p>
        </w:tc>
        <w:tc>
          <w:tcPr>
            <w:tcW w:w="67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3A1DC">
            <w:pPr>
              <w:spacing w:line="240" w:lineRule="auto"/>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9DBC8">
            <w:pPr>
              <w:spacing w:line="240" w:lineRule="auto"/>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09B89">
            <w:pPr>
              <w:spacing w:line="240" w:lineRule="auto"/>
              <w:jc w:val="center"/>
              <w:rPr>
                <w:rFonts w:hint="eastAsia" w:ascii="宋体" w:hAnsi="宋体" w:eastAsia="宋体" w:cs="宋体"/>
                <w:i w:val="0"/>
                <w:iCs w:val="0"/>
                <w:color w:val="000000"/>
                <w:sz w:val="18"/>
                <w:szCs w:val="18"/>
                <w:u w:val="none"/>
              </w:rPr>
            </w:pPr>
          </w:p>
        </w:tc>
      </w:tr>
      <w:tr w14:paraId="71D9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97FAB">
            <w:pPr>
              <w:spacing w:line="240" w:lineRule="auto"/>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0CDF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暖通系统</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EE31E">
            <w:pPr>
              <w:spacing w:line="240" w:lineRule="auto"/>
              <w:jc w:val="left"/>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D64FC">
            <w:pPr>
              <w:spacing w:line="240" w:lineRule="auto"/>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8A98C">
            <w:pPr>
              <w:spacing w:line="240" w:lineRule="auto"/>
              <w:jc w:val="center"/>
              <w:rPr>
                <w:rFonts w:hint="eastAsia" w:ascii="宋体" w:hAnsi="宋体" w:eastAsia="宋体" w:cs="宋体"/>
                <w:i w:val="0"/>
                <w:iCs w:val="0"/>
                <w:color w:val="000000"/>
                <w:sz w:val="18"/>
                <w:szCs w:val="18"/>
                <w:u w:val="none"/>
              </w:rPr>
            </w:pPr>
          </w:p>
        </w:tc>
      </w:tr>
      <w:tr w14:paraId="7ADA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DB4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3F0D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F063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一拖一3P吸顶空调，含空调安装，冷媒铜管、冷凝水管加长及其他附配件等费用（含管道保温）</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1DE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F4F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E91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398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797D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34D7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243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489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0.160</w:t>
            </w:r>
          </w:p>
        </w:tc>
      </w:tr>
      <w:tr w14:paraId="402F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878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F8AA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开洞补洞</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BA3F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开洞</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82D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79F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2D2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C38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9329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43C0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一般穿墙钢套管制作安装 公称直径   (mm以内)50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D0C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753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0FE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8E1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A8D9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A519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空调温控开关</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04C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288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215C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EF4AE">
            <w:pPr>
              <w:spacing w:line="240" w:lineRule="auto"/>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1E8B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一层图书馆</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2E997">
            <w:pPr>
              <w:spacing w:line="240" w:lineRule="auto"/>
              <w:jc w:val="left"/>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1C07C">
            <w:pPr>
              <w:spacing w:line="240" w:lineRule="auto"/>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B64BA">
            <w:pPr>
              <w:spacing w:line="240" w:lineRule="auto"/>
              <w:jc w:val="center"/>
              <w:rPr>
                <w:rFonts w:hint="eastAsia" w:ascii="宋体" w:hAnsi="宋体" w:eastAsia="宋体" w:cs="宋体"/>
                <w:i w:val="0"/>
                <w:iCs w:val="0"/>
                <w:color w:val="000000"/>
                <w:sz w:val="18"/>
                <w:szCs w:val="18"/>
                <w:u w:val="none"/>
              </w:rPr>
            </w:pPr>
          </w:p>
        </w:tc>
      </w:tr>
      <w:tr w14:paraId="7401C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1FA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603A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D742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3P吸顶空调（额定制冷量:7.1KW，额定制热量:8.0KK；额定功率（耗电量）:93W； 风量:1200m³/h；</w:t>
            </w:r>
          </w:p>
          <w:p w14:paraId="3728DB4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最大噪音:39dB（A）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7BA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983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229B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F2A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C738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2613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吸顶空调外机 额定制冷量：33.5kW，额定制热量：37.5kW</w:t>
            </w:r>
          </w:p>
          <w:p w14:paraId="6569DDC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额定功率(制冷): 10.40kW，额定功率(制热): 9.90kW       </w:t>
            </w:r>
          </w:p>
          <w:p w14:paraId="1CDEF2F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最大噪音:61dB（A）；</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6E6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465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B2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F20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BAE0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33BD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空调温控开关</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EDF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E6B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99D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63F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1284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7250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空调配件，含冷媒铜管、冷凝水管、管道保温、开洞补洞、设备基础等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B42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974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33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061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E07B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DF99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35D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E79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w:t>
            </w:r>
          </w:p>
        </w:tc>
      </w:tr>
      <w:tr w14:paraId="428C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54A26">
            <w:pPr>
              <w:spacing w:line="240" w:lineRule="auto"/>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F7EA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一层教工之家</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2A5EF">
            <w:pPr>
              <w:spacing w:line="240" w:lineRule="auto"/>
              <w:jc w:val="left"/>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11A86">
            <w:pPr>
              <w:spacing w:line="240" w:lineRule="auto"/>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AFFC4">
            <w:pPr>
              <w:spacing w:line="240" w:lineRule="auto"/>
              <w:jc w:val="center"/>
              <w:rPr>
                <w:rFonts w:hint="eastAsia" w:ascii="宋体" w:hAnsi="宋体" w:eastAsia="宋体" w:cs="宋体"/>
                <w:i w:val="0"/>
                <w:iCs w:val="0"/>
                <w:color w:val="000000"/>
                <w:sz w:val="18"/>
                <w:szCs w:val="18"/>
                <w:u w:val="none"/>
              </w:rPr>
            </w:pPr>
          </w:p>
        </w:tc>
      </w:tr>
      <w:tr w14:paraId="3BD1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0E0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FEE6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A55D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卡机空调内机（额定制冷量:7.1KW，额定制热量:8.0KK；额定功率（耗电量）:110W； 风量:1000m³/h；</w:t>
            </w:r>
          </w:p>
          <w:p w14:paraId="08CC4E0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最大噪音:39dB（A）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98F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E5A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06D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742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5F71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472B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卡机空调外机 额定制冷量：14.0kW，额定制热量：16.0kW</w:t>
            </w:r>
          </w:p>
          <w:p w14:paraId="58AB78A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额定功率(制冷): 4.25kW，额定功率(制热): 4.14kW       </w:t>
            </w:r>
          </w:p>
          <w:p w14:paraId="4C4460B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最大噪音:56dB（A）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7A7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0E0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40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3C3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9044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9E8D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空调温控开关</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07D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686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C26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114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CE38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83D0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空调配件，含冷媒铜管、冷凝水管、管道保温、开洞补洞、设备基础等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ADD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B0C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BE4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223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8390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BD9A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A91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3D9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0.040</w:t>
            </w:r>
          </w:p>
        </w:tc>
      </w:tr>
      <w:tr w14:paraId="698D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D920E">
            <w:pPr>
              <w:spacing w:line="240" w:lineRule="auto"/>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7172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二层音乐教室</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7AD12">
            <w:pPr>
              <w:spacing w:line="240" w:lineRule="auto"/>
              <w:jc w:val="left"/>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220C4">
            <w:pPr>
              <w:spacing w:line="240" w:lineRule="auto"/>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9356B">
            <w:pPr>
              <w:spacing w:line="240" w:lineRule="auto"/>
              <w:jc w:val="center"/>
              <w:rPr>
                <w:rFonts w:hint="eastAsia" w:ascii="宋体" w:hAnsi="宋体" w:eastAsia="宋体" w:cs="宋体"/>
                <w:i w:val="0"/>
                <w:iCs w:val="0"/>
                <w:color w:val="000000"/>
                <w:sz w:val="18"/>
                <w:szCs w:val="18"/>
                <w:u w:val="none"/>
              </w:rPr>
            </w:pPr>
          </w:p>
        </w:tc>
      </w:tr>
      <w:tr w14:paraId="1B00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132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E9CE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5DD4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3P吸顶空调（额定制冷量:7.1KW，额定制热量:8.0KK；额定功率（耗电量）:93W； 风量:1200m³/h；</w:t>
            </w:r>
          </w:p>
          <w:p w14:paraId="629E2A2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最大噪音:39dB（A）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033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332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570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16E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3A2B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F47A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吸顶空调外机 额定制冷量：20.0kW，额定制热量：22.5 kW</w:t>
            </w:r>
          </w:p>
          <w:p w14:paraId="5E17845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额定功率(制冷): 6.40kW，额定功率(制热): 6.20kW       </w:t>
            </w:r>
          </w:p>
          <w:p w14:paraId="26CAA98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最大噪音:58dB（A）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CEC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A01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7BB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AE3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A0F8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81A6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空调温控开关</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48C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917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5A5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748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DEA8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12FE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空调配件，含冷媒铜管、冷凝水管、管道保温、开洞补洞、设备基础等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73F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832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D63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51E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99BA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8D27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D96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B88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0.060</w:t>
            </w:r>
          </w:p>
        </w:tc>
      </w:tr>
      <w:tr w14:paraId="4283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3029F">
            <w:pPr>
              <w:spacing w:line="240" w:lineRule="auto"/>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ED8F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四层音乐教室</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E1937">
            <w:pPr>
              <w:spacing w:line="240" w:lineRule="auto"/>
              <w:jc w:val="left"/>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C9ECB">
            <w:pPr>
              <w:spacing w:line="240" w:lineRule="auto"/>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01638">
            <w:pPr>
              <w:spacing w:line="240" w:lineRule="auto"/>
              <w:jc w:val="center"/>
              <w:rPr>
                <w:rFonts w:hint="eastAsia" w:ascii="宋体" w:hAnsi="宋体" w:eastAsia="宋体" w:cs="宋体"/>
                <w:i w:val="0"/>
                <w:iCs w:val="0"/>
                <w:color w:val="000000"/>
                <w:sz w:val="18"/>
                <w:szCs w:val="18"/>
                <w:u w:val="none"/>
              </w:rPr>
            </w:pPr>
          </w:p>
        </w:tc>
      </w:tr>
      <w:tr w14:paraId="7DDD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869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1F40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A5B2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3P吸顶空调（额定制冷量:7.1KW，额定制热量:8.0KK；额定功率（耗电量）:93W； 风量:1200m³/h；</w:t>
            </w:r>
          </w:p>
          <w:p w14:paraId="4D5FB16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最大噪音:39dB（A）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4DA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EDD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D99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55D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B621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5A6D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吸顶空调外机 额定制冷量：20.0kW，额定制热量：22.5 kW</w:t>
            </w:r>
          </w:p>
          <w:p w14:paraId="552FC7D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额定功率(制冷): 6.40kW，额定功率(制热): 6.20kW       </w:t>
            </w:r>
          </w:p>
          <w:p w14:paraId="7749617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最大噪音:58dB（A）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1AC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C0D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B5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534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77A7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D375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空调温控开关</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4CA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F1B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B30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87C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8141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9646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空调配件，含冷媒铜管、冷凝水管、管道保温、开洞补洞、设备基础等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4AC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CDD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02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CE0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2C5B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74CC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47B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28F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0.060</w:t>
            </w:r>
          </w:p>
        </w:tc>
      </w:tr>
      <w:tr w14:paraId="2598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04B86">
            <w:pPr>
              <w:spacing w:line="240" w:lineRule="auto"/>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24E9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三层党员活动室</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4DCE9">
            <w:pPr>
              <w:spacing w:line="240" w:lineRule="auto"/>
              <w:jc w:val="left"/>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69CD6">
            <w:pPr>
              <w:spacing w:line="240" w:lineRule="auto"/>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73C9A">
            <w:pPr>
              <w:spacing w:line="240" w:lineRule="auto"/>
              <w:jc w:val="center"/>
              <w:rPr>
                <w:rFonts w:hint="eastAsia" w:ascii="宋体" w:hAnsi="宋体" w:eastAsia="宋体" w:cs="宋体"/>
                <w:i w:val="0"/>
                <w:iCs w:val="0"/>
                <w:color w:val="000000"/>
                <w:sz w:val="18"/>
                <w:szCs w:val="18"/>
                <w:u w:val="none"/>
              </w:rPr>
            </w:pPr>
          </w:p>
        </w:tc>
      </w:tr>
      <w:tr w14:paraId="1520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B92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252D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F6FA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卡机空调内机（额定制冷量:7.1KW，额定制热量:8.0KK；额定功率（耗电量）:110W； 风量:1000m³/h；</w:t>
            </w:r>
          </w:p>
          <w:p w14:paraId="435ECB8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最大噪音:39dB（A）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B74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F4C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FD9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E48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6034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92DE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卡机空调外机 额定制冷量：14.0kW，额定制热量：16.0kW</w:t>
            </w:r>
          </w:p>
          <w:p w14:paraId="25F26FD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额定功率(制冷): 4.25kW，额定功率(制热): 4.14kW       </w:t>
            </w:r>
          </w:p>
          <w:p w14:paraId="16BBBD7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最大噪音:56dB（A）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A6F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AD7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78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5CA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C667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4F9B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空调温控开关</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7C3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A62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DE2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9E6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104D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5810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空调配件，含冷媒铜管、冷凝水管、管道保温、开洞补洞、设备基础等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226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922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70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43C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8E75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5739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D09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0A5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0.040</w:t>
            </w:r>
          </w:p>
        </w:tc>
      </w:tr>
      <w:tr w14:paraId="7C34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CD022">
            <w:pPr>
              <w:spacing w:line="240" w:lineRule="auto"/>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CE31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四层美术教室</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2BD3A">
            <w:pPr>
              <w:spacing w:line="240" w:lineRule="auto"/>
              <w:jc w:val="left"/>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72162">
            <w:pPr>
              <w:spacing w:line="240" w:lineRule="auto"/>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B42A9">
            <w:pPr>
              <w:spacing w:line="240" w:lineRule="auto"/>
              <w:jc w:val="center"/>
              <w:rPr>
                <w:rFonts w:hint="eastAsia" w:ascii="宋体" w:hAnsi="宋体" w:eastAsia="宋体" w:cs="宋体"/>
                <w:i w:val="0"/>
                <w:iCs w:val="0"/>
                <w:color w:val="000000"/>
                <w:sz w:val="18"/>
                <w:szCs w:val="18"/>
                <w:u w:val="none"/>
              </w:rPr>
            </w:pPr>
          </w:p>
        </w:tc>
      </w:tr>
      <w:tr w14:paraId="050E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F59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4E4E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B7C6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卡机空调内机（额定制冷量:7.1KW，额定制热量:8.0KK；额定功率（耗电量）:110W； 风量:1000m³/h；</w:t>
            </w:r>
          </w:p>
          <w:p w14:paraId="62BE492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最大噪音:39dB（A）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708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4AF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915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AB0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7663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4362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卡机空调外机 额定制冷量：20.0kW，额定制热量：22.5kW</w:t>
            </w:r>
          </w:p>
          <w:p w14:paraId="1EDC9C1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额定功率(制冷): 6.40kW，额定功率(制热):6.2kW       </w:t>
            </w:r>
          </w:p>
          <w:p w14:paraId="7EC93F3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最大噪音:58dB（A）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BBE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FB8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97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E1B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9216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EEFD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空调温控开关</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9E9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593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D34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01A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7F85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717A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空调配件，含冷媒铜管、冷凝水管、管道保温、开洞补洞、设备基础等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6D9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FF2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19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8B3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0EA1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938D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13D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98F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0.060</w:t>
            </w:r>
          </w:p>
        </w:tc>
      </w:tr>
      <w:tr w14:paraId="74A8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E95D7">
            <w:pPr>
              <w:spacing w:line="240" w:lineRule="auto"/>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5688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五层美术教室</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5EE45">
            <w:pPr>
              <w:spacing w:line="240" w:lineRule="auto"/>
              <w:jc w:val="left"/>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52BD0">
            <w:pPr>
              <w:spacing w:line="240" w:lineRule="auto"/>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8D379">
            <w:pPr>
              <w:spacing w:line="240" w:lineRule="auto"/>
              <w:jc w:val="center"/>
              <w:rPr>
                <w:rFonts w:hint="eastAsia" w:ascii="宋体" w:hAnsi="宋体" w:eastAsia="宋体" w:cs="宋体"/>
                <w:i w:val="0"/>
                <w:iCs w:val="0"/>
                <w:color w:val="000000"/>
                <w:sz w:val="18"/>
                <w:szCs w:val="18"/>
                <w:u w:val="none"/>
              </w:rPr>
            </w:pPr>
          </w:p>
        </w:tc>
      </w:tr>
      <w:tr w14:paraId="66B9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6DF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0B9E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9062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卡机空调内机（额定制冷量:7.1KW，额定制热量:8.0KK；额定功率（耗电量）:110W； 风量:1000m³/h；</w:t>
            </w:r>
          </w:p>
          <w:p w14:paraId="1545237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最大噪音:39dB（A）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694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ECC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9AA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AEB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CF82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1E49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卡机空调外机 额定制冷量：20.0kW，额定制热量：22.5kW</w:t>
            </w:r>
          </w:p>
          <w:p w14:paraId="2D865D4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额定功率(制冷): 6.40kW，额定功率(制热):6.2kW       </w:t>
            </w:r>
          </w:p>
          <w:p w14:paraId="677F093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最大噪音:58dB（A）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B8B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61A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32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1FE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7083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E5CF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空调温控开关</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8D1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4A6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593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520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E73E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1B63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空调配件，含冷媒铜管、冷凝水管、管道保温、开洞补洞、设备基础等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3A1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998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DC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215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4B32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1AC5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CDB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1EE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0.060</w:t>
            </w:r>
          </w:p>
        </w:tc>
      </w:tr>
      <w:tr w14:paraId="0D03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E5686">
            <w:pPr>
              <w:spacing w:line="240" w:lineRule="auto"/>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86C4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四层心理辅导室</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C5B0C">
            <w:pPr>
              <w:spacing w:line="240" w:lineRule="auto"/>
              <w:jc w:val="left"/>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72BD5">
            <w:pPr>
              <w:spacing w:line="240" w:lineRule="auto"/>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520C0">
            <w:pPr>
              <w:spacing w:line="240" w:lineRule="auto"/>
              <w:jc w:val="center"/>
              <w:rPr>
                <w:rFonts w:hint="eastAsia" w:ascii="宋体" w:hAnsi="宋体" w:eastAsia="宋体" w:cs="宋体"/>
                <w:i w:val="0"/>
                <w:iCs w:val="0"/>
                <w:color w:val="000000"/>
                <w:sz w:val="18"/>
                <w:szCs w:val="18"/>
                <w:u w:val="none"/>
              </w:rPr>
            </w:pPr>
          </w:p>
        </w:tc>
      </w:tr>
      <w:tr w14:paraId="4E10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AF8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B9A8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E4DB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吸顶空调 额定制冷量：14.0kW，额定制热量：16.0kW</w:t>
            </w:r>
          </w:p>
          <w:p w14:paraId="0689912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额定功率(制冷): 4.25kW，额定功率(制热): 4.14kW       </w:t>
            </w:r>
          </w:p>
          <w:p w14:paraId="3D74714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最大噪音:56dB（A）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4C1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F61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118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F4A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E609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51E2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一拖一变频吸顶空调套机 额定制冷量:7.2KW，额定制热量:8.1KW               </w:t>
            </w:r>
          </w:p>
          <w:p w14:paraId="0515812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额定功率(制冷): 2.83kW，额定功率(制热): 2.31kW      内机风量:1200m³/h，外机风量:3300m³/h</w:t>
            </w:r>
          </w:p>
          <w:p w14:paraId="16243F3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内机最大噪音:39dB（A），外机最大噪音:56dB（A）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007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8D4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BFE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63D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1600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B7E1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吸顶空调外机 额定制冷量：20.0kW，额定制热量：22.5 kW</w:t>
            </w:r>
          </w:p>
          <w:p w14:paraId="1F1B0C3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额定功率(制冷): 6.40kW，额定功率(制热): 6.20kW       </w:t>
            </w:r>
          </w:p>
          <w:p w14:paraId="7764839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最大噪音:58dB（A）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817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A9B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050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D23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E696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3721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空调温控开关</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881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C71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D0A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DB8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0A61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1440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空调配件，含冷媒铜管、冷凝水管、管道保温、开洞补洞、设备基础等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C35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328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C5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704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05DE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A1C6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D1D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8E7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0.060</w:t>
            </w:r>
          </w:p>
        </w:tc>
      </w:tr>
      <w:tr w14:paraId="57D5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4DB7C">
            <w:pPr>
              <w:spacing w:line="240" w:lineRule="auto"/>
              <w:jc w:val="center"/>
              <w:rPr>
                <w:rFonts w:hint="eastAsia" w:ascii="宋体" w:hAnsi="宋体" w:eastAsia="宋体" w:cs="宋体"/>
                <w:i w:val="0"/>
                <w:iCs w:val="0"/>
                <w:color w:val="000000"/>
                <w:sz w:val="18"/>
                <w:szCs w:val="18"/>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AE2C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五层录播教室</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5456E">
            <w:pPr>
              <w:spacing w:line="240" w:lineRule="auto"/>
              <w:jc w:val="left"/>
              <w:rPr>
                <w:rFonts w:hint="eastAsia" w:ascii="宋体" w:hAnsi="宋体" w:eastAsia="宋体" w:cs="宋体"/>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CCB8A">
            <w:pPr>
              <w:spacing w:line="240" w:lineRule="auto"/>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809D8">
            <w:pPr>
              <w:spacing w:line="240" w:lineRule="auto"/>
              <w:jc w:val="center"/>
              <w:rPr>
                <w:rFonts w:hint="eastAsia" w:ascii="宋体" w:hAnsi="宋体" w:eastAsia="宋体" w:cs="宋体"/>
                <w:i w:val="0"/>
                <w:iCs w:val="0"/>
                <w:color w:val="000000"/>
                <w:sz w:val="18"/>
                <w:szCs w:val="18"/>
                <w:u w:val="none"/>
              </w:rPr>
            </w:pPr>
          </w:p>
        </w:tc>
      </w:tr>
      <w:tr w14:paraId="75D4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960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C915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E00C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吸顶空调 额定制冷量:9.0KW，额定制热量:10.0KW               </w:t>
            </w:r>
          </w:p>
          <w:p w14:paraId="676F6F4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额定功率（耗电量）:120W   风量:1400m³/h</w:t>
            </w:r>
          </w:p>
          <w:p w14:paraId="758AC6F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最大噪音:341dB（A）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037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0B0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C51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94B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F2CC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E3DB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一拖一变频吸顶空调套机 额定制冷量:7.2KW，额定制热量:8.1KW               </w:t>
            </w:r>
          </w:p>
          <w:p w14:paraId="0CE28C3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额定功率(制冷): 2.83kW，额定功率(制热): 2.31kW      内机风量:1200m³/h，外机风量:3300m³/h</w:t>
            </w:r>
          </w:p>
          <w:p w14:paraId="0E37AB1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内机最大噪音:39dB（A），外机最大噪音:56dB（A）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D1F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02C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00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185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BD57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CB9E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吸顶空调外机 额定制冷量：26.0kW，额定制热量：28.5kW</w:t>
            </w:r>
          </w:p>
          <w:p w14:paraId="097C48A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额定功率(制冷): 8.30kW，额定功率(制热): 7.85kW       </w:t>
            </w:r>
          </w:p>
          <w:p w14:paraId="55BABB0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最大噪音:60dB（A）   </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E98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BCE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81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E3E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FED2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3496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空调温控开关</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941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3F7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AD3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8BE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60E0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37AB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空调配件，含冷媒铜管、冷凝水管、管道保温、开洞补洞、设备基础等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D63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590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F4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EE3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C1CB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7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E2BF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设备支架制作安装</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102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70F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0.080</w:t>
            </w:r>
          </w:p>
        </w:tc>
      </w:tr>
    </w:tbl>
    <w:p w14:paraId="72889D50">
      <w:pPr>
        <w:spacing w:line="240" w:lineRule="auto"/>
        <w:jc w:val="center"/>
        <w:rPr>
          <w:rFonts w:hint="default"/>
          <w:lang w:val="en-US" w:eastAsia="zh-CN"/>
        </w:rPr>
      </w:pPr>
    </w:p>
    <w:p w14:paraId="3E74A206">
      <w:pPr>
        <w:spacing w:line="240" w:lineRule="auto"/>
        <w:jc w:val="center"/>
        <w:rPr>
          <w:rFonts w:hint="default"/>
          <w:lang w:val="en-US" w:eastAsia="zh-CN"/>
        </w:rPr>
      </w:pPr>
      <w:r>
        <w:rPr>
          <w:rFonts w:hint="default"/>
          <w:lang w:val="en-US" w:eastAsia="zh-CN"/>
        </w:rPr>
        <w:t>新楼装修</w:t>
      </w:r>
    </w:p>
    <w:tbl>
      <w:tblPr>
        <w:tblStyle w:val="44"/>
        <w:tblW w:w="10006"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9"/>
        <w:gridCol w:w="1624"/>
        <w:gridCol w:w="6188"/>
        <w:gridCol w:w="675"/>
        <w:gridCol w:w="920"/>
      </w:tblGrid>
      <w:tr w14:paraId="2435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vMerge w:val="restart"/>
            <w:tcBorders>
              <w:top w:val="single" w:color="000000" w:sz="4" w:space="0"/>
              <w:left w:val="single" w:color="000000" w:sz="4" w:space="0"/>
              <w:bottom w:val="single" w:color="000000" w:sz="4" w:space="0"/>
              <w:right w:val="nil"/>
            </w:tcBorders>
            <w:shd w:val="clear" w:color="auto" w:fill="FFFFFF"/>
            <w:noWrap w:val="0"/>
            <w:vAlign w:val="center"/>
          </w:tcPr>
          <w:p w14:paraId="28019F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24" w:type="dxa"/>
            <w:vMerge w:val="restart"/>
            <w:tcBorders>
              <w:top w:val="single" w:color="000000" w:sz="4" w:space="0"/>
              <w:left w:val="single" w:color="000000" w:sz="4" w:space="0"/>
              <w:bottom w:val="single" w:color="000000" w:sz="4" w:space="0"/>
              <w:right w:val="nil"/>
            </w:tcBorders>
            <w:shd w:val="clear" w:color="auto" w:fill="FFFFFF"/>
            <w:noWrap w:val="0"/>
            <w:vAlign w:val="center"/>
          </w:tcPr>
          <w:p w14:paraId="58CE65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188" w:type="dxa"/>
            <w:vMerge w:val="restart"/>
            <w:tcBorders>
              <w:top w:val="single" w:color="000000" w:sz="4" w:space="0"/>
              <w:left w:val="single" w:color="000000" w:sz="4" w:space="0"/>
              <w:bottom w:val="single" w:color="000000" w:sz="4" w:space="0"/>
              <w:right w:val="nil"/>
            </w:tcBorders>
            <w:shd w:val="clear" w:color="auto" w:fill="FFFFFF"/>
            <w:noWrap w:val="0"/>
            <w:vAlign w:val="center"/>
          </w:tcPr>
          <w:p w14:paraId="2624BF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op w:val="single" w:color="000000" w:sz="4" w:space="0"/>
              <w:left w:val="single" w:color="000000" w:sz="4" w:space="0"/>
              <w:bottom w:val="single" w:color="000000" w:sz="4" w:space="0"/>
              <w:right w:val="nil"/>
            </w:tcBorders>
            <w:shd w:val="clear" w:color="auto" w:fill="FFFFFF"/>
            <w:noWrap w:val="0"/>
            <w:vAlign w:val="center"/>
          </w:tcPr>
          <w:p w14:paraId="153F1FB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w:t>
            </w:r>
          </w:p>
          <w:p w14:paraId="7F2A4F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ADB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2DED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9" w:type="dxa"/>
            <w:vMerge w:val="continue"/>
            <w:tcBorders>
              <w:top w:val="single" w:color="000000" w:sz="4" w:space="0"/>
              <w:left w:val="single" w:color="000000" w:sz="4" w:space="0"/>
              <w:bottom w:val="single" w:color="000000" w:sz="4" w:space="0"/>
              <w:right w:val="nil"/>
            </w:tcBorders>
            <w:shd w:val="clear" w:color="auto" w:fill="FFFFFF"/>
            <w:noWrap w:val="0"/>
            <w:vAlign w:val="center"/>
          </w:tcPr>
          <w:p w14:paraId="464065A0">
            <w:pPr>
              <w:spacing w:line="240" w:lineRule="auto"/>
              <w:jc w:val="center"/>
              <w:rPr>
                <w:rFonts w:hint="eastAsia" w:ascii="宋体" w:hAnsi="宋体" w:eastAsia="宋体" w:cs="宋体"/>
                <w:i w:val="0"/>
                <w:iCs w:val="0"/>
                <w:color w:val="000000"/>
                <w:sz w:val="18"/>
                <w:szCs w:val="18"/>
                <w:u w:val="none"/>
              </w:rPr>
            </w:pPr>
          </w:p>
        </w:tc>
        <w:tc>
          <w:tcPr>
            <w:tcW w:w="1624" w:type="dxa"/>
            <w:vMerge w:val="continue"/>
            <w:tcBorders>
              <w:top w:val="single" w:color="000000" w:sz="4" w:space="0"/>
              <w:left w:val="single" w:color="000000" w:sz="4" w:space="0"/>
              <w:bottom w:val="single" w:color="000000" w:sz="4" w:space="0"/>
              <w:right w:val="nil"/>
            </w:tcBorders>
            <w:shd w:val="clear" w:color="auto" w:fill="FFFFFF"/>
            <w:noWrap w:val="0"/>
            <w:vAlign w:val="center"/>
          </w:tcPr>
          <w:p w14:paraId="04E44132">
            <w:pPr>
              <w:spacing w:line="240" w:lineRule="auto"/>
              <w:jc w:val="center"/>
              <w:rPr>
                <w:rFonts w:hint="eastAsia" w:ascii="宋体" w:hAnsi="宋体" w:eastAsia="宋体" w:cs="宋体"/>
                <w:i w:val="0"/>
                <w:iCs w:val="0"/>
                <w:color w:val="000000"/>
                <w:sz w:val="18"/>
                <w:szCs w:val="18"/>
                <w:u w:val="none"/>
              </w:rPr>
            </w:pPr>
          </w:p>
        </w:tc>
        <w:tc>
          <w:tcPr>
            <w:tcW w:w="6188" w:type="dxa"/>
            <w:vMerge w:val="continue"/>
            <w:tcBorders>
              <w:top w:val="single" w:color="000000" w:sz="4" w:space="0"/>
              <w:left w:val="single" w:color="000000" w:sz="4" w:space="0"/>
              <w:bottom w:val="single" w:color="000000" w:sz="4" w:space="0"/>
              <w:right w:val="nil"/>
            </w:tcBorders>
            <w:shd w:val="clear" w:color="auto" w:fill="FFFFFF"/>
            <w:noWrap w:val="0"/>
            <w:vAlign w:val="center"/>
          </w:tcPr>
          <w:p w14:paraId="4627260E">
            <w:pPr>
              <w:spacing w:line="240" w:lineRule="auto"/>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nil"/>
            </w:tcBorders>
            <w:shd w:val="clear" w:color="auto" w:fill="FFFFFF"/>
            <w:noWrap w:val="0"/>
            <w:vAlign w:val="center"/>
          </w:tcPr>
          <w:p w14:paraId="35F856A5">
            <w:pPr>
              <w:spacing w:line="240" w:lineRule="auto"/>
              <w:jc w:val="center"/>
              <w:rPr>
                <w:rFonts w:hint="eastAsia" w:ascii="宋体" w:hAnsi="宋体" w:eastAsia="宋体" w:cs="宋体"/>
                <w:i w:val="0"/>
                <w:iCs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460C2">
            <w:pPr>
              <w:spacing w:line="240" w:lineRule="auto"/>
              <w:jc w:val="center"/>
              <w:rPr>
                <w:rFonts w:hint="eastAsia" w:ascii="宋体" w:hAnsi="宋体" w:eastAsia="宋体" w:cs="宋体"/>
                <w:i w:val="0"/>
                <w:iCs w:val="0"/>
                <w:color w:val="000000"/>
                <w:sz w:val="18"/>
                <w:szCs w:val="18"/>
                <w:u w:val="none"/>
              </w:rPr>
            </w:pPr>
          </w:p>
        </w:tc>
      </w:tr>
      <w:tr w14:paraId="1AE6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vMerge w:val="continue"/>
            <w:tcBorders>
              <w:top w:val="single" w:color="000000" w:sz="4" w:space="0"/>
              <w:left w:val="single" w:color="000000" w:sz="4" w:space="0"/>
              <w:bottom w:val="single" w:color="000000" w:sz="4" w:space="0"/>
              <w:right w:val="nil"/>
            </w:tcBorders>
            <w:shd w:val="clear" w:color="auto" w:fill="FFFFFF"/>
            <w:noWrap w:val="0"/>
            <w:vAlign w:val="center"/>
          </w:tcPr>
          <w:p w14:paraId="2B4D6010">
            <w:pPr>
              <w:spacing w:line="240" w:lineRule="auto"/>
              <w:jc w:val="center"/>
              <w:rPr>
                <w:rFonts w:hint="eastAsia" w:ascii="宋体" w:hAnsi="宋体" w:eastAsia="宋体" w:cs="宋体"/>
                <w:i w:val="0"/>
                <w:iCs w:val="0"/>
                <w:color w:val="000000"/>
                <w:sz w:val="18"/>
                <w:szCs w:val="18"/>
                <w:u w:val="none"/>
              </w:rPr>
            </w:pPr>
          </w:p>
        </w:tc>
        <w:tc>
          <w:tcPr>
            <w:tcW w:w="1624" w:type="dxa"/>
            <w:vMerge w:val="continue"/>
            <w:tcBorders>
              <w:top w:val="single" w:color="000000" w:sz="4" w:space="0"/>
              <w:left w:val="single" w:color="000000" w:sz="4" w:space="0"/>
              <w:bottom w:val="single" w:color="000000" w:sz="4" w:space="0"/>
              <w:right w:val="nil"/>
            </w:tcBorders>
            <w:shd w:val="clear" w:color="auto" w:fill="FFFFFF"/>
            <w:noWrap w:val="0"/>
            <w:vAlign w:val="center"/>
          </w:tcPr>
          <w:p w14:paraId="1E48FE03">
            <w:pPr>
              <w:spacing w:line="240" w:lineRule="auto"/>
              <w:jc w:val="center"/>
              <w:rPr>
                <w:rFonts w:hint="eastAsia" w:ascii="宋体" w:hAnsi="宋体" w:eastAsia="宋体" w:cs="宋体"/>
                <w:i w:val="0"/>
                <w:iCs w:val="0"/>
                <w:color w:val="000000"/>
                <w:sz w:val="18"/>
                <w:szCs w:val="18"/>
                <w:u w:val="none"/>
              </w:rPr>
            </w:pPr>
          </w:p>
        </w:tc>
        <w:tc>
          <w:tcPr>
            <w:tcW w:w="6188" w:type="dxa"/>
            <w:vMerge w:val="continue"/>
            <w:tcBorders>
              <w:top w:val="single" w:color="000000" w:sz="4" w:space="0"/>
              <w:left w:val="single" w:color="000000" w:sz="4" w:space="0"/>
              <w:bottom w:val="single" w:color="000000" w:sz="4" w:space="0"/>
              <w:right w:val="nil"/>
            </w:tcBorders>
            <w:shd w:val="clear" w:color="auto" w:fill="FFFFFF"/>
            <w:noWrap w:val="0"/>
            <w:vAlign w:val="center"/>
          </w:tcPr>
          <w:p w14:paraId="0571F037">
            <w:pPr>
              <w:spacing w:line="240" w:lineRule="auto"/>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nil"/>
            </w:tcBorders>
            <w:shd w:val="clear" w:color="auto" w:fill="FFFFFF"/>
            <w:noWrap w:val="0"/>
            <w:vAlign w:val="center"/>
          </w:tcPr>
          <w:p w14:paraId="0DA8CF9C">
            <w:pPr>
              <w:spacing w:line="240" w:lineRule="auto"/>
              <w:jc w:val="center"/>
              <w:rPr>
                <w:rFonts w:hint="eastAsia" w:ascii="宋体" w:hAnsi="宋体" w:eastAsia="宋体" w:cs="宋体"/>
                <w:i w:val="0"/>
                <w:iCs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95AFF">
            <w:pPr>
              <w:spacing w:line="240" w:lineRule="auto"/>
              <w:jc w:val="center"/>
              <w:rPr>
                <w:rFonts w:hint="eastAsia" w:ascii="宋体" w:hAnsi="宋体" w:eastAsia="宋体" w:cs="宋体"/>
                <w:i w:val="0"/>
                <w:iCs w:val="0"/>
                <w:color w:val="000000"/>
                <w:sz w:val="18"/>
                <w:szCs w:val="18"/>
                <w:u w:val="none"/>
              </w:rPr>
            </w:pPr>
          </w:p>
        </w:tc>
      </w:tr>
      <w:tr w14:paraId="0A86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1693AB52">
            <w:pPr>
              <w:spacing w:line="240" w:lineRule="auto"/>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4A17D52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天棚工程</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1A16716F">
            <w:pPr>
              <w:spacing w:line="240" w:lineRule="auto"/>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49FC1573">
            <w:pPr>
              <w:spacing w:line="240" w:lineRule="auto"/>
              <w:jc w:val="center"/>
              <w:rPr>
                <w:rFonts w:hint="eastAsia" w:ascii="宋体" w:hAnsi="宋体" w:eastAsia="宋体" w:cs="宋体"/>
                <w:i w:val="0"/>
                <w:iCs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4BD81">
            <w:pPr>
              <w:spacing w:line="240" w:lineRule="auto"/>
              <w:jc w:val="right"/>
              <w:rPr>
                <w:rFonts w:hint="eastAsia" w:ascii="宋体" w:hAnsi="宋体" w:eastAsia="宋体" w:cs="宋体"/>
                <w:i w:val="0"/>
                <w:iCs w:val="0"/>
                <w:color w:val="000000"/>
                <w:sz w:val="18"/>
                <w:szCs w:val="18"/>
                <w:u w:val="none"/>
              </w:rPr>
            </w:pPr>
          </w:p>
        </w:tc>
      </w:tr>
      <w:tr w14:paraId="43CC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68D593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5291BD3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3C42589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轻钢龙骨石膏板吊顶：</w:t>
            </w:r>
          </w:p>
          <w:p w14:paraId="31947B2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1.U60轻钢龙骨</w:t>
            </w:r>
          </w:p>
          <w:p w14:paraId="7392A47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2.双层9mm石膏板平面</w:t>
            </w:r>
          </w:p>
          <w:p w14:paraId="7D795B5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3.板缝贴胶带、点锈</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0971B5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C8D2D">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315.35</w:t>
            </w:r>
          </w:p>
        </w:tc>
      </w:tr>
      <w:tr w14:paraId="513E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53509B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6E1E92E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21B982F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轻钢龙骨石膏板吊顶：</w:t>
            </w:r>
          </w:p>
          <w:p w14:paraId="488DAB8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1.U60轻钢龙骨</w:t>
            </w:r>
          </w:p>
          <w:p w14:paraId="56DE9AA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2.12mm石膏板侧面</w:t>
            </w:r>
          </w:p>
          <w:p w14:paraId="0A23F9E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3.板缝贴胶带、点锈</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254607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4384B">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86.02</w:t>
            </w:r>
          </w:p>
        </w:tc>
      </w:tr>
      <w:tr w14:paraId="31BD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127297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3374B42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498C99A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科技木吊顶：</w:t>
            </w:r>
          </w:p>
          <w:p w14:paraId="1809741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1.U60轻钢龙骨</w:t>
            </w:r>
          </w:p>
          <w:p w14:paraId="6E6D1E7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2.科技木饰面</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1022DB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498C7">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r>
      <w:tr w14:paraId="21BC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0713A8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3629151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4B0C451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1.U50轻钢龙骨</w:t>
            </w:r>
          </w:p>
          <w:p w14:paraId="6E5A37F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2.600*600矿棉板面层</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18F90E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BA9AF">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194.01</w:t>
            </w:r>
          </w:p>
        </w:tc>
      </w:tr>
      <w:tr w14:paraId="0340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416732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7C3E415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格栅吊顶</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558A212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轻钢龙骨,40*60*1.5@140mm仿木铝合金方管</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7248A7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FA47C">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27.18</w:t>
            </w:r>
          </w:p>
        </w:tc>
      </w:tr>
      <w:tr w14:paraId="377F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26BC82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107DC2D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格栅吊顶</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12D64AE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轻钢龙骨,50*50*1mm@140仿木铝合金方管</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26820B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D162B">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286.20</w:t>
            </w:r>
          </w:p>
        </w:tc>
      </w:tr>
      <w:tr w14:paraId="59B8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0B832A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2D47C3C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木窗帘盒</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6C4ABC0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1.细木工板窗帘盒基层</w:t>
            </w:r>
          </w:p>
          <w:p w14:paraId="2E400B7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2.9mm石膏板面层</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497195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4DB53">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149.17</w:t>
            </w:r>
          </w:p>
        </w:tc>
      </w:tr>
      <w:tr w14:paraId="4086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74587C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1E17910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1364090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腻子两道乳胶漆两道</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4D8AA1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33FCC">
            <w:pPr>
              <w:spacing w:line="240" w:lineRule="auto"/>
              <w:jc w:val="right"/>
              <w:rPr>
                <w:rFonts w:hint="eastAsia" w:ascii="宋体" w:hAnsi="宋体" w:eastAsia="宋体" w:cs="宋体"/>
                <w:i w:val="0"/>
                <w:iCs w:val="0"/>
                <w:color w:val="000000"/>
                <w:sz w:val="18"/>
                <w:szCs w:val="18"/>
                <w:u w:val="none"/>
              </w:rPr>
            </w:pPr>
          </w:p>
        </w:tc>
      </w:tr>
      <w:tr w14:paraId="5368D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61D2CD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3FD399E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1B6BDAE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铝方通上喷涂料</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6044A0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48709">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376.06</w:t>
            </w:r>
          </w:p>
        </w:tc>
      </w:tr>
      <w:tr w14:paraId="5C2C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4025AF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11C0CC6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268496D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1.20mm防火木工板打底，木原色打孔隔音板</w:t>
            </w:r>
          </w:p>
          <w:p w14:paraId="3EC82A5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2.10厚玫瑰金色铝合金压边条</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3DFC53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94924">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286.49</w:t>
            </w:r>
          </w:p>
        </w:tc>
      </w:tr>
      <w:tr w14:paraId="133F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44B584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1E9ACD9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木质踢脚线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0B8FFCD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100mm高实木踢脚线</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7B90A0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1C6CE">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291.30</w:t>
            </w:r>
          </w:p>
        </w:tc>
      </w:tr>
      <w:tr w14:paraId="22A6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6F89EA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0F7A462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硬木扶手、栏杆、栏板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001ABCA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木制舞蹈麻杆扶手</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06B957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734DD">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14:paraId="5D3D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3370A5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76DDC6B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镜面玻璃</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3C50FA7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1.50宽实木压边条</w:t>
            </w:r>
          </w:p>
          <w:p w14:paraId="5538EF9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2.安全镜子</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41CF89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B38D3">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22.13</w:t>
            </w:r>
          </w:p>
        </w:tc>
      </w:tr>
      <w:tr w14:paraId="1674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5111E9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716021F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石材窗台板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0D4B0D1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白色大理石窗台板</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0B9623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471AA">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18.73</w:t>
            </w:r>
          </w:p>
        </w:tc>
      </w:tr>
      <w:tr w14:paraId="3742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6DF089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72D7F17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矮柜</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6883E48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12200*900</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3B01F8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8E9C4">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0C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74C7D6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4321754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矮柜</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003CDEF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7300*750 美术教室</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342AA5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0ED71">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1F3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5622E1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65FF954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矮柜</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6CE0F0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10200*850 美术教室</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0247D4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CF34E">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E3C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6C332C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3402183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厨房吊柜</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7DC479D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1600*600</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4A4FD0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93155">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4F6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7B3864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3F0FC85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厨房吊柜</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7FDAB0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1600*1200</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2BC579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DFE5D">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7C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172219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472FD0F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厨房吊柜</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7C98958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1600*800</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124B23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06C03">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81F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1571C8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257F049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厨房吊柜</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5B66A7F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5600*900</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14BEED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98B79">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9F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0A6611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70CD7A8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厨房吊柜</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778B5F9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8300*900党员</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57B1EA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1BD74">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5D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6BA9EA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1C23DAF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厨房吊柜</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708AE50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12200*900音乐教室</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23AC04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7E680">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1F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5DBFA5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7219D44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厨房吊柜</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44E1459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教工之家</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78E070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93C19">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r>
      <w:tr w14:paraId="26E0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257699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65E12D2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柱（梁）面装饰</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2840E836">
            <w:pPr>
              <w:spacing w:line="240" w:lineRule="auto"/>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1B6DA3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A40F6">
            <w:pPr>
              <w:spacing w:line="240" w:lineRule="auto"/>
              <w:jc w:val="right"/>
              <w:rPr>
                <w:rFonts w:hint="eastAsia" w:ascii="宋体" w:hAnsi="宋体" w:eastAsia="宋体" w:cs="宋体"/>
                <w:i w:val="0"/>
                <w:iCs w:val="0"/>
                <w:color w:val="000000"/>
                <w:sz w:val="18"/>
                <w:szCs w:val="18"/>
                <w:u w:val="none"/>
              </w:rPr>
            </w:pPr>
          </w:p>
        </w:tc>
      </w:tr>
      <w:tr w14:paraId="19FF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461920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26AFFFD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174F870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1.腻子两道</w:t>
            </w:r>
          </w:p>
          <w:p w14:paraId="1790286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2.无机涂料两道</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475675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86A2A">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206.38</w:t>
            </w:r>
          </w:p>
        </w:tc>
      </w:tr>
      <w:tr w14:paraId="5E6C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42A2E6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56137AC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28ACBF6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墙面（干混砂浆）粘贴瓷砖^DP M20 周长1200mm以上</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5291FC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64397">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7.97</w:t>
            </w:r>
          </w:p>
        </w:tc>
      </w:tr>
      <w:tr w14:paraId="24E8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57608B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2E49CF7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38D4CED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1.20mm防火木工板打底，黄色防火饰面板，木色免漆板突出墙面200，详见图纸节点</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10EB04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F8F48">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14:paraId="2F26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4454F5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2BDA307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342FEAB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1.20mm防火木工板打底，原木色防火饰面板</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7E435A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877CE">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55.05</w:t>
            </w:r>
          </w:p>
        </w:tc>
      </w:tr>
      <w:tr w14:paraId="0555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0D2333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399A91D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5B92474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1.20mm防火木工板打底，红色防火饰面板</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0B58D1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6F2FD">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r>
      <w:tr w14:paraId="4513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4B7A2B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6E19DBA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2A6FA90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1.20mm防火木工板打底，松木软木板（含宽木压边条）</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57DF46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B8B9B">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r>
      <w:tr w14:paraId="78EAB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083D1B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28BB2A2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6563238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1.20mm防火木工板打底，免漆板饰面</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075A86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68D48">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r>
      <w:tr w14:paraId="636F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63B864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2D5FDB1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竹、木（复合）地板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0AD37DC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15厚实木复合地板</w:t>
            </w:r>
          </w:p>
          <w:p w14:paraId="737CEDB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 2mm聚乙烯防潮地垫</w:t>
            </w:r>
          </w:p>
          <w:p w14:paraId="21A803F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 2~5mmC25水泥自流平</w:t>
            </w:r>
          </w:p>
          <w:p w14:paraId="33EDC50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 30厚C20细石混凝土随打随抹光、找平。</w:t>
            </w:r>
          </w:p>
          <w:p w14:paraId="2B6CCD4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 素水泥浆一道(内掺建筑胶)</w:t>
            </w:r>
          </w:p>
          <w:p w14:paraId="43E1CF4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6.原建筑结构层</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285358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846EF">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638.86</w:t>
            </w:r>
          </w:p>
        </w:tc>
      </w:tr>
      <w:tr w14:paraId="3207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1D7E7F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5735EA6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竹、木（复合）地板</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3E075A5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钢龙骨上铺15厚实木复合地板</w:t>
            </w:r>
          </w:p>
          <w:p w14:paraId="0A40209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 2mm聚乙烯防潮地垫</w:t>
            </w:r>
          </w:p>
          <w:p w14:paraId="4E99344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 2~5mmC25水泥自流平</w:t>
            </w:r>
          </w:p>
          <w:p w14:paraId="29D1958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 30厚C20细石混凝土随打随抹光、找平。</w:t>
            </w:r>
          </w:p>
          <w:p w14:paraId="1FF1A46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 素水泥浆一道(内掺建筑胶)</w:t>
            </w:r>
          </w:p>
          <w:p w14:paraId="4626FAE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6.原建筑结构层</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189931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215AB">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r>
      <w:tr w14:paraId="0635A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70D488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381F935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12B4208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600*600防滑地砖楼面</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1DD202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1E2B7">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553.90</w:t>
            </w:r>
          </w:p>
        </w:tc>
      </w:tr>
      <w:tr w14:paraId="3A5E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9" w:type="dxa"/>
            <w:tcBorders>
              <w:top w:val="single" w:color="000000" w:sz="4" w:space="0"/>
              <w:left w:val="single" w:color="000000" w:sz="4" w:space="0"/>
              <w:bottom w:val="single" w:color="000000" w:sz="4" w:space="0"/>
              <w:right w:val="nil"/>
            </w:tcBorders>
            <w:shd w:val="clear" w:color="auto" w:fill="FFFFFF"/>
            <w:noWrap w:val="0"/>
            <w:vAlign w:val="center"/>
          </w:tcPr>
          <w:p w14:paraId="74EA87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624" w:type="dxa"/>
            <w:tcBorders>
              <w:top w:val="single" w:color="000000" w:sz="4" w:space="0"/>
              <w:left w:val="single" w:color="000000" w:sz="4" w:space="0"/>
              <w:bottom w:val="single" w:color="000000" w:sz="4" w:space="0"/>
              <w:right w:val="nil"/>
            </w:tcBorders>
            <w:shd w:val="clear" w:color="auto" w:fill="FFFFFF"/>
            <w:noWrap w:val="0"/>
            <w:vAlign w:val="center"/>
          </w:tcPr>
          <w:p w14:paraId="4640C3E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石材零星项目</w:t>
            </w:r>
          </w:p>
        </w:tc>
        <w:tc>
          <w:tcPr>
            <w:tcW w:w="6188" w:type="dxa"/>
            <w:tcBorders>
              <w:top w:val="single" w:color="000000" w:sz="4" w:space="0"/>
              <w:left w:val="single" w:color="000000" w:sz="4" w:space="0"/>
              <w:bottom w:val="single" w:color="000000" w:sz="4" w:space="0"/>
              <w:right w:val="nil"/>
            </w:tcBorders>
            <w:shd w:val="clear" w:color="auto" w:fill="FFFFFF"/>
            <w:noWrap w:val="0"/>
            <w:vAlign w:val="center"/>
          </w:tcPr>
          <w:p w14:paraId="09F25C0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30厚黑色烧毛花岗岩坡道过渡</w:t>
            </w:r>
          </w:p>
        </w:tc>
        <w:tc>
          <w:tcPr>
            <w:tcW w:w="675" w:type="dxa"/>
            <w:tcBorders>
              <w:top w:val="single" w:color="000000" w:sz="4" w:space="0"/>
              <w:left w:val="single" w:color="000000" w:sz="4" w:space="0"/>
              <w:bottom w:val="single" w:color="000000" w:sz="4" w:space="0"/>
              <w:right w:val="nil"/>
            </w:tcBorders>
            <w:shd w:val="clear" w:color="auto" w:fill="FFFFFF"/>
            <w:noWrap w:val="0"/>
            <w:vAlign w:val="center"/>
          </w:tcPr>
          <w:p w14:paraId="323383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E47B9">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w:t>
            </w:r>
          </w:p>
        </w:tc>
      </w:tr>
    </w:tbl>
    <w:p w14:paraId="12D18958">
      <w:pPr>
        <w:spacing w:line="240" w:lineRule="auto"/>
        <w:jc w:val="both"/>
        <w:rPr>
          <w:rFonts w:hint="default"/>
          <w:lang w:val="en-US" w:eastAsia="zh-CN"/>
        </w:rPr>
      </w:pPr>
    </w:p>
    <w:p w14:paraId="7000E418">
      <w:pPr>
        <w:spacing w:line="240" w:lineRule="auto"/>
        <w:jc w:val="center"/>
        <w:rPr>
          <w:rFonts w:hint="eastAsia"/>
          <w:lang w:val="en-US" w:eastAsia="zh-CN"/>
        </w:rPr>
      </w:pPr>
      <w:r>
        <w:rPr>
          <w:rFonts w:hint="eastAsia"/>
          <w:lang w:val="en-US" w:eastAsia="zh-CN"/>
        </w:rPr>
        <w:t>装修安装</w:t>
      </w:r>
    </w:p>
    <w:tbl>
      <w:tblPr>
        <w:tblStyle w:val="44"/>
        <w:tblW w:w="9912"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9"/>
        <w:gridCol w:w="1542"/>
        <w:gridCol w:w="6189"/>
        <w:gridCol w:w="675"/>
        <w:gridCol w:w="907"/>
      </w:tblGrid>
      <w:tr w14:paraId="560B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vMerge w:val="restart"/>
            <w:tcBorders>
              <w:tl2br w:val="nil"/>
              <w:tr2bl w:val="nil"/>
            </w:tcBorders>
            <w:shd w:val="clear" w:color="auto" w:fill="FFFFFF"/>
            <w:noWrap w:val="0"/>
            <w:vAlign w:val="center"/>
          </w:tcPr>
          <w:p w14:paraId="6B709E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42" w:type="dxa"/>
            <w:vMerge w:val="restart"/>
            <w:tcBorders>
              <w:tl2br w:val="nil"/>
              <w:tr2bl w:val="nil"/>
            </w:tcBorders>
            <w:shd w:val="clear" w:color="auto" w:fill="FFFFFF"/>
            <w:noWrap w:val="0"/>
            <w:vAlign w:val="center"/>
          </w:tcPr>
          <w:p w14:paraId="4D706A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189" w:type="dxa"/>
            <w:vMerge w:val="restart"/>
            <w:tcBorders>
              <w:tl2br w:val="nil"/>
              <w:tr2bl w:val="nil"/>
            </w:tcBorders>
            <w:shd w:val="clear" w:color="auto" w:fill="FFFFFF"/>
            <w:noWrap w:val="0"/>
            <w:vAlign w:val="center"/>
          </w:tcPr>
          <w:p w14:paraId="34166B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l2br w:val="nil"/>
              <w:tr2bl w:val="nil"/>
            </w:tcBorders>
            <w:shd w:val="clear" w:color="auto" w:fill="FFFFFF"/>
            <w:noWrap w:val="0"/>
            <w:vAlign w:val="center"/>
          </w:tcPr>
          <w:p w14:paraId="7684F13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w:t>
            </w:r>
          </w:p>
          <w:p w14:paraId="74F167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07" w:type="dxa"/>
            <w:vMerge w:val="restart"/>
            <w:tcBorders>
              <w:tl2br w:val="nil"/>
              <w:tr2bl w:val="nil"/>
            </w:tcBorders>
            <w:shd w:val="clear" w:color="auto" w:fill="FFFFFF"/>
            <w:noWrap w:val="0"/>
            <w:vAlign w:val="center"/>
          </w:tcPr>
          <w:p w14:paraId="2B02F1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2D55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99" w:type="dxa"/>
            <w:vMerge w:val="continue"/>
            <w:tcBorders>
              <w:tl2br w:val="nil"/>
              <w:tr2bl w:val="nil"/>
            </w:tcBorders>
            <w:shd w:val="clear" w:color="auto" w:fill="FFFFFF"/>
            <w:noWrap w:val="0"/>
            <w:vAlign w:val="center"/>
          </w:tcPr>
          <w:p w14:paraId="43CEFB7A">
            <w:pPr>
              <w:spacing w:line="240" w:lineRule="auto"/>
              <w:jc w:val="center"/>
              <w:rPr>
                <w:rFonts w:hint="eastAsia" w:ascii="宋体" w:hAnsi="宋体" w:eastAsia="宋体" w:cs="宋体"/>
                <w:i w:val="0"/>
                <w:iCs w:val="0"/>
                <w:color w:val="000000"/>
                <w:sz w:val="18"/>
                <w:szCs w:val="18"/>
                <w:u w:val="none"/>
              </w:rPr>
            </w:pPr>
          </w:p>
        </w:tc>
        <w:tc>
          <w:tcPr>
            <w:tcW w:w="1542" w:type="dxa"/>
            <w:vMerge w:val="continue"/>
            <w:tcBorders>
              <w:tl2br w:val="nil"/>
              <w:tr2bl w:val="nil"/>
            </w:tcBorders>
            <w:shd w:val="clear" w:color="auto" w:fill="FFFFFF"/>
            <w:noWrap w:val="0"/>
            <w:vAlign w:val="center"/>
          </w:tcPr>
          <w:p w14:paraId="7364B246">
            <w:pPr>
              <w:spacing w:line="240" w:lineRule="auto"/>
              <w:jc w:val="center"/>
              <w:rPr>
                <w:rFonts w:hint="eastAsia" w:ascii="宋体" w:hAnsi="宋体" w:eastAsia="宋体" w:cs="宋体"/>
                <w:i w:val="0"/>
                <w:iCs w:val="0"/>
                <w:color w:val="000000"/>
                <w:sz w:val="18"/>
                <w:szCs w:val="18"/>
                <w:u w:val="none"/>
              </w:rPr>
            </w:pPr>
          </w:p>
        </w:tc>
        <w:tc>
          <w:tcPr>
            <w:tcW w:w="6189" w:type="dxa"/>
            <w:vMerge w:val="continue"/>
            <w:tcBorders>
              <w:tl2br w:val="nil"/>
              <w:tr2bl w:val="nil"/>
            </w:tcBorders>
            <w:shd w:val="clear" w:color="auto" w:fill="FFFFFF"/>
            <w:noWrap w:val="0"/>
            <w:vAlign w:val="center"/>
          </w:tcPr>
          <w:p w14:paraId="6505895C">
            <w:pPr>
              <w:spacing w:line="240" w:lineRule="auto"/>
              <w:jc w:val="center"/>
              <w:rPr>
                <w:rFonts w:hint="eastAsia" w:ascii="宋体" w:hAnsi="宋体" w:eastAsia="宋体" w:cs="宋体"/>
                <w:i w:val="0"/>
                <w:iCs w:val="0"/>
                <w:color w:val="000000"/>
                <w:sz w:val="18"/>
                <w:szCs w:val="18"/>
                <w:u w:val="none"/>
              </w:rPr>
            </w:pPr>
          </w:p>
        </w:tc>
        <w:tc>
          <w:tcPr>
            <w:tcW w:w="675" w:type="dxa"/>
            <w:vMerge w:val="continue"/>
            <w:tcBorders>
              <w:tl2br w:val="nil"/>
              <w:tr2bl w:val="nil"/>
            </w:tcBorders>
            <w:shd w:val="clear" w:color="auto" w:fill="FFFFFF"/>
            <w:noWrap w:val="0"/>
            <w:vAlign w:val="center"/>
          </w:tcPr>
          <w:p w14:paraId="0D6FCC3C">
            <w:pPr>
              <w:spacing w:line="240" w:lineRule="auto"/>
              <w:jc w:val="center"/>
              <w:rPr>
                <w:rFonts w:hint="eastAsia" w:ascii="宋体" w:hAnsi="宋体" w:eastAsia="宋体" w:cs="宋体"/>
                <w:i w:val="0"/>
                <w:iCs w:val="0"/>
                <w:color w:val="000000"/>
                <w:sz w:val="18"/>
                <w:szCs w:val="18"/>
                <w:u w:val="none"/>
              </w:rPr>
            </w:pPr>
          </w:p>
        </w:tc>
        <w:tc>
          <w:tcPr>
            <w:tcW w:w="907" w:type="dxa"/>
            <w:vMerge w:val="continue"/>
            <w:tcBorders>
              <w:tl2br w:val="nil"/>
              <w:tr2bl w:val="nil"/>
            </w:tcBorders>
            <w:shd w:val="clear" w:color="auto" w:fill="FFFFFF"/>
            <w:noWrap w:val="0"/>
            <w:vAlign w:val="center"/>
          </w:tcPr>
          <w:p w14:paraId="1A086104">
            <w:pPr>
              <w:spacing w:line="240" w:lineRule="auto"/>
              <w:jc w:val="center"/>
              <w:rPr>
                <w:rFonts w:hint="eastAsia" w:ascii="宋体" w:hAnsi="宋体" w:eastAsia="宋体" w:cs="宋体"/>
                <w:i w:val="0"/>
                <w:iCs w:val="0"/>
                <w:color w:val="000000"/>
                <w:sz w:val="18"/>
                <w:szCs w:val="18"/>
                <w:u w:val="none"/>
              </w:rPr>
            </w:pPr>
          </w:p>
        </w:tc>
      </w:tr>
      <w:tr w14:paraId="1D0C0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vMerge w:val="continue"/>
            <w:tcBorders>
              <w:tl2br w:val="nil"/>
              <w:tr2bl w:val="nil"/>
            </w:tcBorders>
            <w:shd w:val="clear" w:color="auto" w:fill="FFFFFF"/>
            <w:noWrap w:val="0"/>
            <w:vAlign w:val="center"/>
          </w:tcPr>
          <w:p w14:paraId="5C1F235A">
            <w:pPr>
              <w:spacing w:line="240" w:lineRule="auto"/>
              <w:jc w:val="center"/>
              <w:rPr>
                <w:rFonts w:hint="eastAsia" w:ascii="宋体" w:hAnsi="宋体" w:eastAsia="宋体" w:cs="宋体"/>
                <w:i w:val="0"/>
                <w:iCs w:val="0"/>
                <w:color w:val="000000"/>
                <w:sz w:val="18"/>
                <w:szCs w:val="18"/>
                <w:u w:val="none"/>
              </w:rPr>
            </w:pPr>
          </w:p>
        </w:tc>
        <w:tc>
          <w:tcPr>
            <w:tcW w:w="1542" w:type="dxa"/>
            <w:vMerge w:val="continue"/>
            <w:tcBorders>
              <w:tl2br w:val="nil"/>
              <w:tr2bl w:val="nil"/>
            </w:tcBorders>
            <w:shd w:val="clear" w:color="auto" w:fill="FFFFFF"/>
            <w:noWrap w:val="0"/>
            <w:vAlign w:val="center"/>
          </w:tcPr>
          <w:p w14:paraId="2DB6921F">
            <w:pPr>
              <w:spacing w:line="240" w:lineRule="auto"/>
              <w:jc w:val="center"/>
              <w:rPr>
                <w:rFonts w:hint="eastAsia" w:ascii="宋体" w:hAnsi="宋体" w:eastAsia="宋体" w:cs="宋体"/>
                <w:i w:val="0"/>
                <w:iCs w:val="0"/>
                <w:color w:val="000000"/>
                <w:sz w:val="18"/>
                <w:szCs w:val="18"/>
                <w:u w:val="none"/>
              </w:rPr>
            </w:pPr>
          </w:p>
        </w:tc>
        <w:tc>
          <w:tcPr>
            <w:tcW w:w="6189" w:type="dxa"/>
            <w:vMerge w:val="continue"/>
            <w:tcBorders>
              <w:tl2br w:val="nil"/>
              <w:tr2bl w:val="nil"/>
            </w:tcBorders>
            <w:shd w:val="clear" w:color="auto" w:fill="FFFFFF"/>
            <w:noWrap w:val="0"/>
            <w:vAlign w:val="center"/>
          </w:tcPr>
          <w:p w14:paraId="31823030">
            <w:pPr>
              <w:spacing w:line="240" w:lineRule="auto"/>
              <w:jc w:val="center"/>
              <w:rPr>
                <w:rFonts w:hint="eastAsia" w:ascii="宋体" w:hAnsi="宋体" w:eastAsia="宋体" w:cs="宋体"/>
                <w:i w:val="0"/>
                <w:iCs w:val="0"/>
                <w:color w:val="000000"/>
                <w:sz w:val="18"/>
                <w:szCs w:val="18"/>
                <w:u w:val="none"/>
              </w:rPr>
            </w:pPr>
          </w:p>
        </w:tc>
        <w:tc>
          <w:tcPr>
            <w:tcW w:w="675" w:type="dxa"/>
            <w:vMerge w:val="continue"/>
            <w:tcBorders>
              <w:tl2br w:val="nil"/>
              <w:tr2bl w:val="nil"/>
            </w:tcBorders>
            <w:shd w:val="clear" w:color="auto" w:fill="FFFFFF"/>
            <w:noWrap w:val="0"/>
            <w:vAlign w:val="center"/>
          </w:tcPr>
          <w:p w14:paraId="14542F98">
            <w:pPr>
              <w:spacing w:line="240" w:lineRule="auto"/>
              <w:jc w:val="center"/>
              <w:rPr>
                <w:rFonts w:hint="eastAsia" w:ascii="宋体" w:hAnsi="宋体" w:eastAsia="宋体" w:cs="宋体"/>
                <w:i w:val="0"/>
                <w:iCs w:val="0"/>
                <w:color w:val="000000"/>
                <w:sz w:val="18"/>
                <w:szCs w:val="18"/>
                <w:u w:val="none"/>
              </w:rPr>
            </w:pPr>
          </w:p>
        </w:tc>
        <w:tc>
          <w:tcPr>
            <w:tcW w:w="907" w:type="dxa"/>
            <w:vMerge w:val="continue"/>
            <w:tcBorders>
              <w:tl2br w:val="nil"/>
              <w:tr2bl w:val="nil"/>
            </w:tcBorders>
            <w:shd w:val="clear" w:color="auto" w:fill="FFFFFF"/>
            <w:noWrap w:val="0"/>
            <w:vAlign w:val="center"/>
          </w:tcPr>
          <w:p w14:paraId="76674813">
            <w:pPr>
              <w:spacing w:line="240" w:lineRule="auto"/>
              <w:jc w:val="center"/>
              <w:rPr>
                <w:rFonts w:hint="eastAsia" w:ascii="宋体" w:hAnsi="宋体" w:eastAsia="宋体" w:cs="宋体"/>
                <w:i w:val="0"/>
                <w:iCs w:val="0"/>
                <w:color w:val="000000"/>
                <w:sz w:val="18"/>
                <w:szCs w:val="18"/>
                <w:u w:val="none"/>
              </w:rPr>
            </w:pPr>
          </w:p>
        </w:tc>
      </w:tr>
      <w:tr w14:paraId="79FEA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72BB3690">
            <w:pPr>
              <w:spacing w:line="240" w:lineRule="auto"/>
              <w:jc w:val="center"/>
              <w:rPr>
                <w:rFonts w:hint="eastAsia" w:ascii="宋体" w:hAnsi="宋体" w:eastAsia="宋体" w:cs="宋体"/>
                <w:i w:val="0"/>
                <w:iCs w:val="0"/>
                <w:color w:val="000000"/>
                <w:sz w:val="18"/>
                <w:szCs w:val="18"/>
                <w:u w:val="none"/>
              </w:rPr>
            </w:pPr>
          </w:p>
        </w:tc>
        <w:tc>
          <w:tcPr>
            <w:tcW w:w="1542" w:type="dxa"/>
            <w:tcBorders>
              <w:tl2br w:val="nil"/>
              <w:tr2bl w:val="nil"/>
            </w:tcBorders>
            <w:shd w:val="clear" w:color="auto" w:fill="FFFFFF"/>
            <w:noWrap w:val="0"/>
            <w:vAlign w:val="center"/>
          </w:tcPr>
          <w:p w14:paraId="1CA0FD5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强电系统</w:t>
            </w:r>
          </w:p>
        </w:tc>
        <w:tc>
          <w:tcPr>
            <w:tcW w:w="6189" w:type="dxa"/>
            <w:tcBorders>
              <w:tl2br w:val="nil"/>
              <w:tr2bl w:val="nil"/>
            </w:tcBorders>
            <w:shd w:val="clear" w:color="auto" w:fill="FFFFFF"/>
            <w:noWrap w:val="0"/>
            <w:vAlign w:val="center"/>
          </w:tcPr>
          <w:p w14:paraId="43121C02">
            <w:pPr>
              <w:spacing w:line="240" w:lineRule="auto"/>
              <w:jc w:val="left"/>
              <w:rPr>
                <w:rFonts w:hint="eastAsia" w:ascii="宋体" w:hAnsi="宋体" w:eastAsia="宋体" w:cs="宋体"/>
                <w:i w:val="0"/>
                <w:iCs w:val="0"/>
                <w:color w:val="000000"/>
                <w:sz w:val="18"/>
                <w:szCs w:val="18"/>
                <w:u w:val="none"/>
              </w:rPr>
            </w:pPr>
          </w:p>
        </w:tc>
        <w:tc>
          <w:tcPr>
            <w:tcW w:w="675" w:type="dxa"/>
            <w:tcBorders>
              <w:tl2br w:val="nil"/>
              <w:tr2bl w:val="nil"/>
            </w:tcBorders>
            <w:shd w:val="clear" w:color="auto" w:fill="FFFFFF"/>
            <w:noWrap w:val="0"/>
            <w:vAlign w:val="center"/>
          </w:tcPr>
          <w:p w14:paraId="2F90E4E9">
            <w:pPr>
              <w:spacing w:line="240" w:lineRule="auto"/>
              <w:jc w:val="center"/>
              <w:rPr>
                <w:rFonts w:hint="eastAsia" w:ascii="宋体" w:hAnsi="宋体" w:eastAsia="宋体" w:cs="宋体"/>
                <w:i w:val="0"/>
                <w:iCs w:val="0"/>
                <w:color w:val="000000"/>
                <w:sz w:val="18"/>
                <w:szCs w:val="18"/>
                <w:u w:val="none"/>
              </w:rPr>
            </w:pPr>
          </w:p>
        </w:tc>
        <w:tc>
          <w:tcPr>
            <w:tcW w:w="907" w:type="dxa"/>
            <w:tcBorders>
              <w:tl2br w:val="nil"/>
              <w:tr2bl w:val="nil"/>
            </w:tcBorders>
            <w:shd w:val="clear" w:color="auto" w:fill="FFFFFF"/>
            <w:noWrap w:val="0"/>
            <w:vAlign w:val="center"/>
          </w:tcPr>
          <w:p w14:paraId="0F68E6E8">
            <w:pPr>
              <w:spacing w:line="240" w:lineRule="auto"/>
              <w:jc w:val="right"/>
              <w:rPr>
                <w:rFonts w:hint="eastAsia" w:ascii="宋体" w:hAnsi="宋体" w:eastAsia="宋体" w:cs="宋体"/>
                <w:i w:val="0"/>
                <w:iCs w:val="0"/>
                <w:color w:val="000000"/>
                <w:sz w:val="18"/>
                <w:szCs w:val="18"/>
                <w:u w:val="none"/>
              </w:rPr>
            </w:pPr>
          </w:p>
        </w:tc>
      </w:tr>
      <w:tr w14:paraId="1AA28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3C7123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42" w:type="dxa"/>
            <w:tcBorders>
              <w:tl2br w:val="nil"/>
              <w:tr2bl w:val="nil"/>
            </w:tcBorders>
            <w:shd w:val="clear" w:color="auto" w:fill="FFFFFF"/>
            <w:noWrap w:val="0"/>
            <w:vAlign w:val="center"/>
          </w:tcPr>
          <w:p w14:paraId="4F258DD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6189" w:type="dxa"/>
            <w:tcBorders>
              <w:tl2br w:val="nil"/>
              <w:tr2bl w:val="nil"/>
            </w:tcBorders>
            <w:shd w:val="clear" w:color="auto" w:fill="FFFFFF"/>
            <w:noWrap w:val="0"/>
            <w:vAlign w:val="center"/>
          </w:tcPr>
          <w:p w14:paraId="5F031EB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WDZB1N-BYJ-2.5</w:t>
            </w:r>
          </w:p>
        </w:tc>
        <w:tc>
          <w:tcPr>
            <w:tcW w:w="675" w:type="dxa"/>
            <w:tcBorders>
              <w:tl2br w:val="nil"/>
              <w:tr2bl w:val="nil"/>
            </w:tcBorders>
            <w:shd w:val="clear" w:color="auto" w:fill="FFFFFF"/>
            <w:noWrap w:val="0"/>
            <w:vAlign w:val="center"/>
          </w:tcPr>
          <w:p w14:paraId="71F061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7" w:type="dxa"/>
            <w:tcBorders>
              <w:tl2br w:val="nil"/>
              <w:tr2bl w:val="nil"/>
            </w:tcBorders>
            <w:shd w:val="clear" w:color="auto" w:fill="FFFFFF"/>
            <w:noWrap w:val="0"/>
            <w:vAlign w:val="center"/>
          </w:tcPr>
          <w:p w14:paraId="7CEBBACA">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2750.63</w:t>
            </w:r>
          </w:p>
        </w:tc>
      </w:tr>
      <w:tr w14:paraId="407B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518890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2" w:type="dxa"/>
            <w:tcBorders>
              <w:tl2br w:val="nil"/>
              <w:tr2bl w:val="nil"/>
            </w:tcBorders>
            <w:shd w:val="clear" w:color="auto" w:fill="FFFFFF"/>
            <w:noWrap w:val="0"/>
            <w:vAlign w:val="center"/>
          </w:tcPr>
          <w:p w14:paraId="3EB8640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6189" w:type="dxa"/>
            <w:tcBorders>
              <w:tl2br w:val="nil"/>
              <w:tr2bl w:val="nil"/>
            </w:tcBorders>
            <w:shd w:val="clear" w:color="auto" w:fill="FFFFFF"/>
            <w:noWrap w:val="0"/>
            <w:vAlign w:val="center"/>
          </w:tcPr>
          <w:p w14:paraId="6935E55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WDZB1N-BYJR-2.5</w:t>
            </w:r>
          </w:p>
        </w:tc>
        <w:tc>
          <w:tcPr>
            <w:tcW w:w="675" w:type="dxa"/>
            <w:tcBorders>
              <w:tl2br w:val="nil"/>
              <w:tr2bl w:val="nil"/>
            </w:tcBorders>
            <w:shd w:val="clear" w:color="auto" w:fill="FFFFFF"/>
            <w:noWrap w:val="0"/>
            <w:vAlign w:val="center"/>
          </w:tcPr>
          <w:p w14:paraId="3E82FD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7" w:type="dxa"/>
            <w:tcBorders>
              <w:tl2br w:val="nil"/>
              <w:tr2bl w:val="nil"/>
            </w:tcBorders>
            <w:shd w:val="clear" w:color="auto" w:fill="FFFFFF"/>
            <w:noWrap w:val="0"/>
            <w:vAlign w:val="center"/>
          </w:tcPr>
          <w:p w14:paraId="29066840">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861.89</w:t>
            </w:r>
          </w:p>
        </w:tc>
      </w:tr>
      <w:tr w14:paraId="643E8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291FB6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42" w:type="dxa"/>
            <w:tcBorders>
              <w:tl2br w:val="nil"/>
              <w:tr2bl w:val="nil"/>
            </w:tcBorders>
            <w:shd w:val="clear" w:color="auto" w:fill="FFFFFF"/>
            <w:noWrap w:val="0"/>
            <w:vAlign w:val="center"/>
          </w:tcPr>
          <w:p w14:paraId="59AF866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6189" w:type="dxa"/>
            <w:tcBorders>
              <w:tl2br w:val="nil"/>
              <w:tr2bl w:val="nil"/>
            </w:tcBorders>
            <w:shd w:val="clear" w:color="auto" w:fill="FFFFFF"/>
            <w:noWrap w:val="0"/>
            <w:vAlign w:val="center"/>
          </w:tcPr>
          <w:p w14:paraId="1A33D42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WDZB1N-BYJ-4</w:t>
            </w:r>
          </w:p>
        </w:tc>
        <w:tc>
          <w:tcPr>
            <w:tcW w:w="675" w:type="dxa"/>
            <w:tcBorders>
              <w:tl2br w:val="nil"/>
              <w:tr2bl w:val="nil"/>
            </w:tcBorders>
            <w:shd w:val="clear" w:color="auto" w:fill="FFFFFF"/>
            <w:noWrap w:val="0"/>
            <w:vAlign w:val="center"/>
          </w:tcPr>
          <w:p w14:paraId="41DA88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7" w:type="dxa"/>
            <w:tcBorders>
              <w:tl2br w:val="nil"/>
              <w:tr2bl w:val="nil"/>
            </w:tcBorders>
            <w:shd w:val="clear" w:color="auto" w:fill="FFFFFF"/>
            <w:noWrap w:val="0"/>
            <w:vAlign w:val="center"/>
          </w:tcPr>
          <w:p w14:paraId="0A66D686">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1220.01</w:t>
            </w:r>
          </w:p>
        </w:tc>
      </w:tr>
      <w:tr w14:paraId="555A7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094BE0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42" w:type="dxa"/>
            <w:tcBorders>
              <w:tl2br w:val="nil"/>
              <w:tr2bl w:val="nil"/>
            </w:tcBorders>
            <w:shd w:val="clear" w:color="auto" w:fill="FFFFFF"/>
            <w:noWrap w:val="0"/>
            <w:vAlign w:val="center"/>
          </w:tcPr>
          <w:p w14:paraId="2CF8EC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6189" w:type="dxa"/>
            <w:tcBorders>
              <w:tl2br w:val="nil"/>
              <w:tr2bl w:val="nil"/>
            </w:tcBorders>
            <w:shd w:val="clear" w:color="auto" w:fill="FFFFFF"/>
            <w:noWrap w:val="0"/>
            <w:vAlign w:val="center"/>
          </w:tcPr>
          <w:p w14:paraId="4F8058A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JDG管 JDG20 含开槽补槽费用</w:t>
            </w:r>
          </w:p>
        </w:tc>
        <w:tc>
          <w:tcPr>
            <w:tcW w:w="675" w:type="dxa"/>
            <w:tcBorders>
              <w:tl2br w:val="nil"/>
              <w:tr2bl w:val="nil"/>
            </w:tcBorders>
            <w:shd w:val="clear" w:color="auto" w:fill="FFFFFF"/>
            <w:noWrap w:val="0"/>
            <w:vAlign w:val="center"/>
          </w:tcPr>
          <w:p w14:paraId="4B6CE6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7" w:type="dxa"/>
            <w:tcBorders>
              <w:tl2br w:val="nil"/>
              <w:tr2bl w:val="nil"/>
            </w:tcBorders>
            <w:shd w:val="clear" w:color="auto" w:fill="FFFFFF"/>
            <w:noWrap w:val="0"/>
            <w:vAlign w:val="center"/>
          </w:tcPr>
          <w:p w14:paraId="2A0198B8">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1073.01</w:t>
            </w:r>
          </w:p>
        </w:tc>
      </w:tr>
      <w:tr w14:paraId="66CC3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2990D4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42" w:type="dxa"/>
            <w:tcBorders>
              <w:tl2br w:val="nil"/>
              <w:tr2bl w:val="nil"/>
            </w:tcBorders>
            <w:shd w:val="clear" w:color="auto" w:fill="FFFFFF"/>
            <w:noWrap w:val="0"/>
            <w:vAlign w:val="center"/>
          </w:tcPr>
          <w:p w14:paraId="35A7A0C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6189" w:type="dxa"/>
            <w:tcBorders>
              <w:tl2br w:val="nil"/>
              <w:tr2bl w:val="nil"/>
            </w:tcBorders>
            <w:shd w:val="clear" w:color="auto" w:fill="FFFFFF"/>
            <w:noWrap w:val="0"/>
            <w:vAlign w:val="center"/>
          </w:tcPr>
          <w:p w14:paraId="2ACD116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JDG管 JDG25 含开槽补槽费用</w:t>
            </w:r>
          </w:p>
        </w:tc>
        <w:tc>
          <w:tcPr>
            <w:tcW w:w="675" w:type="dxa"/>
            <w:tcBorders>
              <w:tl2br w:val="nil"/>
              <w:tr2bl w:val="nil"/>
            </w:tcBorders>
            <w:shd w:val="clear" w:color="auto" w:fill="FFFFFF"/>
            <w:noWrap w:val="0"/>
            <w:vAlign w:val="center"/>
          </w:tcPr>
          <w:p w14:paraId="3F0AF0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7" w:type="dxa"/>
            <w:tcBorders>
              <w:tl2br w:val="nil"/>
              <w:tr2bl w:val="nil"/>
            </w:tcBorders>
            <w:shd w:val="clear" w:color="auto" w:fill="FFFFFF"/>
            <w:noWrap w:val="0"/>
            <w:vAlign w:val="center"/>
          </w:tcPr>
          <w:p w14:paraId="25E32437">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363.47</w:t>
            </w:r>
          </w:p>
        </w:tc>
      </w:tr>
      <w:tr w14:paraId="30DE9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6A3394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42" w:type="dxa"/>
            <w:tcBorders>
              <w:tl2br w:val="nil"/>
              <w:tr2bl w:val="nil"/>
            </w:tcBorders>
            <w:shd w:val="clear" w:color="auto" w:fill="FFFFFF"/>
            <w:noWrap w:val="0"/>
            <w:vAlign w:val="center"/>
          </w:tcPr>
          <w:p w14:paraId="7F8ECF9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6189" w:type="dxa"/>
            <w:tcBorders>
              <w:tl2br w:val="nil"/>
              <w:tr2bl w:val="nil"/>
            </w:tcBorders>
            <w:shd w:val="clear" w:color="auto" w:fill="FFFFFF"/>
            <w:noWrap w:val="0"/>
            <w:vAlign w:val="center"/>
          </w:tcPr>
          <w:p w14:paraId="6244D5B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砖、混凝土结构暗配刚性阻燃管 PC20</w:t>
            </w:r>
          </w:p>
        </w:tc>
        <w:tc>
          <w:tcPr>
            <w:tcW w:w="675" w:type="dxa"/>
            <w:tcBorders>
              <w:tl2br w:val="nil"/>
              <w:tr2bl w:val="nil"/>
            </w:tcBorders>
            <w:shd w:val="clear" w:color="auto" w:fill="FFFFFF"/>
            <w:noWrap w:val="0"/>
            <w:vAlign w:val="center"/>
          </w:tcPr>
          <w:p w14:paraId="088685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7" w:type="dxa"/>
            <w:tcBorders>
              <w:tl2br w:val="nil"/>
              <w:tr2bl w:val="nil"/>
            </w:tcBorders>
            <w:shd w:val="clear" w:color="auto" w:fill="FFFFFF"/>
            <w:noWrap w:val="0"/>
            <w:vAlign w:val="center"/>
          </w:tcPr>
          <w:p w14:paraId="07EF8486">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73.03</w:t>
            </w:r>
          </w:p>
        </w:tc>
      </w:tr>
      <w:tr w14:paraId="57083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4949D0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42" w:type="dxa"/>
            <w:tcBorders>
              <w:tl2br w:val="nil"/>
              <w:tr2bl w:val="nil"/>
            </w:tcBorders>
            <w:shd w:val="clear" w:color="auto" w:fill="FFFFFF"/>
            <w:noWrap w:val="0"/>
            <w:vAlign w:val="center"/>
          </w:tcPr>
          <w:p w14:paraId="1AC9FBE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6189" w:type="dxa"/>
            <w:tcBorders>
              <w:tl2br w:val="nil"/>
              <w:tr2bl w:val="nil"/>
            </w:tcBorders>
            <w:shd w:val="clear" w:color="auto" w:fill="FFFFFF"/>
            <w:noWrap w:val="0"/>
            <w:vAlign w:val="center"/>
          </w:tcPr>
          <w:p w14:paraId="2094DD9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砖、混凝土结构暗配镀锌钢管 SC20</w:t>
            </w:r>
          </w:p>
        </w:tc>
        <w:tc>
          <w:tcPr>
            <w:tcW w:w="675" w:type="dxa"/>
            <w:tcBorders>
              <w:tl2br w:val="nil"/>
              <w:tr2bl w:val="nil"/>
            </w:tcBorders>
            <w:shd w:val="clear" w:color="auto" w:fill="FFFFFF"/>
            <w:noWrap w:val="0"/>
            <w:vAlign w:val="center"/>
          </w:tcPr>
          <w:p w14:paraId="7D7BB1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7" w:type="dxa"/>
            <w:tcBorders>
              <w:tl2br w:val="nil"/>
              <w:tr2bl w:val="nil"/>
            </w:tcBorders>
            <w:shd w:val="clear" w:color="auto" w:fill="FFFFFF"/>
            <w:noWrap w:val="0"/>
            <w:vAlign w:val="center"/>
          </w:tcPr>
          <w:p w14:paraId="634B6D62">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r>
      <w:tr w14:paraId="699E1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763E61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42" w:type="dxa"/>
            <w:tcBorders>
              <w:tl2br w:val="nil"/>
              <w:tr2bl w:val="nil"/>
            </w:tcBorders>
            <w:shd w:val="clear" w:color="auto" w:fill="FFFFFF"/>
            <w:noWrap w:val="0"/>
            <w:vAlign w:val="center"/>
          </w:tcPr>
          <w:p w14:paraId="4F9C3B9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6189" w:type="dxa"/>
            <w:tcBorders>
              <w:tl2br w:val="nil"/>
              <w:tr2bl w:val="nil"/>
            </w:tcBorders>
            <w:shd w:val="clear" w:color="auto" w:fill="FFFFFF"/>
            <w:noWrap w:val="0"/>
            <w:vAlign w:val="center"/>
          </w:tcPr>
          <w:p w14:paraId="3412241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P4 LED平板灯，1200*300mm，36W/色温4000K，嵌入安装</w:t>
            </w:r>
          </w:p>
        </w:tc>
        <w:tc>
          <w:tcPr>
            <w:tcW w:w="675" w:type="dxa"/>
            <w:tcBorders>
              <w:tl2br w:val="nil"/>
              <w:tr2bl w:val="nil"/>
            </w:tcBorders>
            <w:shd w:val="clear" w:color="auto" w:fill="FFFFFF"/>
            <w:noWrap w:val="0"/>
            <w:vAlign w:val="center"/>
          </w:tcPr>
          <w:p w14:paraId="67C7D1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7" w:type="dxa"/>
            <w:tcBorders>
              <w:tl2br w:val="nil"/>
              <w:tr2bl w:val="nil"/>
            </w:tcBorders>
            <w:shd w:val="clear" w:color="auto" w:fill="FFFFFF"/>
            <w:noWrap w:val="0"/>
            <w:vAlign w:val="center"/>
          </w:tcPr>
          <w:p w14:paraId="517A483D">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C9E7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724E92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42" w:type="dxa"/>
            <w:tcBorders>
              <w:tl2br w:val="nil"/>
              <w:tr2bl w:val="nil"/>
            </w:tcBorders>
            <w:shd w:val="clear" w:color="auto" w:fill="FFFFFF"/>
            <w:noWrap w:val="0"/>
            <w:vAlign w:val="center"/>
          </w:tcPr>
          <w:p w14:paraId="634A65A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6189" w:type="dxa"/>
            <w:tcBorders>
              <w:tl2br w:val="nil"/>
              <w:tr2bl w:val="nil"/>
            </w:tcBorders>
            <w:shd w:val="clear" w:color="auto" w:fill="FFFFFF"/>
            <w:noWrap w:val="0"/>
            <w:vAlign w:val="center"/>
          </w:tcPr>
          <w:p w14:paraId="7189C74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P5 LED平板灯，1200*600mm，60W/色温4000K，嵌入安装</w:t>
            </w:r>
          </w:p>
        </w:tc>
        <w:tc>
          <w:tcPr>
            <w:tcW w:w="675" w:type="dxa"/>
            <w:tcBorders>
              <w:tl2br w:val="nil"/>
              <w:tr2bl w:val="nil"/>
            </w:tcBorders>
            <w:shd w:val="clear" w:color="auto" w:fill="FFFFFF"/>
            <w:noWrap w:val="0"/>
            <w:vAlign w:val="center"/>
          </w:tcPr>
          <w:p w14:paraId="736BD6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7" w:type="dxa"/>
            <w:tcBorders>
              <w:tl2br w:val="nil"/>
              <w:tr2bl w:val="nil"/>
            </w:tcBorders>
            <w:shd w:val="clear" w:color="auto" w:fill="FFFFFF"/>
            <w:noWrap w:val="0"/>
            <w:vAlign w:val="center"/>
          </w:tcPr>
          <w:p w14:paraId="2D8A5372">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14:paraId="34BFF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4F08D3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42" w:type="dxa"/>
            <w:tcBorders>
              <w:tl2br w:val="nil"/>
              <w:tr2bl w:val="nil"/>
            </w:tcBorders>
            <w:shd w:val="clear" w:color="auto" w:fill="FFFFFF"/>
            <w:noWrap w:val="0"/>
            <w:vAlign w:val="center"/>
          </w:tcPr>
          <w:p w14:paraId="1FE6CAA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6189" w:type="dxa"/>
            <w:tcBorders>
              <w:tl2br w:val="nil"/>
              <w:tr2bl w:val="nil"/>
            </w:tcBorders>
            <w:shd w:val="clear" w:color="auto" w:fill="FFFFFF"/>
            <w:noWrap w:val="0"/>
            <w:vAlign w:val="center"/>
          </w:tcPr>
          <w:p w14:paraId="185CB4D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P7 LED平板灯，100*1200mm，24W/色温4000K，嵌入安装</w:t>
            </w:r>
          </w:p>
        </w:tc>
        <w:tc>
          <w:tcPr>
            <w:tcW w:w="675" w:type="dxa"/>
            <w:tcBorders>
              <w:tl2br w:val="nil"/>
              <w:tr2bl w:val="nil"/>
            </w:tcBorders>
            <w:shd w:val="clear" w:color="auto" w:fill="FFFFFF"/>
            <w:noWrap w:val="0"/>
            <w:vAlign w:val="center"/>
          </w:tcPr>
          <w:p w14:paraId="77358B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7" w:type="dxa"/>
            <w:tcBorders>
              <w:tl2br w:val="nil"/>
              <w:tr2bl w:val="nil"/>
            </w:tcBorders>
            <w:shd w:val="clear" w:color="auto" w:fill="FFFFFF"/>
            <w:noWrap w:val="0"/>
            <w:vAlign w:val="center"/>
          </w:tcPr>
          <w:p w14:paraId="0870FA5A">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r>
      <w:tr w14:paraId="285CE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50BFDB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42" w:type="dxa"/>
            <w:tcBorders>
              <w:tl2br w:val="nil"/>
              <w:tr2bl w:val="nil"/>
            </w:tcBorders>
            <w:shd w:val="clear" w:color="auto" w:fill="FFFFFF"/>
            <w:noWrap w:val="0"/>
            <w:vAlign w:val="center"/>
          </w:tcPr>
          <w:p w14:paraId="0B13143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6189" w:type="dxa"/>
            <w:tcBorders>
              <w:tl2br w:val="nil"/>
              <w:tr2bl w:val="nil"/>
            </w:tcBorders>
            <w:shd w:val="clear" w:color="auto" w:fill="FFFFFF"/>
            <w:noWrap w:val="0"/>
            <w:vAlign w:val="center"/>
          </w:tcPr>
          <w:p w14:paraId="5E48FE4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P8 LED平板灯，600*300mm，24W/色温4000K，嵌入安装</w:t>
            </w:r>
          </w:p>
        </w:tc>
        <w:tc>
          <w:tcPr>
            <w:tcW w:w="675" w:type="dxa"/>
            <w:tcBorders>
              <w:tl2br w:val="nil"/>
              <w:tr2bl w:val="nil"/>
            </w:tcBorders>
            <w:shd w:val="clear" w:color="auto" w:fill="FFFFFF"/>
            <w:noWrap w:val="0"/>
            <w:vAlign w:val="center"/>
          </w:tcPr>
          <w:p w14:paraId="6957B0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7" w:type="dxa"/>
            <w:tcBorders>
              <w:tl2br w:val="nil"/>
              <w:tr2bl w:val="nil"/>
            </w:tcBorders>
            <w:shd w:val="clear" w:color="auto" w:fill="FFFFFF"/>
            <w:noWrap w:val="0"/>
            <w:vAlign w:val="center"/>
          </w:tcPr>
          <w:p w14:paraId="6E1567A3">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BDEB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7D99F1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42" w:type="dxa"/>
            <w:tcBorders>
              <w:tl2br w:val="nil"/>
              <w:tr2bl w:val="nil"/>
            </w:tcBorders>
            <w:shd w:val="clear" w:color="auto" w:fill="FFFFFF"/>
            <w:noWrap w:val="0"/>
            <w:vAlign w:val="center"/>
          </w:tcPr>
          <w:p w14:paraId="6335AE0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6189" w:type="dxa"/>
            <w:tcBorders>
              <w:tl2br w:val="nil"/>
              <w:tr2bl w:val="nil"/>
            </w:tcBorders>
            <w:shd w:val="clear" w:color="auto" w:fill="FFFFFF"/>
            <w:noWrap w:val="0"/>
            <w:vAlign w:val="center"/>
          </w:tcPr>
          <w:p w14:paraId="48865AC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R1 圆形LED筒灯，Φ120mm，18W/色温4000K，嵌入安装</w:t>
            </w:r>
          </w:p>
        </w:tc>
        <w:tc>
          <w:tcPr>
            <w:tcW w:w="675" w:type="dxa"/>
            <w:tcBorders>
              <w:tl2br w:val="nil"/>
              <w:tr2bl w:val="nil"/>
            </w:tcBorders>
            <w:shd w:val="clear" w:color="auto" w:fill="FFFFFF"/>
            <w:noWrap w:val="0"/>
            <w:vAlign w:val="center"/>
          </w:tcPr>
          <w:p w14:paraId="50E015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7" w:type="dxa"/>
            <w:tcBorders>
              <w:tl2br w:val="nil"/>
              <w:tr2bl w:val="nil"/>
            </w:tcBorders>
            <w:shd w:val="clear" w:color="auto" w:fill="FFFFFF"/>
            <w:noWrap w:val="0"/>
            <w:vAlign w:val="center"/>
          </w:tcPr>
          <w:p w14:paraId="2F1BC09C">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r>
      <w:tr w14:paraId="423D3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3E63E0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42" w:type="dxa"/>
            <w:tcBorders>
              <w:tl2br w:val="nil"/>
              <w:tr2bl w:val="nil"/>
            </w:tcBorders>
            <w:shd w:val="clear" w:color="auto" w:fill="FFFFFF"/>
            <w:noWrap w:val="0"/>
            <w:vAlign w:val="center"/>
          </w:tcPr>
          <w:p w14:paraId="6ACEE63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6189" w:type="dxa"/>
            <w:tcBorders>
              <w:tl2br w:val="nil"/>
              <w:tr2bl w:val="nil"/>
            </w:tcBorders>
            <w:shd w:val="clear" w:color="auto" w:fill="FFFFFF"/>
            <w:noWrap w:val="0"/>
            <w:vAlign w:val="center"/>
          </w:tcPr>
          <w:p w14:paraId="2777771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圆形LED筒灯，Φ75mm，18W/色温4000K，嵌入安装</w:t>
            </w:r>
          </w:p>
        </w:tc>
        <w:tc>
          <w:tcPr>
            <w:tcW w:w="675" w:type="dxa"/>
            <w:tcBorders>
              <w:tl2br w:val="nil"/>
              <w:tr2bl w:val="nil"/>
            </w:tcBorders>
            <w:shd w:val="clear" w:color="auto" w:fill="FFFFFF"/>
            <w:noWrap w:val="0"/>
            <w:vAlign w:val="center"/>
          </w:tcPr>
          <w:p w14:paraId="2F984A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7" w:type="dxa"/>
            <w:tcBorders>
              <w:tl2br w:val="nil"/>
              <w:tr2bl w:val="nil"/>
            </w:tcBorders>
            <w:shd w:val="clear" w:color="auto" w:fill="FFFFFF"/>
            <w:noWrap w:val="0"/>
            <w:vAlign w:val="center"/>
          </w:tcPr>
          <w:p w14:paraId="516583A1">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r>
      <w:tr w14:paraId="48C6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4BA102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42" w:type="dxa"/>
            <w:tcBorders>
              <w:tl2br w:val="nil"/>
              <w:tr2bl w:val="nil"/>
            </w:tcBorders>
            <w:shd w:val="clear" w:color="auto" w:fill="FFFFFF"/>
            <w:noWrap w:val="0"/>
            <w:vAlign w:val="center"/>
          </w:tcPr>
          <w:p w14:paraId="7DDB685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6189" w:type="dxa"/>
            <w:tcBorders>
              <w:tl2br w:val="nil"/>
              <w:tr2bl w:val="nil"/>
            </w:tcBorders>
            <w:shd w:val="clear" w:color="auto" w:fill="FFFFFF"/>
            <w:noWrap w:val="0"/>
            <w:vAlign w:val="center"/>
          </w:tcPr>
          <w:p w14:paraId="7F0EBB1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 1.2米T8灯管，50W/色温4000K，透光膜内安装</w:t>
            </w:r>
          </w:p>
        </w:tc>
        <w:tc>
          <w:tcPr>
            <w:tcW w:w="675" w:type="dxa"/>
            <w:tcBorders>
              <w:tl2br w:val="nil"/>
              <w:tr2bl w:val="nil"/>
            </w:tcBorders>
            <w:shd w:val="clear" w:color="auto" w:fill="FFFFFF"/>
            <w:noWrap w:val="0"/>
            <w:vAlign w:val="center"/>
          </w:tcPr>
          <w:p w14:paraId="5E4191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7" w:type="dxa"/>
            <w:tcBorders>
              <w:tl2br w:val="nil"/>
              <w:tr2bl w:val="nil"/>
            </w:tcBorders>
            <w:shd w:val="clear" w:color="auto" w:fill="FFFFFF"/>
            <w:noWrap w:val="0"/>
            <w:vAlign w:val="center"/>
          </w:tcPr>
          <w:p w14:paraId="4BAA8661">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39B75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32B1BB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42" w:type="dxa"/>
            <w:tcBorders>
              <w:tl2br w:val="nil"/>
              <w:tr2bl w:val="nil"/>
            </w:tcBorders>
            <w:shd w:val="clear" w:color="auto" w:fill="FFFFFF"/>
            <w:noWrap w:val="0"/>
            <w:vAlign w:val="center"/>
          </w:tcPr>
          <w:p w14:paraId="2988697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6189" w:type="dxa"/>
            <w:tcBorders>
              <w:tl2br w:val="nil"/>
              <w:tr2bl w:val="nil"/>
            </w:tcBorders>
            <w:shd w:val="clear" w:color="auto" w:fill="FFFFFF"/>
            <w:noWrap w:val="0"/>
            <w:vAlign w:val="center"/>
          </w:tcPr>
          <w:p w14:paraId="03B0D57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LED射灯，Φ120mm，18W/色温4000K，含滑轨安装</w:t>
            </w:r>
          </w:p>
        </w:tc>
        <w:tc>
          <w:tcPr>
            <w:tcW w:w="675" w:type="dxa"/>
            <w:tcBorders>
              <w:tl2br w:val="nil"/>
              <w:tr2bl w:val="nil"/>
            </w:tcBorders>
            <w:shd w:val="clear" w:color="auto" w:fill="FFFFFF"/>
            <w:noWrap w:val="0"/>
            <w:vAlign w:val="center"/>
          </w:tcPr>
          <w:p w14:paraId="1D2199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7" w:type="dxa"/>
            <w:tcBorders>
              <w:tl2br w:val="nil"/>
              <w:tr2bl w:val="nil"/>
            </w:tcBorders>
            <w:shd w:val="clear" w:color="auto" w:fill="FFFFFF"/>
            <w:noWrap w:val="0"/>
            <w:vAlign w:val="center"/>
          </w:tcPr>
          <w:p w14:paraId="55C54966">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37B2D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7B9574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42" w:type="dxa"/>
            <w:tcBorders>
              <w:tl2br w:val="nil"/>
              <w:tr2bl w:val="nil"/>
            </w:tcBorders>
            <w:shd w:val="clear" w:color="auto" w:fill="FFFFFF"/>
            <w:noWrap w:val="0"/>
            <w:vAlign w:val="center"/>
          </w:tcPr>
          <w:p w14:paraId="3B5D78B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6189" w:type="dxa"/>
            <w:tcBorders>
              <w:tl2br w:val="nil"/>
              <w:tr2bl w:val="nil"/>
            </w:tcBorders>
            <w:shd w:val="clear" w:color="auto" w:fill="FFFFFF"/>
            <w:noWrap w:val="0"/>
            <w:vAlign w:val="center"/>
          </w:tcPr>
          <w:p w14:paraId="08DD426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镜前灯 LED单灯头，9W/色温6000K，镜子上方100mm安装</w:t>
            </w:r>
          </w:p>
        </w:tc>
        <w:tc>
          <w:tcPr>
            <w:tcW w:w="675" w:type="dxa"/>
            <w:tcBorders>
              <w:tl2br w:val="nil"/>
              <w:tr2bl w:val="nil"/>
            </w:tcBorders>
            <w:shd w:val="clear" w:color="auto" w:fill="FFFFFF"/>
            <w:noWrap w:val="0"/>
            <w:vAlign w:val="center"/>
          </w:tcPr>
          <w:p w14:paraId="68A4EB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7" w:type="dxa"/>
            <w:tcBorders>
              <w:tl2br w:val="nil"/>
              <w:tr2bl w:val="nil"/>
            </w:tcBorders>
            <w:shd w:val="clear" w:color="auto" w:fill="FFFFFF"/>
            <w:noWrap w:val="0"/>
            <w:vAlign w:val="center"/>
          </w:tcPr>
          <w:p w14:paraId="6A1B5CB1">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B3D4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15C97A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42" w:type="dxa"/>
            <w:tcBorders>
              <w:tl2br w:val="nil"/>
              <w:tr2bl w:val="nil"/>
            </w:tcBorders>
            <w:shd w:val="clear" w:color="auto" w:fill="FFFFFF"/>
            <w:noWrap w:val="0"/>
            <w:vAlign w:val="center"/>
          </w:tcPr>
          <w:p w14:paraId="0AFEF27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6189" w:type="dxa"/>
            <w:tcBorders>
              <w:tl2br w:val="nil"/>
              <w:tr2bl w:val="nil"/>
            </w:tcBorders>
            <w:shd w:val="clear" w:color="auto" w:fill="FFFFFF"/>
            <w:noWrap w:val="0"/>
            <w:vAlign w:val="center"/>
          </w:tcPr>
          <w:p w14:paraId="4C99E59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暗装灯头盒</w:t>
            </w:r>
          </w:p>
        </w:tc>
        <w:tc>
          <w:tcPr>
            <w:tcW w:w="675" w:type="dxa"/>
            <w:tcBorders>
              <w:tl2br w:val="nil"/>
              <w:tr2bl w:val="nil"/>
            </w:tcBorders>
            <w:shd w:val="clear" w:color="auto" w:fill="FFFFFF"/>
            <w:noWrap w:val="0"/>
            <w:vAlign w:val="center"/>
          </w:tcPr>
          <w:p w14:paraId="4E2DA0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7" w:type="dxa"/>
            <w:tcBorders>
              <w:tl2br w:val="nil"/>
              <w:tr2bl w:val="nil"/>
            </w:tcBorders>
            <w:shd w:val="clear" w:color="auto" w:fill="FFFFFF"/>
            <w:noWrap w:val="0"/>
            <w:vAlign w:val="center"/>
          </w:tcPr>
          <w:p w14:paraId="42A8ABA5">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r>
      <w:tr w14:paraId="18EEE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286775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42" w:type="dxa"/>
            <w:tcBorders>
              <w:tl2br w:val="nil"/>
              <w:tr2bl w:val="nil"/>
            </w:tcBorders>
            <w:shd w:val="clear" w:color="auto" w:fill="FFFFFF"/>
            <w:noWrap w:val="0"/>
            <w:vAlign w:val="center"/>
          </w:tcPr>
          <w:p w14:paraId="38C03F5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6189" w:type="dxa"/>
            <w:tcBorders>
              <w:tl2br w:val="nil"/>
              <w:tr2bl w:val="nil"/>
            </w:tcBorders>
            <w:shd w:val="clear" w:color="auto" w:fill="FFFFFF"/>
            <w:noWrap w:val="0"/>
            <w:vAlign w:val="center"/>
          </w:tcPr>
          <w:p w14:paraId="54FB19E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暗装一位单控开关，118型10A，距地1.3m安装</w:t>
            </w:r>
          </w:p>
        </w:tc>
        <w:tc>
          <w:tcPr>
            <w:tcW w:w="675" w:type="dxa"/>
            <w:tcBorders>
              <w:tl2br w:val="nil"/>
              <w:tr2bl w:val="nil"/>
            </w:tcBorders>
            <w:shd w:val="clear" w:color="auto" w:fill="FFFFFF"/>
            <w:noWrap w:val="0"/>
            <w:vAlign w:val="center"/>
          </w:tcPr>
          <w:p w14:paraId="3C654F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7" w:type="dxa"/>
            <w:tcBorders>
              <w:tl2br w:val="nil"/>
              <w:tr2bl w:val="nil"/>
            </w:tcBorders>
            <w:shd w:val="clear" w:color="auto" w:fill="FFFFFF"/>
            <w:noWrap w:val="0"/>
            <w:vAlign w:val="center"/>
          </w:tcPr>
          <w:p w14:paraId="37652948">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9177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23E708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42" w:type="dxa"/>
            <w:tcBorders>
              <w:tl2br w:val="nil"/>
              <w:tr2bl w:val="nil"/>
            </w:tcBorders>
            <w:shd w:val="clear" w:color="auto" w:fill="FFFFFF"/>
            <w:noWrap w:val="0"/>
            <w:vAlign w:val="center"/>
          </w:tcPr>
          <w:p w14:paraId="2069524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6189" w:type="dxa"/>
            <w:tcBorders>
              <w:tl2br w:val="nil"/>
              <w:tr2bl w:val="nil"/>
            </w:tcBorders>
            <w:shd w:val="clear" w:color="auto" w:fill="FFFFFF"/>
            <w:noWrap w:val="0"/>
            <w:vAlign w:val="center"/>
          </w:tcPr>
          <w:p w14:paraId="4546E12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暗装二位单控开关，118型10A，距地1.3m安装</w:t>
            </w:r>
          </w:p>
        </w:tc>
        <w:tc>
          <w:tcPr>
            <w:tcW w:w="675" w:type="dxa"/>
            <w:tcBorders>
              <w:tl2br w:val="nil"/>
              <w:tr2bl w:val="nil"/>
            </w:tcBorders>
            <w:shd w:val="clear" w:color="auto" w:fill="FFFFFF"/>
            <w:noWrap w:val="0"/>
            <w:vAlign w:val="center"/>
          </w:tcPr>
          <w:p w14:paraId="6FCC57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7" w:type="dxa"/>
            <w:tcBorders>
              <w:tl2br w:val="nil"/>
              <w:tr2bl w:val="nil"/>
            </w:tcBorders>
            <w:shd w:val="clear" w:color="auto" w:fill="FFFFFF"/>
            <w:noWrap w:val="0"/>
            <w:vAlign w:val="center"/>
          </w:tcPr>
          <w:p w14:paraId="63A62EAB">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07773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3AC50B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42" w:type="dxa"/>
            <w:tcBorders>
              <w:tl2br w:val="nil"/>
              <w:tr2bl w:val="nil"/>
            </w:tcBorders>
            <w:shd w:val="clear" w:color="auto" w:fill="FFFFFF"/>
            <w:noWrap w:val="0"/>
            <w:vAlign w:val="center"/>
          </w:tcPr>
          <w:p w14:paraId="111B6A1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6189" w:type="dxa"/>
            <w:tcBorders>
              <w:tl2br w:val="nil"/>
              <w:tr2bl w:val="nil"/>
            </w:tcBorders>
            <w:shd w:val="clear" w:color="auto" w:fill="FFFFFF"/>
            <w:noWrap w:val="0"/>
            <w:vAlign w:val="center"/>
          </w:tcPr>
          <w:p w14:paraId="69C11D8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暗装三位单控开关，118型10A，距地1.3m安装</w:t>
            </w:r>
          </w:p>
        </w:tc>
        <w:tc>
          <w:tcPr>
            <w:tcW w:w="675" w:type="dxa"/>
            <w:tcBorders>
              <w:tl2br w:val="nil"/>
              <w:tr2bl w:val="nil"/>
            </w:tcBorders>
            <w:shd w:val="clear" w:color="auto" w:fill="FFFFFF"/>
            <w:noWrap w:val="0"/>
            <w:vAlign w:val="center"/>
          </w:tcPr>
          <w:p w14:paraId="39EB74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7" w:type="dxa"/>
            <w:tcBorders>
              <w:tl2br w:val="nil"/>
              <w:tr2bl w:val="nil"/>
            </w:tcBorders>
            <w:shd w:val="clear" w:color="auto" w:fill="FFFFFF"/>
            <w:noWrap w:val="0"/>
            <w:vAlign w:val="center"/>
          </w:tcPr>
          <w:p w14:paraId="0B9B7BA8">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3C97E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126833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42" w:type="dxa"/>
            <w:tcBorders>
              <w:tl2br w:val="nil"/>
              <w:tr2bl w:val="nil"/>
            </w:tcBorders>
            <w:shd w:val="clear" w:color="auto" w:fill="FFFFFF"/>
            <w:noWrap w:val="0"/>
            <w:vAlign w:val="center"/>
          </w:tcPr>
          <w:p w14:paraId="79282F8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6189" w:type="dxa"/>
            <w:tcBorders>
              <w:tl2br w:val="nil"/>
              <w:tr2bl w:val="nil"/>
            </w:tcBorders>
            <w:shd w:val="clear" w:color="auto" w:fill="FFFFFF"/>
            <w:noWrap w:val="0"/>
            <w:vAlign w:val="center"/>
          </w:tcPr>
          <w:p w14:paraId="2FE28A0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暗装四位单控开关，118型10A，距地1.3m安装</w:t>
            </w:r>
          </w:p>
        </w:tc>
        <w:tc>
          <w:tcPr>
            <w:tcW w:w="675" w:type="dxa"/>
            <w:tcBorders>
              <w:tl2br w:val="nil"/>
              <w:tr2bl w:val="nil"/>
            </w:tcBorders>
            <w:shd w:val="clear" w:color="auto" w:fill="FFFFFF"/>
            <w:noWrap w:val="0"/>
            <w:vAlign w:val="center"/>
          </w:tcPr>
          <w:p w14:paraId="66339B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7" w:type="dxa"/>
            <w:tcBorders>
              <w:tl2br w:val="nil"/>
              <w:tr2bl w:val="nil"/>
            </w:tcBorders>
            <w:shd w:val="clear" w:color="auto" w:fill="FFFFFF"/>
            <w:noWrap w:val="0"/>
            <w:vAlign w:val="center"/>
          </w:tcPr>
          <w:p w14:paraId="3F4C40DE">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EF53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99" w:type="dxa"/>
            <w:tcBorders>
              <w:tl2br w:val="nil"/>
              <w:tr2bl w:val="nil"/>
            </w:tcBorders>
            <w:shd w:val="clear" w:color="auto" w:fill="FFFFFF"/>
            <w:noWrap w:val="0"/>
            <w:vAlign w:val="center"/>
          </w:tcPr>
          <w:p w14:paraId="1C3C4A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42" w:type="dxa"/>
            <w:tcBorders>
              <w:tl2br w:val="nil"/>
              <w:tr2bl w:val="nil"/>
            </w:tcBorders>
            <w:shd w:val="clear" w:color="auto" w:fill="FFFFFF"/>
            <w:noWrap w:val="0"/>
            <w:vAlign w:val="center"/>
          </w:tcPr>
          <w:p w14:paraId="29C12B1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6189" w:type="dxa"/>
            <w:tcBorders>
              <w:tl2br w:val="nil"/>
              <w:tr2bl w:val="nil"/>
            </w:tcBorders>
            <w:shd w:val="clear" w:color="auto" w:fill="FFFFFF"/>
            <w:noWrap w:val="0"/>
            <w:vAlign w:val="center"/>
          </w:tcPr>
          <w:p w14:paraId="0BE0623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暗装一位双控开关，118型10A，距地1.3m安装</w:t>
            </w:r>
          </w:p>
        </w:tc>
        <w:tc>
          <w:tcPr>
            <w:tcW w:w="675" w:type="dxa"/>
            <w:tcBorders>
              <w:tl2br w:val="nil"/>
              <w:tr2bl w:val="nil"/>
            </w:tcBorders>
            <w:shd w:val="clear" w:color="auto" w:fill="FFFFFF"/>
            <w:noWrap w:val="0"/>
            <w:vAlign w:val="center"/>
          </w:tcPr>
          <w:p w14:paraId="52C906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7" w:type="dxa"/>
            <w:tcBorders>
              <w:tl2br w:val="nil"/>
              <w:tr2bl w:val="nil"/>
            </w:tcBorders>
            <w:shd w:val="clear" w:color="auto" w:fill="FFFFFF"/>
            <w:noWrap w:val="0"/>
            <w:vAlign w:val="center"/>
          </w:tcPr>
          <w:p w14:paraId="4AD785D2">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FB2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19E42E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42" w:type="dxa"/>
            <w:tcBorders>
              <w:tl2br w:val="nil"/>
              <w:tr2bl w:val="nil"/>
            </w:tcBorders>
            <w:shd w:val="clear" w:color="auto" w:fill="FFFFFF"/>
            <w:noWrap w:val="0"/>
            <w:vAlign w:val="center"/>
          </w:tcPr>
          <w:p w14:paraId="4EBAF2B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6189" w:type="dxa"/>
            <w:tcBorders>
              <w:tl2br w:val="nil"/>
              <w:tr2bl w:val="nil"/>
            </w:tcBorders>
            <w:shd w:val="clear" w:color="auto" w:fill="FFFFFF"/>
            <w:noWrap w:val="0"/>
            <w:vAlign w:val="center"/>
          </w:tcPr>
          <w:p w14:paraId="1B4A7E2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开关盒、插座盒安装</w:t>
            </w:r>
          </w:p>
        </w:tc>
        <w:tc>
          <w:tcPr>
            <w:tcW w:w="675" w:type="dxa"/>
            <w:tcBorders>
              <w:tl2br w:val="nil"/>
              <w:tr2bl w:val="nil"/>
            </w:tcBorders>
            <w:shd w:val="clear" w:color="auto" w:fill="FFFFFF"/>
            <w:noWrap w:val="0"/>
            <w:vAlign w:val="center"/>
          </w:tcPr>
          <w:p w14:paraId="46EE20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7" w:type="dxa"/>
            <w:tcBorders>
              <w:tl2br w:val="nil"/>
              <w:tr2bl w:val="nil"/>
            </w:tcBorders>
            <w:shd w:val="clear" w:color="auto" w:fill="FFFFFF"/>
            <w:noWrap w:val="0"/>
            <w:vAlign w:val="center"/>
          </w:tcPr>
          <w:p w14:paraId="17D938EB">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r>
      <w:tr w14:paraId="46DF7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06FE88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42" w:type="dxa"/>
            <w:tcBorders>
              <w:tl2br w:val="nil"/>
              <w:tr2bl w:val="nil"/>
            </w:tcBorders>
            <w:shd w:val="clear" w:color="auto" w:fill="FFFFFF"/>
            <w:noWrap w:val="0"/>
            <w:vAlign w:val="center"/>
          </w:tcPr>
          <w:p w14:paraId="5EAB3A9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风扇</w:t>
            </w:r>
          </w:p>
        </w:tc>
        <w:tc>
          <w:tcPr>
            <w:tcW w:w="6189" w:type="dxa"/>
            <w:tcBorders>
              <w:tl2br w:val="nil"/>
              <w:tr2bl w:val="nil"/>
            </w:tcBorders>
            <w:shd w:val="clear" w:color="auto" w:fill="FFFFFF"/>
            <w:noWrap w:val="0"/>
            <w:vAlign w:val="center"/>
          </w:tcPr>
          <w:p w14:paraId="7F34F12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8寸静音排风扇，1*32W，吸顶安装</w:t>
            </w:r>
          </w:p>
        </w:tc>
        <w:tc>
          <w:tcPr>
            <w:tcW w:w="675" w:type="dxa"/>
            <w:tcBorders>
              <w:tl2br w:val="nil"/>
              <w:tr2bl w:val="nil"/>
            </w:tcBorders>
            <w:shd w:val="clear" w:color="auto" w:fill="FFFFFF"/>
            <w:noWrap w:val="0"/>
            <w:vAlign w:val="center"/>
          </w:tcPr>
          <w:p w14:paraId="0E2BC3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7" w:type="dxa"/>
            <w:tcBorders>
              <w:tl2br w:val="nil"/>
              <w:tr2bl w:val="nil"/>
            </w:tcBorders>
            <w:shd w:val="clear" w:color="auto" w:fill="FFFFFF"/>
            <w:noWrap w:val="0"/>
            <w:vAlign w:val="center"/>
          </w:tcPr>
          <w:p w14:paraId="6E9606E5">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4773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2BC8C4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42" w:type="dxa"/>
            <w:tcBorders>
              <w:tl2br w:val="nil"/>
              <w:tr2bl w:val="nil"/>
            </w:tcBorders>
            <w:shd w:val="clear" w:color="auto" w:fill="FFFFFF"/>
            <w:noWrap w:val="0"/>
            <w:vAlign w:val="center"/>
          </w:tcPr>
          <w:p w14:paraId="1C9DBC9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6189" w:type="dxa"/>
            <w:tcBorders>
              <w:tl2br w:val="nil"/>
              <w:tr2bl w:val="nil"/>
            </w:tcBorders>
            <w:shd w:val="clear" w:color="auto" w:fill="FFFFFF"/>
            <w:noWrap w:val="0"/>
            <w:vAlign w:val="center"/>
          </w:tcPr>
          <w:p w14:paraId="4D85459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LED线型灯，5W/m</w:t>
            </w:r>
          </w:p>
        </w:tc>
        <w:tc>
          <w:tcPr>
            <w:tcW w:w="675" w:type="dxa"/>
            <w:tcBorders>
              <w:tl2br w:val="nil"/>
              <w:tr2bl w:val="nil"/>
            </w:tcBorders>
            <w:shd w:val="clear" w:color="auto" w:fill="FFFFFF"/>
            <w:noWrap w:val="0"/>
            <w:vAlign w:val="center"/>
          </w:tcPr>
          <w:p w14:paraId="3A4663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7" w:type="dxa"/>
            <w:tcBorders>
              <w:tl2br w:val="nil"/>
              <w:tr2bl w:val="nil"/>
            </w:tcBorders>
            <w:shd w:val="clear" w:color="auto" w:fill="FFFFFF"/>
            <w:noWrap w:val="0"/>
            <w:vAlign w:val="center"/>
          </w:tcPr>
          <w:p w14:paraId="47574DF6">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142.00</w:t>
            </w:r>
          </w:p>
        </w:tc>
      </w:tr>
      <w:tr w14:paraId="18870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72CFC2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42" w:type="dxa"/>
            <w:tcBorders>
              <w:tl2br w:val="nil"/>
              <w:tr2bl w:val="nil"/>
            </w:tcBorders>
            <w:shd w:val="clear" w:color="auto" w:fill="FFFFFF"/>
            <w:noWrap w:val="0"/>
            <w:vAlign w:val="center"/>
          </w:tcPr>
          <w:p w14:paraId="684D7EB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6189" w:type="dxa"/>
            <w:tcBorders>
              <w:tl2br w:val="nil"/>
              <w:tr2bl w:val="nil"/>
            </w:tcBorders>
            <w:shd w:val="clear" w:color="auto" w:fill="FFFFFF"/>
            <w:noWrap w:val="0"/>
            <w:vAlign w:val="center"/>
          </w:tcPr>
          <w:p w14:paraId="67F1F16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透光膜内铺LED灯带，5W/m</w:t>
            </w:r>
          </w:p>
        </w:tc>
        <w:tc>
          <w:tcPr>
            <w:tcW w:w="675" w:type="dxa"/>
            <w:tcBorders>
              <w:tl2br w:val="nil"/>
              <w:tr2bl w:val="nil"/>
            </w:tcBorders>
            <w:shd w:val="clear" w:color="auto" w:fill="FFFFFF"/>
            <w:noWrap w:val="0"/>
            <w:vAlign w:val="center"/>
          </w:tcPr>
          <w:p w14:paraId="116D4C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7" w:type="dxa"/>
            <w:tcBorders>
              <w:tl2br w:val="nil"/>
              <w:tr2bl w:val="nil"/>
            </w:tcBorders>
            <w:shd w:val="clear" w:color="auto" w:fill="FFFFFF"/>
            <w:noWrap w:val="0"/>
            <w:vAlign w:val="center"/>
          </w:tcPr>
          <w:p w14:paraId="6940B815">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14:paraId="4E45B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5B40CD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542" w:type="dxa"/>
            <w:tcBorders>
              <w:tl2br w:val="nil"/>
              <w:tr2bl w:val="nil"/>
            </w:tcBorders>
            <w:shd w:val="clear" w:color="auto" w:fill="FFFFFF"/>
            <w:noWrap w:val="0"/>
            <w:vAlign w:val="center"/>
          </w:tcPr>
          <w:p w14:paraId="11A012F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6189" w:type="dxa"/>
            <w:tcBorders>
              <w:tl2br w:val="nil"/>
              <w:tr2bl w:val="nil"/>
            </w:tcBorders>
            <w:shd w:val="clear" w:color="auto" w:fill="FFFFFF"/>
            <w:noWrap w:val="0"/>
            <w:vAlign w:val="center"/>
          </w:tcPr>
          <w:p w14:paraId="3A697CF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透光膜</w:t>
            </w:r>
          </w:p>
        </w:tc>
        <w:tc>
          <w:tcPr>
            <w:tcW w:w="675" w:type="dxa"/>
            <w:tcBorders>
              <w:tl2br w:val="nil"/>
              <w:tr2bl w:val="nil"/>
            </w:tcBorders>
            <w:shd w:val="clear" w:color="auto" w:fill="FFFFFF"/>
            <w:noWrap w:val="0"/>
            <w:vAlign w:val="center"/>
          </w:tcPr>
          <w:p w14:paraId="67C64E2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7" w:type="dxa"/>
            <w:tcBorders>
              <w:tl2br w:val="nil"/>
              <w:tr2bl w:val="nil"/>
            </w:tcBorders>
            <w:shd w:val="clear" w:color="auto" w:fill="FFFFFF"/>
            <w:noWrap w:val="0"/>
            <w:vAlign w:val="center"/>
          </w:tcPr>
          <w:p w14:paraId="7395A426">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w:t>
            </w:r>
          </w:p>
        </w:tc>
      </w:tr>
      <w:tr w14:paraId="7EF0D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026DDC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542" w:type="dxa"/>
            <w:tcBorders>
              <w:tl2br w:val="nil"/>
              <w:tr2bl w:val="nil"/>
            </w:tcBorders>
            <w:shd w:val="clear" w:color="auto" w:fill="FFFFFF"/>
            <w:noWrap w:val="0"/>
            <w:vAlign w:val="center"/>
          </w:tcPr>
          <w:p w14:paraId="5D076D1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等电位端子箱、 测试板</w:t>
            </w:r>
          </w:p>
        </w:tc>
        <w:tc>
          <w:tcPr>
            <w:tcW w:w="6189" w:type="dxa"/>
            <w:tcBorders>
              <w:tl2br w:val="nil"/>
              <w:tr2bl w:val="nil"/>
            </w:tcBorders>
            <w:shd w:val="clear" w:color="auto" w:fill="FFFFFF"/>
            <w:noWrap w:val="0"/>
            <w:vAlign w:val="center"/>
          </w:tcPr>
          <w:p w14:paraId="2DA865A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局部等电位联结端子箱LEB</w:t>
            </w:r>
          </w:p>
        </w:tc>
        <w:tc>
          <w:tcPr>
            <w:tcW w:w="675" w:type="dxa"/>
            <w:tcBorders>
              <w:tl2br w:val="nil"/>
              <w:tr2bl w:val="nil"/>
            </w:tcBorders>
            <w:shd w:val="clear" w:color="auto" w:fill="FFFFFF"/>
            <w:noWrap w:val="0"/>
            <w:vAlign w:val="center"/>
          </w:tcPr>
          <w:p w14:paraId="66517F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7" w:type="dxa"/>
            <w:tcBorders>
              <w:tl2br w:val="nil"/>
              <w:tr2bl w:val="nil"/>
            </w:tcBorders>
            <w:shd w:val="clear" w:color="auto" w:fill="FFFFFF"/>
            <w:noWrap w:val="0"/>
            <w:vAlign w:val="center"/>
          </w:tcPr>
          <w:p w14:paraId="236D2B67">
            <w:pPr>
              <w:keepNext w:val="0"/>
              <w:keepLines w:val="0"/>
              <w:widowControl/>
              <w:suppressLineNumbers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bl>
    <w:p w14:paraId="07A35420">
      <w:pPr>
        <w:bidi w:val="0"/>
        <w:rPr>
          <w:rFonts w:hint="eastAsia"/>
          <w:lang w:val="en-US" w:eastAsia="zh-CN"/>
        </w:rPr>
      </w:pPr>
    </w:p>
    <w:p w14:paraId="48DE8B80">
      <w:pPr>
        <w:rPr>
          <w:rFonts w:hint="default"/>
          <w:lang w:val="en-US" w:eastAsia="zh-CN"/>
        </w:rPr>
      </w:pPr>
      <w:r>
        <w:rPr>
          <w:rFonts w:hint="eastAsia"/>
          <w:lang w:val="en-US" w:eastAsia="zh-CN"/>
        </w:rPr>
        <w:t>其他项目</w:t>
      </w:r>
    </w:p>
    <w:tbl>
      <w:tblPr>
        <w:tblStyle w:val="44"/>
        <w:tblW w:w="9912"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9"/>
        <w:gridCol w:w="1542"/>
        <w:gridCol w:w="6189"/>
        <w:gridCol w:w="675"/>
        <w:gridCol w:w="907"/>
      </w:tblGrid>
      <w:tr w14:paraId="2300D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vMerge w:val="restart"/>
            <w:tcBorders>
              <w:tl2br w:val="nil"/>
              <w:tr2bl w:val="nil"/>
            </w:tcBorders>
            <w:shd w:val="clear" w:color="auto" w:fill="FFFFFF"/>
            <w:noWrap w:val="0"/>
            <w:vAlign w:val="center"/>
          </w:tcPr>
          <w:p w14:paraId="0799BC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42" w:type="dxa"/>
            <w:vMerge w:val="restart"/>
            <w:tcBorders>
              <w:tl2br w:val="nil"/>
              <w:tr2bl w:val="nil"/>
            </w:tcBorders>
            <w:shd w:val="clear" w:color="auto" w:fill="FFFFFF"/>
            <w:noWrap w:val="0"/>
            <w:vAlign w:val="center"/>
          </w:tcPr>
          <w:p w14:paraId="36DBCF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189" w:type="dxa"/>
            <w:vMerge w:val="restart"/>
            <w:tcBorders>
              <w:tl2br w:val="nil"/>
              <w:tr2bl w:val="nil"/>
            </w:tcBorders>
            <w:shd w:val="clear" w:color="auto" w:fill="FFFFFF"/>
            <w:noWrap w:val="0"/>
            <w:vAlign w:val="center"/>
          </w:tcPr>
          <w:p w14:paraId="00EB9C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75" w:type="dxa"/>
            <w:vMerge w:val="restart"/>
            <w:tcBorders>
              <w:tl2br w:val="nil"/>
              <w:tr2bl w:val="nil"/>
            </w:tcBorders>
            <w:shd w:val="clear" w:color="auto" w:fill="FFFFFF"/>
            <w:noWrap w:val="0"/>
            <w:vAlign w:val="center"/>
          </w:tcPr>
          <w:p w14:paraId="00F1581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w:t>
            </w:r>
          </w:p>
          <w:p w14:paraId="375A1E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07" w:type="dxa"/>
            <w:vMerge w:val="restart"/>
            <w:tcBorders>
              <w:tl2br w:val="nil"/>
              <w:tr2bl w:val="nil"/>
            </w:tcBorders>
            <w:shd w:val="clear" w:color="auto" w:fill="FFFFFF"/>
            <w:noWrap w:val="0"/>
            <w:vAlign w:val="center"/>
          </w:tcPr>
          <w:p w14:paraId="1F30DA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07678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99" w:type="dxa"/>
            <w:vMerge w:val="continue"/>
            <w:tcBorders>
              <w:tl2br w:val="nil"/>
              <w:tr2bl w:val="nil"/>
            </w:tcBorders>
            <w:shd w:val="clear" w:color="auto" w:fill="FFFFFF"/>
            <w:noWrap w:val="0"/>
            <w:vAlign w:val="center"/>
          </w:tcPr>
          <w:p w14:paraId="4F7BE679">
            <w:pPr>
              <w:spacing w:line="240" w:lineRule="auto"/>
              <w:jc w:val="center"/>
              <w:rPr>
                <w:rFonts w:hint="eastAsia" w:ascii="宋体" w:hAnsi="宋体" w:eastAsia="宋体" w:cs="宋体"/>
                <w:i w:val="0"/>
                <w:iCs w:val="0"/>
                <w:color w:val="000000"/>
                <w:sz w:val="18"/>
                <w:szCs w:val="18"/>
                <w:u w:val="none"/>
              </w:rPr>
            </w:pPr>
          </w:p>
        </w:tc>
        <w:tc>
          <w:tcPr>
            <w:tcW w:w="1542" w:type="dxa"/>
            <w:vMerge w:val="continue"/>
            <w:tcBorders>
              <w:tl2br w:val="nil"/>
              <w:tr2bl w:val="nil"/>
            </w:tcBorders>
            <w:shd w:val="clear" w:color="auto" w:fill="FFFFFF"/>
            <w:noWrap w:val="0"/>
            <w:vAlign w:val="center"/>
          </w:tcPr>
          <w:p w14:paraId="74E8E3B6">
            <w:pPr>
              <w:spacing w:line="240" w:lineRule="auto"/>
              <w:jc w:val="center"/>
              <w:rPr>
                <w:rFonts w:hint="eastAsia" w:ascii="宋体" w:hAnsi="宋体" w:eastAsia="宋体" w:cs="宋体"/>
                <w:i w:val="0"/>
                <w:iCs w:val="0"/>
                <w:color w:val="000000"/>
                <w:sz w:val="18"/>
                <w:szCs w:val="18"/>
                <w:u w:val="none"/>
              </w:rPr>
            </w:pPr>
          </w:p>
        </w:tc>
        <w:tc>
          <w:tcPr>
            <w:tcW w:w="6189" w:type="dxa"/>
            <w:vMerge w:val="continue"/>
            <w:tcBorders>
              <w:tl2br w:val="nil"/>
              <w:tr2bl w:val="nil"/>
            </w:tcBorders>
            <w:shd w:val="clear" w:color="auto" w:fill="FFFFFF"/>
            <w:noWrap w:val="0"/>
            <w:vAlign w:val="center"/>
          </w:tcPr>
          <w:p w14:paraId="06E4D4B7">
            <w:pPr>
              <w:spacing w:line="240" w:lineRule="auto"/>
              <w:jc w:val="center"/>
              <w:rPr>
                <w:rFonts w:hint="eastAsia" w:ascii="宋体" w:hAnsi="宋体" w:eastAsia="宋体" w:cs="宋体"/>
                <w:i w:val="0"/>
                <w:iCs w:val="0"/>
                <w:color w:val="000000"/>
                <w:sz w:val="18"/>
                <w:szCs w:val="18"/>
                <w:u w:val="none"/>
              </w:rPr>
            </w:pPr>
          </w:p>
        </w:tc>
        <w:tc>
          <w:tcPr>
            <w:tcW w:w="675" w:type="dxa"/>
            <w:vMerge w:val="continue"/>
            <w:tcBorders>
              <w:tl2br w:val="nil"/>
              <w:tr2bl w:val="nil"/>
            </w:tcBorders>
            <w:shd w:val="clear" w:color="auto" w:fill="FFFFFF"/>
            <w:noWrap w:val="0"/>
            <w:vAlign w:val="center"/>
          </w:tcPr>
          <w:p w14:paraId="18DC61F8">
            <w:pPr>
              <w:spacing w:line="240" w:lineRule="auto"/>
              <w:jc w:val="center"/>
              <w:rPr>
                <w:rFonts w:hint="eastAsia" w:ascii="宋体" w:hAnsi="宋体" w:eastAsia="宋体" w:cs="宋体"/>
                <w:i w:val="0"/>
                <w:iCs w:val="0"/>
                <w:color w:val="000000"/>
                <w:sz w:val="18"/>
                <w:szCs w:val="18"/>
                <w:u w:val="none"/>
              </w:rPr>
            </w:pPr>
          </w:p>
        </w:tc>
        <w:tc>
          <w:tcPr>
            <w:tcW w:w="907" w:type="dxa"/>
            <w:vMerge w:val="continue"/>
            <w:tcBorders>
              <w:tl2br w:val="nil"/>
              <w:tr2bl w:val="nil"/>
            </w:tcBorders>
            <w:shd w:val="clear" w:color="auto" w:fill="FFFFFF"/>
            <w:noWrap w:val="0"/>
            <w:vAlign w:val="center"/>
          </w:tcPr>
          <w:p w14:paraId="0E66B04B">
            <w:pPr>
              <w:spacing w:line="240" w:lineRule="auto"/>
              <w:jc w:val="center"/>
              <w:rPr>
                <w:rFonts w:hint="eastAsia" w:ascii="宋体" w:hAnsi="宋体" w:eastAsia="宋体" w:cs="宋体"/>
                <w:i w:val="0"/>
                <w:iCs w:val="0"/>
                <w:color w:val="000000"/>
                <w:sz w:val="18"/>
                <w:szCs w:val="18"/>
                <w:u w:val="none"/>
              </w:rPr>
            </w:pPr>
          </w:p>
        </w:tc>
      </w:tr>
      <w:tr w14:paraId="52250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vMerge w:val="continue"/>
            <w:tcBorders>
              <w:tl2br w:val="nil"/>
              <w:tr2bl w:val="nil"/>
            </w:tcBorders>
            <w:shd w:val="clear" w:color="auto" w:fill="FFFFFF"/>
            <w:noWrap w:val="0"/>
            <w:vAlign w:val="center"/>
          </w:tcPr>
          <w:p w14:paraId="47435B3E">
            <w:pPr>
              <w:spacing w:line="240" w:lineRule="auto"/>
              <w:jc w:val="center"/>
              <w:rPr>
                <w:rFonts w:hint="eastAsia" w:ascii="宋体" w:hAnsi="宋体" w:eastAsia="宋体" w:cs="宋体"/>
                <w:i w:val="0"/>
                <w:iCs w:val="0"/>
                <w:color w:val="000000"/>
                <w:sz w:val="18"/>
                <w:szCs w:val="18"/>
                <w:u w:val="none"/>
              </w:rPr>
            </w:pPr>
          </w:p>
        </w:tc>
        <w:tc>
          <w:tcPr>
            <w:tcW w:w="1542" w:type="dxa"/>
            <w:vMerge w:val="continue"/>
            <w:tcBorders>
              <w:tl2br w:val="nil"/>
              <w:tr2bl w:val="nil"/>
            </w:tcBorders>
            <w:shd w:val="clear" w:color="auto" w:fill="FFFFFF"/>
            <w:noWrap w:val="0"/>
            <w:vAlign w:val="center"/>
          </w:tcPr>
          <w:p w14:paraId="3D1B8650">
            <w:pPr>
              <w:spacing w:line="240" w:lineRule="auto"/>
              <w:jc w:val="center"/>
              <w:rPr>
                <w:rFonts w:hint="eastAsia" w:ascii="宋体" w:hAnsi="宋体" w:eastAsia="宋体" w:cs="宋体"/>
                <w:i w:val="0"/>
                <w:iCs w:val="0"/>
                <w:color w:val="000000"/>
                <w:sz w:val="18"/>
                <w:szCs w:val="18"/>
                <w:u w:val="none"/>
              </w:rPr>
            </w:pPr>
          </w:p>
        </w:tc>
        <w:tc>
          <w:tcPr>
            <w:tcW w:w="6189" w:type="dxa"/>
            <w:vMerge w:val="continue"/>
            <w:tcBorders>
              <w:tl2br w:val="nil"/>
              <w:tr2bl w:val="nil"/>
            </w:tcBorders>
            <w:shd w:val="clear" w:color="auto" w:fill="FFFFFF"/>
            <w:noWrap w:val="0"/>
            <w:vAlign w:val="center"/>
          </w:tcPr>
          <w:p w14:paraId="2B794A83">
            <w:pPr>
              <w:spacing w:line="240" w:lineRule="auto"/>
              <w:jc w:val="center"/>
              <w:rPr>
                <w:rFonts w:hint="eastAsia" w:ascii="宋体" w:hAnsi="宋体" w:eastAsia="宋体" w:cs="宋体"/>
                <w:i w:val="0"/>
                <w:iCs w:val="0"/>
                <w:color w:val="000000"/>
                <w:sz w:val="18"/>
                <w:szCs w:val="18"/>
                <w:u w:val="none"/>
              </w:rPr>
            </w:pPr>
          </w:p>
        </w:tc>
        <w:tc>
          <w:tcPr>
            <w:tcW w:w="675" w:type="dxa"/>
            <w:vMerge w:val="continue"/>
            <w:tcBorders>
              <w:tl2br w:val="nil"/>
              <w:tr2bl w:val="nil"/>
            </w:tcBorders>
            <w:shd w:val="clear" w:color="auto" w:fill="FFFFFF"/>
            <w:noWrap w:val="0"/>
            <w:vAlign w:val="center"/>
          </w:tcPr>
          <w:p w14:paraId="66A38697">
            <w:pPr>
              <w:spacing w:line="240" w:lineRule="auto"/>
              <w:jc w:val="center"/>
              <w:rPr>
                <w:rFonts w:hint="eastAsia" w:ascii="宋体" w:hAnsi="宋体" w:eastAsia="宋体" w:cs="宋体"/>
                <w:i w:val="0"/>
                <w:iCs w:val="0"/>
                <w:color w:val="000000"/>
                <w:sz w:val="18"/>
                <w:szCs w:val="18"/>
                <w:u w:val="none"/>
              </w:rPr>
            </w:pPr>
          </w:p>
        </w:tc>
        <w:tc>
          <w:tcPr>
            <w:tcW w:w="907" w:type="dxa"/>
            <w:vMerge w:val="continue"/>
            <w:tcBorders>
              <w:tl2br w:val="nil"/>
              <w:tr2bl w:val="nil"/>
            </w:tcBorders>
            <w:shd w:val="clear" w:color="auto" w:fill="FFFFFF"/>
            <w:noWrap w:val="0"/>
            <w:vAlign w:val="center"/>
          </w:tcPr>
          <w:p w14:paraId="7159B9EF">
            <w:pPr>
              <w:spacing w:line="240" w:lineRule="auto"/>
              <w:jc w:val="center"/>
              <w:rPr>
                <w:rFonts w:hint="eastAsia" w:ascii="宋体" w:hAnsi="宋体" w:eastAsia="宋体" w:cs="宋体"/>
                <w:i w:val="0"/>
                <w:iCs w:val="0"/>
                <w:color w:val="000000"/>
                <w:sz w:val="18"/>
                <w:szCs w:val="18"/>
                <w:u w:val="none"/>
              </w:rPr>
            </w:pPr>
          </w:p>
        </w:tc>
      </w:tr>
      <w:tr w14:paraId="175A0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99" w:type="dxa"/>
            <w:tcBorders>
              <w:tl2br w:val="nil"/>
              <w:tr2bl w:val="nil"/>
            </w:tcBorders>
            <w:shd w:val="clear" w:color="auto" w:fill="FFFFFF"/>
            <w:noWrap w:val="0"/>
            <w:vAlign w:val="center"/>
          </w:tcPr>
          <w:p w14:paraId="40CCD3D5">
            <w:pPr>
              <w:spacing w:line="24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542" w:type="dxa"/>
            <w:tcBorders>
              <w:tl2br w:val="nil"/>
              <w:tr2bl w:val="nil"/>
            </w:tcBorders>
            <w:shd w:val="clear" w:color="auto" w:fill="FFFFFF"/>
            <w:noWrap w:val="0"/>
            <w:vAlign w:val="center"/>
          </w:tcPr>
          <w:p w14:paraId="27A6A4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补充</w:t>
            </w:r>
          </w:p>
        </w:tc>
        <w:tc>
          <w:tcPr>
            <w:tcW w:w="6189" w:type="dxa"/>
            <w:tcBorders>
              <w:tl2br w:val="nil"/>
              <w:tr2bl w:val="nil"/>
            </w:tcBorders>
            <w:shd w:val="clear" w:color="auto" w:fill="FFFFFF"/>
            <w:noWrap w:val="0"/>
            <w:vAlign w:val="center"/>
          </w:tcPr>
          <w:p w14:paraId="611ADD10">
            <w:pPr>
              <w:spacing w:line="240" w:lineRule="auto"/>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投标人根据施工图，认为本项目清单需要补充的部分</w:t>
            </w:r>
          </w:p>
        </w:tc>
        <w:tc>
          <w:tcPr>
            <w:tcW w:w="675" w:type="dxa"/>
            <w:tcBorders>
              <w:tl2br w:val="nil"/>
              <w:tr2bl w:val="nil"/>
            </w:tcBorders>
            <w:shd w:val="clear" w:color="auto" w:fill="FFFFFF"/>
            <w:noWrap w:val="0"/>
            <w:vAlign w:val="center"/>
          </w:tcPr>
          <w:p w14:paraId="4994497D">
            <w:pPr>
              <w:spacing w:line="240" w:lineRule="auto"/>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批</w:t>
            </w:r>
          </w:p>
        </w:tc>
        <w:tc>
          <w:tcPr>
            <w:tcW w:w="907" w:type="dxa"/>
            <w:tcBorders>
              <w:tl2br w:val="nil"/>
              <w:tr2bl w:val="nil"/>
            </w:tcBorders>
            <w:shd w:val="clear" w:color="auto" w:fill="FFFFFF"/>
            <w:noWrap w:val="0"/>
            <w:vAlign w:val="center"/>
          </w:tcPr>
          <w:p w14:paraId="40E0FB38">
            <w:pPr>
              <w:spacing w:line="240" w:lineRule="auto"/>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r>
    </w:tbl>
    <w:p w14:paraId="10F5EB04">
      <w:pPr>
        <w:rPr>
          <w:rFonts w:hint="eastAsia"/>
          <w:lang w:val="en-US" w:eastAsia="zh-CN"/>
        </w:rPr>
      </w:pPr>
    </w:p>
    <w:p w14:paraId="2709858C">
      <w:pPr>
        <w:rPr>
          <w:rFonts w:hint="eastAsia"/>
          <w:lang w:val="en-US" w:eastAsia="zh-CN"/>
        </w:rPr>
      </w:pPr>
      <w:r>
        <w:rPr>
          <w:rFonts w:hint="eastAsia"/>
          <w:lang w:val="en-US" w:eastAsia="zh-CN"/>
        </w:rPr>
        <w:br w:type="page"/>
      </w:r>
    </w:p>
    <w:p w14:paraId="1FD82F11">
      <w:pPr>
        <w:rPr>
          <w:rFonts w:hint="eastAsia"/>
          <w:b/>
          <w:bCs/>
          <w:sz w:val="24"/>
          <w:szCs w:val="21"/>
          <w:lang w:val="en-US" w:eastAsia="zh-CN"/>
        </w:rPr>
      </w:pPr>
      <w:r>
        <w:rPr>
          <w:rFonts w:hint="eastAsia"/>
          <w:b/>
          <w:bCs/>
          <w:sz w:val="24"/>
          <w:szCs w:val="21"/>
          <w:lang w:val="en-US" w:eastAsia="zh-CN"/>
        </w:rPr>
        <w:t>三、施工图</w:t>
      </w:r>
    </w:p>
    <w:p w14:paraId="0C896BD8">
      <w:pPr>
        <w:ind w:firstLine="482" w:firstLineChars="200"/>
        <w:rPr>
          <w:rFonts w:hint="eastAsia"/>
          <w:b/>
          <w:bCs/>
          <w:sz w:val="24"/>
          <w:szCs w:val="21"/>
          <w:lang w:val="en-US" w:eastAsia="zh-CN"/>
        </w:rPr>
      </w:pPr>
      <w:r>
        <w:rPr>
          <w:rFonts w:hint="eastAsia"/>
          <w:b/>
          <w:bCs/>
          <w:sz w:val="24"/>
          <w:szCs w:val="21"/>
          <w:lang w:val="en-US" w:eastAsia="zh-CN"/>
        </w:rPr>
        <w:t>施工图见附件</w:t>
      </w:r>
    </w:p>
    <w:p w14:paraId="4013A818">
      <w:pPr>
        <w:rPr>
          <w:rFonts w:hint="eastAsia"/>
          <w:b/>
          <w:bCs/>
          <w:sz w:val="24"/>
          <w:szCs w:val="21"/>
          <w:lang w:val="en-US" w:eastAsia="zh-CN"/>
        </w:rPr>
      </w:pPr>
    </w:p>
    <w:p w14:paraId="7315CDD2">
      <w:pPr>
        <w:rPr>
          <w:rFonts w:hint="default"/>
          <w:b/>
          <w:bCs/>
          <w:sz w:val="24"/>
          <w:szCs w:val="21"/>
          <w:lang w:val="en-US" w:eastAsia="zh-CN"/>
        </w:rPr>
      </w:pPr>
      <w:r>
        <w:rPr>
          <w:rFonts w:hint="eastAsia"/>
          <w:b/>
          <w:bCs/>
          <w:sz w:val="24"/>
          <w:szCs w:val="21"/>
          <w:lang w:val="en-US" w:eastAsia="zh-CN"/>
        </w:rPr>
        <w:t>四、建设要求</w:t>
      </w:r>
    </w:p>
    <w:p w14:paraId="26202745">
      <w:pPr>
        <w:keepNext w:val="0"/>
        <w:keepLines w:val="0"/>
        <w:pageBreakBefore w:val="0"/>
        <w:widowControl/>
        <w:tabs>
          <w:tab w:val="left" w:pos="210"/>
        </w:tabs>
        <w:kinsoku/>
        <w:wordWrap/>
        <w:overflowPunct/>
        <w:topLinePunct w:val="0"/>
        <w:autoSpaceDE w:val="0"/>
        <w:autoSpaceDN w:val="0"/>
        <w:bidi w:val="0"/>
        <w:adjustRightInd w:val="0"/>
        <w:snapToGrid/>
        <w:spacing w:line="360" w:lineRule="auto"/>
        <w:ind w:firstLine="420" w:firstLineChars="200"/>
        <w:textAlignment w:val="bottom"/>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rPr>
        <w:t>1、本次</w:t>
      </w:r>
      <w:r>
        <w:rPr>
          <w:rFonts w:hint="eastAsia" w:ascii="宋体" w:eastAsia="宋体"/>
          <w:b w:val="0"/>
          <w:bCs w:val="0"/>
          <w:color w:val="auto"/>
          <w:sz w:val="21"/>
          <w:szCs w:val="21"/>
          <w:highlight w:val="none"/>
          <w:lang w:val="en-US" w:eastAsia="zh-CN"/>
        </w:rPr>
        <w:t>改造提升</w:t>
      </w:r>
      <w:r>
        <w:rPr>
          <w:rFonts w:hint="eastAsia" w:ascii="宋体" w:eastAsia="宋体"/>
          <w:b w:val="0"/>
          <w:bCs w:val="0"/>
          <w:color w:val="auto"/>
          <w:sz w:val="21"/>
          <w:szCs w:val="21"/>
          <w:highlight w:val="none"/>
        </w:rPr>
        <w:t xml:space="preserve">项目为交钥匙工程。 </w:t>
      </w:r>
    </w:p>
    <w:p w14:paraId="342E061C">
      <w:pPr>
        <w:keepNext w:val="0"/>
        <w:keepLines w:val="0"/>
        <w:pageBreakBefore w:val="0"/>
        <w:widowControl/>
        <w:tabs>
          <w:tab w:val="left" w:pos="210"/>
        </w:tabs>
        <w:kinsoku/>
        <w:wordWrap/>
        <w:overflowPunct/>
        <w:topLinePunct w:val="0"/>
        <w:autoSpaceDE w:val="0"/>
        <w:autoSpaceDN w:val="0"/>
        <w:bidi w:val="0"/>
        <w:adjustRightInd w:val="0"/>
        <w:snapToGrid/>
        <w:spacing w:line="360" w:lineRule="auto"/>
        <w:ind w:firstLine="420" w:firstLineChars="200"/>
        <w:textAlignment w:val="bottom"/>
        <w:rPr>
          <w:rFonts w:hint="eastAsia" w:ascii="宋体" w:eastAsia="宋体"/>
          <w:color w:val="auto"/>
          <w:sz w:val="21"/>
          <w:szCs w:val="21"/>
          <w:highlight w:val="none"/>
          <w:u w:val="none"/>
        </w:rPr>
      </w:pPr>
      <w:r>
        <w:rPr>
          <w:rFonts w:hint="eastAsia" w:ascii="宋体" w:eastAsia="宋体"/>
          <w:color w:val="auto"/>
          <w:sz w:val="21"/>
          <w:szCs w:val="21"/>
          <w:highlight w:val="none"/>
          <w:u w:val="none"/>
        </w:rPr>
        <w:t>2、本项目图纸中有部分设备与</w:t>
      </w:r>
      <w:r>
        <w:rPr>
          <w:rFonts w:hint="eastAsia" w:ascii="宋体" w:eastAsia="宋体"/>
          <w:color w:val="auto"/>
          <w:sz w:val="21"/>
          <w:szCs w:val="21"/>
          <w:highlight w:val="none"/>
          <w:u w:val="none"/>
          <w:lang w:val="en-US" w:eastAsia="zh-CN"/>
        </w:rPr>
        <w:t>建筑</w:t>
      </w:r>
      <w:r>
        <w:rPr>
          <w:rFonts w:hint="eastAsia" w:ascii="宋体" w:eastAsia="宋体"/>
          <w:color w:val="auto"/>
          <w:sz w:val="21"/>
          <w:szCs w:val="21"/>
          <w:highlight w:val="none"/>
          <w:u w:val="none"/>
        </w:rPr>
        <w:t>未详细的，根据实际施工需求提供。中标供应商应同样提供符合行业标准的优质产品及服务，如有超出部分，采购人不再另外调整中标价，供应商在投标报价中须充分考虑因实际采购需求变化而可能承担的风险与成本。</w:t>
      </w:r>
    </w:p>
    <w:p w14:paraId="23B110CD">
      <w:pPr>
        <w:keepNext w:val="0"/>
        <w:keepLines w:val="0"/>
        <w:pageBreakBefore w:val="0"/>
        <w:widowControl/>
        <w:tabs>
          <w:tab w:val="left" w:pos="210"/>
        </w:tabs>
        <w:kinsoku/>
        <w:wordWrap/>
        <w:overflowPunct/>
        <w:topLinePunct w:val="0"/>
        <w:autoSpaceDE w:val="0"/>
        <w:autoSpaceDN w:val="0"/>
        <w:bidi w:val="0"/>
        <w:adjustRightInd w:val="0"/>
        <w:snapToGrid/>
        <w:spacing w:line="360" w:lineRule="auto"/>
        <w:ind w:firstLine="420" w:firstLineChars="200"/>
        <w:textAlignment w:val="bottom"/>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lang w:val="en-US" w:eastAsia="zh-CN"/>
        </w:rPr>
        <w:t>3</w:t>
      </w:r>
      <w:r>
        <w:rPr>
          <w:rFonts w:hint="eastAsia" w:ascii="宋体" w:eastAsia="宋体"/>
          <w:b w:val="0"/>
          <w:bCs w:val="0"/>
          <w:color w:val="auto"/>
          <w:sz w:val="21"/>
          <w:szCs w:val="21"/>
          <w:highlight w:val="none"/>
        </w:rPr>
        <w:t>、人员培训：中标人在设备安装、调试结束后，中标人应对采购单位人员进行现场免费培训（培训内容包括主要设备的安装、使用、基本维护知识）。投标供应商应在投标文件中提出具体的免费培训计划（如：培训师资、教材、课程、人数、地点、日程、授课人的业务背景等）。</w:t>
      </w:r>
    </w:p>
    <w:p w14:paraId="33F32936">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bottom"/>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lang w:val="en-US" w:eastAsia="zh-CN"/>
        </w:rPr>
        <w:t>4</w:t>
      </w:r>
      <w:r>
        <w:rPr>
          <w:rFonts w:hint="eastAsia" w:ascii="宋体" w:eastAsia="宋体"/>
          <w:b w:val="0"/>
          <w:bCs w:val="0"/>
          <w:color w:val="auto"/>
          <w:sz w:val="21"/>
          <w:szCs w:val="21"/>
          <w:highlight w:val="none"/>
        </w:rPr>
        <w:t>、施工前要求：在合同签订后，施工前，中标人应按照采购人的清单，事先进行勘察，对学校目前的现状以书面形式提供至采购人处进行备案，并提供相应的建议。</w:t>
      </w:r>
    </w:p>
    <w:p w14:paraId="17FE052A">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bottom"/>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lang w:val="en-US" w:eastAsia="zh-CN"/>
        </w:rPr>
        <w:t>5、</w:t>
      </w:r>
      <w:r>
        <w:rPr>
          <w:rFonts w:hint="eastAsia" w:ascii="宋体" w:eastAsia="宋体"/>
          <w:b w:val="0"/>
          <w:bCs w:val="0"/>
          <w:color w:val="auto"/>
          <w:sz w:val="21"/>
          <w:szCs w:val="21"/>
          <w:highlight w:val="none"/>
        </w:rPr>
        <w:t>监理</w:t>
      </w:r>
    </w:p>
    <w:p w14:paraId="1308C7AD">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bottom"/>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rPr>
        <w:t>改造期间，材料进场和实施隐蔽工程施工时，中标人须通知监理方及校方验收，三方(供应商、校方及授权监理单位)确认后形成初步验收资料。</w:t>
      </w:r>
    </w:p>
    <w:p w14:paraId="24B0036B">
      <w:pPr>
        <w:keepNext w:val="0"/>
        <w:keepLines w:val="0"/>
        <w:pageBreakBefore w:val="0"/>
        <w:kinsoku/>
        <w:wordWrap/>
        <w:overflowPunct/>
        <w:topLinePunct w:val="0"/>
        <w:bidi w:val="0"/>
        <w:snapToGrid/>
        <w:spacing w:line="360" w:lineRule="auto"/>
        <w:ind w:firstLine="420" w:firstLineChars="2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lang w:val="en-US" w:eastAsia="zh-CN"/>
        </w:rPr>
        <w:t>6、</w:t>
      </w:r>
      <w:r>
        <w:rPr>
          <w:rFonts w:hint="eastAsia" w:ascii="宋体" w:eastAsia="宋体"/>
          <w:b w:val="0"/>
          <w:bCs w:val="0"/>
          <w:color w:val="auto"/>
          <w:sz w:val="21"/>
          <w:szCs w:val="21"/>
          <w:highlight w:val="none"/>
        </w:rPr>
        <w:t>保质期与售后服务：</w:t>
      </w:r>
    </w:p>
    <w:p w14:paraId="19F4C174">
      <w:pPr>
        <w:keepNext w:val="0"/>
        <w:keepLines w:val="0"/>
        <w:pageBreakBefore w:val="0"/>
        <w:kinsoku/>
        <w:wordWrap/>
        <w:overflowPunct/>
        <w:topLinePunct w:val="0"/>
        <w:bidi w:val="0"/>
        <w:snapToGrid/>
        <w:spacing w:line="360" w:lineRule="auto"/>
        <w:ind w:firstLine="420" w:firstLineChars="2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rPr>
        <w:t>1）本项目所有设备质保期均</w:t>
      </w:r>
      <w:r>
        <w:rPr>
          <w:rFonts w:hint="eastAsia" w:ascii="宋体" w:eastAsia="宋体"/>
          <w:b w:val="0"/>
          <w:bCs w:val="0"/>
          <w:color w:val="auto"/>
          <w:sz w:val="21"/>
          <w:szCs w:val="21"/>
          <w:highlight w:val="none"/>
          <w:u w:val="single"/>
        </w:rPr>
        <w:t xml:space="preserve"> </w:t>
      </w:r>
      <w:r>
        <w:rPr>
          <w:rFonts w:hint="eastAsia" w:ascii="宋体" w:eastAsia="宋体"/>
          <w:b w:val="0"/>
          <w:bCs w:val="0"/>
          <w:color w:val="auto"/>
          <w:sz w:val="21"/>
          <w:szCs w:val="21"/>
          <w:highlight w:val="none"/>
          <w:u w:val="single"/>
          <w:lang w:val="en-US" w:eastAsia="zh-CN"/>
        </w:rPr>
        <w:t>2</w:t>
      </w:r>
      <w:r>
        <w:rPr>
          <w:rFonts w:hint="eastAsia" w:ascii="宋体" w:eastAsia="宋体"/>
          <w:b w:val="0"/>
          <w:bCs w:val="0"/>
          <w:color w:val="auto"/>
          <w:sz w:val="21"/>
          <w:szCs w:val="21"/>
          <w:highlight w:val="none"/>
          <w:u w:val="single"/>
        </w:rPr>
        <w:t xml:space="preserve"> </w:t>
      </w:r>
      <w:r>
        <w:rPr>
          <w:rFonts w:hint="eastAsia" w:ascii="宋体" w:eastAsia="宋体"/>
          <w:b w:val="0"/>
          <w:bCs w:val="0"/>
          <w:color w:val="auto"/>
          <w:sz w:val="21"/>
          <w:szCs w:val="21"/>
          <w:highlight w:val="none"/>
        </w:rPr>
        <w:t>年（技术参数中有详细说明的除外），质保期从验收合格交付使用之日起算；保质期内因产品本身缺陷（非人为因素）造成各种故障应由成交供应商免费技术服务和维修及维护。</w:t>
      </w:r>
    </w:p>
    <w:p w14:paraId="461F96ED">
      <w:pPr>
        <w:keepNext w:val="0"/>
        <w:keepLines w:val="0"/>
        <w:pageBreakBefore w:val="0"/>
        <w:kinsoku/>
        <w:wordWrap/>
        <w:overflowPunct/>
        <w:topLinePunct w:val="0"/>
        <w:bidi w:val="0"/>
        <w:snapToGrid/>
        <w:spacing w:line="360" w:lineRule="auto"/>
        <w:ind w:firstLine="420" w:firstLineChars="2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rPr>
        <w:t>2）在质保期内，成交供应商应负责对其提供的设备进行现场维修、损坏件更换，不收取额外费用，响应时间必须满足系统正常运行的要求。</w:t>
      </w:r>
    </w:p>
    <w:p w14:paraId="1579F6C8">
      <w:pPr>
        <w:keepNext w:val="0"/>
        <w:keepLines w:val="0"/>
        <w:pageBreakBefore w:val="0"/>
        <w:kinsoku/>
        <w:wordWrap/>
        <w:overflowPunct/>
        <w:topLinePunct w:val="0"/>
        <w:bidi w:val="0"/>
        <w:snapToGrid/>
        <w:spacing w:line="360" w:lineRule="auto"/>
        <w:ind w:firstLine="420" w:firstLineChars="200"/>
        <w:rPr>
          <w:rFonts w:hint="eastAsia" w:ascii="宋体" w:eastAsia="宋体"/>
          <w:b w:val="0"/>
          <w:bCs w:val="0"/>
          <w:color w:val="auto"/>
          <w:sz w:val="21"/>
          <w:szCs w:val="21"/>
          <w:highlight w:val="none"/>
        </w:rPr>
      </w:pPr>
      <w:r>
        <w:rPr>
          <w:rFonts w:hint="eastAsia" w:ascii="宋体" w:eastAsia="宋体"/>
          <w:b w:val="0"/>
          <w:bCs w:val="0"/>
          <w:color w:val="auto"/>
          <w:sz w:val="21"/>
          <w:szCs w:val="21"/>
          <w:highlight w:val="none"/>
        </w:rPr>
        <w:t>3）质量保修期内，要求供应商7×24小时电话响应技术咨询；除非采购文件另有规定，供应商须在接到采购人维修要求电话后，5个工作日内必须派技术人员到现场维修，如果在10日内不能修复，则提供同样备机供采购人使用，直至设备修复。否则采购人有权根据中标供应商实际配合情况扣留相应合同款或质保金。</w:t>
      </w:r>
    </w:p>
    <w:p w14:paraId="4CD8FC82">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bottom"/>
        <w:rPr>
          <w:rFonts w:hint="eastAsia" w:ascii="宋体" w:hAnsi="Times New Roman" w:eastAsia="宋体" w:cs="Times New Roman"/>
          <w:b w:val="0"/>
          <w:bCs w:val="0"/>
          <w:color w:val="auto"/>
          <w:sz w:val="21"/>
          <w:szCs w:val="21"/>
          <w:highlight w:val="none"/>
          <w:lang w:val="en-US" w:eastAsia="zh-CN"/>
        </w:rPr>
      </w:pPr>
      <w:r>
        <w:rPr>
          <w:rFonts w:hint="eastAsia" w:ascii="宋体" w:hAnsi="Times New Roman" w:eastAsia="宋体" w:cs="Times New Roman"/>
          <w:b w:val="0"/>
          <w:bCs w:val="0"/>
          <w:color w:val="auto"/>
          <w:sz w:val="21"/>
          <w:szCs w:val="21"/>
          <w:highlight w:val="none"/>
          <w:lang w:val="en-US" w:eastAsia="zh-CN"/>
        </w:rPr>
        <w:t>4）供应商在投标文件中须说明保修期内提供的服务计划。</w:t>
      </w:r>
    </w:p>
    <w:p w14:paraId="6F9D3E38">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bottom"/>
        <w:rPr>
          <w:rFonts w:hint="default" w:ascii="宋体" w:hAnsi="Times New Roman" w:eastAsia="宋体" w:cs="Times New Roman"/>
          <w:b w:val="0"/>
          <w:bCs w:val="0"/>
          <w:color w:val="auto"/>
          <w:sz w:val="21"/>
          <w:szCs w:val="21"/>
          <w:highlight w:val="none"/>
          <w:lang w:val="en-US" w:eastAsia="zh-CN"/>
        </w:rPr>
      </w:pPr>
      <w:r>
        <w:rPr>
          <w:rFonts w:hint="eastAsia" w:ascii="宋体" w:hAnsi="Times New Roman" w:eastAsia="宋体" w:cs="Times New Roman"/>
          <w:b w:val="0"/>
          <w:bCs w:val="0"/>
          <w:color w:val="auto"/>
          <w:sz w:val="21"/>
          <w:szCs w:val="21"/>
          <w:highlight w:val="none"/>
          <w:lang w:val="en-US" w:eastAsia="zh-CN"/>
        </w:rPr>
        <w:t>7、工程内容</w:t>
      </w:r>
    </w:p>
    <w:p w14:paraId="40B02541">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bottom"/>
        <w:rPr>
          <w:rFonts w:hint="eastAsia" w:ascii="宋体" w:hAnsi="Times New Roman" w:eastAsia="宋体" w:cs="Times New Roman"/>
          <w:b w:val="0"/>
          <w:bCs w:val="0"/>
          <w:color w:val="auto"/>
          <w:sz w:val="21"/>
          <w:szCs w:val="21"/>
          <w:highlight w:val="none"/>
          <w:lang w:val="en-US" w:eastAsia="zh-CN"/>
        </w:rPr>
      </w:pPr>
      <w:r>
        <w:rPr>
          <w:rFonts w:hint="eastAsia" w:ascii="宋体" w:hAnsi="Times New Roman" w:eastAsia="宋体" w:cs="Times New Roman"/>
          <w:b w:val="0"/>
          <w:bCs w:val="0"/>
          <w:color w:val="auto"/>
          <w:sz w:val="21"/>
          <w:szCs w:val="21"/>
          <w:highlight w:val="none"/>
          <w:lang w:val="en-US" w:eastAsia="zh-CN"/>
        </w:rPr>
        <w:t>1）工期要求：</w:t>
      </w:r>
      <w:r>
        <w:rPr>
          <w:rFonts w:hint="eastAsia" w:ascii="宋体" w:hAnsi="宋体"/>
          <w:u w:val="none"/>
        </w:rPr>
        <w:t>因</w:t>
      </w:r>
      <w:bookmarkStart w:id="20" w:name="_Toc312678013"/>
      <w:bookmarkEnd w:id="20"/>
      <w:bookmarkStart w:id="21" w:name="_Toc318581170"/>
      <w:bookmarkEnd w:id="21"/>
      <w:r>
        <w:rPr>
          <w:rFonts w:hint="eastAsia" w:ascii="宋体" w:hAnsi="宋体"/>
          <w:u w:val="none"/>
        </w:rPr>
        <w:t>承包人原因造成工期延误</w:t>
      </w:r>
      <w:r>
        <w:rPr>
          <w:rFonts w:hint="eastAsia" w:ascii="宋体" w:hAnsi="宋体"/>
          <w:u w:val="none"/>
          <w:lang w:val="en-US" w:eastAsia="zh-CN"/>
        </w:rPr>
        <w:t>的处罚1000元/天；</w:t>
      </w:r>
      <w:r>
        <w:rPr>
          <w:rFonts w:hint="eastAsia" w:ascii="宋体" w:hAnsi="宋体" w:eastAsia="宋体"/>
          <w:u w:val="none"/>
          <w:lang w:val="en-US" w:eastAsia="zh-CN"/>
        </w:rPr>
        <w:t>如</w:t>
      </w:r>
      <w:r>
        <w:rPr>
          <w:rFonts w:ascii="宋体" w:hAnsi="宋体"/>
          <w:u w:val="none"/>
        </w:rPr>
        <w:t>承包人原因造成工期严重滞后又无明显改进措施的，发包人即有权解除合同，要求承包人无条件退场，并承担由此产生的一切损失</w:t>
      </w:r>
      <w:r>
        <w:rPr>
          <w:rFonts w:hint="eastAsia" w:ascii="宋体" w:hAnsi="宋体"/>
          <w:u w:val="none"/>
          <w:lang w:eastAsia="zh-CN"/>
        </w:rPr>
        <w:t>。</w:t>
      </w:r>
      <w:r>
        <w:rPr>
          <w:rFonts w:hint="eastAsia" w:ascii="宋体" w:hAnsi="Times New Roman" w:eastAsia="宋体" w:cs="Times New Roman"/>
          <w:b w:val="0"/>
          <w:bCs w:val="0"/>
          <w:color w:val="auto"/>
          <w:sz w:val="21"/>
          <w:szCs w:val="21"/>
          <w:highlight w:val="none"/>
          <w:u w:val="none"/>
          <w:lang w:val="en-US" w:eastAsia="zh-CN"/>
        </w:rPr>
        <w:t xml:space="preserve">   </w:t>
      </w:r>
      <w:r>
        <w:rPr>
          <w:rFonts w:hint="eastAsia" w:ascii="宋体" w:hAnsi="Times New Roman" w:eastAsia="宋体" w:cs="Times New Roman"/>
          <w:b w:val="0"/>
          <w:bCs w:val="0"/>
          <w:color w:val="auto"/>
          <w:sz w:val="21"/>
          <w:szCs w:val="21"/>
          <w:highlight w:val="none"/>
          <w:lang w:val="en-US" w:eastAsia="zh-CN"/>
        </w:rPr>
        <w:t xml:space="preserve">                                 </w:t>
      </w:r>
    </w:p>
    <w:p w14:paraId="4F9CAF0B">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bottom"/>
        <w:rPr>
          <w:rFonts w:hint="eastAsia" w:ascii="宋体" w:hAnsi="Times New Roman" w:eastAsia="宋体" w:cs="Times New Roman"/>
          <w:b w:val="0"/>
          <w:bCs w:val="0"/>
          <w:color w:val="auto"/>
          <w:sz w:val="21"/>
          <w:szCs w:val="21"/>
          <w:highlight w:val="none"/>
          <w:lang w:val="en-US" w:eastAsia="zh-CN"/>
        </w:rPr>
      </w:pPr>
      <w:r>
        <w:rPr>
          <w:rFonts w:hint="eastAsia" w:ascii="宋体" w:hAnsi="Times New Roman" w:eastAsia="宋体" w:cs="Times New Roman"/>
          <w:b w:val="0"/>
          <w:bCs w:val="0"/>
          <w:color w:val="auto"/>
          <w:sz w:val="21"/>
          <w:szCs w:val="21"/>
          <w:highlight w:val="none"/>
          <w:lang w:val="en-US" w:eastAsia="zh-CN"/>
        </w:rPr>
        <w:t xml:space="preserve">2)工程地点：龙港市第五中学（现场具备施工条件）                                    </w:t>
      </w:r>
    </w:p>
    <w:p w14:paraId="126C0250">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bottom"/>
        <w:rPr>
          <w:rFonts w:hint="default" w:ascii="宋体" w:hAnsi="宋体" w:eastAsia="宋体" w:cs="Times New Roman"/>
          <w:u w:val="none"/>
          <w:lang w:val="en-US" w:eastAsia="zh-CN"/>
        </w:rPr>
      </w:pPr>
      <w:r>
        <w:rPr>
          <w:rFonts w:hint="eastAsia" w:ascii="宋体" w:hAnsi="宋体" w:eastAsia="宋体" w:cs="Times New Roman"/>
          <w:u w:val="none"/>
          <w:lang w:val="en-US" w:eastAsia="zh-CN"/>
        </w:rPr>
        <w:t>3）本项目如有中标单位不具备对应施工资质的（非主体智能化），中标单位应分包给具有相应施工资质单位，并报采购人处备案。其他部分不得分包。</w:t>
      </w:r>
    </w:p>
    <w:p w14:paraId="516A97A8">
      <w:pPr>
        <w:ind w:firstLine="482" w:firstLineChars="200"/>
        <w:rPr>
          <w:rFonts w:hint="eastAsia"/>
          <w:b/>
          <w:bCs/>
          <w:sz w:val="24"/>
          <w:szCs w:val="21"/>
          <w:lang w:val="en-US" w:eastAsia="zh-CN"/>
        </w:rPr>
      </w:pPr>
    </w:p>
    <w:p w14:paraId="5E814485">
      <w:pPr>
        <w:ind w:firstLine="482" w:firstLineChars="200"/>
        <w:rPr>
          <w:rFonts w:hint="eastAsia"/>
          <w:b/>
          <w:bCs/>
          <w:sz w:val="24"/>
          <w:szCs w:val="21"/>
        </w:rPr>
      </w:pPr>
      <w:r>
        <w:rPr>
          <w:rFonts w:hint="eastAsia"/>
          <w:b/>
          <w:bCs/>
          <w:sz w:val="24"/>
          <w:szCs w:val="21"/>
          <w:lang w:val="en-US" w:eastAsia="zh-CN"/>
        </w:rPr>
        <w:t>五</w:t>
      </w:r>
      <w:r>
        <w:rPr>
          <w:rFonts w:hint="eastAsia"/>
          <w:b/>
          <w:bCs/>
          <w:sz w:val="24"/>
          <w:szCs w:val="21"/>
        </w:rPr>
        <w:t>、商务要求</w:t>
      </w:r>
      <w:bookmarkEnd w:id="16"/>
      <w:bookmarkEnd w:id="17"/>
    </w:p>
    <w:p w14:paraId="5F94B953">
      <w:pPr>
        <w:rPr>
          <w:rFonts w:cs="宋体"/>
          <w:b/>
          <w:color w:val="7030A0"/>
          <w:kern w:val="0"/>
          <w:sz w:val="24"/>
        </w:rPr>
      </w:pP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452"/>
        <w:gridCol w:w="7337"/>
      </w:tblGrid>
      <w:tr w14:paraId="1D2A6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blHeader/>
          <w:jc w:val="center"/>
        </w:trPr>
        <w:tc>
          <w:tcPr>
            <w:tcW w:w="675" w:type="dxa"/>
            <w:noWrap w:val="0"/>
            <w:vAlign w:val="center"/>
          </w:tcPr>
          <w:p w14:paraId="1BB4FF8C">
            <w:pPr>
              <w:rPr>
                <w:rFonts w:hint="eastAsia" w:ascii="宋体" w:hAnsi="宋体" w:eastAsia="宋体" w:cs="宋体"/>
                <w:b/>
                <w:color w:val="000000"/>
              </w:rPr>
            </w:pPr>
            <w:r>
              <w:rPr>
                <w:rFonts w:hint="eastAsia" w:ascii="宋体" w:hAnsi="宋体" w:eastAsia="宋体" w:cs="宋体"/>
                <w:b/>
                <w:color w:val="000000"/>
              </w:rPr>
              <w:t>序号</w:t>
            </w:r>
          </w:p>
        </w:tc>
        <w:tc>
          <w:tcPr>
            <w:tcW w:w="1452" w:type="dxa"/>
            <w:noWrap w:val="0"/>
            <w:vAlign w:val="center"/>
          </w:tcPr>
          <w:p w14:paraId="344291F8">
            <w:pPr>
              <w:jc w:val="center"/>
              <w:rPr>
                <w:rFonts w:hint="eastAsia" w:ascii="宋体" w:hAnsi="宋体" w:eastAsia="宋体" w:cs="宋体"/>
                <w:b/>
                <w:color w:val="000000"/>
              </w:rPr>
            </w:pPr>
            <w:r>
              <w:rPr>
                <w:rFonts w:hint="eastAsia" w:ascii="宋体" w:hAnsi="宋体" w:eastAsia="宋体" w:cs="宋体"/>
                <w:b/>
                <w:color w:val="000000"/>
              </w:rPr>
              <w:t>内容</w:t>
            </w:r>
          </w:p>
        </w:tc>
        <w:tc>
          <w:tcPr>
            <w:tcW w:w="7337" w:type="dxa"/>
            <w:noWrap w:val="0"/>
            <w:vAlign w:val="center"/>
          </w:tcPr>
          <w:p w14:paraId="028FF2EC">
            <w:pPr>
              <w:jc w:val="center"/>
              <w:rPr>
                <w:rFonts w:hint="eastAsia" w:ascii="宋体" w:hAnsi="宋体" w:eastAsia="宋体" w:cs="宋体"/>
                <w:b/>
                <w:color w:val="000000"/>
              </w:rPr>
            </w:pPr>
            <w:r>
              <w:rPr>
                <w:rFonts w:hint="eastAsia" w:ascii="宋体" w:hAnsi="宋体" w:eastAsia="宋体" w:cs="宋体"/>
                <w:b/>
                <w:color w:val="000000"/>
              </w:rPr>
              <w:t>招标要求</w:t>
            </w:r>
          </w:p>
        </w:tc>
      </w:tr>
      <w:tr w14:paraId="5468C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75" w:type="dxa"/>
            <w:noWrap w:val="0"/>
            <w:vAlign w:val="center"/>
          </w:tcPr>
          <w:p w14:paraId="5EE69C8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452" w:type="dxa"/>
            <w:noWrap w:val="0"/>
            <w:vAlign w:val="center"/>
          </w:tcPr>
          <w:p w14:paraId="68233DED">
            <w:pPr>
              <w:rPr>
                <w:rFonts w:hint="eastAsia" w:ascii="宋体" w:hAnsi="宋体" w:eastAsia="宋体" w:cs="宋体"/>
                <w:color w:val="000000"/>
                <w:sz w:val="21"/>
                <w:szCs w:val="21"/>
              </w:rPr>
            </w:pPr>
            <w:r>
              <w:rPr>
                <w:rFonts w:hint="eastAsia" w:ascii="宋体" w:hAnsi="宋体" w:eastAsia="宋体" w:cs="宋体"/>
                <w:color w:val="000000"/>
                <w:sz w:val="21"/>
                <w:szCs w:val="21"/>
              </w:rPr>
              <w:t>▲投标报价</w:t>
            </w:r>
          </w:p>
        </w:tc>
        <w:tc>
          <w:tcPr>
            <w:tcW w:w="7337" w:type="dxa"/>
            <w:noWrap w:val="0"/>
            <w:vAlign w:val="center"/>
          </w:tcPr>
          <w:p w14:paraId="68FE2349">
            <w:pPr>
              <w:spacing w:line="240" w:lineRule="auto"/>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rPr>
              <w:t>投标报价是</w:t>
            </w:r>
            <w:r>
              <w:rPr>
                <w:rFonts w:hint="eastAsia" w:ascii="宋体" w:hAnsi="宋体" w:eastAsia="宋体" w:cs="宋体"/>
                <w:color w:val="auto"/>
                <w:sz w:val="21"/>
                <w:szCs w:val="21"/>
                <w:highlight w:val="none"/>
              </w:rPr>
              <w:t>指供应商为正确地完全履行采购内容及要求的价格体现，完成本招标文件规定的项目承包内容所发生的直接成本、间接成本、利润、税金、政策性文件规定的费用、设备进出场费、原材料价格变化风险等一切费用均应计入投标报价，凡未列入的将被认为均已包含在投标总价中，今后不得以任何理由追加或调整。</w:t>
            </w:r>
          </w:p>
        </w:tc>
      </w:tr>
      <w:tr w14:paraId="01281D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675" w:type="dxa"/>
            <w:noWrap w:val="0"/>
            <w:vAlign w:val="center"/>
          </w:tcPr>
          <w:p w14:paraId="1D7A116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452" w:type="dxa"/>
            <w:noWrap w:val="0"/>
            <w:vAlign w:val="center"/>
          </w:tcPr>
          <w:p w14:paraId="1B095030">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完工期</w:t>
            </w:r>
          </w:p>
        </w:tc>
        <w:tc>
          <w:tcPr>
            <w:tcW w:w="7337" w:type="dxa"/>
            <w:noWrap w:val="0"/>
            <w:vAlign w:val="center"/>
          </w:tcPr>
          <w:p w14:paraId="1A16D3F9">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100日历天内完工</w:t>
            </w:r>
          </w:p>
        </w:tc>
      </w:tr>
      <w:tr w14:paraId="5A29A4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75" w:type="dxa"/>
            <w:noWrap w:val="0"/>
            <w:vAlign w:val="center"/>
          </w:tcPr>
          <w:p w14:paraId="0CBB519B">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452" w:type="dxa"/>
            <w:noWrap w:val="0"/>
            <w:vAlign w:val="center"/>
          </w:tcPr>
          <w:p w14:paraId="66048815">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履约保证金</w:t>
            </w:r>
          </w:p>
        </w:tc>
        <w:tc>
          <w:tcPr>
            <w:tcW w:w="7337" w:type="dxa"/>
            <w:noWrap w:val="0"/>
            <w:vAlign w:val="center"/>
          </w:tcPr>
          <w:p w14:paraId="68C823A4">
            <w:pPr>
              <w:spacing w:line="240" w:lineRule="auto"/>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不收取</w:t>
            </w:r>
          </w:p>
        </w:tc>
      </w:tr>
      <w:tr w14:paraId="4A287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675" w:type="dxa"/>
            <w:noWrap w:val="0"/>
            <w:vAlign w:val="center"/>
          </w:tcPr>
          <w:p w14:paraId="2C91DD00">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1452" w:type="dxa"/>
            <w:noWrap w:val="0"/>
            <w:vAlign w:val="center"/>
          </w:tcPr>
          <w:p w14:paraId="23A75210">
            <w:pP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7337" w:type="dxa"/>
            <w:noWrap w:val="0"/>
            <w:vAlign w:val="center"/>
          </w:tcPr>
          <w:p w14:paraId="7A205CFA">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合同签订后预付款40%</w:t>
            </w:r>
            <w:r>
              <w:rPr>
                <w:rFonts w:hint="eastAsia" w:ascii="宋体" w:hAnsi="宋体" w:cs="宋体"/>
                <w:sz w:val="21"/>
                <w:szCs w:val="21"/>
                <w:lang w:val="en-US" w:eastAsia="zh-CN"/>
              </w:rPr>
              <w:t>（在签订合同时，供应商明确表示无需预付款或者主动要求降低预付款比例的，采购单位可不适用前述预付款比例的规定。）</w:t>
            </w:r>
            <w:r>
              <w:rPr>
                <w:rFonts w:hint="eastAsia" w:ascii="宋体" w:hAnsi="宋体" w:eastAsia="宋体" w:cs="宋体"/>
                <w:sz w:val="21"/>
                <w:szCs w:val="21"/>
                <w:lang w:val="en-US" w:eastAsia="zh-CN"/>
              </w:rPr>
              <w:t>；</w:t>
            </w:r>
            <w:r>
              <w:rPr>
                <w:rFonts w:hint="eastAsia" w:ascii="宋体" w:hAnsi="宋体" w:eastAsia="宋体" w:cs="宋体"/>
                <w:b w:val="0"/>
                <w:bCs w:val="0"/>
                <w:sz w:val="21"/>
                <w:szCs w:val="21"/>
              </w:rPr>
              <w:t>供应商将所有工作内容完成，由采购人验收合格后采购人向供应商支付剩余</w:t>
            </w:r>
            <w:r>
              <w:rPr>
                <w:rFonts w:hint="eastAsia" w:ascii="宋体" w:hAnsi="宋体" w:eastAsia="宋体" w:cs="宋体"/>
                <w:b w:val="0"/>
                <w:bCs w:val="0"/>
                <w:sz w:val="21"/>
                <w:szCs w:val="21"/>
                <w:lang w:val="en-US" w:eastAsia="zh-CN"/>
              </w:rPr>
              <w:t>结算合同款</w:t>
            </w:r>
            <w:r>
              <w:rPr>
                <w:rFonts w:hint="eastAsia" w:ascii="宋体" w:hAnsi="宋体" w:eastAsia="宋体" w:cs="宋体"/>
                <w:b w:val="0"/>
                <w:bCs w:val="0"/>
                <w:sz w:val="21"/>
                <w:szCs w:val="21"/>
              </w:rPr>
              <w:t>。</w:t>
            </w:r>
          </w:p>
          <w:p w14:paraId="049A1623">
            <w:pPr>
              <w:pStyle w:val="5"/>
              <w:spacing w:line="240" w:lineRule="auto"/>
              <w:rPr>
                <w:rFonts w:hint="eastAsia" w:ascii="宋体" w:hAnsi="宋体" w:eastAsia="宋体" w:cs="宋体"/>
                <w:sz w:val="21"/>
                <w:szCs w:val="21"/>
              </w:rPr>
            </w:pPr>
            <w:r>
              <w:rPr>
                <w:rFonts w:hint="eastAsia" w:ascii="宋体" w:hAnsi="宋体" w:eastAsia="宋体" w:cs="宋体"/>
                <w:b/>
                <w:bCs w:val="0"/>
                <w:color w:val="000000"/>
                <w:kern w:val="2"/>
                <w:sz w:val="21"/>
                <w:szCs w:val="21"/>
                <w:lang w:val="en-US" w:eastAsia="zh-CN" w:bidi="ar-SA"/>
              </w:rPr>
              <w:t>预付款在合同生效以及具备实施条件后7个工作日内支付，对于满足合同约定支付条件的，采购人自收到发票之日起7个工作日内向供应商支付资金。</w:t>
            </w:r>
          </w:p>
        </w:tc>
      </w:tr>
      <w:tr w14:paraId="4909D2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675" w:type="dxa"/>
            <w:noWrap w:val="0"/>
            <w:vAlign w:val="center"/>
          </w:tcPr>
          <w:p w14:paraId="4AF90949">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452" w:type="dxa"/>
            <w:noWrap w:val="0"/>
            <w:vAlign w:val="center"/>
          </w:tcPr>
          <w:p w14:paraId="7DCF62E5">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资金说明</w:t>
            </w:r>
          </w:p>
        </w:tc>
        <w:tc>
          <w:tcPr>
            <w:tcW w:w="7337" w:type="dxa"/>
            <w:noWrap w:val="0"/>
            <w:vAlign w:val="center"/>
          </w:tcPr>
          <w:p w14:paraId="54D46762">
            <w:pPr>
              <w:pStyle w:val="5"/>
              <w:spacing w:line="240" w:lineRule="auto"/>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val="0"/>
                <w:bCs w:val="0"/>
                <w:kern w:val="2"/>
                <w:sz w:val="21"/>
                <w:szCs w:val="21"/>
                <w:lang w:val="en-US" w:eastAsia="zh-CN" w:bidi="ar-SA"/>
              </w:rPr>
              <w:t>本项目资金已经落实，涉及到跨年度预算指标，资金支付需跨年度完成（具体拨付时间视财政资金到位情况为准）。</w:t>
            </w:r>
          </w:p>
        </w:tc>
      </w:tr>
      <w:tr w14:paraId="36B9A1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75" w:type="dxa"/>
            <w:noWrap w:val="0"/>
            <w:vAlign w:val="center"/>
          </w:tcPr>
          <w:p w14:paraId="4FB5D083">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452" w:type="dxa"/>
            <w:noWrap w:val="0"/>
            <w:vAlign w:val="center"/>
          </w:tcPr>
          <w:p w14:paraId="72F09044">
            <w:pPr>
              <w:rPr>
                <w:rFonts w:hint="eastAsia" w:ascii="宋体" w:hAnsi="宋体" w:eastAsia="宋体" w:cs="宋体"/>
                <w:color w:val="000000"/>
                <w:sz w:val="21"/>
                <w:szCs w:val="21"/>
              </w:rPr>
            </w:pPr>
            <w:r>
              <w:rPr>
                <w:rFonts w:hint="eastAsia" w:ascii="宋体" w:hAnsi="宋体" w:eastAsia="宋体" w:cs="宋体"/>
                <w:color w:val="000000"/>
                <w:sz w:val="21"/>
                <w:szCs w:val="21"/>
              </w:rPr>
              <w:t>质量标准</w:t>
            </w:r>
          </w:p>
        </w:tc>
        <w:tc>
          <w:tcPr>
            <w:tcW w:w="7337" w:type="dxa"/>
            <w:noWrap w:val="0"/>
            <w:vAlign w:val="center"/>
          </w:tcPr>
          <w:p w14:paraId="27E4E582">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合格</w:t>
            </w:r>
          </w:p>
        </w:tc>
      </w:tr>
    </w:tbl>
    <w:p w14:paraId="43826171">
      <w:pPr>
        <w:pStyle w:val="8"/>
        <w:spacing w:before="0" w:after="0"/>
        <w:jc w:val="center"/>
        <w:rPr>
          <w:rFonts w:hint="eastAsia" w:ascii="宋体" w:hAnsi="宋体" w:cs="宋体"/>
          <w:b/>
          <w:sz w:val="32"/>
          <w:szCs w:val="32"/>
        </w:rPr>
      </w:pPr>
      <w:r>
        <w:rPr>
          <w:rFonts w:hint="eastAsia" w:ascii="宋体" w:hAnsi="宋体" w:cs="宋体"/>
          <w:b/>
          <w:sz w:val="32"/>
          <w:szCs w:val="32"/>
        </w:rPr>
        <w:br w:type="page"/>
      </w:r>
      <w:bookmarkStart w:id="22" w:name="_Toc3502"/>
      <w:r>
        <w:rPr>
          <w:rFonts w:hint="eastAsia" w:ascii="宋体" w:hAnsi="宋体" w:eastAsia="宋体" w:cs="宋体"/>
          <w:b/>
          <w:sz w:val="32"/>
          <w:szCs w:val="32"/>
        </w:rPr>
        <w:t xml:space="preserve">第三部分 </w:t>
      </w:r>
      <w:r>
        <w:rPr>
          <w:rFonts w:hint="eastAsia" w:ascii="宋体" w:hAnsi="宋体" w:cs="宋体"/>
          <w:b/>
          <w:sz w:val="32"/>
          <w:szCs w:val="32"/>
        </w:rPr>
        <w:t xml:space="preserve">  </w:t>
      </w:r>
      <w:r>
        <w:rPr>
          <w:rFonts w:hint="eastAsia" w:ascii="宋体" w:hAnsi="宋体" w:eastAsia="宋体" w:cs="宋体"/>
          <w:b/>
          <w:bCs/>
          <w:spacing w:val="0"/>
          <w:szCs w:val="22"/>
          <w:lang w:eastAsia="zh-CN"/>
        </w:rPr>
        <w:t>供应商</w:t>
      </w:r>
      <w:r>
        <w:rPr>
          <w:rFonts w:hint="eastAsia" w:ascii="宋体" w:hAnsi="宋体" w:cs="宋体"/>
          <w:b/>
          <w:sz w:val="32"/>
          <w:szCs w:val="32"/>
        </w:rPr>
        <w:t>须知</w:t>
      </w:r>
      <w:bookmarkEnd w:id="18"/>
      <w:bookmarkEnd w:id="19"/>
      <w:bookmarkEnd w:id="22"/>
    </w:p>
    <w:p w14:paraId="1B2593B2">
      <w:pPr>
        <w:pStyle w:val="9"/>
        <w:spacing w:before="0" w:after="0"/>
        <w:rPr>
          <w:rFonts w:hint="eastAsia" w:ascii="宋体" w:hAnsi="宋体" w:eastAsia="宋体" w:cs="宋体"/>
          <w:b/>
          <w:bCs/>
          <w:sz w:val="22"/>
          <w:szCs w:val="22"/>
        </w:rPr>
      </w:pPr>
      <w:bookmarkStart w:id="23" w:name="_Toc18662"/>
      <w:bookmarkStart w:id="24" w:name="_Toc157410882"/>
      <w:r>
        <w:rPr>
          <w:rFonts w:hint="eastAsia" w:ascii="宋体" w:hAnsi="宋体" w:eastAsia="宋体" w:cs="宋体"/>
          <w:b/>
          <w:bCs/>
          <w:sz w:val="22"/>
          <w:szCs w:val="22"/>
        </w:rPr>
        <w:t>一、说明</w:t>
      </w:r>
      <w:bookmarkEnd w:id="23"/>
    </w:p>
    <w:p w14:paraId="3600A6D5">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1、本次采购工作是按照《中华人民共和国政府采购法》、《政府采购货物和服务招标投标管理办法》、《政府采购竞争性磋商采购方式管理暂行办法》和《浙江省政府采购项目电子交易管理暂行办法》及相关法律规章组织和实施。</w:t>
      </w:r>
    </w:p>
    <w:p w14:paraId="3EECE7EA">
      <w:pPr>
        <w:adjustRightInd w:val="0"/>
        <w:spacing w:line="360" w:lineRule="auto"/>
        <w:ind w:firstLine="433" w:firstLineChars="196"/>
        <w:rPr>
          <w:rFonts w:hint="eastAsia" w:ascii="宋体" w:hAnsi="宋体" w:eastAsia="宋体" w:cs="宋体"/>
          <w:b/>
          <w:sz w:val="22"/>
          <w:szCs w:val="22"/>
          <w:u w:val="single"/>
        </w:rPr>
      </w:pPr>
      <w:r>
        <w:rPr>
          <w:rFonts w:hint="eastAsia" w:ascii="宋体" w:hAnsi="宋体" w:eastAsia="宋体" w:cs="宋体"/>
          <w:b/>
          <w:sz w:val="22"/>
          <w:szCs w:val="22"/>
        </w:rPr>
        <w:t>2、本采购项目为</w:t>
      </w:r>
      <w:r>
        <w:rPr>
          <w:rFonts w:hint="eastAsia" w:ascii="宋体" w:hAnsi="宋体" w:eastAsia="宋体" w:cs="宋体"/>
          <w:b/>
          <w:sz w:val="22"/>
          <w:szCs w:val="22"/>
          <w:u w:val="single"/>
          <w:lang w:eastAsia="zh-CN"/>
        </w:rPr>
        <w:t>龙港市第五中学新建教学楼二次装修及智能化工程采购项目</w:t>
      </w:r>
      <w:r>
        <w:rPr>
          <w:rFonts w:hint="eastAsia" w:ascii="宋体" w:hAnsi="宋体" w:eastAsia="宋体" w:cs="宋体"/>
          <w:b/>
          <w:sz w:val="22"/>
          <w:szCs w:val="22"/>
        </w:rPr>
        <w:t>，供应商必须根据自己的</w:t>
      </w:r>
      <w:r>
        <w:rPr>
          <w:rFonts w:hint="eastAsia" w:ascii="宋体" w:hAnsi="宋体" w:eastAsia="宋体" w:cs="宋体"/>
          <w:b/>
          <w:sz w:val="22"/>
          <w:szCs w:val="22"/>
          <w:lang w:eastAsia="zh-CN"/>
        </w:rPr>
        <w:t>商务技术和价格</w:t>
      </w:r>
      <w:r>
        <w:rPr>
          <w:rFonts w:hint="eastAsia" w:ascii="宋体" w:hAnsi="宋体" w:eastAsia="宋体" w:cs="宋体"/>
          <w:b/>
          <w:sz w:val="22"/>
          <w:szCs w:val="22"/>
        </w:rPr>
        <w:t>优势对</w:t>
      </w:r>
      <w:r>
        <w:rPr>
          <w:rFonts w:hint="eastAsia" w:ascii="宋体" w:hAnsi="宋体" w:eastAsia="宋体" w:cs="宋体"/>
          <w:b/>
          <w:sz w:val="22"/>
          <w:szCs w:val="22"/>
          <w:lang w:val="en-US" w:eastAsia="zh-CN"/>
        </w:rPr>
        <w:t>所投标项</w:t>
      </w:r>
      <w:r>
        <w:rPr>
          <w:rFonts w:hint="eastAsia" w:ascii="宋体" w:hAnsi="宋体" w:eastAsia="宋体" w:cs="宋体"/>
          <w:b/>
          <w:sz w:val="22"/>
          <w:szCs w:val="22"/>
        </w:rPr>
        <w:t>的全部内容进行投标，不得只投其中一部分内容，只对部分内容进行报价的供应商将按无效投标处理。</w:t>
      </w:r>
    </w:p>
    <w:p w14:paraId="34AA25CC">
      <w:pPr>
        <w:adjustRightInd w:val="0"/>
        <w:spacing w:line="360" w:lineRule="auto"/>
        <w:ind w:firstLine="431" w:firstLineChars="196"/>
        <w:rPr>
          <w:rFonts w:hint="eastAsia" w:ascii="宋体" w:hAnsi="宋体" w:eastAsia="宋体" w:cs="宋体"/>
          <w:sz w:val="22"/>
          <w:szCs w:val="22"/>
        </w:rPr>
      </w:pPr>
      <w:r>
        <w:rPr>
          <w:rFonts w:hint="eastAsia" w:ascii="宋体" w:hAnsi="宋体" w:eastAsia="宋体" w:cs="宋体"/>
          <w:sz w:val="22"/>
          <w:szCs w:val="22"/>
        </w:rPr>
        <w:t>3、无论投标过程中的作法和结果如何，供应商自行承担投标活动中所发生的全部费用，采购人有权选择中标供应商的供货及服务范围。</w:t>
      </w:r>
    </w:p>
    <w:p w14:paraId="21A67596">
      <w:pPr>
        <w:adjustRightInd w:val="0"/>
        <w:spacing w:line="360" w:lineRule="auto"/>
        <w:ind w:firstLine="431" w:firstLineChars="196"/>
        <w:rPr>
          <w:rFonts w:hint="eastAsia" w:ascii="宋体" w:hAnsi="宋体" w:eastAsia="宋体" w:cs="宋体"/>
          <w:b/>
          <w:sz w:val="22"/>
          <w:szCs w:val="22"/>
        </w:rPr>
      </w:pPr>
      <w:r>
        <w:rPr>
          <w:rFonts w:hint="eastAsia" w:ascii="宋体" w:hAnsi="宋体" w:eastAsia="宋体" w:cs="宋体"/>
          <w:sz w:val="22"/>
          <w:szCs w:val="22"/>
        </w:rPr>
        <w:t>4、▲本次采购采用报价文件与</w:t>
      </w:r>
      <w:r>
        <w:rPr>
          <w:rFonts w:hint="eastAsia" w:ascii="宋体" w:hAnsi="宋体" w:eastAsia="宋体" w:cs="宋体"/>
          <w:sz w:val="22"/>
          <w:szCs w:val="22"/>
          <w:lang w:eastAsia="zh-CN"/>
        </w:rPr>
        <w:t>资格、商务技术</w:t>
      </w:r>
      <w:r>
        <w:rPr>
          <w:rFonts w:hint="eastAsia" w:ascii="宋体" w:hAnsi="宋体" w:eastAsia="宋体" w:cs="宋体"/>
          <w:sz w:val="22"/>
          <w:szCs w:val="22"/>
        </w:rPr>
        <w:t>文件分别评审，评标委员会首先评审供应商</w:t>
      </w:r>
      <w:r>
        <w:rPr>
          <w:rFonts w:hint="eastAsia" w:ascii="宋体" w:hAnsi="宋体" w:eastAsia="宋体" w:cs="宋体"/>
          <w:sz w:val="22"/>
          <w:szCs w:val="22"/>
          <w:lang w:eastAsia="zh-CN"/>
        </w:rPr>
        <w:t>资格、商务技术</w:t>
      </w:r>
      <w:r>
        <w:rPr>
          <w:rFonts w:hint="eastAsia" w:ascii="宋体" w:hAnsi="宋体" w:eastAsia="宋体" w:cs="宋体"/>
          <w:sz w:val="22"/>
          <w:szCs w:val="22"/>
        </w:rPr>
        <w:t>文件部分，</w:t>
      </w:r>
      <w:r>
        <w:rPr>
          <w:rFonts w:hint="eastAsia" w:ascii="宋体" w:hAnsi="宋体" w:eastAsia="宋体" w:cs="宋体"/>
          <w:sz w:val="22"/>
          <w:szCs w:val="22"/>
          <w:lang w:eastAsia="zh-CN"/>
        </w:rPr>
        <w:t>资格、商务技术</w:t>
      </w:r>
      <w:r>
        <w:rPr>
          <w:rFonts w:hint="eastAsia" w:ascii="宋体" w:hAnsi="宋体" w:eastAsia="宋体" w:cs="宋体"/>
          <w:sz w:val="22"/>
          <w:szCs w:val="22"/>
        </w:rPr>
        <w:t>文件无效的供应商不进入报价评审。</w:t>
      </w:r>
      <w:r>
        <w:rPr>
          <w:rFonts w:hint="eastAsia" w:ascii="宋体" w:hAnsi="宋体" w:eastAsia="宋体" w:cs="宋体"/>
          <w:b/>
          <w:sz w:val="22"/>
          <w:szCs w:val="22"/>
          <w:u w:val="single"/>
        </w:rPr>
        <w:t>要求供应商</w:t>
      </w:r>
      <w:r>
        <w:rPr>
          <w:rFonts w:hint="eastAsia" w:ascii="宋体" w:hAnsi="宋体" w:eastAsia="宋体" w:cs="宋体"/>
          <w:b/>
          <w:sz w:val="22"/>
          <w:szCs w:val="22"/>
          <w:u w:val="single"/>
          <w:lang w:eastAsia="zh-CN"/>
        </w:rPr>
        <w:t>资格、商务技术</w:t>
      </w:r>
      <w:r>
        <w:rPr>
          <w:rFonts w:hint="eastAsia" w:ascii="宋体" w:hAnsi="宋体" w:eastAsia="宋体" w:cs="宋体"/>
          <w:b/>
          <w:sz w:val="22"/>
          <w:szCs w:val="22"/>
          <w:u w:val="single"/>
        </w:rPr>
        <w:t>的</w:t>
      </w:r>
      <w:r>
        <w:rPr>
          <w:rFonts w:hint="eastAsia" w:ascii="宋体" w:hAnsi="宋体" w:eastAsia="宋体" w:cs="宋体"/>
          <w:b/>
          <w:sz w:val="22"/>
          <w:szCs w:val="22"/>
          <w:u w:val="single"/>
          <w:lang w:eastAsia="zh-CN"/>
        </w:rPr>
        <w:t>投标响应文件</w:t>
      </w:r>
      <w:r>
        <w:rPr>
          <w:rFonts w:hint="eastAsia" w:ascii="宋体" w:hAnsi="宋体" w:eastAsia="宋体" w:cs="宋体"/>
          <w:b/>
          <w:sz w:val="22"/>
          <w:szCs w:val="22"/>
          <w:u w:val="single"/>
        </w:rPr>
        <w:t>中不得含报价，否则做无效投标处理。</w:t>
      </w:r>
    </w:p>
    <w:p w14:paraId="59C43154">
      <w:pPr>
        <w:adjustRightInd w:val="0"/>
        <w:spacing w:line="360" w:lineRule="auto"/>
        <w:ind w:firstLine="431" w:firstLineChars="196"/>
        <w:rPr>
          <w:rFonts w:hint="eastAsia" w:ascii="宋体" w:hAnsi="宋体" w:eastAsia="宋体" w:cs="宋体"/>
          <w:b/>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w:t>
      </w:r>
      <w:r>
        <w:rPr>
          <w:rFonts w:hint="eastAsia" w:ascii="宋体" w:hAnsi="宋体" w:eastAsia="宋体" w:cs="宋体"/>
          <w:b/>
          <w:bCs/>
          <w:sz w:val="22"/>
          <w:szCs w:val="22"/>
          <w:u w:val="single"/>
        </w:rPr>
        <w:t>▲本项目投标报价为</w:t>
      </w:r>
      <w:r>
        <w:rPr>
          <w:rFonts w:hint="eastAsia" w:ascii="宋体" w:hAnsi="宋体" w:eastAsia="宋体" w:cs="宋体"/>
          <w:b/>
          <w:bCs/>
          <w:sz w:val="22"/>
          <w:szCs w:val="22"/>
          <w:u w:val="single"/>
          <w:lang w:val="en-US" w:eastAsia="zh-CN"/>
        </w:rPr>
        <w:t>包干</w:t>
      </w:r>
      <w:r>
        <w:rPr>
          <w:rFonts w:hint="eastAsia" w:ascii="宋体" w:hAnsi="宋体" w:eastAsia="宋体" w:cs="宋体"/>
          <w:b/>
          <w:bCs/>
          <w:sz w:val="22"/>
          <w:szCs w:val="22"/>
          <w:u w:val="single"/>
        </w:rPr>
        <w:t>。</w:t>
      </w:r>
      <w:r>
        <w:rPr>
          <w:rFonts w:hint="eastAsia" w:ascii="宋体" w:hAnsi="宋体" w:eastAsia="宋体" w:cs="宋体"/>
          <w:b/>
          <w:bCs/>
          <w:sz w:val="22"/>
          <w:szCs w:val="22"/>
          <w:u w:val="single"/>
          <w:lang w:eastAsia="zh-CN"/>
        </w:rPr>
        <w:t>包含</w:t>
      </w:r>
      <w:r>
        <w:rPr>
          <w:rFonts w:hint="eastAsia" w:ascii="宋体" w:hAnsi="宋体" w:eastAsia="宋体" w:cs="宋体"/>
          <w:b/>
          <w:bCs/>
          <w:sz w:val="22"/>
          <w:szCs w:val="22"/>
          <w:u w:val="single"/>
        </w:rPr>
        <w:t>全部工作所需的一切费用，以及中标后中标单位因本项目合同履行产生的税金、人工、管理、合理利润等一切成本及费用。报价如有遗漏，采购人不再另行支付。</w:t>
      </w:r>
      <w:r>
        <w:rPr>
          <w:rFonts w:hint="eastAsia" w:ascii="宋体" w:hAnsi="宋体" w:eastAsia="宋体" w:cs="宋体"/>
          <w:b/>
          <w:sz w:val="22"/>
          <w:szCs w:val="22"/>
        </w:rPr>
        <w:t>供应商须自行现场勘察，以求得准确的报价依据。供应商须自行考虑投标报价的风险。</w:t>
      </w:r>
    </w:p>
    <w:p w14:paraId="33BCB00C">
      <w:pPr>
        <w:adjustRightInd w:val="0"/>
        <w:spacing w:line="360" w:lineRule="auto"/>
        <w:ind w:firstLine="433" w:firstLineChars="196"/>
        <w:rPr>
          <w:rFonts w:hint="eastAsia" w:ascii="宋体" w:hAnsi="宋体" w:eastAsia="宋体" w:cs="宋体"/>
          <w:b/>
          <w:bCs/>
          <w:color w:val="000000"/>
          <w:sz w:val="22"/>
          <w:szCs w:val="22"/>
          <w:lang w:val="zh-CN"/>
        </w:rPr>
      </w:pPr>
      <w:r>
        <w:rPr>
          <w:rFonts w:hint="eastAsia" w:ascii="宋体" w:hAnsi="宋体" w:eastAsia="宋体" w:cs="宋体"/>
          <w:b/>
          <w:bCs/>
          <w:color w:val="000000"/>
          <w:sz w:val="22"/>
          <w:szCs w:val="22"/>
          <w:lang w:val="en-US" w:eastAsia="zh-CN"/>
        </w:rPr>
        <w:t>6</w:t>
      </w: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lang w:val="zh-CN"/>
        </w:rPr>
        <w:t>供应商资格的审查和认定</w:t>
      </w:r>
    </w:p>
    <w:p w14:paraId="69A71550">
      <w:pPr>
        <w:adjustRightInd w:val="0"/>
        <w:spacing w:line="360" w:lineRule="auto"/>
        <w:ind w:firstLine="433" w:firstLineChars="196"/>
        <w:rPr>
          <w:rFonts w:hint="default" w:ascii="宋体" w:hAnsi="宋体" w:eastAsia="宋体" w:cs="宋体"/>
          <w:b/>
          <w:color w:val="000000"/>
          <w:sz w:val="22"/>
          <w:szCs w:val="22"/>
          <w:lang w:val="en-US" w:eastAsia="zh-CN"/>
        </w:rPr>
      </w:pPr>
      <w:r>
        <w:rPr>
          <w:rFonts w:hint="eastAsia" w:ascii="宋体" w:hAnsi="宋体" w:eastAsia="宋体" w:cs="宋体"/>
          <w:b/>
          <w:color w:val="000000"/>
          <w:sz w:val="22"/>
          <w:szCs w:val="22"/>
          <w:lang w:val="en-US" w:eastAsia="zh-CN"/>
        </w:rPr>
        <w:t>见资格要求</w:t>
      </w:r>
    </w:p>
    <w:p w14:paraId="3BD1F4B9">
      <w:pPr>
        <w:adjustRightInd w:val="0"/>
        <w:spacing w:line="360" w:lineRule="auto"/>
        <w:ind w:firstLine="433" w:firstLineChars="196"/>
        <w:rPr>
          <w:rFonts w:hint="eastAsia" w:ascii="宋体" w:hAnsi="宋体" w:eastAsia="宋体" w:cs="宋体"/>
          <w:b/>
          <w:color w:val="000000"/>
          <w:sz w:val="22"/>
          <w:szCs w:val="22"/>
          <w:lang w:val="zh-CN"/>
        </w:rPr>
      </w:pPr>
      <w:r>
        <w:rPr>
          <w:rFonts w:hint="eastAsia" w:ascii="宋体" w:hAnsi="宋体" w:eastAsia="宋体" w:cs="宋体"/>
          <w:b/>
          <w:color w:val="000000"/>
          <w:sz w:val="22"/>
          <w:szCs w:val="22"/>
          <w:lang w:val="en-US" w:eastAsia="zh-CN"/>
        </w:rPr>
        <w:t>7</w:t>
      </w:r>
      <w:r>
        <w:rPr>
          <w:rFonts w:hint="eastAsia" w:ascii="宋体" w:hAnsi="宋体" w:eastAsia="宋体" w:cs="宋体"/>
          <w:b/>
          <w:color w:val="000000"/>
          <w:sz w:val="22"/>
          <w:szCs w:val="22"/>
        </w:rPr>
        <w:t>、</w:t>
      </w:r>
      <w:r>
        <w:rPr>
          <w:rFonts w:hint="eastAsia" w:ascii="宋体" w:hAnsi="宋体" w:eastAsia="宋体" w:cs="宋体"/>
          <w:b/>
          <w:color w:val="000000"/>
          <w:sz w:val="22"/>
          <w:szCs w:val="22"/>
          <w:u w:val="single"/>
        </w:rPr>
        <w:t>供应商须自费到采购人处现场踏勘，以了解采购人需求，取得准确的报价依据。</w:t>
      </w:r>
    </w:p>
    <w:p w14:paraId="7D63998B">
      <w:pPr>
        <w:spacing w:line="360" w:lineRule="auto"/>
        <w:ind w:firstLine="434"/>
        <w:rPr>
          <w:rFonts w:hint="eastAsia" w:ascii="宋体" w:hAnsi="宋体" w:eastAsia="宋体" w:cs="宋体"/>
          <w:b/>
          <w:sz w:val="22"/>
          <w:szCs w:val="22"/>
        </w:rPr>
      </w:pPr>
      <w:r>
        <w:rPr>
          <w:rFonts w:hint="eastAsia" w:ascii="宋体" w:hAnsi="宋体" w:eastAsia="宋体" w:cs="宋体"/>
          <w:b/>
          <w:sz w:val="22"/>
          <w:szCs w:val="22"/>
          <w:lang w:val="en-US" w:eastAsia="zh-CN"/>
        </w:rPr>
        <w:t>8</w:t>
      </w:r>
      <w:r>
        <w:rPr>
          <w:rFonts w:hint="eastAsia" w:ascii="宋体" w:hAnsi="宋体" w:eastAsia="宋体" w:cs="宋体"/>
          <w:b/>
          <w:sz w:val="22"/>
          <w:szCs w:val="22"/>
        </w:rPr>
        <w:t>、本项目采购预算</w:t>
      </w:r>
      <w:r>
        <w:rPr>
          <w:rFonts w:hint="eastAsia" w:ascii="宋体" w:hAnsi="宋体" w:eastAsia="宋体" w:cs="宋体"/>
          <w:b/>
          <w:color w:val="FF0000"/>
          <w:sz w:val="22"/>
          <w:szCs w:val="22"/>
          <w:u w:val="single"/>
          <w:lang w:val="en-US" w:eastAsia="zh-CN"/>
        </w:rPr>
        <w:t xml:space="preserve"> 2400027元</w:t>
      </w:r>
      <w:r>
        <w:rPr>
          <w:rFonts w:hint="eastAsia" w:ascii="宋体" w:hAnsi="宋体" w:eastAsia="宋体" w:cs="宋体"/>
          <w:b/>
          <w:color w:val="FF0000"/>
          <w:sz w:val="22"/>
          <w:szCs w:val="22"/>
          <w:u w:val="single"/>
        </w:rPr>
        <w:t>。</w:t>
      </w:r>
      <w:r>
        <w:rPr>
          <w:rFonts w:hint="eastAsia" w:ascii="宋体" w:hAnsi="宋体" w:eastAsia="宋体" w:cs="宋体"/>
          <w:b/>
          <w:sz w:val="22"/>
          <w:szCs w:val="22"/>
        </w:rPr>
        <w:t>某些（个）供应商投标报价超出预算的，则拒绝接受其该投标报价，该供应商投标按无效投标处理。</w:t>
      </w:r>
    </w:p>
    <w:p w14:paraId="6491DFAC">
      <w:pPr>
        <w:autoSpaceDE w:val="0"/>
        <w:autoSpaceDN w:val="0"/>
        <w:adjustRightInd w:val="0"/>
        <w:snapToGrid w:val="0"/>
        <w:spacing w:line="360" w:lineRule="auto"/>
        <w:ind w:firstLine="433" w:firstLineChars="196"/>
        <w:textAlignment w:val="bottom"/>
        <w:rPr>
          <w:rFonts w:hint="eastAsia" w:ascii="宋体" w:hAnsi="宋体" w:eastAsia="宋体" w:cs="宋体"/>
          <w:b/>
          <w:sz w:val="22"/>
          <w:szCs w:val="22"/>
          <w:u w:val="single"/>
        </w:rPr>
      </w:pPr>
      <w:r>
        <w:rPr>
          <w:rFonts w:hint="eastAsia" w:ascii="宋体" w:hAnsi="宋体" w:eastAsia="宋体" w:cs="宋体"/>
          <w:b/>
          <w:sz w:val="22"/>
          <w:szCs w:val="22"/>
          <w:u w:val="single"/>
          <w:lang w:val="en-US" w:eastAsia="zh-CN"/>
        </w:rPr>
        <w:t>9</w:t>
      </w:r>
      <w:r>
        <w:rPr>
          <w:rFonts w:hint="eastAsia" w:ascii="宋体" w:hAnsi="宋体" w:eastAsia="宋体" w:cs="宋体"/>
          <w:b/>
          <w:sz w:val="22"/>
          <w:szCs w:val="22"/>
          <w:u w:val="single"/>
        </w:rPr>
        <w:t>、供应商如果报名后不来参与投标要在投标截止前两个工作日给予书面告知。</w:t>
      </w:r>
    </w:p>
    <w:p w14:paraId="7EFA7874">
      <w:pPr>
        <w:autoSpaceDE w:val="0"/>
        <w:autoSpaceDN w:val="0"/>
        <w:adjustRightInd w:val="0"/>
        <w:snapToGrid w:val="0"/>
        <w:spacing w:line="360" w:lineRule="auto"/>
        <w:ind w:firstLine="433" w:firstLineChars="196"/>
        <w:textAlignment w:val="bottom"/>
        <w:rPr>
          <w:rFonts w:hint="eastAsia" w:ascii="宋体" w:hAnsi="宋体" w:eastAsia="宋体" w:cs="宋体"/>
          <w:b/>
          <w:sz w:val="22"/>
          <w:szCs w:val="22"/>
          <w:u w:val="single"/>
        </w:rPr>
      </w:pPr>
      <w:r>
        <w:rPr>
          <w:rFonts w:hint="eastAsia" w:ascii="宋体" w:hAnsi="宋体" w:eastAsia="宋体" w:cs="宋体"/>
          <w:b/>
          <w:sz w:val="22"/>
          <w:szCs w:val="22"/>
          <w:u w:val="single"/>
          <w:lang w:val="en-US" w:eastAsia="zh-CN"/>
        </w:rPr>
        <w:t>10</w:t>
      </w:r>
      <w:r>
        <w:rPr>
          <w:rFonts w:hint="eastAsia" w:ascii="宋体" w:hAnsi="宋体" w:eastAsia="宋体" w:cs="宋体"/>
          <w:b/>
          <w:sz w:val="22"/>
          <w:szCs w:val="22"/>
          <w:u w:val="single"/>
        </w:rPr>
        <w:t>、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w:t>
      </w:r>
      <w:r>
        <w:rPr>
          <w:rFonts w:hint="eastAsia" w:ascii="宋体" w:hAnsi="宋体" w:eastAsia="宋体" w:cs="宋体"/>
          <w:b/>
          <w:sz w:val="22"/>
          <w:szCs w:val="22"/>
          <w:u w:val="single"/>
          <w:lang w:eastAsia="zh-CN"/>
        </w:rPr>
        <w:t>投标响应文件</w:t>
      </w:r>
      <w:r>
        <w:rPr>
          <w:rFonts w:hint="eastAsia" w:ascii="宋体" w:hAnsi="宋体" w:eastAsia="宋体" w:cs="宋体"/>
          <w:b/>
          <w:sz w:val="22"/>
          <w:szCs w:val="22"/>
          <w:u w:val="single"/>
        </w:rPr>
        <w:t>（响应文件）按无效标处理。</w:t>
      </w:r>
    </w:p>
    <w:p w14:paraId="2CE46F44">
      <w:pPr>
        <w:autoSpaceDE w:val="0"/>
        <w:autoSpaceDN w:val="0"/>
        <w:adjustRightInd w:val="0"/>
        <w:snapToGrid w:val="0"/>
        <w:spacing w:line="360" w:lineRule="auto"/>
        <w:ind w:firstLine="433" w:firstLineChars="196"/>
        <w:textAlignment w:val="bottom"/>
        <w:rPr>
          <w:rFonts w:hint="eastAsia" w:ascii="宋体" w:hAnsi="宋体" w:eastAsia="宋体" w:cs="宋体"/>
          <w:b/>
          <w:sz w:val="22"/>
          <w:szCs w:val="22"/>
          <w:u w:val="single"/>
        </w:rPr>
      </w:pPr>
      <w:r>
        <w:rPr>
          <w:rFonts w:hint="eastAsia" w:ascii="宋体" w:hAnsi="宋体" w:eastAsia="宋体" w:cs="宋体"/>
          <w:b/>
          <w:sz w:val="22"/>
          <w:szCs w:val="22"/>
          <w:u w:val="single"/>
          <w:lang w:val="en-US" w:eastAsia="zh-CN"/>
        </w:rPr>
        <w:t>11</w:t>
      </w:r>
      <w:r>
        <w:rPr>
          <w:rFonts w:hint="eastAsia" w:ascii="宋体" w:hAnsi="宋体" w:eastAsia="宋体" w:cs="宋体"/>
          <w:b/>
          <w:sz w:val="22"/>
          <w:szCs w:val="22"/>
          <w:u w:val="single"/>
        </w:rPr>
        <w:t>、本项目</w:t>
      </w:r>
      <w:r>
        <w:rPr>
          <w:rFonts w:hint="eastAsia" w:ascii="宋体" w:hAnsi="宋体" w:eastAsia="宋体" w:cs="宋体"/>
          <w:b/>
          <w:sz w:val="22"/>
          <w:szCs w:val="22"/>
          <w:u w:val="single"/>
          <w:lang w:val="en-US" w:eastAsia="zh-CN"/>
        </w:rPr>
        <w:t>采购</w:t>
      </w:r>
      <w:r>
        <w:rPr>
          <w:rFonts w:hint="eastAsia" w:ascii="宋体" w:hAnsi="宋体" w:eastAsia="宋体" w:cs="宋体"/>
          <w:b/>
          <w:sz w:val="22"/>
          <w:szCs w:val="22"/>
          <w:u w:val="single"/>
        </w:rPr>
        <w:t>文件如有补充、更正均见浙江政府采购网（http://zfcg.czt.zj.gov.cn/）。供应商须在投标截止前自行查看是否有补充、更正文件，并按补充、更正文件要求投标，否则责任自负。</w:t>
      </w:r>
    </w:p>
    <w:p w14:paraId="3C64EFF9">
      <w:pPr>
        <w:autoSpaceDE w:val="0"/>
        <w:autoSpaceDN w:val="0"/>
        <w:adjustRightInd w:val="0"/>
        <w:snapToGrid w:val="0"/>
        <w:spacing w:line="360" w:lineRule="auto"/>
        <w:ind w:firstLine="433" w:firstLineChars="196"/>
        <w:textAlignment w:val="bottom"/>
        <w:rPr>
          <w:rFonts w:hint="eastAsia" w:ascii="宋体" w:hAnsi="宋体" w:eastAsia="宋体" w:cs="宋体"/>
          <w:b/>
          <w:sz w:val="22"/>
          <w:szCs w:val="22"/>
          <w:u w:val="single"/>
          <w:lang w:val="en-US" w:eastAsia="zh-CN"/>
        </w:rPr>
      </w:pPr>
      <w:r>
        <w:rPr>
          <w:rFonts w:hint="eastAsia" w:ascii="宋体" w:hAnsi="宋体" w:eastAsia="宋体" w:cs="宋体"/>
          <w:b/>
          <w:sz w:val="22"/>
          <w:szCs w:val="22"/>
          <w:u w:val="single"/>
          <w:lang w:val="en-US" w:eastAsia="zh-CN"/>
        </w:rPr>
        <w:t>12、根据《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3F38F05">
      <w:pPr>
        <w:pStyle w:val="9"/>
        <w:spacing w:before="0" w:after="0"/>
        <w:rPr>
          <w:rFonts w:hint="eastAsia" w:ascii="宋体" w:hAnsi="宋体" w:eastAsia="宋体" w:cs="宋体"/>
          <w:b/>
          <w:bCs/>
          <w:sz w:val="22"/>
          <w:szCs w:val="22"/>
        </w:rPr>
      </w:pPr>
      <w:bookmarkStart w:id="25" w:name="_Toc13814"/>
      <w:r>
        <w:rPr>
          <w:rFonts w:hint="eastAsia" w:ascii="宋体" w:hAnsi="宋体" w:eastAsia="宋体" w:cs="宋体"/>
          <w:b/>
          <w:bCs/>
          <w:sz w:val="22"/>
          <w:szCs w:val="22"/>
        </w:rPr>
        <w:t>二、供应商资格要求</w:t>
      </w:r>
      <w:bookmarkEnd w:id="25"/>
    </w:p>
    <w:p w14:paraId="5A621942">
      <w:pPr>
        <w:pStyle w:val="9"/>
        <w:spacing w:before="0" w:after="0"/>
        <w:ind w:firstLine="440" w:firstLineChars="200"/>
        <w:rPr>
          <w:rFonts w:hint="eastAsia" w:ascii="宋体" w:hAnsi="宋体" w:eastAsia="宋体" w:cs="宋体"/>
          <w:sz w:val="22"/>
          <w:szCs w:val="22"/>
        </w:rPr>
      </w:pPr>
      <w:bookmarkStart w:id="26" w:name="_Toc7950"/>
      <w:r>
        <w:rPr>
          <w:rFonts w:hint="eastAsia" w:ascii="宋体" w:hAnsi="宋体" w:eastAsia="宋体" w:cs="宋体"/>
          <w:sz w:val="22"/>
          <w:szCs w:val="22"/>
        </w:rPr>
        <w:t>按招标公告要求</w:t>
      </w:r>
      <w:bookmarkEnd w:id="26"/>
    </w:p>
    <w:p w14:paraId="6678E7B5">
      <w:pPr>
        <w:pStyle w:val="9"/>
        <w:spacing w:before="0" w:after="0"/>
        <w:rPr>
          <w:rFonts w:hint="eastAsia" w:ascii="宋体" w:hAnsi="宋体" w:eastAsia="宋体" w:cs="宋体"/>
          <w:b/>
          <w:bCs/>
          <w:sz w:val="22"/>
          <w:szCs w:val="22"/>
        </w:rPr>
      </w:pPr>
      <w:bookmarkStart w:id="27" w:name="_Toc28065"/>
      <w:r>
        <w:rPr>
          <w:rFonts w:hint="eastAsia" w:ascii="宋体" w:hAnsi="宋体" w:eastAsia="宋体" w:cs="宋体"/>
          <w:b/>
          <w:bCs/>
          <w:sz w:val="22"/>
          <w:szCs w:val="22"/>
        </w:rPr>
        <w:t>三、</w:t>
      </w:r>
      <w:r>
        <w:rPr>
          <w:rFonts w:hint="eastAsia" w:ascii="宋体" w:hAnsi="宋体" w:eastAsia="宋体" w:cs="宋体"/>
          <w:b/>
          <w:bCs/>
          <w:sz w:val="22"/>
          <w:szCs w:val="22"/>
          <w:lang w:val="en-US" w:eastAsia="zh-CN"/>
        </w:rPr>
        <w:t>采购</w:t>
      </w:r>
      <w:r>
        <w:rPr>
          <w:rFonts w:hint="eastAsia" w:ascii="宋体" w:hAnsi="宋体" w:eastAsia="宋体" w:cs="宋体"/>
          <w:b/>
          <w:bCs/>
          <w:sz w:val="22"/>
          <w:szCs w:val="22"/>
        </w:rPr>
        <w:t>文件</w:t>
      </w:r>
      <w:bookmarkEnd w:id="27"/>
    </w:p>
    <w:p w14:paraId="536E9E2C">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eastAsia="宋体" w:cs="宋体"/>
          <w:sz w:val="22"/>
          <w:szCs w:val="22"/>
          <w:lang w:val="en-US" w:eastAsia="zh-CN"/>
        </w:rPr>
        <w:t>采购</w:t>
      </w:r>
      <w:r>
        <w:rPr>
          <w:rFonts w:hint="eastAsia" w:ascii="宋体" w:hAnsi="宋体" w:eastAsia="宋体" w:cs="宋体"/>
          <w:sz w:val="22"/>
          <w:szCs w:val="22"/>
        </w:rPr>
        <w:t>文件</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招标文件</w:t>
      </w:r>
      <w:r>
        <w:rPr>
          <w:rFonts w:hint="eastAsia" w:ascii="宋体" w:hAnsi="宋体" w:eastAsia="宋体" w:cs="宋体"/>
          <w:sz w:val="22"/>
          <w:szCs w:val="22"/>
          <w:lang w:eastAsia="zh-CN"/>
        </w:rPr>
        <w:t>）</w:t>
      </w:r>
    </w:p>
    <w:p w14:paraId="4D3B186F">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1.1</w:t>
      </w:r>
      <w:r>
        <w:rPr>
          <w:rFonts w:hint="eastAsia" w:ascii="宋体" w:hAnsi="宋体" w:eastAsia="宋体" w:cs="宋体"/>
          <w:sz w:val="22"/>
          <w:szCs w:val="22"/>
          <w:lang w:val="en-US" w:eastAsia="zh-CN"/>
        </w:rPr>
        <w:t>采购</w:t>
      </w:r>
      <w:r>
        <w:rPr>
          <w:rFonts w:hint="eastAsia" w:ascii="宋体" w:hAnsi="宋体" w:eastAsia="宋体" w:cs="宋体"/>
          <w:sz w:val="22"/>
          <w:szCs w:val="22"/>
        </w:rPr>
        <w:t>文件发放和获取</w:t>
      </w:r>
    </w:p>
    <w:p w14:paraId="4DCB8581">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1.1.1、本项目</w:t>
      </w:r>
      <w:r>
        <w:rPr>
          <w:rFonts w:hint="eastAsia" w:ascii="宋体" w:hAnsi="宋体" w:eastAsia="宋体" w:cs="宋体"/>
          <w:sz w:val="22"/>
          <w:szCs w:val="22"/>
          <w:lang w:val="en-US" w:eastAsia="zh-CN"/>
        </w:rPr>
        <w:t>采购</w:t>
      </w:r>
      <w:r>
        <w:rPr>
          <w:rFonts w:hint="eastAsia" w:ascii="宋体" w:hAnsi="宋体" w:eastAsia="宋体" w:cs="宋体"/>
          <w:sz w:val="22"/>
          <w:szCs w:val="22"/>
        </w:rPr>
        <w:t>文件实行“政府采购云平台”在线获取，不提供</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文件纸质版。供应商获取</w:t>
      </w:r>
      <w:r>
        <w:rPr>
          <w:rFonts w:hint="eastAsia" w:ascii="宋体" w:hAnsi="宋体" w:eastAsia="宋体" w:cs="宋体"/>
          <w:sz w:val="22"/>
          <w:szCs w:val="22"/>
          <w:lang w:val="en-US" w:eastAsia="zh-CN"/>
        </w:rPr>
        <w:t>采购</w:t>
      </w:r>
      <w:r>
        <w:rPr>
          <w:rFonts w:hint="eastAsia" w:ascii="宋体" w:hAnsi="宋体" w:eastAsia="宋体" w:cs="宋体"/>
          <w:sz w:val="22"/>
          <w:szCs w:val="22"/>
        </w:rPr>
        <w:t>文件前应先完成“政府采购云平台”的账号注册；</w:t>
      </w:r>
    </w:p>
    <w:p w14:paraId="47A325F2">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1.1.2、地点：</w:t>
      </w:r>
      <w:r>
        <w:rPr>
          <w:rFonts w:hint="eastAsia" w:ascii="宋体" w:hAnsi="宋体" w:eastAsia="宋体" w:cs="宋体"/>
          <w:sz w:val="22"/>
          <w:szCs w:val="22"/>
          <w:lang w:eastAsia="zh-CN"/>
        </w:rPr>
        <w:t>浙江政府采购网</w:t>
      </w:r>
      <w:r>
        <w:rPr>
          <w:rFonts w:hint="eastAsia" w:ascii="宋体" w:hAnsi="宋体" w:eastAsia="宋体" w:cs="宋体"/>
          <w:sz w:val="22"/>
          <w:szCs w:val="22"/>
        </w:rPr>
        <w:t>（http://zfcg.czt.zj.gov.cn）；</w:t>
      </w:r>
    </w:p>
    <w:p w14:paraId="1953B036">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1.1.3、方式：潜在供应商登陆政采云平台，在线申请获取</w:t>
      </w:r>
      <w:r>
        <w:rPr>
          <w:rFonts w:hint="eastAsia" w:ascii="宋体" w:hAnsi="宋体" w:eastAsia="宋体" w:cs="宋体"/>
          <w:sz w:val="22"/>
          <w:szCs w:val="22"/>
          <w:lang w:val="en-US" w:eastAsia="zh-CN"/>
        </w:rPr>
        <w:t>采购</w:t>
      </w:r>
      <w:r>
        <w:rPr>
          <w:rFonts w:hint="eastAsia" w:ascii="宋体" w:hAnsi="宋体" w:eastAsia="宋体" w:cs="宋体"/>
          <w:sz w:val="22"/>
          <w:szCs w:val="22"/>
        </w:rPr>
        <w:t>文件（进入“项目采购”应用，在获取</w:t>
      </w:r>
      <w:r>
        <w:rPr>
          <w:rFonts w:hint="eastAsia" w:ascii="宋体" w:hAnsi="宋体" w:eastAsia="宋体" w:cs="宋体"/>
          <w:sz w:val="22"/>
          <w:szCs w:val="22"/>
          <w:lang w:val="en-US" w:eastAsia="zh-CN"/>
        </w:rPr>
        <w:t>采购</w:t>
      </w:r>
      <w:r>
        <w:rPr>
          <w:rFonts w:hint="eastAsia" w:ascii="宋体" w:hAnsi="宋体" w:eastAsia="宋体" w:cs="宋体"/>
          <w:sz w:val="22"/>
          <w:szCs w:val="22"/>
        </w:rPr>
        <w:t>文件菜单中选择项目，申请获取</w:t>
      </w:r>
      <w:r>
        <w:rPr>
          <w:rFonts w:hint="eastAsia" w:ascii="宋体" w:hAnsi="宋体" w:eastAsia="宋体" w:cs="宋体"/>
          <w:sz w:val="22"/>
          <w:szCs w:val="22"/>
          <w:lang w:val="en-US" w:eastAsia="zh-CN"/>
        </w:rPr>
        <w:t>采购</w:t>
      </w:r>
      <w:r>
        <w:rPr>
          <w:rFonts w:hint="eastAsia" w:ascii="宋体" w:hAnsi="宋体" w:eastAsia="宋体" w:cs="宋体"/>
          <w:sz w:val="22"/>
          <w:szCs w:val="22"/>
        </w:rPr>
        <w:t>文件，本项目</w:t>
      </w:r>
      <w:r>
        <w:rPr>
          <w:rFonts w:hint="eastAsia" w:ascii="宋体" w:hAnsi="宋体" w:eastAsia="宋体" w:cs="宋体"/>
          <w:sz w:val="22"/>
          <w:szCs w:val="22"/>
          <w:lang w:val="en-US" w:eastAsia="zh-CN"/>
        </w:rPr>
        <w:t>采购</w:t>
      </w:r>
      <w:r>
        <w:rPr>
          <w:rFonts w:hint="eastAsia" w:ascii="宋体" w:hAnsi="宋体" w:eastAsia="宋体" w:cs="宋体"/>
          <w:sz w:val="22"/>
          <w:szCs w:val="22"/>
        </w:rPr>
        <w:t>文件不收取工本费；仅需浏览</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文件的供应商可点击“游客，浏览</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文件”直接下载</w:t>
      </w:r>
      <w:r>
        <w:rPr>
          <w:rFonts w:hint="eastAsia" w:ascii="宋体" w:hAnsi="宋体" w:eastAsia="宋体" w:cs="宋体"/>
          <w:sz w:val="22"/>
          <w:szCs w:val="22"/>
          <w:lang w:val="en-US" w:eastAsia="zh-CN"/>
        </w:rPr>
        <w:t>采购</w:t>
      </w:r>
      <w:r>
        <w:rPr>
          <w:rFonts w:hint="eastAsia" w:ascii="宋体" w:hAnsi="宋体" w:eastAsia="宋体" w:cs="宋体"/>
          <w:sz w:val="22"/>
          <w:szCs w:val="22"/>
        </w:rPr>
        <w:t>文件浏览）；</w:t>
      </w:r>
    </w:p>
    <w:p w14:paraId="554F1F25">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1.1.4、供应商获取</w:t>
      </w:r>
      <w:r>
        <w:rPr>
          <w:rFonts w:hint="eastAsia" w:ascii="宋体" w:hAnsi="宋体" w:eastAsia="宋体" w:cs="宋体"/>
          <w:sz w:val="22"/>
          <w:szCs w:val="22"/>
          <w:lang w:val="en-US" w:eastAsia="zh-CN"/>
        </w:rPr>
        <w:t>采购</w:t>
      </w:r>
      <w:r>
        <w:rPr>
          <w:rFonts w:hint="eastAsia" w:ascii="宋体" w:hAnsi="宋体" w:eastAsia="宋体" w:cs="宋体"/>
          <w:sz w:val="22"/>
          <w:szCs w:val="22"/>
        </w:rPr>
        <w:t>文件时须提交的文件资料：无；</w:t>
      </w:r>
    </w:p>
    <w:p w14:paraId="2F99EEF1">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1.1.5、提示：招标公告附件内的</w:t>
      </w:r>
      <w:r>
        <w:rPr>
          <w:rFonts w:hint="eastAsia" w:ascii="宋体" w:hAnsi="宋体" w:eastAsia="宋体" w:cs="宋体"/>
          <w:sz w:val="22"/>
          <w:szCs w:val="22"/>
          <w:lang w:val="en-US" w:eastAsia="zh-CN"/>
        </w:rPr>
        <w:t>采购</w:t>
      </w:r>
      <w:r>
        <w:rPr>
          <w:rFonts w:hint="eastAsia" w:ascii="宋体" w:hAnsi="宋体" w:eastAsia="宋体" w:cs="宋体"/>
          <w:sz w:val="22"/>
          <w:szCs w:val="22"/>
        </w:rPr>
        <w:t>文件（或采购需求）仅供阅览使用，供应商只有在“政府采购云平台”完成获取</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文件申请并下载了</w:t>
      </w:r>
      <w:r>
        <w:rPr>
          <w:rFonts w:hint="eastAsia" w:ascii="宋体" w:hAnsi="宋体" w:eastAsia="宋体" w:cs="宋体"/>
          <w:sz w:val="22"/>
          <w:szCs w:val="22"/>
          <w:lang w:val="en-US" w:eastAsia="zh-CN"/>
        </w:rPr>
        <w:t>采购</w:t>
      </w:r>
      <w:r>
        <w:rPr>
          <w:rFonts w:hint="eastAsia" w:ascii="宋体" w:hAnsi="宋体" w:eastAsia="宋体" w:cs="宋体"/>
          <w:sz w:val="22"/>
          <w:szCs w:val="22"/>
        </w:rPr>
        <w:t>文件后才视作依法获取</w:t>
      </w:r>
      <w:r>
        <w:rPr>
          <w:rFonts w:hint="eastAsia" w:ascii="宋体" w:hAnsi="宋体" w:eastAsia="宋体" w:cs="宋体"/>
          <w:sz w:val="22"/>
          <w:szCs w:val="22"/>
          <w:lang w:val="en-US" w:eastAsia="zh-CN"/>
        </w:rPr>
        <w:t>采购</w:t>
      </w:r>
      <w:r>
        <w:rPr>
          <w:rFonts w:hint="eastAsia" w:ascii="宋体" w:hAnsi="宋体" w:eastAsia="宋体" w:cs="宋体"/>
          <w:sz w:val="22"/>
          <w:szCs w:val="22"/>
        </w:rPr>
        <w:t>文件（法律法规所指的供应商获取</w:t>
      </w:r>
      <w:r>
        <w:rPr>
          <w:rFonts w:hint="eastAsia" w:ascii="宋体" w:hAnsi="宋体" w:eastAsia="宋体" w:cs="宋体"/>
          <w:sz w:val="22"/>
          <w:szCs w:val="22"/>
          <w:lang w:val="en-US" w:eastAsia="zh-CN"/>
        </w:rPr>
        <w:t>采购</w:t>
      </w:r>
      <w:r>
        <w:rPr>
          <w:rFonts w:hint="eastAsia" w:ascii="宋体" w:hAnsi="宋体" w:eastAsia="宋体" w:cs="宋体"/>
          <w:sz w:val="22"/>
          <w:szCs w:val="22"/>
        </w:rPr>
        <w:t>文件时间以供应商完成获取</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文件申请后下载</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文件的时间为准）。</w:t>
      </w:r>
    </w:p>
    <w:p w14:paraId="7F672BFC">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注：请供应商按上述要求获取</w:t>
      </w:r>
      <w:r>
        <w:rPr>
          <w:rFonts w:hint="eastAsia" w:ascii="宋体" w:hAnsi="宋体" w:eastAsia="宋体" w:cs="宋体"/>
          <w:sz w:val="22"/>
          <w:szCs w:val="22"/>
          <w:lang w:eastAsia="zh-CN"/>
        </w:rPr>
        <w:t>采购文件</w:t>
      </w:r>
      <w:r>
        <w:rPr>
          <w:rFonts w:hint="eastAsia" w:ascii="宋体" w:hAnsi="宋体" w:eastAsia="宋体" w:cs="宋体"/>
          <w:sz w:val="22"/>
          <w:szCs w:val="22"/>
        </w:rPr>
        <w:t>，如未在“政采云”系统内完成相关流程，引起的投标无效责任自负。</w:t>
      </w:r>
    </w:p>
    <w:p w14:paraId="39E72176">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文件约束力</w:t>
      </w:r>
    </w:p>
    <w:p w14:paraId="623839B3">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u w:val="single"/>
        </w:rPr>
      </w:pPr>
      <w:r>
        <w:rPr>
          <w:rFonts w:hint="eastAsia" w:ascii="宋体" w:hAnsi="宋体" w:eastAsia="宋体" w:cs="宋体"/>
          <w:sz w:val="22"/>
          <w:szCs w:val="22"/>
          <w:u w:val="single"/>
        </w:rPr>
        <w:t>▲供应商一旦获取本</w:t>
      </w:r>
      <w:r>
        <w:rPr>
          <w:rFonts w:hint="eastAsia" w:ascii="宋体" w:hAnsi="宋体" w:eastAsia="宋体" w:cs="宋体"/>
          <w:sz w:val="22"/>
          <w:szCs w:val="22"/>
          <w:u w:val="single"/>
          <w:lang w:val="en-US" w:eastAsia="zh-CN"/>
        </w:rPr>
        <w:t>采购</w:t>
      </w:r>
      <w:r>
        <w:rPr>
          <w:rFonts w:hint="eastAsia" w:ascii="宋体" w:hAnsi="宋体" w:eastAsia="宋体" w:cs="宋体"/>
          <w:sz w:val="22"/>
          <w:szCs w:val="22"/>
          <w:u w:val="single"/>
        </w:rPr>
        <w:t>文件并参加投标，即被认为接受了本</w:t>
      </w:r>
      <w:r>
        <w:rPr>
          <w:rFonts w:hint="eastAsia" w:ascii="宋体" w:hAnsi="宋体" w:eastAsia="宋体" w:cs="宋体"/>
          <w:sz w:val="22"/>
          <w:szCs w:val="22"/>
          <w:u w:val="single"/>
          <w:lang w:val="en-US" w:eastAsia="zh-CN"/>
        </w:rPr>
        <w:t>采购</w:t>
      </w:r>
      <w:r>
        <w:rPr>
          <w:rFonts w:hint="eastAsia" w:ascii="宋体" w:hAnsi="宋体" w:eastAsia="宋体" w:cs="宋体"/>
          <w:sz w:val="22"/>
          <w:szCs w:val="22"/>
          <w:u w:val="single"/>
        </w:rPr>
        <w:t>文件中所有条款和规定。</w:t>
      </w:r>
    </w:p>
    <w:p w14:paraId="6E08E338">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1.3</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文件的组成</w:t>
      </w:r>
    </w:p>
    <w:p w14:paraId="0D340A0E">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采购</w:t>
      </w:r>
      <w:r>
        <w:rPr>
          <w:rFonts w:hint="eastAsia" w:ascii="宋体" w:hAnsi="宋体" w:eastAsia="宋体" w:cs="宋体"/>
          <w:sz w:val="22"/>
          <w:szCs w:val="22"/>
        </w:rPr>
        <w:t>文件由</w:t>
      </w:r>
      <w:r>
        <w:rPr>
          <w:rFonts w:hint="eastAsia" w:ascii="宋体" w:hAnsi="宋体" w:eastAsia="宋体" w:cs="宋体"/>
          <w:sz w:val="22"/>
          <w:szCs w:val="22"/>
          <w:lang w:val="en-US" w:eastAsia="zh-CN"/>
        </w:rPr>
        <w:t>采购</w:t>
      </w:r>
      <w:r>
        <w:rPr>
          <w:rFonts w:hint="eastAsia" w:ascii="宋体" w:hAnsi="宋体" w:eastAsia="宋体" w:cs="宋体"/>
          <w:sz w:val="22"/>
          <w:szCs w:val="22"/>
        </w:rPr>
        <w:t>文件总目录所列内容及补充资料等组成。</w:t>
      </w:r>
    </w:p>
    <w:p w14:paraId="00FCB3B8">
      <w:pPr>
        <w:autoSpaceDE w:val="0"/>
        <w:autoSpaceDN w:val="0"/>
        <w:adjustRightInd w:val="0"/>
        <w:snapToGrid w:val="0"/>
        <w:spacing w:line="360" w:lineRule="auto"/>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文件的澄清或者修改</w:t>
      </w:r>
    </w:p>
    <w:p w14:paraId="65FA7860">
      <w:pPr>
        <w:autoSpaceDE w:val="0"/>
        <w:autoSpaceDN w:val="0"/>
        <w:adjustRightInd w:val="0"/>
        <w:snapToGrid w:val="0"/>
        <w:spacing w:line="360" w:lineRule="auto"/>
        <w:ind w:left="399" w:leftChars="190"/>
        <w:textAlignment w:val="bottom"/>
        <w:rPr>
          <w:rFonts w:hint="eastAsia" w:ascii="宋体" w:hAnsi="宋体" w:eastAsia="宋体" w:cs="宋体"/>
          <w:sz w:val="22"/>
          <w:szCs w:val="22"/>
        </w:rPr>
      </w:pPr>
      <w:r>
        <w:rPr>
          <w:rFonts w:hint="eastAsia" w:ascii="宋体" w:hAnsi="宋体" w:eastAsia="宋体" w:cs="宋体"/>
          <w:sz w:val="22"/>
          <w:szCs w:val="22"/>
        </w:rPr>
        <w:t>2.1、已获取</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文件的潜在供应商，若有问题需要澄清，应在投标通知(邀请)书规定时间之前，以纸质形式送达采购代理机构，采购代理机构与采购人研究后，对认为有必要回答的问题，将以公告形式发出。</w:t>
      </w:r>
    </w:p>
    <w:p w14:paraId="266B794C">
      <w:pPr>
        <w:autoSpaceDE w:val="0"/>
        <w:autoSpaceDN w:val="0"/>
        <w:adjustRightInd w:val="0"/>
        <w:snapToGrid w:val="0"/>
        <w:spacing w:line="360" w:lineRule="auto"/>
        <w:ind w:left="399" w:leftChars="190"/>
        <w:textAlignment w:val="bottom"/>
        <w:rPr>
          <w:rFonts w:hint="eastAsia" w:ascii="宋体" w:hAnsi="宋体" w:eastAsia="宋体" w:cs="宋体"/>
          <w:sz w:val="22"/>
          <w:szCs w:val="22"/>
        </w:rPr>
      </w:pPr>
      <w:r>
        <w:rPr>
          <w:rFonts w:hint="eastAsia" w:ascii="宋体" w:hAnsi="宋体" w:eastAsia="宋体" w:cs="宋体"/>
          <w:sz w:val="22"/>
          <w:szCs w:val="22"/>
        </w:rPr>
        <w:t>2.2、供应商一旦参与本次采购活动，即被视为接受了本</w:t>
      </w:r>
      <w:r>
        <w:rPr>
          <w:rFonts w:hint="eastAsia" w:ascii="宋体" w:hAnsi="宋体" w:eastAsia="宋体" w:cs="宋体"/>
          <w:sz w:val="22"/>
          <w:szCs w:val="22"/>
          <w:lang w:val="en-US" w:eastAsia="zh-CN"/>
        </w:rPr>
        <w:t>采购</w:t>
      </w:r>
      <w:r>
        <w:rPr>
          <w:rFonts w:hint="eastAsia" w:ascii="宋体" w:hAnsi="宋体" w:eastAsia="宋体" w:cs="宋体"/>
          <w:sz w:val="22"/>
          <w:szCs w:val="22"/>
        </w:rPr>
        <w:t>文件的所有内容，如有任何异议，均已在澄清截止时间前提出。</w:t>
      </w:r>
    </w:p>
    <w:p w14:paraId="74EB054D">
      <w:pPr>
        <w:autoSpaceDE w:val="0"/>
        <w:autoSpaceDN w:val="0"/>
        <w:adjustRightInd w:val="0"/>
        <w:snapToGrid w:val="0"/>
        <w:spacing w:line="360" w:lineRule="auto"/>
        <w:ind w:left="399" w:leftChars="190"/>
        <w:textAlignment w:val="bottom"/>
        <w:rPr>
          <w:rFonts w:hint="eastAsia" w:ascii="宋体" w:hAnsi="宋体" w:eastAsia="宋体" w:cs="宋体"/>
          <w:sz w:val="22"/>
          <w:szCs w:val="22"/>
        </w:rPr>
      </w:pPr>
      <w:r>
        <w:rPr>
          <w:rFonts w:hint="eastAsia" w:ascii="宋体" w:hAnsi="宋体" w:eastAsia="宋体" w:cs="宋体"/>
          <w:sz w:val="22"/>
          <w:szCs w:val="22"/>
        </w:rPr>
        <w:t>2.3、从</w:t>
      </w:r>
      <w:r>
        <w:rPr>
          <w:rFonts w:hint="eastAsia" w:ascii="宋体" w:hAnsi="宋体" w:eastAsia="宋体" w:cs="宋体"/>
          <w:sz w:val="22"/>
          <w:szCs w:val="22"/>
          <w:lang w:val="en-US" w:eastAsia="zh-CN"/>
        </w:rPr>
        <w:t>采购</w:t>
      </w:r>
      <w:r>
        <w:rPr>
          <w:rFonts w:hint="eastAsia" w:ascii="宋体" w:hAnsi="宋体" w:eastAsia="宋体" w:cs="宋体"/>
          <w:sz w:val="22"/>
          <w:szCs w:val="22"/>
        </w:rPr>
        <w:t>文件发出至投标截止日期，采购代理机构可以对已发出的</w:t>
      </w:r>
      <w:r>
        <w:rPr>
          <w:rFonts w:hint="eastAsia" w:ascii="宋体" w:hAnsi="宋体" w:eastAsia="宋体" w:cs="宋体"/>
          <w:sz w:val="22"/>
          <w:szCs w:val="22"/>
          <w:lang w:eastAsia="zh-CN"/>
        </w:rPr>
        <w:t>采购文件</w:t>
      </w:r>
      <w:r>
        <w:rPr>
          <w:rFonts w:hint="eastAsia" w:ascii="宋体" w:hAnsi="宋体" w:eastAsia="宋体" w:cs="宋体"/>
          <w:sz w:val="22"/>
          <w:szCs w:val="22"/>
        </w:rPr>
        <w:t>进行必要的澄清或者修改。澄清或者修改的内容将以公告形式发出。</w:t>
      </w:r>
    </w:p>
    <w:p w14:paraId="7EEE486A">
      <w:pPr>
        <w:autoSpaceDE w:val="0"/>
        <w:autoSpaceDN w:val="0"/>
        <w:adjustRightInd w:val="0"/>
        <w:snapToGrid w:val="0"/>
        <w:spacing w:line="360" w:lineRule="auto"/>
        <w:ind w:left="399" w:leftChars="190"/>
        <w:textAlignment w:val="bottom"/>
        <w:rPr>
          <w:rFonts w:hint="eastAsia" w:ascii="宋体" w:hAnsi="宋体" w:eastAsia="宋体" w:cs="宋体"/>
          <w:sz w:val="22"/>
          <w:szCs w:val="22"/>
        </w:rPr>
      </w:pPr>
      <w:r>
        <w:rPr>
          <w:rFonts w:hint="eastAsia" w:ascii="宋体" w:hAnsi="宋体" w:eastAsia="宋体" w:cs="宋体"/>
          <w:sz w:val="22"/>
          <w:szCs w:val="22"/>
        </w:rPr>
        <w:t>2.4、澄清或者修改的内容可能影响</w:t>
      </w:r>
      <w:r>
        <w:rPr>
          <w:rFonts w:hint="eastAsia" w:ascii="宋体" w:hAnsi="宋体" w:eastAsia="宋体" w:cs="宋体"/>
          <w:sz w:val="22"/>
          <w:szCs w:val="22"/>
          <w:lang w:eastAsia="zh-CN"/>
        </w:rPr>
        <w:t>投标响应文件</w:t>
      </w:r>
      <w:r>
        <w:rPr>
          <w:rFonts w:hint="eastAsia" w:ascii="宋体" w:hAnsi="宋体" w:eastAsia="宋体" w:cs="宋体"/>
          <w:sz w:val="22"/>
          <w:szCs w:val="22"/>
        </w:rPr>
        <w:t xml:space="preserve">编制的，采购代理机构将在投标截止时间 </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 日前，以公告形式通知所有获取</w:t>
      </w:r>
      <w:r>
        <w:rPr>
          <w:rFonts w:hint="eastAsia" w:ascii="宋体" w:hAnsi="宋体" w:eastAsia="宋体" w:cs="宋体"/>
          <w:sz w:val="22"/>
          <w:szCs w:val="22"/>
          <w:lang w:eastAsia="zh-CN"/>
        </w:rPr>
        <w:t>采购文件</w:t>
      </w:r>
      <w:r>
        <w:rPr>
          <w:rFonts w:hint="eastAsia" w:ascii="宋体" w:hAnsi="宋体" w:eastAsia="宋体" w:cs="宋体"/>
          <w:sz w:val="22"/>
          <w:szCs w:val="22"/>
        </w:rPr>
        <w:t xml:space="preserve">的潜在供应商；不足 </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 日的，将相应延长提交</w:t>
      </w:r>
      <w:r>
        <w:rPr>
          <w:rFonts w:hint="eastAsia" w:ascii="宋体" w:hAnsi="宋体" w:eastAsia="宋体" w:cs="宋体"/>
          <w:sz w:val="22"/>
          <w:szCs w:val="22"/>
          <w:lang w:eastAsia="zh-CN"/>
        </w:rPr>
        <w:t>投标响应文件</w:t>
      </w:r>
      <w:r>
        <w:rPr>
          <w:rFonts w:hint="eastAsia" w:ascii="宋体" w:hAnsi="宋体" w:eastAsia="宋体" w:cs="宋体"/>
          <w:sz w:val="22"/>
          <w:szCs w:val="22"/>
        </w:rPr>
        <w:t>的截止时间。</w:t>
      </w:r>
    </w:p>
    <w:p w14:paraId="0A4EED20">
      <w:pPr>
        <w:autoSpaceDE w:val="0"/>
        <w:autoSpaceDN w:val="0"/>
        <w:adjustRightInd w:val="0"/>
        <w:snapToGrid w:val="0"/>
        <w:spacing w:line="360" w:lineRule="auto"/>
        <w:ind w:left="399" w:leftChars="190"/>
        <w:textAlignment w:val="bottom"/>
        <w:rPr>
          <w:rFonts w:hint="eastAsia" w:ascii="宋体" w:hAnsi="宋体" w:eastAsia="宋体" w:cs="宋体"/>
          <w:sz w:val="22"/>
          <w:szCs w:val="22"/>
        </w:rPr>
      </w:pPr>
      <w:r>
        <w:rPr>
          <w:rFonts w:hint="eastAsia" w:ascii="宋体" w:hAnsi="宋体" w:eastAsia="宋体" w:cs="宋体"/>
          <w:sz w:val="22"/>
          <w:szCs w:val="22"/>
        </w:rPr>
        <w:t>2.5、</w:t>
      </w:r>
      <w:r>
        <w:rPr>
          <w:rFonts w:hint="eastAsia" w:ascii="宋体" w:hAnsi="宋体" w:eastAsia="宋体" w:cs="宋体"/>
          <w:sz w:val="22"/>
          <w:szCs w:val="22"/>
          <w:lang w:eastAsia="zh-CN"/>
        </w:rPr>
        <w:t>采购文件</w:t>
      </w:r>
      <w:r>
        <w:rPr>
          <w:rFonts w:hint="eastAsia" w:ascii="宋体" w:hAnsi="宋体" w:eastAsia="宋体" w:cs="宋体"/>
          <w:sz w:val="22"/>
          <w:szCs w:val="22"/>
        </w:rPr>
        <w:t>与</w:t>
      </w:r>
      <w:r>
        <w:rPr>
          <w:rFonts w:hint="eastAsia" w:ascii="宋体" w:hAnsi="宋体" w:eastAsia="宋体" w:cs="宋体"/>
          <w:sz w:val="22"/>
          <w:szCs w:val="22"/>
          <w:lang w:eastAsia="zh-CN"/>
        </w:rPr>
        <w:t>采购文件</w:t>
      </w:r>
      <w:r>
        <w:rPr>
          <w:rFonts w:hint="eastAsia" w:ascii="宋体" w:hAnsi="宋体" w:eastAsia="宋体" w:cs="宋体"/>
          <w:sz w:val="22"/>
          <w:szCs w:val="22"/>
        </w:rPr>
        <w:t>的澄清、修改、补充通知就同一内容的表述不一致时，以最后发出的为准。</w:t>
      </w:r>
    </w:p>
    <w:p w14:paraId="319E983D">
      <w:pPr>
        <w:autoSpaceDE w:val="0"/>
        <w:autoSpaceDN w:val="0"/>
        <w:adjustRightInd w:val="0"/>
        <w:snapToGrid w:val="0"/>
        <w:spacing w:line="360" w:lineRule="auto"/>
        <w:ind w:left="399" w:leftChars="190"/>
        <w:textAlignment w:val="bottom"/>
        <w:rPr>
          <w:rFonts w:hint="eastAsia" w:ascii="宋体" w:hAnsi="宋体" w:eastAsia="宋体" w:cs="宋体"/>
          <w:sz w:val="22"/>
          <w:szCs w:val="22"/>
        </w:rPr>
      </w:pPr>
      <w:r>
        <w:rPr>
          <w:rFonts w:hint="eastAsia" w:ascii="宋体" w:hAnsi="宋体" w:eastAsia="宋体" w:cs="宋体"/>
          <w:sz w:val="22"/>
          <w:szCs w:val="22"/>
        </w:rPr>
        <w:t>2.6、各供应商自行在指定信息发布媒体（http://zfcg.czt.zj.gov.cn）下载或查阅招标相关文件和资料等，恕不另行通知，如有遗漏采购人、代理机构概不负责。</w:t>
      </w:r>
    </w:p>
    <w:p w14:paraId="2C1A04C4">
      <w:pPr>
        <w:pStyle w:val="9"/>
        <w:spacing w:before="0" w:after="0"/>
        <w:ind w:firstLine="442" w:firstLineChars="200"/>
        <w:rPr>
          <w:rFonts w:hint="eastAsia" w:ascii="宋体" w:hAnsi="宋体" w:eastAsia="宋体" w:cs="宋体"/>
          <w:b/>
          <w:bCs/>
          <w:sz w:val="22"/>
          <w:szCs w:val="22"/>
          <w:lang w:eastAsia="zh-CN"/>
        </w:rPr>
      </w:pPr>
      <w:bookmarkStart w:id="28" w:name="_Toc21573"/>
      <w:r>
        <w:rPr>
          <w:rFonts w:hint="eastAsia" w:ascii="宋体" w:hAnsi="宋体" w:eastAsia="宋体" w:cs="宋体"/>
          <w:b/>
          <w:bCs/>
          <w:sz w:val="22"/>
          <w:szCs w:val="22"/>
        </w:rPr>
        <w:t>四、</w:t>
      </w:r>
      <w:bookmarkEnd w:id="28"/>
      <w:r>
        <w:rPr>
          <w:rFonts w:hint="eastAsia" w:ascii="宋体" w:hAnsi="宋体" w:eastAsia="宋体" w:cs="宋体"/>
          <w:b/>
          <w:bCs/>
          <w:sz w:val="22"/>
          <w:szCs w:val="22"/>
          <w:lang w:eastAsia="zh-CN"/>
        </w:rPr>
        <w:t>投标响应文件</w:t>
      </w:r>
    </w:p>
    <w:p w14:paraId="51900033">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eastAsia="宋体" w:cs="宋体"/>
          <w:sz w:val="22"/>
          <w:szCs w:val="22"/>
          <w:lang w:eastAsia="zh-CN"/>
        </w:rPr>
        <w:t>投标响应文件（</w:t>
      </w:r>
      <w:r>
        <w:rPr>
          <w:rFonts w:hint="eastAsia" w:ascii="宋体" w:hAnsi="宋体" w:eastAsia="宋体" w:cs="宋体"/>
          <w:sz w:val="22"/>
          <w:szCs w:val="22"/>
          <w:lang w:val="en-US" w:eastAsia="zh-CN"/>
        </w:rPr>
        <w:t>投标文件、磋商响应文件</w:t>
      </w:r>
      <w:r>
        <w:rPr>
          <w:rFonts w:hint="eastAsia" w:ascii="宋体" w:hAnsi="宋体" w:eastAsia="宋体" w:cs="宋体"/>
          <w:sz w:val="22"/>
          <w:szCs w:val="22"/>
          <w:lang w:eastAsia="zh-CN"/>
        </w:rPr>
        <w:t>）</w:t>
      </w:r>
    </w:p>
    <w:p w14:paraId="1773B8BD">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lang w:val="zh-CN"/>
        </w:rPr>
        <w:t>1.1</w:t>
      </w:r>
      <w:r>
        <w:rPr>
          <w:rFonts w:hint="eastAsia" w:ascii="宋体" w:hAnsi="宋体" w:eastAsia="宋体" w:cs="宋体"/>
          <w:sz w:val="22"/>
          <w:szCs w:val="22"/>
        </w:rPr>
        <w:t>供应商应仔细阅读</w:t>
      </w:r>
      <w:r>
        <w:rPr>
          <w:rFonts w:hint="eastAsia" w:ascii="宋体" w:hAnsi="宋体" w:eastAsia="宋体" w:cs="宋体"/>
          <w:sz w:val="22"/>
          <w:szCs w:val="22"/>
          <w:lang w:eastAsia="zh-CN"/>
        </w:rPr>
        <w:t>采购文件</w:t>
      </w:r>
      <w:r>
        <w:rPr>
          <w:rFonts w:hint="eastAsia" w:ascii="宋体" w:hAnsi="宋体" w:eastAsia="宋体" w:cs="宋体"/>
          <w:sz w:val="22"/>
          <w:szCs w:val="22"/>
        </w:rPr>
        <w:t>中的所有内容，按照</w:t>
      </w:r>
      <w:r>
        <w:rPr>
          <w:rFonts w:hint="eastAsia" w:ascii="宋体" w:hAnsi="宋体" w:eastAsia="宋体" w:cs="宋体"/>
          <w:sz w:val="22"/>
          <w:szCs w:val="22"/>
          <w:lang w:eastAsia="zh-CN"/>
        </w:rPr>
        <w:t>采购文件</w:t>
      </w:r>
      <w:r>
        <w:rPr>
          <w:rFonts w:hint="eastAsia" w:ascii="宋体" w:hAnsi="宋体" w:eastAsia="宋体" w:cs="宋体"/>
          <w:sz w:val="22"/>
          <w:szCs w:val="22"/>
        </w:rPr>
        <w:t>及招标技术参数要求，详细编制</w:t>
      </w:r>
      <w:r>
        <w:rPr>
          <w:rFonts w:hint="eastAsia" w:ascii="宋体" w:hAnsi="宋体" w:eastAsia="宋体" w:cs="宋体"/>
          <w:sz w:val="22"/>
          <w:szCs w:val="22"/>
          <w:lang w:eastAsia="zh-CN"/>
        </w:rPr>
        <w:t>投标响应文件</w:t>
      </w:r>
      <w:r>
        <w:rPr>
          <w:rFonts w:hint="eastAsia" w:ascii="宋体" w:hAnsi="宋体" w:eastAsia="宋体" w:cs="宋体"/>
          <w:sz w:val="22"/>
          <w:szCs w:val="22"/>
        </w:rPr>
        <w:t>。并对</w:t>
      </w:r>
      <w:r>
        <w:rPr>
          <w:rFonts w:hint="eastAsia" w:ascii="宋体" w:hAnsi="宋体" w:eastAsia="宋体" w:cs="宋体"/>
          <w:sz w:val="22"/>
          <w:szCs w:val="22"/>
          <w:lang w:eastAsia="zh-CN"/>
        </w:rPr>
        <w:t>采购文件</w:t>
      </w:r>
      <w:r>
        <w:rPr>
          <w:rFonts w:hint="eastAsia" w:ascii="宋体" w:hAnsi="宋体" w:eastAsia="宋体" w:cs="宋体"/>
          <w:sz w:val="22"/>
          <w:szCs w:val="22"/>
        </w:rPr>
        <w:t>的要求做出实质上响应。实质上响应的投标应该是与</w:t>
      </w:r>
      <w:r>
        <w:rPr>
          <w:rFonts w:hint="eastAsia" w:ascii="宋体" w:hAnsi="宋体" w:eastAsia="宋体" w:cs="宋体"/>
          <w:sz w:val="22"/>
          <w:szCs w:val="22"/>
          <w:lang w:eastAsia="zh-CN"/>
        </w:rPr>
        <w:t>采购文件</w:t>
      </w:r>
      <w:r>
        <w:rPr>
          <w:rFonts w:hint="eastAsia" w:ascii="宋体" w:hAnsi="宋体" w:eastAsia="宋体" w:cs="宋体"/>
          <w:sz w:val="22"/>
          <w:szCs w:val="22"/>
        </w:rPr>
        <w:t>要求的条款没有重大偏离的投标。未实质上响应的</w:t>
      </w:r>
      <w:r>
        <w:rPr>
          <w:rFonts w:hint="eastAsia" w:ascii="宋体" w:hAnsi="宋体" w:eastAsia="宋体" w:cs="宋体"/>
          <w:sz w:val="22"/>
          <w:szCs w:val="22"/>
          <w:lang w:eastAsia="zh-CN"/>
        </w:rPr>
        <w:t>投标响应文件</w:t>
      </w:r>
      <w:r>
        <w:rPr>
          <w:rFonts w:hint="eastAsia" w:ascii="宋体" w:hAnsi="宋体" w:eastAsia="宋体" w:cs="宋体"/>
          <w:sz w:val="22"/>
          <w:szCs w:val="22"/>
        </w:rPr>
        <w:t>将被拒绝，但允许投标服务或货物在基本满足招标技术参数要求的前提下出现的微小差异。</w:t>
      </w:r>
    </w:p>
    <w:p w14:paraId="1EB9F119">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lang w:val="zh-CN"/>
        </w:rPr>
        <w:t>1.2</w:t>
      </w:r>
      <w:r>
        <w:rPr>
          <w:rFonts w:hint="eastAsia" w:ascii="宋体" w:hAnsi="宋体" w:eastAsia="宋体" w:cs="宋体"/>
          <w:sz w:val="22"/>
          <w:szCs w:val="22"/>
        </w:rPr>
        <w:t>供应商必须按</w:t>
      </w:r>
      <w:r>
        <w:rPr>
          <w:rFonts w:hint="eastAsia" w:ascii="宋体" w:hAnsi="宋体" w:eastAsia="宋体" w:cs="宋体"/>
          <w:sz w:val="22"/>
          <w:szCs w:val="22"/>
          <w:lang w:eastAsia="zh-CN"/>
        </w:rPr>
        <w:t>采购文件</w:t>
      </w:r>
      <w:r>
        <w:rPr>
          <w:rFonts w:hint="eastAsia" w:ascii="宋体" w:hAnsi="宋体" w:eastAsia="宋体" w:cs="宋体"/>
          <w:sz w:val="22"/>
          <w:szCs w:val="22"/>
        </w:rPr>
        <w:t>的要求提供相关技术参数、资料，包括采用的计量单位，并保证</w:t>
      </w:r>
      <w:r>
        <w:rPr>
          <w:rFonts w:hint="eastAsia" w:ascii="宋体" w:hAnsi="宋体" w:eastAsia="宋体" w:cs="宋体"/>
          <w:sz w:val="22"/>
          <w:szCs w:val="22"/>
          <w:lang w:eastAsia="zh-CN"/>
        </w:rPr>
        <w:t>投标响应文件</w:t>
      </w:r>
      <w:r>
        <w:rPr>
          <w:rFonts w:hint="eastAsia" w:ascii="宋体" w:hAnsi="宋体" w:eastAsia="宋体" w:cs="宋体"/>
          <w:sz w:val="22"/>
          <w:szCs w:val="22"/>
        </w:rPr>
        <w:t>的正确性和真实性。</w:t>
      </w:r>
      <w:r>
        <w:rPr>
          <w:rFonts w:hint="eastAsia" w:ascii="宋体" w:hAnsi="宋体" w:eastAsia="宋体" w:cs="宋体"/>
          <w:sz w:val="22"/>
          <w:szCs w:val="22"/>
          <w:lang w:eastAsia="zh-CN"/>
        </w:rPr>
        <w:t>投标响应文件</w:t>
      </w:r>
      <w:r>
        <w:rPr>
          <w:rFonts w:hint="eastAsia" w:ascii="宋体" w:hAnsi="宋体" w:eastAsia="宋体" w:cs="宋体"/>
          <w:sz w:val="22"/>
          <w:szCs w:val="22"/>
        </w:rPr>
        <w:t>全部内容应保持一致，否则可能导致不利于其投标的评定甚至被拒绝。技术和商务如有偏离均应填写偏离表。</w:t>
      </w:r>
    </w:p>
    <w:p w14:paraId="1DF2E621">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lang w:val="zh-CN"/>
        </w:rPr>
        <w:t>1.3供应商应仔细阅读采购文件中的所有内容，按照采购文件要求，详细编制投标响应文件，所有文件资料必须是针对本次投标。不按采购文件的要求提供的投标响应文件可能导致被拒绝。</w:t>
      </w:r>
    </w:p>
    <w:p w14:paraId="1041EB73">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投标响应文件</w:t>
      </w:r>
      <w:r>
        <w:rPr>
          <w:rFonts w:hint="eastAsia" w:ascii="宋体" w:hAnsi="宋体" w:eastAsia="宋体" w:cs="宋体"/>
          <w:sz w:val="22"/>
          <w:szCs w:val="22"/>
        </w:rPr>
        <w:t xml:space="preserve">的组成  </w:t>
      </w:r>
    </w:p>
    <w:p w14:paraId="3A7F9CCF">
      <w:pPr>
        <w:autoSpaceDE w:val="0"/>
        <w:autoSpaceDN w:val="0"/>
        <w:adjustRightInd w:val="0"/>
        <w:snapToGrid w:val="0"/>
        <w:spacing w:line="360" w:lineRule="auto"/>
        <w:ind w:firstLine="442" w:firstLineChars="200"/>
        <w:rPr>
          <w:rFonts w:hint="eastAsia" w:ascii="宋体" w:hAnsi="宋体" w:eastAsia="宋体" w:cs="宋体"/>
          <w:b/>
          <w:bCs/>
          <w:sz w:val="22"/>
          <w:szCs w:val="22"/>
          <w:u w:val="single"/>
        </w:rPr>
      </w:pPr>
      <w:r>
        <w:rPr>
          <w:rFonts w:hint="eastAsia" w:ascii="宋体" w:hAnsi="宋体" w:eastAsia="宋体" w:cs="宋体"/>
          <w:b/>
          <w:bCs/>
          <w:sz w:val="22"/>
          <w:szCs w:val="22"/>
          <w:u w:val="single"/>
        </w:rPr>
        <w:t>▲</w:t>
      </w:r>
      <w:r>
        <w:rPr>
          <w:rFonts w:hint="eastAsia" w:ascii="宋体" w:hAnsi="宋体" w:eastAsia="宋体" w:cs="宋体"/>
          <w:b/>
          <w:bCs/>
          <w:sz w:val="22"/>
          <w:szCs w:val="22"/>
          <w:u w:val="single"/>
          <w:lang w:eastAsia="zh-CN"/>
        </w:rPr>
        <w:t>投标响应文件</w:t>
      </w:r>
      <w:r>
        <w:rPr>
          <w:rFonts w:hint="eastAsia" w:ascii="宋体" w:hAnsi="宋体" w:eastAsia="宋体" w:cs="宋体"/>
          <w:b/>
          <w:bCs/>
          <w:sz w:val="22"/>
          <w:szCs w:val="22"/>
          <w:u w:val="single"/>
        </w:rPr>
        <w:t>由资格文件、商务技术文件、报价文件三部分组成，具体内容如下。</w:t>
      </w:r>
    </w:p>
    <w:p w14:paraId="40444F37">
      <w:pPr>
        <w:autoSpaceDE w:val="0"/>
        <w:autoSpaceDN w:val="0"/>
        <w:adjustRightInd w:val="0"/>
        <w:snapToGrid w:val="0"/>
        <w:spacing w:line="360" w:lineRule="auto"/>
        <w:ind w:firstLine="440" w:firstLineChars="200"/>
        <w:rPr>
          <w:rFonts w:hint="eastAsia" w:ascii="宋体" w:hAnsi="宋体" w:eastAsia="宋体" w:cs="宋体"/>
          <w:b/>
          <w:bCs/>
          <w:sz w:val="22"/>
          <w:szCs w:val="22"/>
        </w:rPr>
      </w:pPr>
      <w:r>
        <w:rPr>
          <w:rFonts w:hint="eastAsia" w:ascii="宋体" w:hAnsi="宋体" w:eastAsia="宋体" w:cs="宋体"/>
          <w:sz w:val="22"/>
          <w:szCs w:val="22"/>
          <w:lang w:val="zh-CN"/>
        </w:rPr>
        <w:t>2.1、</w:t>
      </w:r>
      <w:r>
        <w:rPr>
          <w:rFonts w:hint="eastAsia" w:ascii="宋体" w:hAnsi="宋体" w:eastAsia="宋体" w:cs="宋体"/>
          <w:b/>
          <w:bCs/>
          <w:sz w:val="22"/>
          <w:szCs w:val="22"/>
        </w:rPr>
        <w:t>资格文件部分（详见附件</w:t>
      </w:r>
      <w:r>
        <w:rPr>
          <w:rFonts w:hint="eastAsia" w:ascii="宋体" w:hAnsi="宋体" w:eastAsia="宋体" w:cs="宋体"/>
          <w:b/>
          <w:bCs/>
          <w:sz w:val="22"/>
          <w:szCs w:val="22"/>
          <w:lang w:val="en-US" w:eastAsia="zh-CN"/>
        </w:rPr>
        <w:t>1</w:t>
      </w:r>
      <w:r>
        <w:rPr>
          <w:rFonts w:hint="eastAsia" w:ascii="宋体" w:hAnsi="宋体" w:eastAsia="宋体" w:cs="宋体"/>
          <w:b/>
          <w:bCs/>
          <w:sz w:val="22"/>
          <w:szCs w:val="22"/>
        </w:rPr>
        <w:t>）</w:t>
      </w:r>
    </w:p>
    <w:p w14:paraId="3680F9A1">
      <w:pPr>
        <w:autoSpaceDE w:val="0"/>
        <w:autoSpaceDN w:val="0"/>
        <w:adjustRightInd w:val="0"/>
        <w:snapToGrid w:val="0"/>
        <w:spacing w:line="360" w:lineRule="auto"/>
        <w:ind w:left="399" w:leftChars="190"/>
        <w:textAlignment w:val="bottom"/>
        <w:rPr>
          <w:rFonts w:hint="eastAsia" w:ascii="宋体" w:hAnsi="宋体" w:eastAsia="宋体" w:cs="宋体"/>
          <w:sz w:val="22"/>
          <w:szCs w:val="22"/>
        </w:rPr>
      </w:pPr>
      <w:r>
        <w:rPr>
          <w:rFonts w:hint="eastAsia" w:ascii="宋体" w:hAnsi="宋体" w:eastAsia="宋体" w:cs="宋体"/>
          <w:sz w:val="22"/>
          <w:szCs w:val="22"/>
        </w:rPr>
        <w:t>2.1.1供应商的资格文件至少应包括以下内容</w:t>
      </w:r>
    </w:p>
    <w:p w14:paraId="621FDC40">
      <w:pPr>
        <w:autoSpaceDE w:val="0"/>
        <w:autoSpaceDN w:val="0"/>
        <w:adjustRightInd w:val="0"/>
        <w:snapToGrid w:val="0"/>
        <w:spacing w:line="360" w:lineRule="auto"/>
        <w:ind w:left="399" w:leftChars="190"/>
        <w:textAlignment w:val="bottom"/>
        <w:rPr>
          <w:rFonts w:hint="eastAsia" w:ascii="宋体" w:hAnsi="宋体" w:eastAsia="宋体" w:cs="宋体"/>
          <w:sz w:val="22"/>
          <w:szCs w:val="22"/>
        </w:rPr>
      </w:pPr>
      <w:r>
        <w:rPr>
          <w:rFonts w:hint="eastAsia" w:ascii="宋体" w:hAnsi="宋体" w:eastAsia="宋体" w:cs="宋体"/>
          <w:sz w:val="22"/>
          <w:szCs w:val="22"/>
        </w:rPr>
        <w:t>包括（即证明其符合《中华人民共和国政府采购法》规定的供应商基本条件的有关资格证明文件。）：</w:t>
      </w:r>
    </w:p>
    <w:p w14:paraId="5F1FE149">
      <w:pPr>
        <w:numPr>
          <w:ilvl w:val="0"/>
          <w:numId w:val="5"/>
        </w:numPr>
        <w:autoSpaceDE w:val="0"/>
        <w:autoSpaceDN w:val="0"/>
        <w:adjustRightInd w:val="0"/>
        <w:snapToGrid w:val="0"/>
        <w:spacing w:line="360" w:lineRule="auto"/>
        <w:ind w:firstLine="418" w:firstLineChars="190"/>
        <w:textAlignment w:val="bottom"/>
        <w:rPr>
          <w:rFonts w:hint="eastAsia" w:ascii="宋体" w:hAnsi="宋体" w:eastAsia="宋体" w:cs="宋体"/>
          <w:sz w:val="22"/>
          <w:szCs w:val="22"/>
        </w:rPr>
      </w:pPr>
      <w:r>
        <w:rPr>
          <w:rFonts w:hint="eastAsia" w:ascii="宋体" w:hAnsi="宋体" w:eastAsia="宋体" w:cs="宋体"/>
          <w:sz w:val="22"/>
          <w:szCs w:val="22"/>
        </w:rPr>
        <w:t xml:space="preserve">营业执照(或事业法人登记证书或其它工商等登记证明材料；自然人参与政府采购，提供身份证)复印件； </w:t>
      </w:r>
    </w:p>
    <w:p w14:paraId="08BE9E00">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宋体" w:hAnsi="宋体" w:eastAsia="宋体" w:cs="宋体"/>
          <w:sz w:val="22"/>
          <w:szCs w:val="22"/>
          <w:lang w:eastAsia="zh-CN"/>
        </w:rPr>
        <w:t>投标响应文件</w:t>
      </w:r>
      <w:r>
        <w:rPr>
          <w:rFonts w:hint="eastAsia" w:ascii="宋体" w:hAnsi="宋体" w:eastAsia="宋体" w:cs="宋体"/>
          <w:sz w:val="22"/>
          <w:szCs w:val="22"/>
        </w:rPr>
        <w:t>中提供相关材料），证明其具备实际承担责任的能力和法定的缔结合同能力，可以独立参加政府采购活动，由单位负责人签署相关文件材料；</w:t>
      </w:r>
    </w:p>
    <w:p w14:paraId="651D954A">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2）经营声明</w:t>
      </w:r>
      <w:r>
        <w:rPr>
          <w:rFonts w:hint="eastAsia" w:ascii="宋体" w:hAnsi="宋体" w:eastAsia="宋体" w:cs="宋体"/>
          <w:sz w:val="22"/>
          <w:szCs w:val="22"/>
        </w:rPr>
        <w:t>；</w:t>
      </w:r>
    </w:p>
    <w:p w14:paraId="0A392594">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具有履行合同所必需的场地、设备和专业技术能力的承诺函；</w:t>
      </w:r>
    </w:p>
    <w:p w14:paraId="20336385">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依法缴纳税收和社会保障资金的承诺函；</w:t>
      </w:r>
    </w:p>
    <w:p w14:paraId="24C4CECC">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参加政府采购活动前3年内在经营活动中没有重大违法记录的声明函；</w:t>
      </w:r>
    </w:p>
    <w:p w14:paraId="45ED04DF">
      <w:pPr>
        <w:numPr>
          <w:ilvl w:val="0"/>
          <w:numId w:val="0"/>
        </w:num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单位负责人为同一人或者存在直接控股、管理关系的不同供应商，不得参加同一合同项下的政府采购活动承诺函；</w:t>
      </w:r>
    </w:p>
    <w:p w14:paraId="2B76ACCD">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投标供应商没有失信记录承诺函；</w:t>
      </w:r>
    </w:p>
    <w:p w14:paraId="4E01037B">
      <w:pPr>
        <w:pStyle w:val="5"/>
        <w:ind w:firstLine="440" w:firstLineChars="200"/>
        <w:rPr>
          <w:rFonts w:hint="default"/>
          <w:lang w:val="en-US"/>
        </w:rPr>
      </w:pPr>
      <w:r>
        <w:rPr>
          <w:rFonts w:hint="eastAsia" w:ascii="宋体" w:hAnsi="宋体" w:eastAsia="宋体" w:cs="宋体"/>
          <w:sz w:val="22"/>
          <w:szCs w:val="22"/>
          <w:lang w:val="en-US" w:eastAsia="zh-CN"/>
        </w:rPr>
        <w:t>8）</w:t>
      </w:r>
      <w:r>
        <w:rPr>
          <w:rFonts w:hint="eastAsia" w:ascii="宋体" w:hAnsi="宋体" w:eastAsia="宋体" w:cs="宋体"/>
          <w:color w:val="FF0000"/>
          <w:kern w:val="2"/>
          <w:sz w:val="22"/>
          <w:szCs w:val="22"/>
          <w:lang w:val="en-US" w:eastAsia="zh-CN" w:bidi="ar-SA"/>
        </w:rPr>
        <w:t>具备建筑工程施工总承包三级或以上资质（扫描件）；</w:t>
      </w:r>
    </w:p>
    <w:p w14:paraId="1B7DA9EC">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r>
        <w:rPr>
          <w:rFonts w:hint="eastAsia" w:ascii="宋体" w:hAnsi="宋体" w:eastAsia="宋体" w:cs="宋体"/>
          <w:sz w:val="22"/>
          <w:szCs w:val="22"/>
        </w:rPr>
        <w:t>《中小企业声明函》（附件</w:t>
      </w:r>
      <w:r>
        <w:rPr>
          <w:rFonts w:hint="eastAsia" w:ascii="宋体" w:hAnsi="宋体" w:eastAsia="宋体" w:cs="宋体"/>
          <w:sz w:val="22"/>
          <w:szCs w:val="22"/>
          <w:lang w:val="en-US" w:eastAsia="zh-CN"/>
        </w:rPr>
        <w:t>1-9</w:t>
      </w:r>
      <w:r>
        <w:rPr>
          <w:rFonts w:hint="eastAsia" w:ascii="宋体" w:hAnsi="宋体" w:eastAsia="宋体" w:cs="宋体"/>
          <w:sz w:val="22"/>
          <w:szCs w:val="22"/>
        </w:rPr>
        <w:t>）（注：</w:t>
      </w:r>
      <w:r>
        <w:rPr>
          <w:rFonts w:hint="eastAsia" w:ascii="宋体" w:hAnsi="宋体" w:eastAsia="宋体" w:cs="宋体"/>
          <w:sz w:val="22"/>
          <w:szCs w:val="22"/>
          <w:lang w:val="en-US" w:eastAsia="zh-CN"/>
        </w:rPr>
        <w:t>符合的中、小、微</w:t>
      </w:r>
      <w:r>
        <w:rPr>
          <w:rFonts w:hint="eastAsia" w:ascii="宋体" w:hAnsi="宋体" w:eastAsia="宋体" w:cs="宋体"/>
          <w:sz w:val="22"/>
          <w:szCs w:val="22"/>
        </w:rPr>
        <w:t>企业提供）；监狱企业证明文件（如有）（由相关部门出具）、残疾人福利性单位声明函（如有）（加盖电子签章）</w:t>
      </w:r>
      <w:r>
        <w:rPr>
          <w:rFonts w:hint="eastAsia" w:ascii="宋体" w:hAnsi="宋体" w:eastAsia="宋体" w:cs="宋体"/>
          <w:sz w:val="22"/>
          <w:szCs w:val="22"/>
          <w:lang w:val="en-US" w:eastAsia="zh-CN"/>
        </w:rPr>
        <w:t>。</w:t>
      </w:r>
    </w:p>
    <w:p w14:paraId="5D22807E">
      <w:pPr>
        <w:numPr>
          <w:ilvl w:val="0"/>
          <w:numId w:val="0"/>
        </w:num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上述资格条件审查材料有一项不提供的，视为资格审查不通过。</w:t>
      </w:r>
    </w:p>
    <w:p w14:paraId="2AAEE32F">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u w:val="single"/>
          <w:lang w:eastAsia="zh-CN"/>
        </w:rPr>
        <w:t>商务技术</w:t>
      </w:r>
      <w:r>
        <w:rPr>
          <w:rFonts w:hint="eastAsia" w:ascii="宋体" w:hAnsi="宋体" w:eastAsia="宋体" w:cs="宋体"/>
          <w:sz w:val="22"/>
          <w:szCs w:val="22"/>
          <w:u w:val="single"/>
        </w:rPr>
        <w:t>部分组成</w:t>
      </w:r>
    </w:p>
    <w:p w14:paraId="61513670">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rPr>
        <w:t>目录或评分索引（格式自拟）；</w:t>
      </w:r>
    </w:p>
    <w:p w14:paraId="5DED707E">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rPr>
        <w:t>投标函</w:t>
      </w:r>
      <w:r>
        <w:rPr>
          <w:rFonts w:hint="eastAsia" w:ascii="宋体" w:hAnsi="宋体" w:eastAsia="宋体" w:cs="宋体"/>
          <w:sz w:val="22"/>
          <w:szCs w:val="22"/>
          <w:lang w:val="en-US" w:eastAsia="zh-CN"/>
        </w:rPr>
        <w:t>（附件2-1）</w:t>
      </w:r>
      <w:r>
        <w:rPr>
          <w:rFonts w:hint="eastAsia" w:ascii="宋体" w:hAnsi="宋体" w:eastAsia="宋体" w:cs="宋体"/>
          <w:sz w:val="22"/>
          <w:szCs w:val="22"/>
        </w:rPr>
        <w:t>；</w:t>
      </w:r>
    </w:p>
    <w:p w14:paraId="4F898CFF">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rPr>
        <w:t>法定代表人授权书</w:t>
      </w:r>
      <w:r>
        <w:rPr>
          <w:rFonts w:hint="eastAsia" w:ascii="宋体" w:hAnsi="宋体" w:eastAsia="宋体" w:cs="宋体"/>
          <w:sz w:val="22"/>
          <w:szCs w:val="22"/>
          <w:lang w:val="en-US" w:eastAsia="zh-CN"/>
        </w:rPr>
        <w:t>（附件2-2）</w:t>
      </w:r>
      <w:r>
        <w:rPr>
          <w:rFonts w:hint="eastAsia" w:ascii="宋体" w:hAnsi="宋体" w:eastAsia="宋体" w:cs="宋体"/>
          <w:sz w:val="22"/>
          <w:szCs w:val="22"/>
        </w:rPr>
        <w:t>；</w:t>
      </w:r>
    </w:p>
    <w:p w14:paraId="4500E44A">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rPr>
        <w:t>投标供应商情况声明</w:t>
      </w:r>
      <w:r>
        <w:rPr>
          <w:rFonts w:hint="eastAsia" w:ascii="宋体" w:hAnsi="宋体" w:eastAsia="宋体" w:cs="宋体"/>
          <w:sz w:val="22"/>
          <w:szCs w:val="22"/>
          <w:lang w:val="en-US" w:eastAsia="zh-CN"/>
        </w:rPr>
        <w:t>（附件2-3）</w:t>
      </w:r>
      <w:r>
        <w:rPr>
          <w:rFonts w:hint="eastAsia" w:ascii="宋体" w:hAnsi="宋体" w:eastAsia="宋体" w:cs="宋体"/>
          <w:sz w:val="22"/>
          <w:szCs w:val="22"/>
        </w:rPr>
        <w:t>；</w:t>
      </w:r>
    </w:p>
    <w:p w14:paraId="5036CCB8">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rPr>
        <w:t>商务偏离表、技术偏离表</w:t>
      </w:r>
      <w:r>
        <w:rPr>
          <w:rFonts w:hint="eastAsia" w:ascii="宋体" w:hAnsi="宋体" w:eastAsia="宋体" w:cs="宋体"/>
          <w:sz w:val="22"/>
          <w:szCs w:val="22"/>
          <w:lang w:val="en-US" w:eastAsia="zh-CN"/>
        </w:rPr>
        <w:t>（附件2-4）</w:t>
      </w:r>
      <w:r>
        <w:rPr>
          <w:rFonts w:hint="eastAsia" w:ascii="宋体" w:hAnsi="宋体" w:eastAsia="宋体" w:cs="宋体"/>
          <w:sz w:val="22"/>
          <w:szCs w:val="22"/>
        </w:rPr>
        <w:t>；</w:t>
      </w:r>
    </w:p>
    <w:p w14:paraId="2948A681">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rPr>
        <w:t>供应商营业执照、税务登记证（原件扫描加盖电子签章）；</w:t>
      </w:r>
    </w:p>
    <w:p w14:paraId="5FCA0750">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rPr>
        <w:t>供应商相关资质证书、资信证书、主管部门颁发的获奖证书（复印件加盖公章，如有则提供）（原件扫描加盖电子签章）；</w:t>
      </w:r>
    </w:p>
    <w:p w14:paraId="25D09951">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rPr>
        <w:t>供应商</w:t>
      </w:r>
      <w:r>
        <w:rPr>
          <w:rFonts w:hint="eastAsia" w:ascii="宋体" w:hAnsi="宋体" w:eastAsia="宋体" w:cs="宋体"/>
          <w:sz w:val="22"/>
          <w:szCs w:val="22"/>
          <w:lang w:val="en-US" w:eastAsia="zh-CN"/>
        </w:rPr>
        <w:t>类似</w:t>
      </w:r>
      <w:r>
        <w:rPr>
          <w:rFonts w:hint="eastAsia" w:ascii="宋体" w:hAnsi="宋体" w:eastAsia="宋体" w:cs="宋体"/>
          <w:sz w:val="22"/>
          <w:szCs w:val="22"/>
        </w:rPr>
        <w:t>项目业绩一览表,后附合同复印件（原件扫描加盖电子签章）</w:t>
      </w:r>
      <w:r>
        <w:rPr>
          <w:rFonts w:hint="eastAsia" w:ascii="宋体" w:hAnsi="宋体" w:eastAsia="宋体" w:cs="宋体"/>
          <w:sz w:val="22"/>
          <w:szCs w:val="22"/>
          <w:lang w:val="en-US" w:eastAsia="zh-CN"/>
        </w:rPr>
        <w:t>（附件2-5）</w:t>
      </w:r>
      <w:r>
        <w:rPr>
          <w:rFonts w:hint="eastAsia" w:ascii="宋体" w:hAnsi="宋体" w:eastAsia="宋体" w:cs="宋体"/>
          <w:sz w:val="22"/>
          <w:szCs w:val="22"/>
        </w:rPr>
        <w:t>；</w:t>
      </w:r>
    </w:p>
    <w:p w14:paraId="1CA65EC1">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投标人综合情况（附件2-6）</w:t>
      </w:r>
      <w:r>
        <w:rPr>
          <w:rFonts w:hint="eastAsia" w:ascii="宋体" w:hAnsi="宋体" w:eastAsia="宋体" w:cs="宋体"/>
          <w:sz w:val="22"/>
          <w:szCs w:val="22"/>
        </w:rPr>
        <w:t>；</w:t>
      </w:r>
    </w:p>
    <w:p w14:paraId="04E2BD76">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项目施工及设备采购方案（附件2-7）</w:t>
      </w:r>
      <w:r>
        <w:rPr>
          <w:rFonts w:hint="eastAsia" w:ascii="宋体" w:hAnsi="宋体" w:eastAsia="宋体" w:cs="宋体"/>
          <w:sz w:val="22"/>
          <w:szCs w:val="22"/>
        </w:rPr>
        <w:t>；</w:t>
      </w:r>
    </w:p>
    <w:p w14:paraId="787D1DCD">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color w:val="auto"/>
          <w:sz w:val="22"/>
          <w:szCs w:val="22"/>
          <w:highlight w:val="none"/>
          <w:lang w:val="en-US" w:eastAsia="zh-CN"/>
        </w:rPr>
        <w:t>项目完工效果图</w:t>
      </w:r>
      <w:r>
        <w:rPr>
          <w:rFonts w:hint="eastAsia" w:ascii="宋体" w:hAnsi="宋体" w:eastAsia="宋体" w:cs="宋体"/>
          <w:sz w:val="22"/>
          <w:szCs w:val="22"/>
          <w:lang w:val="en-US" w:eastAsia="zh-CN"/>
        </w:rPr>
        <w:t>（附件2-8）</w:t>
      </w:r>
      <w:r>
        <w:rPr>
          <w:rFonts w:hint="eastAsia" w:ascii="宋体" w:hAnsi="宋体" w:eastAsia="宋体" w:cs="宋体"/>
          <w:sz w:val="22"/>
          <w:szCs w:val="22"/>
        </w:rPr>
        <w:t>；</w:t>
      </w:r>
    </w:p>
    <w:p w14:paraId="38417F2F">
      <w:pPr>
        <w:numPr>
          <w:ilvl w:val="0"/>
          <w:numId w:val="6"/>
        </w:numPr>
        <w:autoSpaceDE w:val="0"/>
        <w:autoSpaceDN w:val="0"/>
        <w:adjustRightInd w:val="0"/>
        <w:snapToGrid w:val="0"/>
        <w:spacing w:line="360" w:lineRule="auto"/>
        <w:ind w:left="5" w:firstLine="415"/>
        <w:textAlignment w:val="bottom"/>
        <w:rPr>
          <w:rFonts w:hint="eastAsia"/>
          <w:sz w:val="22"/>
          <w:szCs w:val="22"/>
        </w:rPr>
      </w:pPr>
      <w:r>
        <w:rPr>
          <w:rFonts w:hint="eastAsia" w:ascii="宋体" w:hAnsi="宋体" w:eastAsia="宋体" w:cs="宋体"/>
          <w:color w:val="auto"/>
          <w:sz w:val="21"/>
          <w:szCs w:val="21"/>
          <w:highlight w:val="none"/>
          <w:lang w:val="en-US" w:eastAsia="zh-CN"/>
        </w:rPr>
        <w:t>投标产品参数</w:t>
      </w:r>
      <w:r>
        <w:rPr>
          <w:rFonts w:hint="eastAsia" w:ascii="宋体" w:hAnsi="宋体" w:eastAsia="宋体" w:cs="宋体"/>
          <w:sz w:val="22"/>
          <w:szCs w:val="22"/>
          <w:lang w:val="en-US" w:eastAsia="zh-CN"/>
        </w:rPr>
        <w:t>（附件2-9）</w:t>
      </w:r>
      <w:r>
        <w:rPr>
          <w:rFonts w:hint="eastAsia" w:ascii="宋体" w:hAnsi="宋体" w:eastAsia="宋体" w:cs="宋体"/>
          <w:sz w:val="22"/>
          <w:szCs w:val="22"/>
        </w:rPr>
        <w:t>；</w:t>
      </w:r>
    </w:p>
    <w:p w14:paraId="77418269">
      <w:pPr>
        <w:numPr>
          <w:ilvl w:val="0"/>
          <w:numId w:val="6"/>
        </w:numPr>
        <w:autoSpaceDE w:val="0"/>
        <w:autoSpaceDN w:val="0"/>
        <w:adjustRightInd w:val="0"/>
        <w:snapToGrid w:val="0"/>
        <w:spacing w:line="360" w:lineRule="auto"/>
        <w:ind w:left="5" w:firstLine="415"/>
        <w:textAlignment w:val="bottom"/>
        <w:rPr>
          <w:rFonts w:hint="eastAsia"/>
          <w:sz w:val="22"/>
          <w:szCs w:val="22"/>
        </w:rPr>
      </w:pPr>
      <w:r>
        <w:rPr>
          <w:rFonts w:hint="eastAsia" w:ascii="宋体" w:hAnsi="宋体" w:eastAsia="宋体" w:cs="宋体"/>
          <w:color w:val="auto"/>
          <w:sz w:val="22"/>
          <w:szCs w:val="22"/>
          <w:highlight w:val="none"/>
          <w:lang w:val="en-US" w:eastAsia="zh-CN"/>
        </w:rPr>
        <w:t>质量控制保证方案及措施</w:t>
      </w:r>
      <w:r>
        <w:rPr>
          <w:rFonts w:hint="eastAsia" w:ascii="宋体" w:hAnsi="宋体" w:eastAsia="宋体" w:cs="宋体"/>
          <w:sz w:val="22"/>
          <w:szCs w:val="22"/>
          <w:lang w:val="en-US" w:eastAsia="zh-CN"/>
        </w:rPr>
        <w:t>（附件2-10）</w:t>
      </w:r>
    </w:p>
    <w:p w14:paraId="513788DC">
      <w:pPr>
        <w:numPr>
          <w:ilvl w:val="0"/>
          <w:numId w:val="6"/>
        </w:numPr>
        <w:autoSpaceDE w:val="0"/>
        <w:autoSpaceDN w:val="0"/>
        <w:adjustRightInd w:val="0"/>
        <w:snapToGrid w:val="0"/>
        <w:spacing w:line="360" w:lineRule="auto"/>
        <w:ind w:left="5" w:firstLine="415"/>
        <w:textAlignment w:val="bottom"/>
        <w:rPr>
          <w:rFonts w:hint="eastAsia"/>
          <w:sz w:val="22"/>
          <w:szCs w:val="22"/>
        </w:rPr>
      </w:pPr>
      <w:r>
        <w:rPr>
          <w:rFonts w:hint="eastAsia" w:ascii="宋体" w:hAnsi="宋体" w:eastAsia="宋体" w:cs="宋体"/>
          <w:color w:val="auto"/>
          <w:sz w:val="22"/>
          <w:szCs w:val="22"/>
          <w:highlight w:val="none"/>
          <w:lang w:val="en-US" w:eastAsia="zh-CN"/>
        </w:rPr>
        <w:t>安全生产及文明施工与施工降噪措施</w:t>
      </w:r>
      <w:r>
        <w:rPr>
          <w:rFonts w:hint="eastAsia" w:ascii="宋体" w:hAnsi="宋体" w:eastAsia="宋体" w:cs="宋体"/>
          <w:sz w:val="22"/>
          <w:szCs w:val="22"/>
          <w:lang w:val="en-US" w:eastAsia="zh-CN"/>
        </w:rPr>
        <w:t>（附件2-11）</w:t>
      </w:r>
    </w:p>
    <w:p w14:paraId="36F90BB2">
      <w:pPr>
        <w:numPr>
          <w:ilvl w:val="0"/>
          <w:numId w:val="6"/>
        </w:numPr>
        <w:autoSpaceDE w:val="0"/>
        <w:autoSpaceDN w:val="0"/>
        <w:adjustRightInd w:val="0"/>
        <w:snapToGrid w:val="0"/>
        <w:spacing w:line="360" w:lineRule="auto"/>
        <w:ind w:left="5" w:firstLine="415"/>
        <w:textAlignment w:val="bottom"/>
        <w:rPr>
          <w:rFonts w:hint="eastAsia"/>
          <w:sz w:val="22"/>
          <w:szCs w:val="22"/>
        </w:rPr>
      </w:pPr>
      <w:r>
        <w:rPr>
          <w:rFonts w:hint="eastAsia" w:ascii="宋体" w:hAnsi="宋体" w:eastAsia="宋体" w:cs="宋体"/>
          <w:sz w:val="22"/>
          <w:szCs w:val="22"/>
          <w:lang w:val="en-US" w:eastAsia="zh-CN"/>
        </w:rPr>
        <w:t>人员配置（附件2-12）</w:t>
      </w:r>
    </w:p>
    <w:p w14:paraId="35388849">
      <w:pPr>
        <w:numPr>
          <w:ilvl w:val="0"/>
          <w:numId w:val="6"/>
        </w:numPr>
        <w:autoSpaceDE w:val="0"/>
        <w:autoSpaceDN w:val="0"/>
        <w:adjustRightInd w:val="0"/>
        <w:snapToGrid w:val="0"/>
        <w:spacing w:line="360" w:lineRule="auto"/>
        <w:ind w:left="5" w:firstLine="415"/>
        <w:textAlignment w:val="bottom"/>
        <w:rPr>
          <w:rFonts w:hint="eastAsia"/>
          <w:sz w:val="22"/>
          <w:szCs w:val="22"/>
        </w:rPr>
      </w:pPr>
      <w:r>
        <w:rPr>
          <w:rFonts w:hint="eastAsia" w:ascii="宋体" w:hAnsi="宋体" w:eastAsia="宋体" w:cs="宋体"/>
          <w:sz w:val="22"/>
          <w:szCs w:val="22"/>
          <w:lang w:val="en-US" w:eastAsia="zh-CN"/>
        </w:rPr>
        <w:t>后续维修服务方案（附件2-13）</w:t>
      </w:r>
    </w:p>
    <w:p w14:paraId="13236E24">
      <w:pPr>
        <w:numPr>
          <w:ilvl w:val="0"/>
          <w:numId w:val="6"/>
        </w:numPr>
        <w:autoSpaceDE w:val="0"/>
        <w:autoSpaceDN w:val="0"/>
        <w:adjustRightInd w:val="0"/>
        <w:snapToGrid w:val="0"/>
        <w:spacing w:line="360" w:lineRule="auto"/>
        <w:ind w:left="5" w:firstLine="415"/>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其他评分项 （附件2-14）</w:t>
      </w:r>
    </w:p>
    <w:p w14:paraId="7FE20565">
      <w:pPr>
        <w:numPr>
          <w:ilvl w:val="0"/>
          <w:numId w:val="0"/>
        </w:numPr>
        <w:adjustRightInd w:val="0"/>
        <w:snapToGrid w:val="0"/>
        <w:spacing w:line="360" w:lineRule="auto"/>
        <w:ind w:left="420" w:leftChars="0"/>
        <w:rPr>
          <w:rFonts w:hint="eastAsia" w:ascii="宋体" w:hAnsi="宋体" w:eastAsia="宋体" w:cs="宋体"/>
          <w:sz w:val="22"/>
          <w:szCs w:val="22"/>
        </w:rPr>
      </w:pPr>
      <w:r>
        <w:rPr>
          <w:rFonts w:hint="eastAsia" w:ascii="宋体" w:hAnsi="宋体" w:eastAsia="宋体" w:cs="宋体"/>
          <w:sz w:val="22"/>
          <w:szCs w:val="22"/>
        </w:rPr>
        <w:t>根据采购文件中的采购内容与要求，供应商认为需要提供的其它文件和资料（具体参见评</w:t>
      </w:r>
      <w:r>
        <w:rPr>
          <w:rFonts w:hint="eastAsia" w:ascii="宋体" w:hAnsi="宋体" w:eastAsia="宋体" w:cs="宋体"/>
          <w:sz w:val="22"/>
          <w:szCs w:val="22"/>
          <w:lang w:val="en-US" w:eastAsia="zh-CN"/>
        </w:rPr>
        <w:t>分</w:t>
      </w:r>
      <w:r>
        <w:rPr>
          <w:rFonts w:hint="eastAsia" w:ascii="宋体" w:hAnsi="宋体" w:eastAsia="宋体" w:cs="宋体"/>
          <w:sz w:val="22"/>
          <w:szCs w:val="22"/>
        </w:rPr>
        <w:t>细则）。</w:t>
      </w:r>
    </w:p>
    <w:p w14:paraId="4CD15172">
      <w:pPr>
        <w:numPr>
          <w:ilvl w:val="0"/>
          <w:numId w:val="0"/>
        </w:numPr>
        <w:adjustRightInd w:val="0"/>
        <w:snapToGrid w:val="0"/>
        <w:spacing w:line="360" w:lineRule="auto"/>
        <w:ind w:left="420" w:leftChars="0"/>
        <w:rPr>
          <w:rFonts w:hint="eastAsia" w:ascii="宋体" w:hAnsi="宋体" w:eastAsia="宋体" w:cs="宋体"/>
          <w:sz w:val="22"/>
          <w:szCs w:val="22"/>
        </w:rPr>
      </w:pPr>
      <w:r>
        <w:rPr>
          <w:rFonts w:hint="eastAsia" w:ascii="宋体" w:hAnsi="宋体" w:eastAsia="宋体" w:cs="宋体"/>
          <w:sz w:val="22"/>
          <w:szCs w:val="22"/>
        </w:rPr>
        <w:t>供应商针对评</w:t>
      </w:r>
      <w:r>
        <w:rPr>
          <w:rFonts w:hint="eastAsia" w:ascii="宋体" w:hAnsi="宋体" w:eastAsia="宋体" w:cs="宋体"/>
          <w:sz w:val="22"/>
          <w:szCs w:val="22"/>
          <w:lang w:val="en-US" w:eastAsia="zh-CN"/>
        </w:rPr>
        <w:t>分</w:t>
      </w:r>
      <w:r>
        <w:rPr>
          <w:rFonts w:hint="eastAsia" w:ascii="宋体" w:hAnsi="宋体" w:eastAsia="宋体" w:cs="宋体"/>
          <w:sz w:val="22"/>
          <w:szCs w:val="22"/>
        </w:rPr>
        <w:t>细则，编制目录索引，注明评</w:t>
      </w:r>
      <w:r>
        <w:rPr>
          <w:rFonts w:hint="eastAsia" w:ascii="宋体" w:hAnsi="宋体" w:eastAsia="宋体" w:cs="宋体"/>
          <w:sz w:val="22"/>
          <w:szCs w:val="22"/>
          <w:lang w:val="en-US" w:eastAsia="zh-CN"/>
        </w:rPr>
        <w:t>分</w:t>
      </w:r>
      <w:r>
        <w:rPr>
          <w:rFonts w:hint="eastAsia" w:ascii="宋体" w:hAnsi="宋体" w:eastAsia="宋体" w:cs="宋体"/>
          <w:sz w:val="22"/>
          <w:szCs w:val="22"/>
        </w:rPr>
        <w:t>细则项目所在</w:t>
      </w:r>
      <w:r>
        <w:rPr>
          <w:rFonts w:hint="eastAsia" w:ascii="宋体" w:hAnsi="宋体" w:eastAsia="宋体" w:cs="宋体"/>
          <w:sz w:val="22"/>
          <w:szCs w:val="22"/>
          <w:lang w:eastAsia="zh-CN"/>
        </w:rPr>
        <w:t>投标响应文件</w:t>
      </w:r>
      <w:r>
        <w:rPr>
          <w:rFonts w:hint="eastAsia" w:ascii="宋体" w:hAnsi="宋体" w:eastAsia="宋体" w:cs="宋体"/>
          <w:sz w:val="22"/>
          <w:szCs w:val="22"/>
        </w:rPr>
        <w:t>页码，格式自拟.</w:t>
      </w:r>
    </w:p>
    <w:p w14:paraId="0D3E4EFD">
      <w:pPr>
        <w:autoSpaceDE w:val="0"/>
        <w:autoSpaceDN w:val="0"/>
        <w:adjustRightInd w:val="0"/>
        <w:snapToGrid w:val="0"/>
        <w:spacing w:line="360" w:lineRule="auto"/>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根据采购文件中的采购内容与要求，根据</w:t>
      </w:r>
      <w:r>
        <w:rPr>
          <w:rFonts w:hint="eastAsia" w:ascii="宋体" w:hAnsi="宋体" w:eastAsia="宋体" w:cs="宋体"/>
          <w:b/>
          <w:bCs/>
          <w:sz w:val="22"/>
          <w:szCs w:val="22"/>
          <w:lang w:eastAsia="zh-CN"/>
        </w:rPr>
        <w:t>采购文件</w:t>
      </w:r>
      <w:r>
        <w:rPr>
          <w:rFonts w:hint="eastAsia" w:ascii="宋体" w:hAnsi="宋体" w:eastAsia="宋体" w:cs="宋体"/>
          <w:b/>
          <w:bCs/>
          <w:sz w:val="22"/>
          <w:szCs w:val="22"/>
        </w:rPr>
        <w:t>格式要求中，需要电子签章的均要电子签章，供应商认为需要提供的其它文件和资料（具体参见评</w:t>
      </w:r>
      <w:r>
        <w:rPr>
          <w:rFonts w:hint="eastAsia" w:ascii="宋体" w:hAnsi="宋体" w:eastAsia="宋体" w:cs="宋体"/>
          <w:b/>
          <w:bCs/>
          <w:sz w:val="22"/>
          <w:szCs w:val="22"/>
          <w:lang w:val="en-US" w:eastAsia="zh-CN"/>
        </w:rPr>
        <w:t>分</w:t>
      </w:r>
      <w:r>
        <w:rPr>
          <w:rFonts w:hint="eastAsia" w:ascii="宋体" w:hAnsi="宋体" w:eastAsia="宋体" w:cs="宋体"/>
          <w:b/>
          <w:bCs/>
          <w:sz w:val="22"/>
          <w:szCs w:val="22"/>
        </w:rPr>
        <w:t>细则），上传的其它文件和资料要求电子签章（即电子公章）。</w:t>
      </w:r>
    </w:p>
    <w:p w14:paraId="1D3714A6">
      <w:pPr>
        <w:autoSpaceDE w:val="0"/>
        <w:autoSpaceDN w:val="0"/>
        <w:adjustRightInd w:val="0"/>
        <w:snapToGrid w:val="0"/>
        <w:spacing w:line="360" w:lineRule="auto"/>
        <w:ind w:firstLine="442" w:firstLineChars="200"/>
        <w:rPr>
          <w:rFonts w:hint="eastAsia" w:ascii="宋体" w:hAnsi="宋体" w:eastAsia="宋体" w:cs="宋体"/>
          <w:b/>
          <w:bCs/>
          <w:sz w:val="22"/>
          <w:szCs w:val="22"/>
          <w:lang w:val="zh-CN"/>
        </w:rPr>
      </w:pPr>
      <w:r>
        <w:rPr>
          <w:rFonts w:hint="eastAsia" w:ascii="宋体" w:hAnsi="宋体" w:eastAsia="宋体" w:cs="宋体"/>
          <w:b/>
          <w:bCs/>
          <w:sz w:val="22"/>
          <w:szCs w:val="22"/>
        </w:rPr>
        <w:t>2.</w:t>
      </w:r>
      <w:r>
        <w:rPr>
          <w:rFonts w:hint="eastAsia" w:ascii="宋体" w:hAnsi="宋体" w:eastAsia="宋体" w:cs="宋体"/>
          <w:b/>
          <w:bCs/>
          <w:sz w:val="22"/>
          <w:szCs w:val="22"/>
          <w:lang w:val="en-US" w:eastAsia="zh-CN"/>
        </w:rPr>
        <w:t>3</w:t>
      </w:r>
      <w:r>
        <w:rPr>
          <w:rFonts w:hint="eastAsia" w:ascii="宋体" w:hAnsi="宋体" w:eastAsia="宋体" w:cs="宋体"/>
          <w:b/>
          <w:bCs/>
          <w:sz w:val="22"/>
          <w:szCs w:val="22"/>
        </w:rPr>
        <w:t>、报价要求响应文件</w:t>
      </w:r>
    </w:p>
    <w:p w14:paraId="564AF5EA">
      <w:pPr>
        <w:numPr>
          <w:ilvl w:val="0"/>
          <w:numId w:val="7"/>
        </w:numPr>
        <w:autoSpaceDE w:val="0"/>
        <w:autoSpaceDN w:val="0"/>
        <w:adjustRightInd w:val="0"/>
        <w:snapToGrid w:val="0"/>
        <w:spacing w:line="360" w:lineRule="auto"/>
        <w:ind w:firstLine="418" w:firstLineChars="190"/>
        <w:textAlignment w:val="bottom"/>
        <w:rPr>
          <w:rFonts w:hint="eastAsia" w:ascii="宋体" w:hAnsi="宋体" w:eastAsia="宋体" w:cs="宋体"/>
          <w:sz w:val="22"/>
          <w:szCs w:val="22"/>
        </w:rPr>
      </w:pPr>
      <w:r>
        <w:rPr>
          <w:rFonts w:hint="eastAsia" w:ascii="宋体" w:hAnsi="宋体" w:eastAsia="宋体" w:cs="宋体"/>
          <w:sz w:val="22"/>
          <w:szCs w:val="22"/>
        </w:rPr>
        <w:t>开标一览表（附件</w:t>
      </w:r>
      <w:r>
        <w:rPr>
          <w:rFonts w:hint="eastAsia" w:ascii="宋体" w:hAnsi="宋体" w:eastAsia="宋体" w:cs="宋体"/>
          <w:sz w:val="22"/>
          <w:szCs w:val="22"/>
          <w:lang w:val="en-US" w:eastAsia="zh-CN"/>
        </w:rPr>
        <w:t>3-1</w:t>
      </w:r>
      <w:r>
        <w:rPr>
          <w:rFonts w:hint="eastAsia" w:ascii="宋体" w:hAnsi="宋体" w:eastAsia="宋体" w:cs="宋体"/>
          <w:sz w:val="22"/>
          <w:szCs w:val="22"/>
        </w:rPr>
        <w:t>）；</w:t>
      </w:r>
    </w:p>
    <w:p w14:paraId="1CCC4E1F">
      <w:pPr>
        <w:numPr>
          <w:ilvl w:val="0"/>
          <w:numId w:val="7"/>
        </w:numPr>
        <w:autoSpaceDE w:val="0"/>
        <w:autoSpaceDN w:val="0"/>
        <w:adjustRightInd w:val="0"/>
        <w:snapToGrid w:val="0"/>
        <w:spacing w:line="360" w:lineRule="auto"/>
        <w:ind w:firstLine="418" w:firstLineChars="190"/>
        <w:textAlignment w:val="bottom"/>
        <w:rPr>
          <w:rFonts w:hint="eastAsia" w:ascii="宋体" w:hAnsi="宋体" w:eastAsia="宋体" w:cs="宋体"/>
          <w:sz w:val="22"/>
          <w:szCs w:val="22"/>
        </w:rPr>
      </w:pPr>
      <w:r>
        <w:rPr>
          <w:rFonts w:hint="eastAsia" w:ascii="宋体" w:hAnsi="宋体" w:eastAsia="宋体" w:cs="宋体"/>
          <w:sz w:val="22"/>
          <w:szCs w:val="22"/>
        </w:rPr>
        <w:t>报价</w:t>
      </w:r>
      <w:r>
        <w:rPr>
          <w:rFonts w:hint="eastAsia" w:ascii="宋体" w:hAnsi="宋体" w:eastAsia="宋体" w:cs="宋体"/>
          <w:sz w:val="22"/>
          <w:szCs w:val="22"/>
          <w:lang w:val="en-US" w:eastAsia="zh-CN"/>
        </w:rPr>
        <w:t>明细</w:t>
      </w:r>
      <w:r>
        <w:rPr>
          <w:rFonts w:hint="eastAsia" w:ascii="宋体" w:hAnsi="宋体" w:eastAsia="宋体" w:cs="宋体"/>
          <w:sz w:val="22"/>
          <w:szCs w:val="22"/>
        </w:rPr>
        <w:t>表（附件</w:t>
      </w:r>
      <w:r>
        <w:rPr>
          <w:rFonts w:hint="eastAsia" w:ascii="宋体" w:hAnsi="宋体" w:eastAsia="宋体" w:cs="宋体"/>
          <w:sz w:val="22"/>
          <w:szCs w:val="22"/>
          <w:lang w:val="en-US" w:eastAsia="zh-CN"/>
        </w:rPr>
        <w:t>3-2</w:t>
      </w:r>
      <w:r>
        <w:rPr>
          <w:rFonts w:hint="eastAsia" w:ascii="宋体" w:hAnsi="宋体" w:eastAsia="宋体" w:cs="宋体"/>
          <w:sz w:val="22"/>
          <w:szCs w:val="22"/>
        </w:rPr>
        <w:t>）；</w:t>
      </w:r>
    </w:p>
    <w:p w14:paraId="2370EA52">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3、投标内容填写说明</w:t>
      </w:r>
    </w:p>
    <w:p w14:paraId="5447241F">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3.1、</w:t>
      </w:r>
      <w:r>
        <w:rPr>
          <w:rFonts w:hint="eastAsia" w:ascii="宋体" w:hAnsi="宋体" w:eastAsia="宋体" w:cs="宋体"/>
          <w:sz w:val="22"/>
          <w:szCs w:val="22"/>
          <w:lang w:eastAsia="zh-CN"/>
        </w:rPr>
        <w:t>投标响应文件</w:t>
      </w:r>
      <w:r>
        <w:rPr>
          <w:rFonts w:hint="eastAsia" w:ascii="宋体" w:hAnsi="宋体" w:eastAsia="宋体" w:cs="宋体"/>
          <w:sz w:val="22"/>
          <w:szCs w:val="22"/>
        </w:rPr>
        <w:t>编制</w:t>
      </w:r>
    </w:p>
    <w:p w14:paraId="62E7CC8F">
      <w:pPr>
        <w:spacing w:line="360" w:lineRule="auto"/>
        <w:ind w:firstLine="440" w:firstLineChars="200"/>
        <w:rPr>
          <w:rFonts w:hint="eastAsia" w:ascii="宋体" w:hAnsi="宋体" w:eastAsia="宋体" w:cs="宋体"/>
          <w:b/>
          <w:color w:val="000000"/>
          <w:sz w:val="22"/>
          <w:szCs w:val="22"/>
        </w:rPr>
      </w:pPr>
      <w:r>
        <w:rPr>
          <w:rFonts w:hint="eastAsia" w:ascii="宋体" w:hAnsi="宋体" w:eastAsia="宋体" w:cs="宋体"/>
          <w:sz w:val="22"/>
          <w:szCs w:val="22"/>
        </w:rPr>
        <w:t xml:space="preserve"> 1）</w:t>
      </w:r>
      <w:r>
        <w:rPr>
          <w:rFonts w:hint="eastAsia" w:ascii="宋体" w:hAnsi="宋体" w:eastAsia="宋体" w:cs="宋体"/>
          <w:b/>
          <w:color w:val="000000"/>
          <w:sz w:val="22"/>
          <w:szCs w:val="22"/>
        </w:rPr>
        <w:t>本项目通过“政府采购云平台（www.zcygov.cn）”实行在线投标响应（电子投标）。供应商应通过“政采云电子交易客户端”，并按照本</w:t>
      </w:r>
      <w:r>
        <w:rPr>
          <w:rFonts w:hint="eastAsia" w:ascii="宋体" w:hAnsi="宋体" w:eastAsia="宋体" w:cs="宋体"/>
          <w:b/>
          <w:color w:val="000000"/>
          <w:sz w:val="22"/>
          <w:szCs w:val="22"/>
          <w:lang w:eastAsia="zh-CN"/>
        </w:rPr>
        <w:t>采购文件</w:t>
      </w:r>
      <w:r>
        <w:rPr>
          <w:rFonts w:hint="eastAsia" w:ascii="宋体" w:hAnsi="宋体" w:eastAsia="宋体" w:cs="宋体"/>
          <w:b/>
          <w:color w:val="000000"/>
          <w:sz w:val="22"/>
          <w:szCs w:val="22"/>
        </w:rPr>
        <w:t>和“政府采购云平台”的要求编制并加密</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。未按规定加密的</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，电子交易平台将拒收。</w:t>
      </w:r>
    </w:p>
    <w:p w14:paraId="3130CE27">
      <w:pPr>
        <w:spacing w:line="360" w:lineRule="auto"/>
        <w:ind w:firstLine="387" w:firstLineChars="175"/>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2） 投标供应商应当按照本章节 “</w:t>
      </w:r>
      <w:r>
        <w:rPr>
          <w:rFonts w:hint="eastAsia" w:ascii="宋体" w:hAnsi="宋体" w:eastAsia="宋体" w:cs="宋体"/>
          <w:b/>
          <w:color w:val="000000"/>
          <w:kern w:val="0"/>
          <w:sz w:val="22"/>
          <w:szCs w:val="22"/>
          <w:lang w:eastAsia="zh-CN"/>
        </w:rPr>
        <w:t>投标响应文件</w:t>
      </w:r>
      <w:r>
        <w:rPr>
          <w:rFonts w:hint="eastAsia" w:ascii="宋体" w:hAnsi="宋体" w:eastAsia="宋体" w:cs="宋体"/>
          <w:b/>
          <w:color w:val="000000"/>
          <w:kern w:val="0"/>
          <w:sz w:val="22"/>
          <w:szCs w:val="22"/>
        </w:rPr>
        <w:t>组成”规定的内容及顺序在“政采云电子交易客户端”编制</w:t>
      </w:r>
      <w:r>
        <w:rPr>
          <w:rFonts w:hint="eastAsia" w:ascii="宋体" w:hAnsi="宋体" w:eastAsia="宋体" w:cs="宋体"/>
          <w:b/>
          <w:color w:val="000000"/>
          <w:kern w:val="0"/>
          <w:sz w:val="22"/>
          <w:szCs w:val="22"/>
          <w:lang w:eastAsia="zh-CN"/>
        </w:rPr>
        <w:t>投标响应文件</w:t>
      </w:r>
      <w:r>
        <w:rPr>
          <w:rFonts w:hint="eastAsia" w:ascii="宋体" w:hAnsi="宋体" w:eastAsia="宋体" w:cs="宋体"/>
          <w:b/>
          <w:color w:val="000000"/>
          <w:kern w:val="0"/>
          <w:sz w:val="22"/>
          <w:szCs w:val="22"/>
        </w:rPr>
        <w:t>。其中《资格响应文件》和《商务技术响应文件》中不得出现本项目投标报价，如因供应商原因提前泄露投标报价，是供应商的责任。</w:t>
      </w:r>
    </w:p>
    <w:p w14:paraId="41B0C614">
      <w:pPr>
        <w:spacing w:line="360" w:lineRule="auto"/>
        <w:ind w:firstLine="387" w:firstLineChars="175"/>
        <w:rPr>
          <w:rFonts w:hint="eastAsia" w:ascii="宋体" w:hAnsi="宋体" w:eastAsia="宋体" w:cs="宋体"/>
          <w:sz w:val="22"/>
          <w:szCs w:val="22"/>
        </w:rPr>
      </w:pPr>
      <w:r>
        <w:rPr>
          <w:rFonts w:hint="eastAsia" w:ascii="宋体" w:hAnsi="宋体" w:eastAsia="宋体" w:cs="宋体"/>
          <w:b/>
          <w:color w:val="000000"/>
          <w:sz w:val="22"/>
          <w:szCs w:val="22"/>
        </w:rPr>
        <w:t xml:space="preserve">3）本文件《第五部分  </w:t>
      </w:r>
      <w:r>
        <w:rPr>
          <w:rFonts w:hint="eastAsia" w:ascii="宋体" w:hAnsi="宋体" w:eastAsia="宋体" w:cs="宋体"/>
          <w:b/>
          <w:color w:val="000000"/>
          <w:sz w:val="22"/>
          <w:szCs w:val="22"/>
          <w:lang w:val="en-US" w:eastAsia="zh-CN"/>
        </w:rPr>
        <w:t>投标响应文件格式</w:t>
      </w:r>
      <w:r>
        <w:rPr>
          <w:rFonts w:hint="eastAsia" w:ascii="宋体" w:hAnsi="宋体" w:eastAsia="宋体" w:cs="宋体"/>
          <w:b/>
          <w:color w:val="000000"/>
          <w:sz w:val="22"/>
          <w:szCs w:val="22"/>
        </w:rPr>
        <w:t xml:space="preserve">》中有提供格式的，投标供应商须参照格式进行编制（格式中要求提供相关证明材料的还需后附相关证明材料），并按格式要求在指定位置根据要求进行签章，否则视为未提供；本文件《第五部分 </w:t>
      </w:r>
      <w:r>
        <w:rPr>
          <w:rFonts w:hint="eastAsia" w:ascii="宋体" w:hAnsi="宋体" w:eastAsia="宋体" w:cs="宋体"/>
          <w:b/>
          <w:color w:val="000000"/>
          <w:sz w:val="22"/>
          <w:szCs w:val="22"/>
          <w:lang w:val="en-US" w:eastAsia="zh-CN"/>
        </w:rPr>
        <w:t>投标响应文件格式</w:t>
      </w:r>
      <w:r>
        <w:rPr>
          <w:rFonts w:hint="eastAsia" w:ascii="宋体" w:hAnsi="宋体" w:eastAsia="宋体" w:cs="宋体"/>
          <w:b/>
          <w:color w:val="000000"/>
          <w:sz w:val="22"/>
          <w:szCs w:val="22"/>
        </w:rPr>
        <w:t>》未提供格式的，请各投标单位自行拟定格式，并按</w:t>
      </w:r>
      <w:r>
        <w:rPr>
          <w:rFonts w:hint="eastAsia" w:ascii="宋体" w:hAnsi="宋体" w:eastAsia="宋体" w:cs="宋体"/>
          <w:b/>
          <w:color w:val="000000"/>
          <w:sz w:val="22"/>
          <w:szCs w:val="22"/>
          <w:lang w:eastAsia="zh-CN"/>
        </w:rPr>
        <w:t>采购文件</w:t>
      </w:r>
      <w:r>
        <w:rPr>
          <w:rFonts w:hint="eastAsia" w:ascii="宋体" w:hAnsi="宋体" w:eastAsia="宋体" w:cs="宋体"/>
          <w:b/>
          <w:color w:val="000000"/>
          <w:sz w:val="22"/>
          <w:szCs w:val="22"/>
        </w:rPr>
        <w:t>要求进行电子签章（电子公章），否则视为未提供。</w:t>
      </w:r>
    </w:p>
    <w:p w14:paraId="38167F57">
      <w:pPr>
        <w:spacing w:line="360" w:lineRule="auto"/>
        <w:ind w:firstLine="385" w:firstLineChars="17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4） </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内容不完整、编排混乱、未设置评审关联点或设置错误评审关联点导致</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被误读、漏读或者查找不到相关内容的，是投标供应商的责任。</w:t>
      </w:r>
    </w:p>
    <w:p w14:paraId="4C6DA2AA">
      <w:pPr>
        <w:spacing w:line="360" w:lineRule="auto"/>
        <w:ind w:firstLine="385" w:firstLineChars="17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5） </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因字迹潦草或表达不清所引起的后果由投标供应商负责。</w:t>
      </w:r>
    </w:p>
    <w:p w14:paraId="4A2BEA90">
      <w:pPr>
        <w:spacing w:line="360" w:lineRule="auto"/>
        <w:ind w:firstLine="385" w:firstLineChars="17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 投标供应商没有按照本章节 “</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组成”要求提供全部资料，或者没有仔细阅读</w:t>
      </w:r>
      <w:r>
        <w:rPr>
          <w:rFonts w:hint="eastAsia" w:ascii="宋体" w:hAnsi="宋体" w:eastAsia="宋体" w:cs="宋体"/>
          <w:color w:val="000000"/>
          <w:kern w:val="0"/>
          <w:sz w:val="22"/>
          <w:szCs w:val="22"/>
          <w:lang w:eastAsia="zh-CN"/>
        </w:rPr>
        <w:t>采购文件</w:t>
      </w:r>
      <w:r>
        <w:rPr>
          <w:rFonts w:hint="eastAsia" w:ascii="宋体" w:hAnsi="宋体" w:eastAsia="宋体" w:cs="宋体"/>
          <w:color w:val="000000"/>
          <w:kern w:val="0"/>
          <w:sz w:val="22"/>
          <w:szCs w:val="22"/>
        </w:rPr>
        <w:t>，或者没有对</w:t>
      </w:r>
      <w:r>
        <w:rPr>
          <w:rFonts w:hint="eastAsia" w:ascii="宋体" w:hAnsi="宋体" w:eastAsia="宋体" w:cs="宋体"/>
          <w:color w:val="000000"/>
          <w:kern w:val="0"/>
          <w:sz w:val="22"/>
          <w:szCs w:val="22"/>
          <w:lang w:eastAsia="zh-CN"/>
        </w:rPr>
        <w:t>采购文件</w:t>
      </w:r>
      <w:r>
        <w:rPr>
          <w:rFonts w:hint="eastAsia" w:ascii="宋体" w:hAnsi="宋体" w:eastAsia="宋体" w:cs="宋体"/>
          <w:color w:val="000000"/>
          <w:kern w:val="0"/>
          <w:sz w:val="22"/>
          <w:szCs w:val="22"/>
        </w:rPr>
        <w:t>在各方面的要求作出实质性响应是投标供应商的风险，由此造成的一切后果由投标供应商自行承担。</w:t>
      </w:r>
    </w:p>
    <w:p w14:paraId="566BD8D9">
      <w:pPr>
        <w:autoSpaceDE w:val="0"/>
        <w:autoSpaceDN w:val="0"/>
        <w:adjustRightInd w:val="0"/>
        <w:snapToGrid w:val="0"/>
        <w:spacing w:line="360" w:lineRule="auto"/>
        <w:ind w:left="399" w:leftChars="190"/>
        <w:textAlignment w:val="bottom"/>
        <w:rPr>
          <w:rFonts w:hint="eastAsia" w:ascii="宋体" w:hAnsi="宋体" w:eastAsia="宋体" w:cs="宋体"/>
          <w:b/>
          <w:bCs/>
          <w:sz w:val="22"/>
          <w:szCs w:val="22"/>
        </w:rPr>
      </w:pPr>
      <w:r>
        <w:rPr>
          <w:rFonts w:hint="eastAsia" w:ascii="宋体" w:hAnsi="宋体" w:eastAsia="宋体" w:cs="宋体"/>
          <w:b/>
          <w:bCs/>
          <w:sz w:val="22"/>
          <w:szCs w:val="22"/>
        </w:rPr>
        <w:t xml:space="preserve">7） </w:t>
      </w:r>
      <w:r>
        <w:rPr>
          <w:rFonts w:hint="eastAsia" w:ascii="宋体" w:hAnsi="宋体" w:eastAsia="宋体" w:cs="宋体"/>
          <w:b/>
          <w:bCs/>
          <w:sz w:val="22"/>
          <w:szCs w:val="22"/>
          <w:lang w:eastAsia="zh-CN"/>
        </w:rPr>
        <w:t>投标响应文件</w:t>
      </w:r>
      <w:r>
        <w:rPr>
          <w:rFonts w:hint="eastAsia" w:ascii="宋体" w:hAnsi="宋体" w:eastAsia="宋体" w:cs="宋体"/>
          <w:b/>
          <w:bCs/>
          <w:sz w:val="22"/>
          <w:szCs w:val="22"/>
        </w:rPr>
        <w:t>所提供的相关材料的尺寸和清晰度应该能够在电脑上被阅读、识别和判断。投标文  件内容无法阅读、识别和判断的，视为未提供。</w:t>
      </w:r>
    </w:p>
    <w:p w14:paraId="17F4BC32">
      <w:pPr>
        <w:autoSpaceDE w:val="0"/>
        <w:autoSpaceDN w:val="0"/>
        <w:adjustRightInd w:val="0"/>
        <w:snapToGrid w:val="0"/>
        <w:spacing w:line="360" w:lineRule="auto"/>
        <w:ind w:left="399" w:leftChars="190"/>
        <w:textAlignment w:val="bottom"/>
        <w:rPr>
          <w:rFonts w:hint="eastAsia" w:ascii="宋体" w:hAnsi="宋体" w:eastAsia="宋体" w:cs="宋体"/>
          <w:b/>
          <w:bCs/>
          <w:sz w:val="22"/>
          <w:szCs w:val="22"/>
        </w:rPr>
      </w:pPr>
      <w:r>
        <w:rPr>
          <w:rFonts w:hint="eastAsia" w:ascii="宋体" w:hAnsi="宋体" w:eastAsia="宋体" w:cs="宋体"/>
          <w:b/>
          <w:bCs/>
          <w:sz w:val="22"/>
          <w:szCs w:val="22"/>
        </w:rPr>
        <w:t>8）</w:t>
      </w:r>
      <w:r>
        <w:rPr>
          <w:rFonts w:hint="eastAsia" w:ascii="宋体" w:hAnsi="宋体" w:eastAsia="宋体" w:cs="宋体"/>
          <w:b/>
          <w:bCs/>
          <w:sz w:val="22"/>
          <w:szCs w:val="22"/>
          <w:lang w:eastAsia="zh-CN"/>
        </w:rPr>
        <w:t>投标响应文件</w:t>
      </w:r>
      <w:r>
        <w:rPr>
          <w:rFonts w:hint="eastAsia" w:ascii="宋体" w:hAnsi="宋体" w:eastAsia="宋体" w:cs="宋体"/>
          <w:b/>
          <w:bCs/>
          <w:sz w:val="22"/>
          <w:szCs w:val="22"/>
        </w:rPr>
        <w:t>的容量大小须符合电子交易平台规定。</w:t>
      </w:r>
    </w:p>
    <w:p w14:paraId="599FD25A">
      <w:pPr>
        <w:autoSpaceDE w:val="0"/>
        <w:autoSpaceDN w:val="0"/>
        <w:adjustRightInd w:val="0"/>
        <w:snapToGrid w:val="0"/>
        <w:spacing w:line="360" w:lineRule="auto"/>
        <w:ind w:left="399" w:leftChars="190"/>
        <w:textAlignment w:val="bottom"/>
        <w:rPr>
          <w:rFonts w:hint="eastAsia" w:ascii="宋体" w:hAnsi="宋体" w:eastAsia="宋体" w:cs="宋体"/>
          <w:sz w:val="22"/>
          <w:szCs w:val="22"/>
        </w:rPr>
      </w:pPr>
      <w:r>
        <w:rPr>
          <w:rFonts w:hint="eastAsia" w:ascii="宋体" w:hAnsi="宋体" w:eastAsia="宋体" w:cs="宋体"/>
          <w:b/>
          <w:bCs/>
          <w:sz w:val="22"/>
          <w:szCs w:val="22"/>
        </w:rPr>
        <w:t>9）供应商在使用电子交易平台进行投标的过程中遇到涉及平台使用的任何问题，可致电平台技  术支持热线咨询，联系方式：400-881-7190。</w:t>
      </w:r>
    </w:p>
    <w:p w14:paraId="0AB0FF90">
      <w:pPr>
        <w:pStyle w:val="10"/>
        <w:numPr>
          <w:ilvl w:val="2"/>
          <w:numId w:val="0"/>
        </w:numPr>
        <w:tabs>
          <w:tab w:val="left" w:pos="720"/>
          <w:tab w:val="clear" w:pos="3600"/>
        </w:tabs>
        <w:spacing w:before="0" w:after="0"/>
        <w:ind w:firstLine="220" w:firstLineChars="100"/>
        <w:jc w:val="both"/>
        <w:rPr>
          <w:rFonts w:hint="eastAsia" w:ascii="宋体" w:hAnsi="宋体" w:eastAsia="宋体" w:cs="宋体"/>
          <w:sz w:val="22"/>
          <w:szCs w:val="22"/>
        </w:rPr>
      </w:pPr>
      <w:bookmarkStart w:id="29" w:name="_Toc6511"/>
      <w:bookmarkStart w:id="30" w:name="_Toc30216"/>
      <w:r>
        <w:rPr>
          <w:rFonts w:hint="eastAsia" w:ascii="宋体" w:hAnsi="宋体" w:eastAsia="宋体" w:cs="宋体"/>
          <w:sz w:val="22"/>
          <w:szCs w:val="22"/>
        </w:rPr>
        <w:t>3.2</w:t>
      </w:r>
      <w:r>
        <w:rPr>
          <w:rFonts w:hint="eastAsia" w:ascii="宋体" w:hAnsi="宋体" w:eastAsia="宋体" w:cs="宋体"/>
          <w:sz w:val="22"/>
          <w:szCs w:val="22"/>
          <w:lang w:eastAsia="zh-CN"/>
        </w:rPr>
        <w:t>投标响应文件</w:t>
      </w:r>
      <w:r>
        <w:rPr>
          <w:rFonts w:hint="eastAsia" w:ascii="宋体" w:hAnsi="宋体" w:eastAsia="宋体" w:cs="宋体"/>
          <w:sz w:val="22"/>
          <w:szCs w:val="22"/>
        </w:rPr>
        <w:t>的签章</w:t>
      </w:r>
      <w:bookmarkEnd w:id="29"/>
      <w:bookmarkEnd w:id="30"/>
    </w:p>
    <w:p w14:paraId="5D97FBF9">
      <w:pPr>
        <w:pStyle w:val="10"/>
        <w:numPr>
          <w:ilvl w:val="2"/>
          <w:numId w:val="0"/>
        </w:numPr>
        <w:tabs>
          <w:tab w:val="left" w:pos="720"/>
          <w:tab w:val="clear" w:pos="3600"/>
        </w:tabs>
        <w:spacing w:before="0" w:after="0"/>
        <w:ind w:firstLine="440" w:firstLineChars="200"/>
        <w:jc w:val="both"/>
        <w:rPr>
          <w:rFonts w:hint="eastAsia" w:ascii="宋体" w:hAnsi="宋体" w:eastAsia="宋体" w:cs="宋体"/>
          <w:b/>
          <w:color w:val="000000"/>
          <w:kern w:val="0"/>
          <w:sz w:val="22"/>
          <w:szCs w:val="22"/>
        </w:rPr>
      </w:pPr>
      <w:bookmarkStart w:id="31" w:name="_Toc1628"/>
      <w:bookmarkStart w:id="32" w:name="_Toc20001"/>
      <w:r>
        <w:rPr>
          <w:rFonts w:hint="eastAsia" w:ascii="宋体" w:hAnsi="宋体" w:eastAsia="宋体" w:cs="宋体"/>
          <w:sz w:val="22"/>
          <w:szCs w:val="22"/>
        </w:rPr>
        <w:t>▲1）</w:t>
      </w:r>
      <w:r>
        <w:rPr>
          <w:rFonts w:hint="eastAsia" w:ascii="宋体" w:hAnsi="宋体" w:eastAsia="宋体" w:cs="宋体"/>
          <w:sz w:val="22"/>
          <w:szCs w:val="22"/>
          <w:lang w:eastAsia="zh-CN"/>
        </w:rPr>
        <w:t>采购文件</w:t>
      </w:r>
      <w:r>
        <w:rPr>
          <w:rFonts w:hint="eastAsia" w:ascii="宋体" w:hAnsi="宋体" w:eastAsia="宋体" w:cs="宋体"/>
          <w:sz w:val="22"/>
          <w:szCs w:val="22"/>
        </w:rPr>
        <w:t>中要求公章签章，统一为电子签章（电子公章）。</w:t>
      </w:r>
      <w:bookmarkEnd w:id="31"/>
      <w:bookmarkEnd w:id="32"/>
    </w:p>
    <w:p w14:paraId="69B573CA">
      <w:pPr>
        <w:spacing w:line="360" w:lineRule="auto"/>
        <w:ind w:firstLine="424" w:firstLineChars="192"/>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2）资格响应文件、商务技术响应文件、报价要求响应文件封面应加盖投标供应商电子签章（电子公章）。</w:t>
      </w:r>
    </w:p>
    <w:p w14:paraId="3F760CF3">
      <w:pPr>
        <w:pStyle w:val="2"/>
        <w:spacing w:line="360" w:lineRule="auto"/>
        <w:rPr>
          <w:rFonts w:hint="eastAsia" w:ascii="宋体" w:hAnsi="宋体" w:eastAsia="宋体" w:cs="宋体"/>
          <w:sz w:val="22"/>
          <w:szCs w:val="22"/>
        </w:rPr>
      </w:pPr>
      <w:r>
        <w:rPr>
          <w:rFonts w:hint="eastAsia" w:ascii="宋体" w:hAnsi="宋体" w:eastAsia="宋体" w:cs="宋体"/>
          <w:b/>
          <w:color w:val="000000"/>
          <w:sz w:val="22"/>
          <w:szCs w:val="22"/>
        </w:rPr>
        <w:t xml:space="preserve">    3）供应商应使用“政采云电子交易客户端”进行的电子签章并进行加密的</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，加密的</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中的电子公章款式是否跟实际公章一致，都是有效签章。</w:t>
      </w:r>
    </w:p>
    <w:p w14:paraId="729414E2">
      <w:pPr>
        <w:pStyle w:val="24"/>
        <w:spacing w:line="360" w:lineRule="auto"/>
        <w:ind w:left="0" w:firstLine="442" w:firstLineChars="200"/>
        <w:rPr>
          <w:rFonts w:hint="eastAsia" w:ascii="宋体" w:hAnsi="宋体" w:eastAsia="宋体" w:cs="宋体"/>
          <w:sz w:val="22"/>
          <w:szCs w:val="22"/>
        </w:rPr>
      </w:pPr>
      <w:r>
        <w:rPr>
          <w:rFonts w:hint="eastAsia" w:ascii="宋体" w:hAnsi="宋体" w:eastAsia="宋体" w:cs="宋体"/>
          <w:b/>
          <w:color w:val="000000"/>
          <w:kern w:val="0"/>
          <w:sz w:val="22"/>
          <w:szCs w:val="22"/>
        </w:rPr>
        <w:t>4）</w:t>
      </w:r>
      <w:r>
        <w:rPr>
          <w:rFonts w:hint="eastAsia" w:ascii="宋体" w:hAnsi="宋体" w:eastAsia="宋体" w:cs="宋体"/>
          <w:b/>
          <w:color w:val="000000"/>
          <w:kern w:val="0"/>
          <w:sz w:val="22"/>
          <w:szCs w:val="22"/>
          <w:lang w:eastAsia="zh-CN"/>
        </w:rPr>
        <w:t>投标响应文件</w:t>
      </w:r>
      <w:r>
        <w:rPr>
          <w:rFonts w:hint="eastAsia" w:ascii="宋体" w:hAnsi="宋体" w:eastAsia="宋体" w:cs="宋体"/>
          <w:b/>
          <w:color w:val="000000"/>
          <w:kern w:val="0"/>
          <w:sz w:val="22"/>
          <w:szCs w:val="22"/>
        </w:rPr>
        <w:t>应使用电子交易平台 CA 数字证书进行电子签章。电子交易平台 CA 数字证书仅限于本单位在电子交易活动中使用，不得转让和出借。申领流程：浙江政府采购网-下载专区-电子交易客户端-CA 驱动和申领流程。电子签章操作指南详见政府采购云平台---服务中心--帮助文档--项目采购--电子招投标--《政府采购项目电子交易管理操作指南-供应商》。</w:t>
      </w:r>
    </w:p>
    <w:p w14:paraId="2AA6C272">
      <w:pPr>
        <w:pStyle w:val="10"/>
        <w:tabs>
          <w:tab w:val="left" w:pos="720"/>
          <w:tab w:val="clear" w:pos="3600"/>
        </w:tabs>
        <w:spacing w:before="0" w:after="0"/>
        <w:ind w:left="720" w:hanging="720"/>
        <w:jc w:val="both"/>
        <w:rPr>
          <w:rFonts w:hint="eastAsia" w:ascii="宋体" w:hAnsi="宋体" w:eastAsia="宋体" w:cs="宋体"/>
          <w:sz w:val="22"/>
          <w:szCs w:val="22"/>
        </w:rPr>
      </w:pPr>
      <w:bookmarkStart w:id="33" w:name="_Toc5414"/>
      <w:bookmarkStart w:id="34" w:name="_Toc5416"/>
      <w:r>
        <w:rPr>
          <w:rFonts w:hint="eastAsia" w:ascii="宋体" w:hAnsi="宋体" w:eastAsia="宋体" w:cs="宋体"/>
          <w:sz w:val="22"/>
          <w:szCs w:val="22"/>
        </w:rPr>
        <w:t>3.3</w:t>
      </w:r>
      <w:r>
        <w:rPr>
          <w:rFonts w:hint="eastAsia" w:ascii="宋体" w:hAnsi="宋体" w:eastAsia="宋体" w:cs="宋体"/>
          <w:sz w:val="22"/>
          <w:szCs w:val="22"/>
          <w:lang w:eastAsia="zh-CN"/>
        </w:rPr>
        <w:t>投标响应文件</w:t>
      </w:r>
      <w:r>
        <w:rPr>
          <w:rFonts w:hint="eastAsia" w:ascii="宋体" w:hAnsi="宋体" w:eastAsia="宋体" w:cs="宋体"/>
          <w:sz w:val="22"/>
          <w:szCs w:val="22"/>
        </w:rPr>
        <w:t>的形式</w:t>
      </w:r>
      <w:bookmarkEnd w:id="33"/>
      <w:bookmarkEnd w:id="34"/>
    </w:p>
    <w:p w14:paraId="07A69FBC">
      <w:pPr>
        <w:spacing w:line="360" w:lineRule="auto"/>
        <w:ind w:firstLine="389" w:firstLineChars="176"/>
        <w:rPr>
          <w:rFonts w:hint="eastAsia" w:ascii="宋体" w:hAnsi="宋体" w:eastAsia="宋体" w:cs="宋体"/>
          <w:color w:val="000000"/>
          <w:sz w:val="22"/>
          <w:szCs w:val="22"/>
        </w:rPr>
      </w:pPr>
      <w:r>
        <w:rPr>
          <w:rFonts w:hint="eastAsia" w:ascii="宋体" w:hAnsi="宋体" w:eastAsia="宋体" w:cs="宋体"/>
          <w:b/>
          <w:color w:val="000000"/>
          <w:sz w:val="22"/>
          <w:szCs w:val="22"/>
        </w:rPr>
        <w:t>1）</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的形式：见《投标通知(邀请)书》；</w:t>
      </w:r>
    </w:p>
    <w:p w14:paraId="79187E18">
      <w:pPr>
        <w:spacing w:line="360" w:lineRule="auto"/>
        <w:ind w:firstLine="389" w:firstLineChars="176"/>
        <w:rPr>
          <w:rFonts w:hint="eastAsia" w:ascii="宋体" w:hAnsi="宋体" w:eastAsia="宋体" w:cs="宋体"/>
          <w:b/>
          <w:color w:val="000000"/>
          <w:sz w:val="22"/>
          <w:szCs w:val="22"/>
        </w:rPr>
      </w:pPr>
      <w:r>
        <w:rPr>
          <w:rFonts w:hint="eastAsia" w:ascii="宋体" w:hAnsi="宋体" w:eastAsia="宋体" w:cs="宋体"/>
          <w:b/>
          <w:color w:val="000000"/>
          <w:sz w:val="22"/>
          <w:szCs w:val="22"/>
        </w:rPr>
        <w:t>2）“电子加密</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”：“电子加密</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”是指通过“政采云电子交易客户端”完成</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编制后生成并加密的数据电文形式的</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w:t>
      </w:r>
    </w:p>
    <w:p w14:paraId="1A809061">
      <w:pPr>
        <w:spacing w:line="360" w:lineRule="auto"/>
        <w:ind w:firstLine="389" w:firstLineChars="176"/>
        <w:rPr>
          <w:rFonts w:hint="eastAsia" w:ascii="宋体" w:hAnsi="宋体" w:eastAsia="宋体" w:cs="宋体"/>
          <w:b/>
          <w:color w:val="000000"/>
          <w:sz w:val="22"/>
          <w:szCs w:val="22"/>
        </w:rPr>
      </w:pPr>
      <w:r>
        <w:rPr>
          <w:rFonts w:hint="eastAsia" w:ascii="宋体" w:hAnsi="宋体" w:eastAsia="宋体" w:cs="宋体"/>
          <w:b/>
          <w:color w:val="000000"/>
          <w:sz w:val="22"/>
          <w:szCs w:val="22"/>
        </w:rPr>
        <w:t>3）“备份</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”：“备份</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”是指与“电子加密</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”同时生成的数据电文形式的电子文件（备份标书），其他方式编制的“备份</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”视为无效的“备份</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w:t>
      </w:r>
      <w:r>
        <w:rPr>
          <w:rFonts w:hint="eastAsia" w:ascii="宋体" w:hAnsi="宋体" w:eastAsia="宋体" w:cs="宋体"/>
          <w:b/>
          <w:sz w:val="22"/>
          <w:szCs w:val="22"/>
        </w:rPr>
        <w:t>通过电子交易平台成功上传递交的</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已按时解密的，备份</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自动失效。备份</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不是投标备选方案。</w:t>
      </w:r>
    </w:p>
    <w:p w14:paraId="65EA71F2">
      <w:pPr>
        <w:autoSpaceDE w:val="0"/>
        <w:autoSpaceDN w:val="0"/>
        <w:adjustRightInd w:val="0"/>
        <w:snapToGrid w:val="0"/>
        <w:spacing w:line="360" w:lineRule="auto"/>
        <w:ind w:left="399" w:leftChars="190"/>
        <w:textAlignment w:val="bottom"/>
        <w:rPr>
          <w:rFonts w:hint="eastAsia" w:ascii="宋体" w:hAnsi="宋体" w:eastAsia="宋体" w:cs="宋体"/>
          <w:sz w:val="22"/>
          <w:szCs w:val="22"/>
        </w:rPr>
      </w:pPr>
      <w:r>
        <w:rPr>
          <w:rFonts w:hint="eastAsia" w:ascii="宋体" w:hAnsi="宋体" w:eastAsia="宋体" w:cs="宋体"/>
          <w:b/>
          <w:color w:val="000000"/>
          <w:sz w:val="22"/>
          <w:szCs w:val="22"/>
        </w:rPr>
        <w:t>4）</w:t>
      </w:r>
      <w:r>
        <w:rPr>
          <w:rFonts w:hint="eastAsia" w:ascii="宋体" w:hAnsi="宋体" w:eastAsia="宋体" w:cs="宋体"/>
          <w:b/>
          <w:sz w:val="22"/>
          <w:szCs w:val="22"/>
        </w:rPr>
        <w:t>本项目实行电子交易。电子交易平台为浙江政府采购网政府采购云平台。供应商应通过电子交易平台实行在线投标响应。</w:t>
      </w:r>
      <w:bookmarkStart w:id="35" w:name="_Toc132122412"/>
      <w:bookmarkStart w:id="36" w:name="_Toc132122115"/>
    </w:p>
    <w:p w14:paraId="42B27738">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rPr>
        <w:t>4、</w:t>
      </w:r>
      <w:bookmarkEnd w:id="35"/>
      <w:bookmarkEnd w:id="36"/>
      <w:r>
        <w:rPr>
          <w:rFonts w:hint="eastAsia" w:ascii="宋体" w:hAnsi="宋体" w:eastAsia="宋体" w:cs="宋体"/>
          <w:sz w:val="22"/>
          <w:szCs w:val="22"/>
        </w:rPr>
        <w:t>磋商报价</w:t>
      </w:r>
    </w:p>
    <w:p w14:paraId="77A9FB71">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4.1</w:t>
      </w:r>
      <w:r>
        <w:rPr>
          <w:rFonts w:hint="eastAsia" w:ascii="宋体" w:hAnsi="宋体" w:eastAsia="宋体" w:cs="宋体"/>
          <w:sz w:val="22"/>
          <w:szCs w:val="22"/>
        </w:rPr>
        <w:t>磋商供应商提供的价格应该用人民币报价。报价应该已经扣除所有商业折扣以及现金折扣。报价应包括完成本项目提供服务（货物或工程）所需缴纳的所有税费和一切费用。</w:t>
      </w:r>
    </w:p>
    <w:p w14:paraId="5D415791">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4.2</w:t>
      </w:r>
      <w:r>
        <w:rPr>
          <w:rFonts w:hint="eastAsia" w:ascii="宋体" w:hAnsi="宋体" w:eastAsia="宋体" w:cs="宋体"/>
          <w:sz w:val="22"/>
          <w:szCs w:val="22"/>
        </w:rPr>
        <w:t>报价采用方式：本项目采用包干合同，中标（成交）供应商的投标报价是履行合同的最终价格。磋商供应商的投标</w:t>
      </w:r>
      <w:r>
        <w:rPr>
          <w:rFonts w:hint="eastAsia" w:ascii="宋体" w:hAnsi="宋体" w:eastAsia="宋体" w:cs="宋体"/>
          <w:sz w:val="22"/>
          <w:szCs w:val="22"/>
          <w:lang w:val="en-US" w:eastAsia="zh-CN"/>
        </w:rPr>
        <w:t>总价</w:t>
      </w:r>
      <w:r>
        <w:rPr>
          <w:rFonts w:hint="eastAsia" w:ascii="宋体" w:hAnsi="宋体" w:eastAsia="宋体" w:cs="宋体"/>
          <w:sz w:val="22"/>
          <w:szCs w:val="22"/>
        </w:rPr>
        <w:t>在合同执行期间固定不变，成交供应商不得以任何理由予以变更，除非采购人提出的服务（货物或工程）变更。</w:t>
      </w:r>
    </w:p>
    <w:p w14:paraId="69B6F0A2">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rPr>
      </w:pPr>
      <w:r>
        <w:rPr>
          <w:rFonts w:hint="eastAsia" w:ascii="宋体" w:hAnsi="宋体" w:eastAsia="宋体" w:cs="宋体"/>
          <w:sz w:val="22"/>
          <w:szCs w:val="22"/>
          <w:lang w:val="en-US" w:eastAsia="zh-CN"/>
        </w:rPr>
        <w:t>4.3</w:t>
      </w:r>
      <w:r>
        <w:rPr>
          <w:rFonts w:hint="eastAsia" w:ascii="宋体" w:hAnsi="宋体" w:eastAsia="宋体" w:cs="宋体"/>
          <w:sz w:val="22"/>
          <w:szCs w:val="22"/>
        </w:rPr>
        <w:t>根据本次竞争性磋商采购工作要求，最后只允许有一个磋商报价，磋商供应商应在各自技术和商务占优势的基础上并充分考虑本项目的重要性，在磋商结束后提供给采购人最优惠的</w:t>
      </w:r>
      <w:r>
        <w:rPr>
          <w:rFonts w:hint="eastAsia" w:ascii="宋体" w:hAnsi="宋体" w:eastAsia="宋体" w:cs="宋体"/>
          <w:sz w:val="22"/>
          <w:szCs w:val="22"/>
          <w:lang w:val="en-US" w:eastAsia="zh-CN"/>
        </w:rPr>
        <w:t>报价</w:t>
      </w:r>
      <w:r>
        <w:rPr>
          <w:rFonts w:hint="eastAsia" w:ascii="宋体" w:hAnsi="宋体" w:eastAsia="宋体" w:cs="宋体"/>
          <w:sz w:val="22"/>
          <w:szCs w:val="22"/>
        </w:rPr>
        <w:t>。</w:t>
      </w:r>
    </w:p>
    <w:p w14:paraId="2BC7E638">
      <w:pPr>
        <w:autoSpaceDE w:val="0"/>
        <w:autoSpaceDN w:val="0"/>
        <w:adjustRightInd w:val="0"/>
        <w:snapToGrid w:val="0"/>
        <w:spacing w:line="360" w:lineRule="auto"/>
        <w:ind w:firstLine="440" w:firstLineChars="200"/>
        <w:textAlignment w:val="bottom"/>
        <w:rPr>
          <w:rFonts w:hint="eastAsia" w:ascii="宋体" w:hAnsi="宋体" w:eastAsia="宋体" w:cs="宋体"/>
          <w:sz w:val="22"/>
          <w:szCs w:val="22"/>
          <w:lang w:val="zh-CN"/>
        </w:rPr>
      </w:pPr>
      <w:r>
        <w:rPr>
          <w:rFonts w:hint="eastAsia" w:ascii="宋体" w:hAnsi="宋体" w:eastAsia="宋体" w:cs="宋体"/>
          <w:sz w:val="22"/>
          <w:szCs w:val="22"/>
          <w:lang w:val="en-US" w:eastAsia="zh-CN"/>
        </w:rPr>
        <w:t>4.4</w:t>
      </w:r>
      <w:r>
        <w:rPr>
          <w:rFonts w:hint="eastAsia" w:ascii="宋体" w:hAnsi="宋体" w:eastAsia="宋体" w:cs="宋体"/>
          <w:sz w:val="22"/>
          <w:szCs w:val="22"/>
        </w:rPr>
        <w:t>最后的磋商报价低于首次报价，除磋商内容发生实质性变更，其报价明细表（如有）中各项报价需另行明确以外，各项报价均按比例下调。</w:t>
      </w:r>
    </w:p>
    <w:p w14:paraId="5355997B">
      <w:pPr>
        <w:pStyle w:val="3"/>
        <w:adjustRightInd w:val="0"/>
        <w:snapToGrid w:val="0"/>
        <w:spacing w:line="360" w:lineRule="auto"/>
        <w:ind w:firstLine="440" w:firstLineChars="200"/>
        <w:rPr>
          <w:rFonts w:hint="eastAsia" w:ascii="宋体" w:hAnsi="宋体" w:eastAsia="宋体" w:cs="宋体"/>
          <w:sz w:val="22"/>
          <w:szCs w:val="22"/>
        </w:rPr>
      </w:pPr>
      <w:bookmarkStart w:id="37" w:name="_Toc132122414"/>
      <w:bookmarkStart w:id="38" w:name="_Toc132122117"/>
      <w:r>
        <w:rPr>
          <w:rFonts w:hint="eastAsia" w:ascii="宋体" w:hAnsi="宋体" w:eastAsia="宋体" w:cs="宋体"/>
          <w:sz w:val="22"/>
          <w:szCs w:val="22"/>
        </w:rPr>
        <w:t>5、</w:t>
      </w:r>
      <w:r>
        <w:rPr>
          <w:rFonts w:hint="eastAsia" w:ascii="宋体" w:hAnsi="宋体" w:eastAsia="宋体" w:cs="宋体"/>
          <w:sz w:val="22"/>
          <w:szCs w:val="22"/>
          <w:lang w:eastAsia="zh-CN"/>
        </w:rPr>
        <w:t>投标响应文件</w:t>
      </w:r>
      <w:r>
        <w:rPr>
          <w:rFonts w:hint="eastAsia" w:ascii="宋体" w:hAnsi="宋体" w:eastAsia="宋体" w:cs="宋体"/>
          <w:sz w:val="22"/>
          <w:szCs w:val="22"/>
        </w:rPr>
        <w:t>的有效期</w:t>
      </w:r>
      <w:bookmarkEnd w:id="37"/>
      <w:bookmarkEnd w:id="38"/>
    </w:p>
    <w:p w14:paraId="5B1CAA15">
      <w:pPr>
        <w:pStyle w:val="3"/>
        <w:adjustRightInd w:val="0"/>
        <w:snapToGrid w:val="0"/>
        <w:spacing w:line="360" w:lineRule="auto"/>
        <w:ind w:firstLine="440" w:firstLineChars="200"/>
        <w:outlineLvl w:val="0"/>
        <w:rPr>
          <w:rFonts w:hint="eastAsia" w:ascii="宋体" w:hAnsi="宋体" w:eastAsia="宋体" w:cs="宋体"/>
          <w:sz w:val="22"/>
          <w:szCs w:val="22"/>
        </w:rPr>
      </w:pPr>
      <w:bookmarkStart w:id="39" w:name="_Toc18787"/>
      <w:bookmarkStart w:id="40" w:name="_Toc644"/>
      <w:bookmarkStart w:id="41" w:name="_Toc114"/>
      <w:bookmarkStart w:id="42" w:name="_Toc31657"/>
      <w:bookmarkStart w:id="43" w:name="_Toc132122415"/>
      <w:bookmarkStart w:id="44" w:name="_Toc132122118"/>
      <w:bookmarkStart w:id="45" w:name="_Toc18055"/>
      <w:r>
        <w:rPr>
          <w:rFonts w:hint="eastAsia" w:ascii="宋体" w:hAnsi="宋体" w:eastAsia="宋体" w:cs="宋体"/>
          <w:sz w:val="22"/>
          <w:szCs w:val="22"/>
          <w:lang w:eastAsia="zh-CN"/>
        </w:rPr>
        <w:t>投标响应文件</w:t>
      </w:r>
      <w:r>
        <w:rPr>
          <w:rFonts w:hint="eastAsia" w:ascii="宋体" w:hAnsi="宋体" w:eastAsia="宋体" w:cs="宋体"/>
          <w:sz w:val="22"/>
          <w:szCs w:val="22"/>
        </w:rPr>
        <w:t>合格投递后，自投标截止日期起，至投标通知(邀请)书规定的日期内有效。</w:t>
      </w:r>
      <w:bookmarkEnd w:id="39"/>
      <w:bookmarkEnd w:id="40"/>
      <w:bookmarkEnd w:id="41"/>
      <w:bookmarkEnd w:id="42"/>
    </w:p>
    <w:p w14:paraId="24E1BE47">
      <w:pPr>
        <w:pStyle w:val="3"/>
        <w:adjustRightInd w:val="0"/>
        <w:snapToGrid w:val="0"/>
        <w:spacing w:line="360" w:lineRule="auto"/>
        <w:ind w:firstLine="440" w:firstLineChars="200"/>
        <w:outlineLvl w:val="0"/>
        <w:rPr>
          <w:rFonts w:hint="eastAsia" w:ascii="宋体" w:hAnsi="宋体" w:eastAsia="宋体" w:cs="宋体"/>
          <w:sz w:val="22"/>
          <w:szCs w:val="22"/>
        </w:rPr>
      </w:pPr>
      <w:bookmarkStart w:id="46" w:name="_Toc5268"/>
      <w:bookmarkStart w:id="47" w:name="_Toc22582"/>
      <w:bookmarkStart w:id="48" w:name="_Toc2116"/>
      <w:bookmarkStart w:id="49" w:name="_Toc27406"/>
      <w:r>
        <w:rPr>
          <w:rFonts w:hint="eastAsia" w:ascii="宋体" w:hAnsi="宋体" w:eastAsia="宋体" w:cs="宋体"/>
          <w:sz w:val="22"/>
          <w:szCs w:val="22"/>
        </w:rPr>
        <w:t>在原定投标有效期之前，如果出现特殊情况，采购代理机构可以以纸质形式通知供应商延长投标有效期</w:t>
      </w:r>
      <w:bookmarkEnd w:id="46"/>
      <w:bookmarkEnd w:id="47"/>
      <w:bookmarkEnd w:id="48"/>
      <w:bookmarkEnd w:id="49"/>
    </w:p>
    <w:bookmarkEnd w:id="43"/>
    <w:bookmarkEnd w:id="44"/>
    <w:bookmarkEnd w:id="45"/>
    <w:p w14:paraId="6AA98E42">
      <w:pPr>
        <w:pStyle w:val="10"/>
        <w:numPr>
          <w:ilvl w:val="0"/>
          <w:numId w:val="8"/>
        </w:numPr>
        <w:tabs>
          <w:tab w:val="left" w:pos="720"/>
          <w:tab w:val="clear" w:pos="3600"/>
        </w:tabs>
        <w:spacing w:before="0" w:after="0"/>
        <w:ind w:left="700" w:leftChars="185" w:hanging="312" w:hangingChars="142"/>
        <w:jc w:val="both"/>
        <w:rPr>
          <w:rFonts w:hint="eastAsia" w:ascii="宋体" w:hAnsi="宋体" w:eastAsia="宋体" w:cs="宋体"/>
          <w:sz w:val="22"/>
          <w:szCs w:val="22"/>
        </w:rPr>
      </w:pPr>
      <w:bookmarkStart w:id="50" w:name="_Toc9979"/>
      <w:bookmarkStart w:id="51" w:name="_Toc27225"/>
      <w:r>
        <w:rPr>
          <w:rFonts w:hint="eastAsia" w:ascii="宋体" w:hAnsi="宋体" w:eastAsia="宋体" w:cs="宋体"/>
          <w:sz w:val="22"/>
          <w:szCs w:val="22"/>
        </w:rPr>
        <w:t>投标</w:t>
      </w:r>
      <w:bookmarkEnd w:id="50"/>
      <w:bookmarkEnd w:id="51"/>
      <w:r>
        <w:rPr>
          <w:rFonts w:hint="eastAsia" w:ascii="宋体" w:hAnsi="宋体" w:eastAsia="宋体" w:cs="宋体"/>
          <w:sz w:val="22"/>
          <w:szCs w:val="22"/>
          <w:lang w:val="en-US" w:eastAsia="zh-CN"/>
        </w:rPr>
        <w:t>响应</w:t>
      </w:r>
    </w:p>
    <w:p w14:paraId="75C00022">
      <w:pPr>
        <w:pStyle w:val="10"/>
        <w:numPr>
          <w:ilvl w:val="2"/>
          <w:numId w:val="0"/>
        </w:numPr>
        <w:tabs>
          <w:tab w:val="left" w:pos="720"/>
          <w:tab w:val="clear" w:pos="3600"/>
        </w:tabs>
        <w:spacing w:before="0" w:after="0"/>
        <w:ind w:left="88" w:leftChars="42" w:firstLine="135" w:firstLineChars="61"/>
        <w:jc w:val="both"/>
        <w:rPr>
          <w:rFonts w:hint="eastAsia" w:ascii="宋体" w:hAnsi="宋体" w:eastAsia="宋体" w:cs="宋体"/>
          <w:b/>
          <w:bCs/>
          <w:sz w:val="22"/>
          <w:szCs w:val="22"/>
        </w:rPr>
      </w:pPr>
      <w:bookmarkStart w:id="52" w:name="_Toc20738"/>
      <w:bookmarkStart w:id="53" w:name="_Toc8516"/>
      <w:r>
        <w:rPr>
          <w:rFonts w:hint="eastAsia" w:ascii="宋体" w:hAnsi="宋体" w:eastAsia="宋体" w:cs="宋体"/>
          <w:b/>
          <w:bCs/>
          <w:sz w:val="22"/>
          <w:szCs w:val="22"/>
        </w:rPr>
        <w:t>1、</w:t>
      </w:r>
      <w:r>
        <w:rPr>
          <w:rFonts w:hint="eastAsia" w:ascii="宋体" w:hAnsi="宋体" w:eastAsia="宋体" w:cs="宋体"/>
          <w:b/>
          <w:bCs/>
          <w:sz w:val="22"/>
          <w:szCs w:val="22"/>
          <w:lang w:eastAsia="zh-CN"/>
        </w:rPr>
        <w:t>投标响应文件</w:t>
      </w:r>
      <w:r>
        <w:rPr>
          <w:rFonts w:hint="eastAsia" w:ascii="宋体" w:hAnsi="宋体" w:eastAsia="宋体" w:cs="宋体"/>
          <w:b/>
          <w:bCs/>
          <w:sz w:val="22"/>
          <w:szCs w:val="22"/>
        </w:rPr>
        <w:t>的上传和递交：见“</w:t>
      </w:r>
      <w:r>
        <w:rPr>
          <w:rFonts w:hint="eastAsia" w:ascii="宋体" w:hAnsi="宋体" w:eastAsia="宋体" w:cs="宋体"/>
          <w:sz w:val="22"/>
          <w:szCs w:val="22"/>
        </w:rPr>
        <w:t>投标通知(邀请)书</w:t>
      </w:r>
      <w:r>
        <w:rPr>
          <w:rFonts w:hint="eastAsia" w:ascii="宋体" w:hAnsi="宋体" w:eastAsia="宋体" w:cs="宋体"/>
          <w:b/>
          <w:bCs/>
          <w:sz w:val="22"/>
          <w:szCs w:val="22"/>
        </w:rPr>
        <w:t>”</w:t>
      </w:r>
      <w:bookmarkEnd w:id="52"/>
      <w:bookmarkEnd w:id="53"/>
    </w:p>
    <w:p w14:paraId="16CF75B1">
      <w:pPr>
        <w:spacing w:line="360" w:lineRule="auto"/>
        <w:ind w:firstLine="221" w:firstLineChars="100"/>
        <w:rPr>
          <w:rFonts w:hint="eastAsia" w:ascii="宋体" w:hAnsi="宋体" w:eastAsia="宋体" w:cs="宋体"/>
          <w:sz w:val="22"/>
          <w:szCs w:val="22"/>
        </w:rPr>
      </w:pPr>
      <w:r>
        <w:rPr>
          <w:rFonts w:hint="eastAsia" w:ascii="宋体" w:hAnsi="宋体" w:eastAsia="宋体" w:cs="宋体"/>
          <w:b/>
          <w:bCs/>
          <w:sz w:val="22"/>
          <w:szCs w:val="22"/>
        </w:rPr>
        <w:t>2、“电子加密</w:t>
      </w:r>
      <w:r>
        <w:rPr>
          <w:rFonts w:hint="eastAsia" w:ascii="宋体" w:hAnsi="宋体" w:eastAsia="宋体" w:cs="宋体"/>
          <w:b/>
          <w:bCs/>
          <w:sz w:val="22"/>
          <w:szCs w:val="22"/>
          <w:lang w:eastAsia="zh-CN"/>
        </w:rPr>
        <w:t>投标响应文件</w:t>
      </w:r>
      <w:r>
        <w:rPr>
          <w:rFonts w:hint="eastAsia" w:ascii="宋体" w:hAnsi="宋体" w:eastAsia="宋体" w:cs="宋体"/>
          <w:b/>
          <w:bCs/>
          <w:sz w:val="22"/>
          <w:szCs w:val="22"/>
        </w:rPr>
        <w:t>”解密和异常情况处理：见“投标通知(邀请)书”</w:t>
      </w:r>
    </w:p>
    <w:p w14:paraId="2039119A">
      <w:pPr>
        <w:pStyle w:val="10"/>
        <w:tabs>
          <w:tab w:val="left" w:pos="720"/>
          <w:tab w:val="clear" w:pos="3600"/>
        </w:tabs>
        <w:spacing w:before="0" w:after="0"/>
        <w:ind w:left="720" w:hanging="500"/>
        <w:jc w:val="both"/>
        <w:rPr>
          <w:rFonts w:hint="eastAsia" w:ascii="宋体" w:hAnsi="宋体" w:eastAsia="宋体" w:cs="宋体"/>
          <w:sz w:val="22"/>
          <w:szCs w:val="22"/>
        </w:rPr>
      </w:pPr>
      <w:bookmarkStart w:id="54" w:name="_Toc1319"/>
      <w:bookmarkStart w:id="55" w:name="_Toc30997"/>
      <w:r>
        <w:rPr>
          <w:rFonts w:hint="eastAsia" w:ascii="宋体" w:hAnsi="宋体" w:eastAsia="宋体" w:cs="宋体"/>
          <w:sz w:val="22"/>
          <w:szCs w:val="22"/>
        </w:rPr>
        <w:t>3、</w:t>
      </w:r>
      <w:r>
        <w:rPr>
          <w:rFonts w:hint="eastAsia" w:ascii="宋体" w:hAnsi="宋体" w:eastAsia="宋体" w:cs="宋体"/>
          <w:sz w:val="22"/>
          <w:szCs w:val="22"/>
          <w:lang w:eastAsia="zh-CN"/>
        </w:rPr>
        <w:t>投标响应文件</w:t>
      </w:r>
      <w:r>
        <w:rPr>
          <w:rFonts w:hint="eastAsia" w:ascii="宋体" w:hAnsi="宋体" w:eastAsia="宋体" w:cs="宋体"/>
          <w:sz w:val="22"/>
          <w:szCs w:val="22"/>
        </w:rPr>
        <w:t>的补充、修改或撤回</w:t>
      </w:r>
      <w:bookmarkEnd w:id="54"/>
      <w:bookmarkEnd w:id="55"/>
    </w:p>
    <w:p w14:paraId="7432C106">
      <w:pPr>
        <w:pStyle w:val="3"/>
        <w:adjustRightInd w:val="0"/>
        <w:snapToGrid w:val="0"/>
        <w:spacing w:line="360" w:lineRule="auto"/>
        <w:ind w:firstLine="440" w:firstLineChars="200"/>
        <w:outlineLvl w:val="0"/>
        <w:rPr>
          <w:rFonts w:hint="eastAsia" w:ascii="宋体" w:hAnsi="宋体" w:eastAsia="宋体" w:cs="宋体"/>
          <w:sz w:val="22"/>
          <w:szCs w:val="22"/>
        </w:rPr>
      </w:pPr>
      <w:bookmarkStart w:id="56" w:name="_Toc1693"/>
      <w:bookmarkStart w:id="57" w:name="_Toc4154"/>
      <w:bookmarkStart w:id="58" w:name="_Toc6032"/>
      <w:bookmarkStart w:id="59" w:name="_Toc27419"/>
      <w:r>
        <w:rPr>
          <w:rFonts w:hint="eastAsia" w:ascii="宋体" w:hAnsi="宋体" w:eastAsia="宋体" w:cs="宋体"/>
          <w:sz w:val="22"/>
          <w:szCs w:val="22"/>
        </w:rPr>
        <w:t>3.1供应商应当在投标截止时间前完成</w:t>
      </w:r>
      <w:r>
        <w:rPr>
          <w:rFonts w:hint="eastAsia" w:ascii="宋体" w:hAnsi="宋体" w:eastAsia="宋体" w:cs="宋体"/>
          <w:sz w:val="22"/>
          <w:szCs w:val="22"/>
          <w:lang w:eastAsia="zh-CN"/>
        </w:rPr>
        <w:t>投标响应文件</w:t>
      </w:r>
      <w:r>
        <w:rPr>
          <w:rFonts w:hint="eastAsia" w:ascii="宋体" w:hAnsi="宋体" w:eastAsia="宋体" w:cs="宋体"/>
          <w:sz w:val="22"/>
          <w:szCs w:val="22"/>
        </w:rPr>
        <w:t>的上传、递交，并可以补充、修改或者撤回</w:t>
      </w:r>
      <w:r>
        <w:rPr>
          <w:rFonts w:hint="eastAsia" w:ascii="宋体" w:hAnsi="宋体" w:eastAsia="宋体" w:cs="宋体"/>
          <w:sz w:val="22"/>
          <w:szCs w:val="22"/>
          <w:lang w:eastAsia="zh-CN"/>
        </w:rPr>
        <w:t>投标响应文件</w:t>
      </w:r>
      <w:r>
        <w:rPr>
          <w:rFonts w:hint="eastAsia" w:ascii="宋体" w:hAnsi="宋体" w:eastAsia="宋体" w:cs="宋体"/>
          <w:sz w:val="22"/>
          <w:szCs w:val="22"/>
        </w:rPr>
        <w:t>。补充或者修改</w:t>
      </w:r>
      <w:r>
        <w:rPr>
          <w:rFonts w:hint="eastAsia" w:ascii="宋体" w:hAnsi="宋体" w:eastAsia="宋体" w:cs="宋体"/>
          <w:sz w:val="22"/>
          <w:szCs w:val="22"/>
          <w:lang w:eastAsia="zh-CN"/>
        </w:rPr>
        <w:t>投标响应文件</w:t>
      </w:r>
      <w:r>
        <w:rPr>
          <w:rFonts w:hint="eastAsia" w:ascii="宋体" w:hAnsi="宋体" w:eastAsia="宋体" w:cs="宋体"/>
          <w:sz w:val="22"/>
          <w:szCs w:val="22"/>
        </w:rPr>
        <w:t>的，应当先行撤回原文件，补充、修改后重新上传、递交。投标截止时间前未完成上传、递交的，视为撤回</w:t>
      </w:r>
      <w:r>
        <w:rPr>
          <w:rFonts w:hint="eastAsia" w:ascii="宋体" w:hAnsi="宋体" w:eastAsia="宋体" w:cs="宋体"/>
          <w:sz w:val="22"/>
          <w:szCs w:val="22"/>
          <w:lang w:eastAsia="zh-CN"/>
        </w:rPr>
        <w:t>投标响应文件</w:t>
      </w:r>
      <w:r>
        <w:rPr>
          <w:rFonts w:hint="eastAsia" w:ascii="宋体" w:hAnsi="宋体" w:eastAsia="宋体" w:cs="宋体"/>
          <w:sz w:val="22"/>
          <w:szCs w:val="22"/>
        </w:rPr>
        <w:t>。投标截止时间后递交的</w:t>
      </w:r>
      <w:r>
        <w:rPr>
          <w:rFonts w:hint="eastAsia" w:ascii="宋体" w:hAnsi="宋体" w:eastAsia="宋体" w:cs="宋体"/>
          <w:sz w:val="22"/>
          <w:szCs w:val="22"/>
          <w:lang w:eastAsia="zh-CN"/>
        </w:rPr>
        <w:t>投标响应文件</w:t>
      </w:r>
      <w:r>
        <w:rPr>
          <w:rFonts w:hint="eastAsia" w:ascii="宋体" w:hAnsi="宋体" w:eastAsia="宋体" w:cs="宋体"/>
          <w:sz w:val="22"/>
          <w:szCs w:val="22"/>
        </w:rPr>
        <w:t>，“政府采购云平台”将予以拒收。</w:t>
      </w:r>
      <w:bookmarkEnd w:id="56"/>
      <w:bookmarkEnd w:id="57"/>
      <w:bookmarkEnd w:id="58"/>
      <w:bookmarkEnd w:id="59"/>
    </w:p>
    <w:p w14:paraId="1D8CB550">
      <w:pPr>
        <w:pStyle w:val="3"/>
        <w:adjustRightInd w:val="0"/>
        <w:snapToGrid w:val="0"/>
        <w:spacing w:line="360" w:lineRule="auto"/>
        <w:ind w:firstLine="440" w:firstLineChars="200"/>
        <w:outlineLvl w:val="0"/>
        <w:rPr>
          <w:rFonts w:hint="eastAsia" w:ascii="宋体" w:hAnsi="宋体" w:eastAsia="宋体" w:cs="宋体"/>
          <w:sz w:val="22"/>
          <w:szCs w:val="22"/>
        </w:rPr>
      </w:pPr>
      <w:bookmarkStart w:id="60" w:name="_Toc6434"/>
      <w:bookmarkStart w:id="61" w:name="_Toc6921"/>
      <w:bookmarkStart w:id="62" w:name="_Toc10009"/>
      <w:bookmarkStart w:id="63" w:name="_Toc32235"/>
      <w:r>
        <w:rPr>
          <w:rFonts w:hint="eastAsia" w:ascii="宋体" w:hAnsi="宋体" w:eastAsia="宋体" w:cs="宋体"/>
          <w:sz w:val="22"/>
          <w:szCs w:val="22"/>
        </w:rPr>
        <w:t>3.2投标截止时间后，投标供应商不得撤回、修改</w:t>
      </w:r>
      <w:r>
        <w:rPr>
          <w:rFonts w:hint="eastAsia" w:ascii="宋体" w:hAnsi="宋体" w:eastAsia="宋体" w:cs="宋体"/>
          <w:sz w:val="22"/>
          <w:szCs w:val="22"/>
          <w:lang w:eastAsia="zh-CN"/>
        </w:rPr>
        <w:t>投标响应文件</w:t>
      </w:r>
      <w:r>
        <w:rPr>
          <w:rFonts w:hint="eastAsia" w:ascii="宋体" w:hAnsi="宋体" w:eastAsia="宋体" w:cs="宋体"/>
          <w:sz w:val="22"/>
          <w:szCs w:val="22"/>
        </w:rPr>
        <w:t>。</w:t>
      </w:r>
      <w:bookmarkEnd w:id="60"/>
      <w:bookmarkEnd w:id="61"/>
      <w:bookmarkEnd w:id="62"/>
      <w:bookmarkEnd w:id="63"/>
    </w:p>
    <w:p w14:paraId="2649871C">
      <w:pPr>
        <w:pStyle w:val="4"/>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3.4投标供应商不得递交任何的投标备选（替代）方案，否则其</w:t>
      </w:r>
      <w:r>
        <w:rPr>
          <w:rFonts w:hint="eastAsia" w:ascii="宋体" w:hAnsi="宋体" w:eastAsia="宋体" w:cs="宋体"/>
          <w:sz w:val="22"/>
          <w:szCs w:val="22"/>
          <w:lang w:eastAsia="zh-CN"/>
        </w:rPr>
        <w:t>投标响应文件</w:t>
      </w:r>
      <w:r>
        <w:rPr>
          <w:rFonts w:hint="eastAsia" w:ascii="宋体" w:hAnsi="宋体" w:eastAsia="宋体" w:cs="宋体"/>
          <w:sz w:val="22"/>
          <w:szCs w:val="22"/>
        </w:rPr>
        <w:t>将作无效标处理。与“电子加密</w:t>
      </w:r>
      <w:r>
        <w:rPr>
          <w:rFonts w:hint="eastAsia" w:ascii="宋体" w:hAnsi="宋体" w:eastAsia="宋体" w:cs="宋体"/>
          <w:sz w:val="22"/>
          <w:szCs w:val="22"/>
          <w:lang w:eastAsia="zh-CN"/>
        </w:rPr>
        <w:t>投标响应文件</w:t>
      </w:r>
      <w:r>
        <w:rPr>
          <w:rFonts w:hint="eastAsia" w:ascii="宋体" w:hAnsi="宋体" w:eastAsia="宋体" w:cs="宋体"/>
          <w:sz w:val="22"/>
          <w:szCs w:val="22"/>
        </w:rPr>
        <w:t>”同时生成的“备份</w:t>
      </w:r>
      <w:r>
        <w:rPr>
          <w:rFonts w:hint="eastAsia" w:ascii="宋体" w:hAnsi="宋体" w:eastAsia="宋体" w:cs="宋体"/>
          <w:sz w:val="22"/>
          <w:szCs w:val="22"/>
          <w:lang w:eastAsia="zh-CN"/>
        </w:rPr>
        <w:t>投标响应文件</w:t>
      </w:r>
      <w:r>
        <w:rPr>
          <w:rFonts w:hint="eastAsia" w:ascii="宋体" w:hAnsi="宋体" w:eastAsia="宋体" w:cs="宋体"/>
          <w:sz w:val="22"/>
          <w:szCs w:val="22"/>
        </w:rPr>
        <w:t>”不是投标备选（替代）方案。</w:t>
      </w:r>
    </w:p>
    <w:p w14:paraId="38BDA49F">
      <w:pPr>
        <w:pStyle w:val="3"/>
        <w:numPr>
          <w:ilvl w:val="0"/>
          <w:numId w:val="8"/>
        </w:numPr>
        <w:adjustRightInd w:val="0"/>
        <w:snapToGrid w:val="0"/>
        <w:spacing w:line="360" w:lineRule="auto"/>
        <w:ind w:left="702" w:leftChars="185" w:hanging="314" w:hangingChars="142"/>
        <w:outlineLvl w:val="0"/>
        <w:rPr>
          <w:rFonts w:hint="eastAsia" w:ascii="宋体" w:hAnsi="宋体" w:eastAsia="宋体" w:cs="宋体"/>
          <w:b/>
          <w:bCs/>
          <w:sz w:val="22"/>
          <w:szCs w:val="22"/>
        </w:rPr>
      </w:pPr>
      <w:bookmarkStart w:id="64" w:name="_Toc25065"/>
      <w:bookmarkStart w:id="65" w:name="_Toc14287"/>
      <w:bookmarkStart w:id="66" w:name="_Toc17371"/>
      <w:bookmarkStart w:id="67" w:name="_Toc31645"/>
      <w:bookmarkStart w:id="68" w:name="_Toc27427"/>
      <w:r>
        <w:rPr>
          <w:rFonts w:hint="eastAsia" w:ascii="宋体" w:hAnsi="宋体" w:eastAsia="宋体" w:cs="宋体"/>
          <w:b/>
          <w:bCs/>
          <w:sz w:val="22"/>
          <w:szCs w:val="22"/>
        </w:rPr>
        <w:t>开标和评标</w:t>
      </w:r>
      <w:bookmarkEnd w:id="64"/>
      <w:bookmarkEnd w:id="65"/>
      <w:bookmarkEnd w:id="66"/>
      <w:bookmarkEnd w:id="67"/>
      <w:bookmarkEnd w:id="68"/>
    </w:p>
    <w:p w14:paraId="3D9DFD46">
      <w:pPr>
        <w:pStyle w:val="10"/>
        <w:tabs>
          <w:tab w:val="left" w:pos="720"/>
          <w:tab w:val="clear" w:pos="3600"/>
        </w:tabs>
        <w:spacing w:before="0" w:after="0"/>
        <w:ind w:left="720" w:hanging="720"/>
        <w:jc w:val="both"/>
        <w:rPr>
          <w:rFonts w:hint="eastAsia" w:ascii="宋体" w:hAnsi="宋体" w:eastAsia="宋体" w:cs="宋体"/>
          <w:sz w:val="22"/>
          <w:szCs w:val="22"/>
        </w:rPr>
      </w:pPr>
      <w:bookmarkStart w:id="69" w:name="_Toc12843"/>
      <w:bookmarkStart w:id="70" w:name="_Toc3904"/>
      <w:r>
        <w:rPr>
          <w:rFonts w:hint="eastAsia" w:ascii="宋体" w:hAnsi="宋体" w:eastAsia="宋体" w:cs="宋体"/>
          <w:sz w:val="22"/>
          <w:szCs w:val="22"/>
        </w:rPr>
        <w:t>1、开标形式</w:t>
      </w:r>
      <w:bookmarkEnd w:id="69"/>
      <w:bookmarkEnd w:id="70"/>
    </w:p>
    <w:p w14:paraId="2ED1CA0C">
      <w:pPr>
        <w:spacing w:line="360" w:lineRule="auto"/>
        <w:ind w:firstLine="391" w:firstLineChars="177"/>
        <w:rPr>
          <w:rFonts w:hint="eastAsia" w:ascii="宋体" w:hAnsi="宋体" w:eastAsia="宋体" w:cs="宋体"/>
          <w:b/>
          <w:color w:val="000000"/>
          <w:sz w:val="22"/>
          <w:szCs w:val="22"/>
        </w:rPr>
      </w:pPr>
      <w:r>
        <w:rPr>
          <w:rFonts w:hint="eastAsia" w:ascii="宋体" w:hAnsi="宋体" w:eastAsia="宋体" w:cs="宋体"/>
          <w:b/>
          <w:color w:val="000000"/>
          <w:sz w:val="22"/>
          <w:szCs w:val="22"/>
        </w:rPr>
        <w:t>1.1 采购组织机构将按照</w:t>
      </w:r>
      <w:r>
        <w:rPr>
          <w:rFonts w:hint="eastAsia" w:ascii="宋体" w:hAnsi="宋体" w:eastAsia="宋体" w:cs="宋体"/>
          <w:b/>
          <w:color w:val="000000"/>
          <w:sz w:val="22"/>
          <w:szCs w:val="22"/>
          <w:lang w:eastAsia="zh-CN"/>
        </w:rPr>
        <w:t>采购文件</w:t>
      </w:r>
      <w:r>
        <w:rPr>
          <w:rFonts w:hint="eastAsia" w:ascii="宋体" w:hAnsi="宋体" w:eastAsia="宋体" w:cs="宋体"/>
          <w:b/>
          <w:color w:val="000000"/>
          <w:sz w:val="22"/>
          <w:szCs w:val="22"/>
        </w:rPr>
        <w:t>规定的时间通过“政府采购云平台”组织开标、开启</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，所有供应商均应当准时在线参加。</w:t>
      </w:r>
    </w:p>
    <w:p w14:paraId="416292E4">
      <w:pPr>
        <w:pStyle w:val="10"/>
        <w:tabs>
          <w:tab w:val="left" w:pos="720"/>
          <w:tab w:val="clear" w:pos="3600"/>
        </w:tabs>
        <w:spacing w:before="0" w:after="0"/>
        <w:ind w:left="720" w:hanging="720"/>
        <w:jc w:val="both"/>
        <w:rPr>
          <w:rFonts w:hint="eastAsia" w:ascii="宋体" w:hAnsi="宋体" w:eastAsia="宋体" w:cs="宋体"/>
          <w:sz w:val="22"/>
          <w:szCs w:val="22"/>
        </w:rPr>
      </w:pPr>
      <w:bookmarkStart w:id="71" w:name="_Toc30762"/>
      <w:bookmarkStart w:id="72" w:name="_Toc12169"/>
      <w:r>
        <w:rPr>
          <w:rFonts w:hint="eastAsia" w:ascii="宋体" w:hAnsi="宋体" w:eastAsia="宋体" w:cs="宋体"/>
          <w:sz w:val="22"/>
          <w:szCs w:val="22"/>
        </w:rPr>
        <w:t>2、开标准备</w:t>
      </w:r>
      <w:bookmarkEnd w:id="71"/>
      <w:bookmarkEnd w:id="72"/>
    </w:p>
    <w:p w14:paraId="3808BAF5">
      <w:pPr>
        <w:spacing w:line="360" w:lineRule="auto"/>
        <w:ind w:firstLine="387" w:firstLineChars="176"/>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2.1开标的准备工作由采购组织机构负责落实；</w:t>
      </w:r>
    </w:p>
    <w:p w14:paraId="467B9FAA">
      <w:pPr>
        <w:spacing w:line="360" w:lineRule="auto"/>
        <w:ind w:firstLine="387" w:firstLineChars="176"/>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r>
        <w:rPr>
          <w:rFonts w:hint="eastAsia" w:ascii="宋体" w:hAnsi="宋体" w:eastAsia="宋体" w:cs="宋体"/>
          <w:b/>
          <w:color w:val="000000"/>
          <w:sz w:val="22"/>
          <w:szCs w:val="22"/>
        </w:rPr>
        <w:t>采购组织机构将按照</w:t>
      </w:r>
      <w:r>
        <w:rPr>
          <w:rFonts w:hint="eastAsia" w:ascii="宋体" w:hAnsi="宋体" w:eastAsia="宋体" w:cs="宋体"/>
          <w:b/>
          <w:color w:val="000000"/>
          <w:sz w:val="22"/>
          <w:szCs w:val="22"/>
          <w:lang w:eastAsia="zh-CN"/>
        </w:rPr>
        <w:t>采购文件</w:t>
      </w:r>
      <w:r>
        <w:rPr>
          <w:rFonts w:hint="eastAsia" w:ascii="宋体" w:hAnsi="宋体" w:eastAsia="宋体" w:cs="宋体"/>
          <w:b/>
          <w:color w:val="000000"/>
          <w:sz w:val="22"/>
          <w:szCs w:val="22"/>
        </w:rPr>
        <w:t>规定的时间通过“政府采购云平台”组织开标、开启</w:t>
      </w:r>
      <w:r>
        <w:rPr>
          <w:rFonts w:hint="eastAsia" w:ascii="宋体" w:hAnsi="宋体" w:eastAsia="宋体" w:cs="宋体"/>
          <w:b/>
          <w:color w:val="000000"/>
          <w:sz w:val="22"/>
          <w:szCs w:val="22"/>
          <w:lang w:eastAsia="zh-CN"/>
        </w:rPr>
        <w:t>投标响应文件</w:t>
      </w:r>
      <w:r>
        <w:rPr>
          <w:rFonts w:hint="eastAsia" w:ascii="宋体" w:hAnsi="宋体" w:eastAsia="宋体" w:cs="宋体"/>
          <w:b/>
          <w:color w:val="000000"/>
          <w:sz w:val="22"/>
          <w:szCs w:val="22"/>
        </w:rPr>
        <w:t>，所有供应商均应当准时在线参加。</w:t>
      </w:r>
      <w:r>
        <w:rPr>
          <w:rFonts w:hint="eastAsia" w:ascii="宋体" w:hAnsi="宋体" w:eastAsia="宋体" w:cs="宋体"/>
          <w:b/>
          <w:color w:val="000000"/>
          <w:kern w:val="0"/>
          <w:sz w:val="22"/>
          <w:szCs w:val="22"/>
        </w:rPr>
        <w:t>投标供应商如不参加开标大会的，视同认可开标结果，事后不得对采购相关人员、开标过程和开标结果提出异议，同时投标供应商因未在线参加开标而导致</w:t>
      </w:r>
      <w:r>
        <w:rPr>
          <w:rFonts w:hint="eastAsia" w:ascii="宋体" w:hAnsi="宋体" w:eastAsia="宋体" w:cs="宋体"/>
          <w:b/>
          <w:color w:val="000000"/>
          <w:kern w:val="0"/>
          <w:sz w:val="22"/>
          <w:szCs w:val="22"/>
          <w:lang w:eastAsia="zh-CN"/>
        </w:rPr>
        <w:t>投标响应文件</w:t>
      </w:r>
      <w:r>
        <w:rPr>
          <w:rFonts w:hint="eastAsia" w:ascii="宋体" w:hAnsi="宋体" w:eastAsia="宋体" w:cs="宋体"/>
          <w:b/>
          <w:color w:val="000000"/>
          <w:kern w:val="0"/>
          <w:sz w:val="22"/>
          <w:szCs w:val="22"/>
        </w:rPr>
        <w:t>无法按时解密等一切后果由供应商自己承担。</w:t>
      </w:r>
    </w:p>
    <w:p w14:paraId="30590397">
      <w:pPr>
        <w:pStyle w:val="10"/>
        <w:tabs>
          <w:tab w:val="left" w:pos="720"/>
          <w:tab w:val="clear" w:pos="3600"/>
        </w:tabs>
        <w:spacing w:before="0" w:after="0"/>
        <w:ind w:left="720" w:hanging="720"/>
        <w:jc w:val="both"/>
        <w:rPr>
          <w:rFonts w:hint="eastAsia" w:ascii="宋体" w:hAnsi="宋体" w:eastAsia="宋体" w:cs="宋体"/>
          <w:sz w:val="22"/>
          <w:szCs w:val="22"/>
        </w:rPr>
      </w:pPr>
      <w:bookmarkStart w:id="73" w:name="_Toc2866"/>
      <w:bookmarkStart w:id="74" w:name="_Toc16227"/>
      <w:r>
        <w:rPr>
          <w:rFonts w:hint="eastAsia" w:ascii="宋体" w:hAnsi="宋体" w:eastAsia="宋体" w:cs="宋体"/>
          <w:sz w:val="22"/>
          <w:szCs w:val="22"/>
        </w:rPr>
        <w:t>3、开标流程（</w:t>
      </w:r>
      <w:r>
        <w:rPr>
          <w:rFonts w:hint="eastAsia" w:ascii="宋体" w:hAnsi="宋体" w:eastAsia="宋体" w:cs="宋体"/>
          <w:sz w:val="22"/>
          <w:szCs w:val="22"/>
          <w:lang w:val="en-US" w:eastAsia="zh-CN"/>
        </w:rPr>
        <w:t>三</w:t>
      </w:r>
      <w:r>
        <w:rPr>
          <w:rFonts w:hint="eastAsia" w:ascii="宋体" w:hAnsi="宋体" w:eastAsia="宋体" w:cs="宋体"/>
          <w:sz w:val="22"/>
          <w:szCs w:val="22"/>
        </w:rPr>
        <w:t>阶段）</w:t>
      </w:r>
      <w:bookmarkEnd w:id="73"/>
      <w:bookmarkEnd w:id="74"/>
    </w:p>
    <w:p w14:paraId="41C306EF">
      <w:pPr>
        <w:spacing w:line="360" w:lineRule="auto"/>
        <w:ind w:firstLine="391"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3.1开标第一阶段</w:t>
      </w:r>
    </w:p>
    <w:p w14:paraId="423AEEAD">
      <w:pPr>
        <w:spacing w:line="360" w:lineRule="auto"/>
        <w:ind w:firstLine="389" w:firstLineChars="177"/>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（1）向各投标供应商发出电子加密</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【开始解密】通知，由供应商按电子加密</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【开始解密】通知规定的时间内自行进行</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解密。投标供应商在规定的时间内无法完成已递交的“电子加密</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”解密的，如已按规定递交了备份</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的，将由采购组织机构按“政府采购云平台”操作规范将备份</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上传至“政府采购云平台”，上传成功后，“电子加密</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”自动失效；</w:t>
      </w:r>
    </w:p>
    <w:p w14:paraId="1E573AEC">
      <w:pPr>
        <w:spacing w:line="360" w:lineRule="auto"/>
        <w:ind w:firstLine="389" w:firstLineChars="177"/>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解密结束，通过邮件形式发送各供应商组织签署《政府采购活动现场确认声明书》；</w:t>
      </w:r>
    </w:p>
    <w:p w14:paraId="32259408">
      <w:pPr>
        <w:spacing w:line="360" w:lineRule="auto"/>
        <w:ind w:firstLine="389" w:firstLineChars="177"/>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（3）开启</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，进入资格审查；</w:t>
      </w:r>
    </w:p>
    <w:p w14:paraId="14945799">
      <w:pPr>
        <w:spacing w:line="360" w:lineRule="auto"/>
        <w:ind w:firstLine="389" w:firstLineChars="177"/>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（4）开启资格审查通过的投标供应商的商务技术响应文件进入符合性审查、商务技术评审；</w:t>
      </w:r>
    </w:p>
    <w:p w14:paraId="46598D2B">
      <w:pPr>
        <w:spacing w:line="360" w:lineRule="auto"/>
        <w:ind w:firstLine="389" w:firstLineChars="177"/>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（5）第一阶段开标结束。</w:t>
      </w:r>
    </w:p>
    <w:p w14:paraId="4A7A073F">
      <w:pPr>
        <w:spacing w:line="360" w:lineRule="auto"/>
        <w:ind w:firstLine="391"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备注：开标大会的第一阶段，采购人或采购代理机构将对依法对投标供应商的资格进行审查，资格审查结束后进入符合性审查和商务技术的评审工作，具体见本章节“投标供应商资格审查”相关规定。</w:t>
      </w:r>
    </w:p>
    <w:p w14:paraId="6FB20D29">
      <w:pPr>
        <w:spacing w:line="360" w:lineRule="auto"/>
        <w:ind w:firstLine="391" w:firstLineChars="177"/>
        <w:jc w:val="left"/>
        <w:rPr>
          <w:rFonts w:hint="eastAsia" w:ascii="宋体" w:hAnsi="宋体" w:eastAsia="宋体" w:cs="宋体"/>
          <w:lang w:val="en-US" w:eastAsia="zh-CN"/>
        </w:rPr>
      </w:pPr>
      <w:r>
        <w:rPr>
          <w:rFonts w:hint="eastAsia" w:ascii="宋体" w:hAnsi="宋体" w:eastAsia="宋体" w:cs="宋体"/>
          <w:b/>
          <w:color w:val="000000"/>
          <w:kern w:val="0"/>
          <w:sz w:val="22"/>
          <w:szCs w:val="22"/>
          <w:lang w:val="en-US" w:eastAsia="zh-CN"/>
        </w:rPr>
        <w:t>3.2磋商顺序和方法（第二阶段）</w:t>
      </w:r>
    </w:p>
    <w:p w14:paraId="0EAD4744">
      <w:pPr>
        <w:spacing w:line="360" w:lineRule="auto"/>
        <w:ind w:firstLine="389" w:firstLineChars="177"/>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（1）由评审小组现场确定磋商顺序。</w:t>
      </w:r>
    </w:p>
    <w:p w14:paraId="7486B895">
      <w:pPr>
        <w:spacing w:line="360" w:lineRule="auto"/>
        <w:ind w:firstLine="389" w:firstLineChars="177"/>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供应商在线制作磋商响应文件时《第（一）轮报价一览表》中填写的金额与解密后“电子加密投标文件”中《第（一）轮报价一览表》填写的金额不一致的，以解密后“电子加密投标文件”中《第（一）轮报价一览表》填写的金额为准。</w:t>
      </w:r>
    </w:p>
    <w:p w14:paraId="6DC331B0">
      <w:pPr>
        <w:spacing w:line="360" w:lineRule="auto"/>
        <w:ind w:firstLine="389" w:firstLineChars="177"/>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开展磋商：评审小组所有成员集中与单一供应商分别进行磋商。磋商的内容可能涉及服务（货物或工程）要求、价格、售后服务、合同草案，采购人的权利和义务、履约期限和方式、资金支付要求、验收标准等。供应商所作的重要答复均应补充以书面形式，并经法定代表人或授权代表签署，作为响应文件的一部分，对供应商有约束力。各供应商提供的投标响应文件如已完全响应本采购文件技术和服务要求的，经采购人和评审小组认定后，不再组织逐一磋商。在磋商中，磋商的任何一方不得透露与磋商有关的其他供应商的技术资料、价格和其他信息。首次报价（首次报价将不予公开）。如评审小组成员认为供应商所提的投标响应文件已完整，无需进行磋商的，可以直接进入报价环节，不再逐一对供应商进行磋商。</w:t>
      </w:r>
    </w:p>
    <w:p w14:paraId="26FF1FA3">
      <w:pPr>
        <w:spacing w:line="360" w:lineRule="auto"/>
        <w:ind w:firstLine="389" w:firstLineChars="177"/>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为了更好地实现采购目标，评审小组可以修改竞争性磋商文件，对采购需求、合同草案作出实质性变动，并以书面形式通知所有参加磋商的供应商。供应商收到修改采购文件的通知后，可以决定是否继续参加磋商活动，如果供应商决定不继续参加磋商，可退出。</w:t>
      </w:r>
    </w:p>
    <w:p w14:paraId="690E276F">
      <w:pPr>
        <w:spacing w:line="360" w:lineRule="auto"/>
        <w:ind w:firstLine="389" w:firstLineChars="177"/>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（5）供应商应当按照采购文件的变动情况和评审小组的要求重新提交响应文件。</w:t>
      </w:r>
    </w:p>
    <w:p w14:paraId="283CBE5F">
      <w:pPr>
        <w:spacing w:line="360" w:lineRule="auto"/>
        <w:ind w:firstLine="389" w:firstLineChars="177"/>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（6）评审小组汇总并讨论审核情况，确定供应商是否继续进行磋商。</w:t>
      </w:r>
    </w:p>
    <w:p w14:paraId="121816F8">
      <w:pPr>
        <w:spacing w:line="360" w:lineRule="auto"/>
        <w:ind w:firstLine="389" w:firstLineChars="177"/>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评审小组在磋商结束后，要求所有继续参加磋商的供应商在规定时间内提交最后报价。超过规定时间提交的报价作无效处理。供应商的报价原则上不得高于上轮的报价（磋商内容变更的除外），可与上轮报价相同；未报价者，视同与上轮报价相同；</w:t>
      </w:r>
    </w:p>
    <w:p w14:paraId="6C8B03BD">
      <w:pPr>
        <w:spacing w:line="360" w:lineRule="auto"/>
        <w:ind w:firstLine="389" w:firstLineChars="177"/>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（8）如因条款变动，已提交响应文件的供应商，在提交最后报价之前，可以根据磋商情况退出磋商。</w:t>
      </w:r>
    </w:p>
    <w:p w14:paraId="7E8B0D37">
      <w:pPr>
        <w:spacing w:line="360" w:lineRule="auto"/>
        <w:ind w:firstLine="391"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3.</w:t>
      </w:r>
      <w:r>
        <w:rPr>
          <w:rFonts w:hint="eastAsia" w:ascii="宋体" w:hAnsi="宋体" w:eastAsia="宋体" w:cs="宋体"/>
          <w:b/>
          <w:color w:val="000000"/>
          <w:kern w:val="0"/>
          <w:sz w:val="22"/>
          <w:szCs w:val="22"/>
          <w:lang w:val="en-US" w:eastAsia="zh-CN"/>
        </w:rPr>
        <w:t>3</w:t>
      </w:r>
      <w:r>
        <w:rPr>
          <w:rFonts w:hint="eastAsia" w:ascii="宋体" w:hAnsi="宋体" w:eastAsia="宋体" w:cs="宋体"/>
          <w:b/>
          <w:color w:val="000000"/>
          <w:kern w:val="0"/>
          <w:sz w:val="22"/>
          <w:szCs w:val="22"/>
        </w:rPr>
        <w:t>开标大会第</w:t>
      </w:r>
      <w:r>
        <w:rPr>
          <w:rFonts w:hint="eastAsia" w:ascii="宋体" w:hAnsi="宋体" w:eastAsia="宋体" w:cs="宋体"/>
          <w:b/>
          <w:color w:val="000000"/>
          <w:kern w:val="0"/>
          <w:sz w:val="22"/>
          <w:szCs w:val="22"/>
          <w:lang w:val="en-US" w:eastAsia="zh-CN"/>
        </w:rPr>
        <w:t>三</w:t>
      </w:r>
      <w:r>
        <w:rPr>
          <w:rFonts w:hint="eastAsia" w:ascii="宋体" w:hAnsi="宋体" w:eastAsia="宋体" w:cs="宋体"/>
          <w:b/>
          <w:color w:val="000000"/>
          <w:kern w:val="0"/>
          <w:sz w:val="22"/>
          <w:szCs w:val="22"/>
        </w:rPr>
        <w:t>阶段</w:t>
      </w:r>
    </w:p>
    <w:p w14:paraId="7B29B80A">
      <w:pPr>
        <w:spacing w:line="360" w:lineRule="auto"/>
        <w:ind w:firstLine="389" w:firstLineChars="177"/>
        <w:jc w:val="left"/>
        <w:rPr>
          <w:rFonts w:hint="eastAsia" w:ascii="宋体" w:hAnsi="宋体" w:eastAsia="宋体" w:cs="宋体"/>
          <w:kern w:val="0"/>
          <w:sz w:val="22"/>
          <w:szCs w:val="22"/>
        </w:rPr>
      </w:pPr>
      <w:r>
        <w:rPr>
          <w:rFonts w:hint="eastAsia" w:ascii="宋体" w:hAnsi="宋体" w:eastAsia="宋体" w:cs="宋体"/>
          <w:kern w:val="0"/>
          <w:sz w:val="22"/>
          <w:szCs w:val="22"/>
        </w:rPr>
        <w:t>（1）符合性审查、商务技术评审结束后，举行开标大会第</w:t>
      </w:r>
      <w:r>
        <w:rPr>
          <w:rFonts w:hint="eastAsia" w:ascii="宋体" w:hAnsi="宋体" w:eastAsia="宋体" w:cs="宋体"/>
          <w:kern w:val="0"/>
          <w:sz w:val="22"/>
          <w:szCs w:val="22"/>
          <w:lang w:val="en-US" w:eastAsia="zh-CN"/>
        </w:rPr>
        <w:t>三</w:t>
      </w:r>
      <w:r>
        <w:rPr>
          <w:rFonts w:hint="eastAsia" w:ascii="宋体" w:hAnsi="宋体" w:eastAsia="宋体" w:cs="宋体"/>
          <w:kern w:val="0"/>
          <w:sz w:val="22"/>
          <w:szCs w:val="22"/>
        </w:rPr>
        <w:t>阶段会议。首先公布符合性审查、商务技术评审无效供应商名称及理由；公布经商务技术评审后有效投标供应商的名单，同时公布其商务技术部分得分情况。</w:t>
      </w:r>
    </w:p>
    <w:p w14:paraId="679B72B1">
      <w:pPr>
        <w:spacing w:line="360" w:lineRule="auto"/>
        <w:ind w:firstLine="389" w:firstLineChars="177"/>
        <w:jc w:val="left"/>
        <w:rPr>
          <w:rFonts w:hint="eastAsia" w:ascii="宋体" w:hAnsi="宋体" w:eastAsia="宋体" w:cs="宋体"/>
          <w:kern w:val="0"/>
          <w:sz w:val="22"/>
          <w:szCs w:val="22"/>
        </w:rPr>
      </w:pPr>
      <w:r>
        <w:rPr>
          <w:rFonts w:hint="eastAsia" w:ascii="宋体" w:hAnsi="宋体" w:eastAsia="宋体" w:cs="宋体"/>
          <w:kern w:val="0"/>
          <w:sz w:val="22"/>
          <w:szCs w:val="22"/>
        </w:rPr>
        <w:t>（2）开启符合性审查、商务技术评审有效</w:t>
      </w: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进入磋商</w:t>
      </w:r>
      <w:r>
        <w:rPr>
          <w:rFonts w:hint="eastAsia" w:ascii="宋体" w:hAnsi="宋体" w:eastAsia="宋体" w:cs="宋体"/>
          <w:kern w:val="0"/>
          <w:sz w:val="22"/>
          <w:szCs w:val="22"/>
        </w:rPr>
        <w:t>的</w:t>
      </w:r>
      <w:r>
        <w:rPr>
          <w:rFonts w:hint="eastAsia" w:ascii="宋体" w:hAnsi="宋体" w:eastAsia="宋体" w:cs="宋体"/>
          <w:kern w:val="0"/>
          <w:sz w:val="22"/>
          <w:szCs w:val="22"/>
          <w:lang w:val="en-US" w:eastAsia="zh-CN"/>
        </w:rPr>
        <w:t>供应商</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最后报价</w:t>
      </w:r>
      <w:r>
        <w:rPr>
          <w:rFonts w:hint="eastAsia" w:ascii="宋体" w:hAnsi="宋体" w:eastAsia="宋体" w:cs="宋体"/>
          <w:kern w:val="0"/>
          <w:sz w:val="22"/>
          <w:szCs w:val="22"/>
        </w:rPr>
        <w:t>》，公布开标一览表有关内容，同时当场制作开标记录表，供应商通过</w:t>
      </w:r>
      <w:r>
        <w:rPr>
          <w:rFonts w:hint="eastAsia" w:ascii="宋体" w:hAnsi="宋体" w:eastAsia="宋体" w:cs="宋体"/>
          <w:kern w:val="0"/>
          <w:sz w:val="22"/>
          <w:szCs w:val="22"/>
          <w:lang w:val="en-US" w:eastAsia="zh-CN"/>
        </w:rPr>
        <w:t>政采云线上投标</w:t>
      </w:r>
      <w:r>
        <w:rPr>
          <w:rFonts w:hint="eastAsia" w:ascii="宋体" w:hAnsi="宋体" w:eastAsia="宋体" w:cs="宋体"/>
          <w:kern w:val="0"/>
          <w:sz w:val="22"/>
          <w:szCs w:val="22"/>
        </w:rPr>
        <w:t>形式签字确认（不予确认的应说明理由，否则视为无异议）。唱标结束后，由评标委员会对报价的合理性、准确性等进行审查核实。</w:t>
      </w:r>
    </w:p>
    <w:p w14:paraId="63E19540">
      <w:pPr>
        <w:spacing w:line="360" w:lineRule="auto"/>
        <w:ind w:firstLine="389" w:firstLineChars="177"/>
        <w:jc w:val="left"/>
        <w:rPr>
          <w:rFonts w:hint="eastAsia" w:ascii="宋体" w:hAnsi="宋体" w:eastAsia="宋体" w:cs="宋体"/>
          <w:kern w:val="0"/>
          <w:sz w:val="22"/>
          <w:szCs w:val="22"/>
        </w:rPr>
      </w:pPr>
      <w:r>
        <w:rPr>
          <w:rFonts w:hint="eastAsia" w:ascii="宋体" w:hAnsi="宋体" w:eastAsia="宋体" w:cs="宋体"/>
          <w:kern w:val="0"/>
          <w:sz w:val="22"/>
          <w:szCs w:val="22"/>
        </w:rPr>
        <w:t>（3）评审结束后，通过</w:t>
      </w:r>
      <w:r>
        <w:rPr>
          <w:rFonts w:hint="eastAsia" w:ascii="宋体" w:hAnsi="宋体" w:eastAsia="宋体" w:cs="宋体"/>
          <w:kern w:val="0"/>
          <w:sz w:val="22"/>
          <w:szCs w:val="22"/>
          <w:lang w:val="en-US" w:eastAsia="zh-CN"/>
        </w:rPr>
        <w:t>政采云线上投标形式</w:t>
      </w:r>
      <w:r>
        <w:rPr>
          <w:rFonts w:hint="eastAsia" w:ascii="宋体" w:hAnsi="宋体" w:eastAsia="宋体" w:cs="宋体"/>
          <w:kern w:val="0"/>
          <w:sz w:val="22"/>
          <w:szCs w:val="22"/>
        </w:rPr>
        <w:t>公布中标（成交）候选供应商名单及采购人最终确定中标</w:t>
      </w:r>
      <w:r>
        <w:rPr>
          <w:rFonts w:hint="eastAsia" w:ascii="宋体" w:hAnsi="宋体" w:eastAsia="宋体" w:cs="宋体"/>
          <w:kern w:val="0"/>
          <w:sz w:val="22"/>
          <w:szCs w:val="22"/>
          <w:lang w:val="en-US" w:eastAsia="zh-CN"/>
        </w:rPr>
        <w:t>价格</w:t>
      </w:r>
      <w:r>
        <w:rPr>
          <w:rFonts w:hint="eastAsia" w:ascii="宋体" w:hAnsi="宋体" w:eastAsia="宋体" w:cs="宋体"/>
          <w:kern w:val="0"/>
          <w:sz w:val="22"/>
          <w:szCs w:val="22"/>
        </w:rPr>
        <w:t>。</w:t>
      </w:r>
    </w:p>
    <w:p w14:paraId="74EEBE09">
      <w:pPr>
        <w:spacing w:line="360" w:lineRule="auto"/>
        <w:ind w:firstLine="391"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特别说明：如遇“政府采购云平台”电子化开标或评审程序调整的，按调整后程序执行。</w:t>
      </w:r>
    </w:p>
    <w:p w14:paraId="06FE25C0">
      <w:pPr>
        <w:pStyle w:val="9"/>
        <w:tabs>
          <w:tab w:val="left" w:pos="706"/>
          <w:tab w:val="left" w:pos="1110"/>
          <w:tab w:val="clear" w:pos="576"/>
        </w:tabs>
        <w:rPr>
          <w:rFonts w:hint="eastAsia" w:ascii="宋体" w:hAnsi="宋体" w:eastAsia="宋体" w:cs="宋体"/>
          <w:color w:val="000000"/>
          <w:sz w:val="22"/>
          <w:szCs w:val="22"/>
        </w:rPr>
      </w:pPr>
      <w:bookmarkStart w:id="75" w:name="_Toc24550037"/>
      <w:bookmarkStart w:id="76" w:name="_Toc13511"/>
      <w:bookmarkStart w:id="77" w:name="_Toc25179"/>
      <w:bookmarkStart w:id="78" w:name="_Toc33194393"/>
      <w:r>
        <w:rPr>
          <w:rFonts w:hint="eastAsia" w:ascii="宋体" w:hAnsi="宋体" w:eastAsia="宋体" w:cs="宋体"/>
          <w:color w:val="000000"/>
          <w:sz w:val="22"/>
          <w:szCs w:val="22"/>
        </w:rPr>
        <w:t>4、投标供应商资格审查</w:t>
      </w:r>
      <w:bookmarkEnd w:id="75"/>
      <w:bookmarkEnd w:id="76"/>
      <w:bookmarkEnd w:id="77"/>
      <w:bookmarkEnd w:id="78"/>
    </w:p>
    <w:p w14:paraId="62F153B6">
      <w:pPr>
        <w:spacing w:line="360" w:lineRule="auto"/>
        <w:ind w:firstLine="391" w:firstLineChars="177"/>
        <w:rPr>
          <w:rFonts w:hint="eastAsia" w:ascii="宋体" w:hAnsi="宋体" w:eastAsia="宋体" w:cs="宋体"/>
          <w:color w:val="000000"/>
          <w:sz w:val="22"/>
          <w:szCs w:val="22"/>
        </w:rPr>
      </w:pPr>
      <w:r>
        <w:rPr>
          <w:rFonts w:hint="eastAsia" w:ascii="宋体" w:hAnsi="宋体" w:eastAsia="宋体" w:cs="宋体"/>
          <w:b/>
          <w:color w:val="000000"/>
          <w:sz w:val="22"/>
          <w:szCs w:val="22"/>
        </w:rPr>
        <w:t>4.1开标大会第一阶段，采购人或采购代理机构</w:t>
      </w:r>
      <w:r>
        <w:rPr>
          <w:rFonts w:hint="eastAsia" w:ascii="宋体" w:hAnsi="宋体" w:eastAsia="宋体" w:cs="宋体"/>
          <w:b/>
          <w:color w:val="000000"/>
          <w:sz w:val="22"/>
          <w:szCs w:val="22"/>
          <w:lang w:val="en-US" w:eastAsia="zh-CN"/>
        </w:rPr>
        <w:t>或评审专家</w:t>
      </w:r>
      <w:r>
        <w:rPr>
          <w:rFonts w:hint="eastAsia" w:ascii="宋体" w:hAnsi="宋体" w:eastAsia="宋体" w:cs="宋体"/>
          <w:b/>
          <w:color w:val="000000"/>
          <w:sz w:val="22"/>
          <w:szCs w:val="22"/>
        </w:rPr>
        <w:t>首先依法对各投标供应商的资格进行审查，审查各投标供应商的资格是否满足</w:t>
      </w:r>
      <w:r>
        <w:rPr>
          <w:rFonts w:hint="eastAsia" w:ascii="宋体" w:hAnsi="宋体" w:eastAsia="宋体" w:cs="宋体"/>
          <w:b/>
          <w:color w:val="000000"/>
          <w:sz w:val="22"/>
          <w:szCs w:val="22"/>
          <w:lang w:eastAsia="zh-CN"/>
        </w:rPr>
        <w:t>采购文件</w:t>
      </w:r>
      <w:r>
        <w:rPr>
          <w:rFonts w:hint="eastAsia" w:ascii="宋体" w:hAnsi="宋体" w:eastAsia="宋体" w:cs="宋体"/>
          <w:b/>
          <w:color w:val="000000"/>
          <w:sz w:val="22"/>
          <w:szCs w:val="22"/>
        </w:rPr>
        <w:t>的要求。采购人或采购代理机构</w:t>
      </w:r>
      <w:r>
        <w:rPr>
          <w:rFonts w:hint="eastAsia" w:ascii="宋体" w:hAnsi="宋体" w:eastAsia="宋体" w:cs="宋体"/>
          <w:b/>
          <w:color w:val="000000"/>
          <w:sz w:val="22"/>
          <w:szCs w:val="22"/>
          <w:lang w:val="en-US" w:eastAsia="zh-CN"/>
        </w:rPr>
        <w:t>或评审专家</w:t>
      </w:r>
      <w:r>
        <w:rPr>
          <w:rFonts w:hint="eastAsia" w:ascii="宋体" w:hAnsi="宋体" w:eastAsia="宋体" w:cs="宋体"/>
          <w:color w:val="000000"/>
          <w:sz w:val="22"/>
          <w:szCs w:val="22"/>
        </w:rPr>
        <w:t>对投标供应商所提交的资格证明材料仅负审核的责任。如发现投标供应商所提交的资格证明材料不合法或与事实不符，采购人可取消其中标资格并追究投标供应商的法律责任。</w:t>
      </w:r>
    </w:p>
    <w:p w14:paraId="45357E2B">
      <w:pPr>
        <w:spacing w:line="360" w:lineRule="auto"/>
        <w:ind w:firstLine="391" w:firstLineChars="177"/>
        <w:rPr>
          <w:rFonts w:hint="eastAsia" w:ascii="宋体" w:hAnsi="宋体" w:eastAsia="宋体" w:cs="宋体"/>
          <w:b/>
          <w:color w:val="000000"/>
          <w:kern w:val="0"/>
          <w:sz w:val="22"/>
          <w:szCs w:val="22"/>
        </w:rPr>
      </w:pPr>
      <w:r>
        <w:rPr>
          <w:rFonts w:hint="eastAsia" w:ascii="宋体" w:hAnsi="宋体" w:eastAsia="宋体" w:cs="宋体"/>
          <w:b/>
          <w:color w:val="000000"/>
          <w:sz w:val="22"/>
          <w:szCs w:val="22"/>
        </w:rPr>
        <w:t>4.2投标供应商提交的资格证明材料无法证明其符合</w:t>
      </w:r>
      <w:r>
        <w:rPr>
          <w:rFonts w:hint="eastAsia" w:ascii="宋体" w:hAnsi="宋体" w:eastAsia="宋体" w:cs="宋体"/>
          <w:b/>
          <w:color w:val="000000"/>
          <w:sz w:val="22"/>
          <w:szCs w:val="22"/>
          <w:lang w:eastAsia="zh-CN"/>
        </w:rPr>
        <w:t>采购文件</w:t>
      </w:r>
      <w:r>
        <w:rPr>
          <w:rFonts w:hint="eastAsia" w:ascii="宋体" w:hAnsi="宋体" w:eastAsia="宋体" w:cs="宋体"/>
          <w:b/>
          <w:color w:val="000000"/>
          <w:sz w:val="22"/>
          <w:szCs w:val="22"/>
        </w:rPr>
        <w:t>规定的“投标供应商资格要求”的，采购人或采购代理机构</w:t>
      </w:r>
      <w:r>
        <w:rPr>
          <w:rFonts w:hint="eastAsia" w:ascii="宋体" w:hAnsi="宋体" w:eastAsia="宋体" w:cs="宋体"/>
          <w:b/>
          <w:color w:val="000000"/>
          <w:kern w:val="0"/>
          <w:sz w:val="22"/>
          <w:szCs w:val="22"/>
        </w:rPr>
        <w:t>将对其作资格审查不通过处理（无效投标），并不再将其投标提交评标委员会进行后续评审。对未通过资格审查的供应商，采购人或采购机构通过电子邮件的形式告知其未通过的原因。</w:t>
      </w:r>
    </w:p>
    <w:p w14:paraId="2CAFBF5E">
      <w:pPr>
        <w:spacing w:line="360" w:lineRule="auto"/>
        <w:ind w:firstLine="391" w:firstLineChars="177"/>
        <w:rPr>
          <w:rFonts w:hint="eastAsia" w:ascii="宋体" w:hAnsi="宋体" w:eastAsia="宋体" w:cs="宋体"/>
          <w:b/>
          <w:color w:val="000000"/>
          <w:kern w:val="0"/>
          <w:sz w:val="22"/>
          <w:szCs w:val="22"/>
        </w:rPr>
      </w:pPr>
      <w:r>
        <w:rPr>
          <w:rFonts w:hint="eastAsia" w:ascii="宋体" w:hAnsi="宋体" w:eastAsia="宋体" w:cs="宋体"/>
          <w:b/>
          <w:color w:val="000000"/>
          <w:sz w:val="22"/>
          <w:szCs w:val="22"/>
        </w:rPr>
        <w:t>4</w:t>
      </w:r>
      <w:r>
        <w:rPr>
          <w:rFonts w:hint="eastAsia" w:ascii="宋体" w:hAnsi="宋体" w:eastAsia="宋体" w:cs="宋体"/>
          <w:b/>
          <w:color w:val="000000"/>
          <w:kern w:val="0"/>
          <w:sz w:val="22"/>
          <w:szCs w:val="22"/>
        </w:rPr>
        <w:t>.3单位负责人为同一人或者存在直接控股、管理关系的不同供应商参加同一合同项下的政府采购活动的，相关投标供应商均作资格无效处理。</w:t>
      </w:r>
    </w:p>
    <w:p w14:paraId="70748A1B">
      <w:pPr>
        <w:pStyle w:val="24"/>
        <w:spacing w:line="360" w:lineRule="auto"/>
        <w:ind w:left="0" w:firstLine="0" w:firstLineChars="0"/>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 xml:space="preserve">   4.4 </w:t>
      </w:r>
      <w:r>
        <w:rPr>
          <w:rFonts w:hint="eastAsia" w:ascii="宋体" w:hAnsi="宋体" w:eastAsia="宋体" w:cs="宋体"/>
          <w:b/>
          <w:color w:val="000000"/>
          <w:kern w:val="0"/>
          <w:sz w:val="22"/>
          <w:szCs w:val="22"/>
          <w:lang w:val="en-US" w:eastAsia="zh-CN"/>
        </w:rPr>
        <w:t>本项目</w:t>
      </w:r>
      <w:r>
        <w:rPr>
          <w:rFonts w:hint="eastAsia" w:ascii="宋体" w:hAnsi="宋体" w:eastAsia="宋体" w:cs="宋体"/>
          <w:b/>
          <w:color w:val="000000"/>
          <w:kern w:val="0"/>
          <w:sz w:val="22"/>
          <w:szCs w:val="22"/>
        </w:rPr>
        <w:t>合格供应商不足</w:t>
      </w:r>
      <w:r>
        <w:rPr>
          <w:rFonts w:hint="eastAsia" w:ascii="宋体" w:hAnsi="宋体" w:eastAsia="宋体" w:cs="宋体"/>
          <w:b/>
          <w:color w:val="000000"/>
          <w:kern w:val="0"/>
          <w:sz w:val="22"/>
          <w:szCs w:val="22"/>
          <w:lang w:val="en-US" w:eastAsia="zh-CN"/>
        </w:rPr>
        <w:t>法定家数</w:t>
      </w:r>
      <w:r>
        <w:rPr>
          <w:rFonts w:hint="eastAsia" w:ascii="宋体" w:hAnsi="宋体" w:eastAsia="宋体" w:cs="宋体"/>
          <w:b/>
          <w:color w:val="000000"/>
          <w:kern w:val="0"/>
          <w:sz w:val="22"/>
          <w:szCs w:val="22"/>
        </w:rPr>
        <w:t>的，不再评标。</w:t>
      </w:r>
      <w:bookmarkStart w:id="79" w:name="_Toc412730343"/>
      <w:bookmarkStart w:id="80" w:name="_Toc462229101"/>
    </w:p>
    <w:p w14:paraId="1B2CE56C">
      <w:pPr>
        <w:pStyle w:val="24"/>
        <w:spacing w:line="360" w:lineRule="auto"/>
        <w:ind w:left="0" w:firstLine="0" w:firstLineChars="0"/>
        <w:rPr>
          <w:rFonts w:hint="eastAsia" w:ascii="宋体" w:hAnsi="宋体" w:eastAsia="宋体" w:cs="宋体"/>
          <w:b/>
          <w:color w:val="000000"/>
          <w:kern w:val="0"/>
          <w:sz w:val="22"/>
          <w:szCs w:val="22"/>
        </w:rPr>
      </w:pPr>
    </w:p>
    <w:bookmarkEnd w:id="79"/>
    <w:bookmarkEnd w:id="80"/>
    <w:p w14:paraId="672DE9B9">
      <w:pPr>
        <w:snapToGrid w:val="0"/>
        <w:spacing w:line="360" w:lineRule="auto"/>
        <w:outlineLvl w:val="1"/>
        <w:rPr>
          <w:rFonts w:hint="eastAsia" w:ascii="宋体" w:hAnsi="宋体" w:eastAsia="宋体" w:cs="宋体"/>
          <w:b/>
          <w:color w:val="000000"/>
          <w:sz w:val="22"/>
          <w:szCs w:val="22"/>
        </w:rPr>
      </w:pPr>
      <w:bookmarkStart w:id="81" w:name="_Toc28511"/>
      <w:bookmarkStart w:id="82" w:name="_Toc32614"/>
      <w:r>
        <w:rPr>
          <w:rFonts w:hint="eastAsia" w:ascii="宋体" w:hAnsi="宋体" w:eastAsia="宋体" w:cs="宋体"/>
          <w:b/>
          <w:color w:val="000000"/>
          <w:sz w:val="22"/>
          <w:szCs w:val="22"/>
        </w:rPr>
        <w:t>5、评标</w:t>
      </w:r>
      <w:bookmarkEnd w:id="81"/>
      <w:bookmarkEnd w:id="82"/>
    </w:p>
    <w:p w14:paraId="082D5526">
      <w:pPr>
        <w:pStyle w:val="10"/>
        <w:tabs>
          <w:tab w:val="left" w:pos="720"/>
          <w:tab w:val="clear" w:pos="3600"/>
        </w:tabs>
        <w:spacing w:before="0" w:after="0"/>
        <w:ind w:left="720" w:hanging="720"/>
        <w:jc w:val="both"/>
        <w:rPr>
          <w:rFonts w:hint="eastAsia" w:ascii="宋体" w:hAnsi="宋体" w:eastAsia="宋体" w:cs="宋体"/>
          <w:sz w:val="22"/>
          <w:szCs w:val="22"/>
        </w:rPr>
      </w:pPr>
      <w:bookmarkStart w:id="83" w:name="_Toc15224"/>
      <w:bookmarkStart w:id="84" w:name="_Toc24037"/>
      <w:r>
        <w:rPr>
          <w:rFonts w:hint="eastAsia" w:ascii="宋体" w:hAnsi="宋体" w:eastAsia="宋体" w:cs="宋体"/>
          <w:sz w:val="22"/>
          <w:szCs w:val="22"/>
        </w:rPr>
        <w:t>（一）评审工作的组织</w:t>
      </w:r>
      <w:bookmarkEnd w:id="83"/>
      <w:bookmarkEnd w:id="84"/>
    </w:p>
    <w:p w14:paraId="7CAB73D5">
      <w:pPr>
        <w:spacing w:line="360" w:lineRule="auto"/>
        <w:ind w:firstLine="387" w:firstLineChars="176"/>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采购人或采购代理机构负责组织本项目的评审工作，并依据《政府采购竞争性磋商采购方式管理暂行办法》</w:t>
      </w:r>
      <w:r>
        <w:rPr>
          <w:rFonts w:hint="eastAsia" w:ascii="宋体" w:hAnsi="宋体" w:eastAsia="宋体" w:cs="宋体"/>
          <w:color w:val="000000"/>
          <w:kern w:val="0"/>
          <w:sz w:val="22"/>
          <w:szCs w:val="22"/>
          <w:lang w:val="en-US" w:eastAsia="zh-CN"/>
        </w:rPr>
        <w:t>和</w:t>
      </w:r>
      <w:r>
        <w:rPr>
          <w:rFonts w:hint="eastAsia" w:ascii="宋体" w:hAnsi="宋体" w:eastAsia="宋体" w:cs="宋体"/>
          <w:color w:val="000000"/>
          <w:kern w:val="0"/>
          <w:sz w:val="22"/>
          <w:szCs w:val="22"/>
        </w:rPr>
        <w:t>《政府采购货物和服务招标投标管理办法（财政部第87号令）》第四十五条的相关规定履行职责。</w:t>
      </w:r>
    </w:p>
    <w:p w14:paraId="16FCAB06">
      <w:pPr>
        <w:pStyle w:val="10"/>
        <w:tabs>
          <w:tab w:val="left" w:pos="720"/>
          <w:tab w:val="clear" w:pos="3600"/>
        </w:tabs>
        <w:spacing w:before="0" w:after="0"/>
        <w:ind w:left="720" w:hanging="720"/>
        <w:jc w:val="both"/>
        <w:rPr>
          <w:rFonts w:hint="eastAsia" w:ascii="宋体" w:hAnsi="宋体" w:eastAsia="宋体" w:cs="宋体"/>
          <w:sz w:val="22"/>
          <w:szCs w:val="22"/>
        </w:rPr>
      </w:pPr>
      <w:bookmarkStart w:id="85" w:name="_Toc16126"/>
      <w:bookmarkStart w:id="86" w:name="_Toc2553"/>
      <w:r>
        <w:rPr>
          <w:rFonts w:hint="eastAsia" w:ascii="宋体" w:hAnsi="宋体" w:eastAsia="宋体" w:cs="宋体"/>
          <w:sz w:val="22"/>
          <w:szCs w:val="22"/>
        </w:rPr>
        <w:t>（二）评标委员会的组建</w:t>
      </w:r>
      <w:bookmarkEnd w:id="85"/>
      <w:bookmarkEnd w:id="86"/>
    </w:p>
    <w:p w14:paraId="13F93AC8">
      <w:pPr>
        <w:spacing w:line="360" w:lineRule="auto"/>
        <w:ind w:firstLine="387" w:firstLineChars="176"/>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1）评标委员会由采购人或采购代理机构依法组建，成员包括采购人代表和评审专家，成员人数为</w:t>
      </w:r>
      <w:r>
        <w:rPr>
          <w:rFonts w:hint="eastAsia" w:ascii="宋体" w:hAnsi="宋体" w:eastAsia="宋体" w:cs="宋体"/>
          <w:color w:val="000000"/>
          <w:kern w:val="0"/>
          <w:sz w:val="22"/>
          <w:szCs w:val="22"/>
          <w:lang w:val="en-US" w:eastAsia="zh-CN"/>
        </w:rPr>
        <w:t>三</w:t>
      </w:r>
      <w:r>
        <w:rPr>
          <w:rFonts w:hint="eastAsia" w:ascii="宋体" w:hAnsi="宋体" w:eastAsia="宋体" w:cs="宋体"/>
          <w:color w:val="000000"/>
          <w:kern w:val="0"/>
          <w:sz w:val="22"/>
          <w:szCs w:val="22"/>
        </w:rPr>
        <w:t>人或以上单数，其中评审专家不少于成员总数的三分之二。</w:t>
      </w:r>
    </w:p>
    <w:p w14:paraId="5719FF09">
      <w:pPr>
        <w:spacing w:line="360" w:lineRule="auto"/>
        <w:ind w:firstLine="387" w:firstLineChars="176"/>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2）评标委员会成员名单在评审结果（采购结果）公告前保密。</w:t>
      </w:r>
    </w:p>
    <w:p w14:paraId="552F5691">
      <w:pPr>
        <w:pStyle w:val="10"/>
        <w:tabs>
          <w:tab w:val="left" w:pos="720"/>
          <w:tab w:val="clear" w:pos="3600"/>
        </w:tabs>
        <w:spacing w:before="0" w:after="0"/>
        <w:ind w:left="720" w:hanging="720"/>
        <w:jc w:val="both"/>
        <w:rPr>
          <w:rFonts w:hint="eastAsia" w:ascii="宋体" w:hAnsi="宋体" w:eastAsia="宋体" w:cs="宋体"/>
          <w:sz w:val="22"/>
          <w:szCs w:val="22"/>
        </w:rPr>
      </w:pPr>
      <w:bookmarkStart w:id="87" w:name="_Toc10924"/>
      <w:bookmarkStart w:id="88" w:name="_Toc13749"/>
      <w:r>
        <w:rPr>
          <w:rFonts w:hint="eastAsia" w:ascii="宋体" w:hAnsi="宋体" w:eastAsia="宋体" w:cs="宋体"/>
          <w:sz w:val="22"/>
          <w:szCs w:val="22"/>
        </w:rPr>
        <w:t>（三）评标委员会的职责</w:t>
      </w:r>
      <w:bookmarkEnd w:id="87"/>
      <w:bookmarkEnd w:id="88"/>
    </w:p>
    <w:p w14:paraId="178C9123">
      <w:pPr>
        <w:spacing w:line="360" w:lineRule="auto"/>
        <w:ind w:firstLine="389" w:firstLineChars="176"/>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评标委员会负责具体评审事务，并独立履行下列职责：</w:t>
      </w:r>
    </w:p>
    <w:p w14:paraId="06051013">
      <w:pPr>
        <w:spacing w:line="360" w:lineRule="auto"/>
        <w:ind w:firstLine="387" w:firstLineChars="176"/>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（1）审查、评价</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是否符合</w:t>
      </w:r>
      <w:r>
        <w:rPr>
          <w:rFonts w:hint="eastAsia" w:ascii="宋体" w:hAnsi="宋体" w:eastAsia="宋体" w:cs="宋体"/>
          <w:color w:val="000000"/>
          <w:kern w:val="0"/>
          <w:sz w:val="22"/>
          <w:szCs w:val="22"/>
          <w:lang w:val="en-US" w:eastAsia="zh-CN"/>
        </w:rPr>
        <w:t>采购</w:t>
      </w:r>
      <w:r>
        <w:rPr>
          <w:rFonts w:hint="eastAsia" w:ascii="宋体" w:hAnsi="宋体" w:eastAsia="宋体" w:cs="宋体"/>
          <w:color w:val="000000"/>
          <w:kern w:val="0"/>
          <w:sz w:val="22"/>
          <w:szCs w:val="22"/>
        </w:rPr>
        <w:t>文件的商务、技术等实质性要求；</w:t>
      </w:r>
    </w:p>
    <w:p w14:paraId="1A293819">
      <w:pPr>
        <w:spacing w:line="360" w:lineRule="auto"/>
        <w:ind w:firstLine="387" w:firstLineChars="176"/>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（2）要求供应商对</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有关事项作出澄清或者说明；</w:t>
      </w:r>
    </w:p>
    <w:p w14:paraId="12D2E946">
      <w:pPr>
        <w:spacing w:line="360" w:lineRule="auto"/>
        <w:ind w:firstLine="387" w:firstLineChars="176"/>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（3）对</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进行比较和评价；</w:t>
      </w:r>
    </w:p>
    <w:p w14:paraId="086A7F7F">
      <w:pPr>
        <w:spacing w:line="360" w:lineRule="auto"/>
        <w:ind w:firstLine="387" w:firstLineChars="176"/>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（4）确定中标候选人名单，以及根据采购人委托直接确定中标人；</w:t>
      </w:r>
    </w:p>
    <w:p w14:paraId="5C75E546">
      <w:pPr>
        <w:spacing w:line="360" w:lineRule="auto"/>
        <w:ind w:firstLine="440" w:firstLineChars="20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（5）向采购人、采购代理机构或者有关部门报告评审中发现的违法行为。</w:t>
      </w:r>
    </w:p>
    <w:p w14:paraId="4156E12E">
      <w:pPr>
        <w:pStyle w:val="10"/>
        <w:tabs>
          <w:tab w:val="left" w:pos="720"/>
          <w:tab w:val="clear" w:pos="3600"/>
        </w:tabs>
        <w:spacing w:before="0" w:after="0"/>
        <w:ind w:left="720" w:hanging="720"/>
        <w:jc w:val="both"/>
        <w:rPr>
          <w:rFonts w:hint="eastAsia" w:ascii="宋体" w:hAnsi="宋体" w:eastAsia="宋体" w:cs="宋体"/>
          <w:sz w:val="22"/>
          <w:szCs w:val="22"/>
        </w:rPr>
      </w:pPr>
      <w:bookmarkStart w:id="89" w:name="_Toc20100"/>
      <w:bookmarkStart w:id="90" w:name="_Toc15311"/>
      <w:r>
        <w:rPr>
          <w:rFonts w:hint="eastAsia" w:ascii="宋体" w:hAnsi="宋体" w:eastAsia="宋体" w:cs="宋体"/>
          <w:sz w:val="22"/>
          <w:szCs w:val="22"/>
        </w:rPr>
        <w:t>（四）评审原则</w:t>
      </w:r>
      <w:bookmarkEnd w:id="89"/>
      <w:bookmarkEnd w:id="90"/>
    </w:p>
    <w:p w14:paraId="69E446C0">
      <w:pPr>
        <w:spacing w:line="360" w:lineRule="auto"/>
        <w:ind w:firstLine="389" w:firstLineChars="177"/>
        <w:rPr>
          <w:rFonts w:hint="eastAsia" w:ascii="宋体" w:hAnsi="宋体" w:eastAsia="宋体" w:cs="宋体"/>
          <w:color w:val="000000"/>
          <w:sz w:val="22"/>
          <w:szCs w:val="22"/>
        </w:rPr>
      </w:pPr>
      <w:r>
        <w:rPr>
          <w:rFonts w:hint="eastAsia" w:ascii="宋体" w:hAnsi="宋体" w:eastAsia="宋体" w:cs="宋体"/>
          <w:color w:val="000000"/>
          <w:sz w:val="22"/>
          <w:szCs w:val="22"/>
        </w:rPr>
        <w:t>1、评审原则：</w:t>
      </w:r>
      <w:r>
        <w:rPr>
          <w:rFonts w:hint="eastAsia" w:ascii="宋体" w:hAnsi="宋体" w:eastAsia="宋体" w:cs="宋体"/>
          <w:color w:val="000000"/>
          <w:kern w:val="0"/>
          <w:sz w:val="22"/>
          <w:szCs w:val="22"/>
        </w:rPr>
        <w:t>评标委员会</w:t>
      </w:r>
      <w:r>
        <w:rPr>
          <w:rFonts w:hint="eastAsia" w:ascii="宋体" w:hAnsi="宋体" w:eastAsia="宋体" w:cs="宋体"/>
          <w:color w:val="000000"/>
          <w:sz w:val="22"/>
          <w:szCs w:val="22"/>
        </w:rPr>
        <w:t>按照客观、公正、审慎、择优的原则，根据</w:t>
      </w:r>
      <w:r>
        <w:rPr>
          <w:rFonts w:hint="eastAsia" w:ascii="宋体" w:hAnsi="宋体" w:eastAsia="宋体" w:cs="宋体"/>
          <w:color w:val="000000"/>
          <w:sz w:val="22"/>
          <w:szCs w:val="22"/>
          <w:lang w:eastAsia="zh-CN"/>
        </w:rPr>
        <w:t>采购文件</w:t>
      </w:r>
      <w:r>
        <w:rPr>
          <w:rFonts w:hint="eastAsia" w:ascii="宋体" w:hAnsi="宋体" w:eastAsia="宋体" w:cs="宋体"/>
          <w:color w:val="000000"/>
          <w:sz w:val="22"/>
          <w:szCs w:val="22"/>
        </w:rPr>
        <w:t>规定的评审程序、评审方法和评审标准进行独立评审。</w:t>
      </w:r>
    </w:p>
    <w:p w14:paraId="4B2B0280">
      <w:pPr>
        <w:spacing w:line="360" w:lineRule="auto"/>
        <w:ind w:firstLine="389" w:firstLineChars="177"/>
        <w:rPr>
          <w:rFonts w:hint="eastAsia" w:ascii="宋体" w:hAnsi="宋体" w:eastAsia="宋体" w:cs="宋体"/>
          <w:color w:val="000000"/>
          <w:sz w:val="22"/>
          <w:szCs w:val="22"/>
        </w:rPr>
      </w:pPr>
      <w:r>
        <w:rPr>
          <w:rFonts w:hint="eastAsia" w:ascii="宋体" w:hAnsi="宋体" w:eastAsia="宋体" w:cs="宋体"/>
          <w:color w:val="000000"/>
          <w:sz w:val="22"/>
          <w:szCs w:val="22"/>
        </w:rPr>
        <w:t>2、评审工作将依据</w:t>
      </w:r>
      <w:r>
        <w:rPr>
          <w:rFonts w:hint="eastAsia" w:ascii="宋体" w:hAnsi="宋体" w:eastAsia="宋体" w:cs="宋体"/>
          <w:color w:val="000000"/>
          <w:kern w:val="0"/>
          <w:sz w:val="22"/>
          <w:szCs w:val="22"/>
          <w:lang w:eastAsia="zh-CN"/>
        </w:rPr>
        <w:t>采购文件</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及</w:t>
      </w:r>
      <w:r>
        <w:rPr>
          <w:rFonts w:hint="eastAsia" w:ascii="宋体" w:hAnsi="宋体" w:eastAsia="宋体" w:cs="宋体"/>
          <w:color w:val="000000"/>
          <w:kern w:val="0"/>
          <w:sz w:val="22"/>
          <w:szCs w:val="22"/>
          <w:lang w:eastAsia="zh-CN"/>
        </w:rPr>
        <w:t>采购文件</w:t>
      </w:r>
      <w:r>
        <w:rPr>
          <w:rFonts w:hint="eastAsia" w:ascii="宋体" w:hAnsi="宋体" w:eastAsia="宋体" w:cs="宋体"/>
          <w:color w:val="000000"/>
          <w:kern w:val="0"/>
          <w:sz w:val="22"/>
          <w:szCs w:val="22"/>
        </w:rPr>
        <w:t>中事先已列明的内容进行（如现场方案讲解、演示等）。</w:t>
      </w:r>
    </w:p>
    <w:p w14:paraId="172D1CA7">
      <w:pPr>
        <w:pStyle w:val="10"/>
        <w:tabs>
          <w:tab w:val="left" w:pos="720"/>
          <w:tab w:val="clear" w:pos="3600"/>
        </w:tabs>
        <w:spacing w:before="0" w:after="0"/>
        <w:ind w:left="720" w:hanging="720"/>
        <w:jc w:val="both"/>
        <w:rPr>
          <w:rFonts w:hint="eastAsia" w:ascii="宋体" w:hAnsi="宋体" w:eastAsia="宋体" w:cs="宋体"/>
          <w:sz w:val="22"/>
          <w:szCs w:val="22"/>
        </w:rPr>
      </w:pPr>
      <w:bookmarkStart w:id="91" w:name="_Toc27716"/>
      <w:bookmarkStart w:id="92" w:name="_Toc10000"/>
      <w:r>
        <w:rPr>
          <w:rFonts w:hint="eastAsia" w:ascii="宋体" w:hAnsi="宋体" w:eastAsia="宋体" w:cs="宋体"/>
          <w:sz w:val="22"/>
          <w:szCs w:val="22"/>
        </w:rPr>
        <w:t>（五）评审意见的争议处理</w:t>
      </w:r>
      <w:bookmarkEnd w:id="91"/>
      <w:bookmarkEnd w:id="92"/>
    </w:p>
    <w:p w14:paraId="7FACCF99">
      <w:pPr>
        <w:spacing w:line="360" w:lineRule="auto"/>
        <w:ind w:firstLine="607" w:firstLineChars="276"/>
        <w:rPr>
          <w:rFonts w:hint="eastAsia" w:ascii="宋体" w:hAnsi="宋体" w:eastAsia="宋体" w:cs="宋体"/>
          <w:bCs/>
          <w:color w:val="000000"/>
          <w:sz w:val="22"/>
          <w:szCs w:val="22"/>
        </w:rPr>
      </w:pPr>
      <w:r>
        <w:rPr>
          <w:rFonts w:hint="eastAsia" w:ascii="宋体" w:hAnsi="宋体" w:eastAsia="宋体" w:cs="宋体"/>
          <w:bCs/>
          <w:color w:val="000000"/>
          <w:sz w:val="22"/>
          <w:szCs w:val="22"/>
        </w:rPr>
        <w:t>评标委员会成员对需要共同认定的事项存在争议的，按照少数服从多数的原则作出结论。持不同意见的评标委员会成员应当在评审报告上签署不同意见及理由，否则视为同意评审报告。</w:t>
      </w:r>
    </w:p>
    <w:p w14:paraId="2E3CA51E">
      <w:pPr>
        <w:pStyle w:val="10"/>
        <w:tabs>
          <w:tab w:val="left" w:pos="720"/>
          <w:tab w:val="clear" w:pos="3600"/>
        </w:tabs>
        <w:spacing w:before="0" w:after="0"/>
        <w:ind w:left="720" w:hanging="720"/>
        <w:jc w:val="both"/>
        <w:rPr>
          <w:rFonts w:hint="eastAsia" w:ascii="宋体" w:hAnsi="宋体" w:eastAsia="宋体" w:cs="宋体"/>
          <w:sz w:val="22"/>
          <w:szCs w:val="22"/>
        </w:rPr>
      </w:pPr>
      <w:bookmarkStart w:id="93" w:name="_Toc30657"/>
      <w:bookmarkStart w:id="94" w:name="_Toc26094"/>
      <w:r>
        <w:rPr>
          <w:rFonts w:hint="eastAsia" w:ascii="宋体" w:hAnsi="宋体" w:eastAsia="宋体" w:cs="宋体"/>
          <w:sz w:val="22"/>
          <w:szCs w:val="22"/>
        </w:rPr>
        <w:t>（六）评委纪律</w:t>
      </w:r>
      <w:bookmarkEnd w:id="93"/>
      <w:bookmarkEnd w:id="94"/>
    </w:p>
    <w:p w14:paraId="2970E327">
      <w:pPr>
        <w:spacing w:line="360" w:lineRule="auto"/>
        <w:ind w:firstLine="389" w:firstLineChars="177"/>
        <w:rPr>
          <w:rFonts w:hint="eastAsia" w:ascii="宋体" w:hAnsi="宋体" w:eastAsia="宋体" w:cs="宋体"/>
          <w:color w:val="000000"/>
          <w:kern w:val="0"/>
          <w:sz w:val="22"/>
          <w:szCs w:val="22"/>
        </w:rPr>
      </w:pPr>
      <w:r>
        <w:rPr>
          <w:rFonts w:hint="eastAsia" w:ascii="宋体" w:hAnsi="宋体" w:eastAsia="宋体" w:cs="宋体"/>
          <w:color w:val="000000"/>
          <w:sz w:val="22"/>
          <w:szCs w:val="22"/>
        </w:rPr>
        <w:t>评标委员会成员必须严格遵守保密规定，不得泄露评审的有关情况</w:t>
      </w:r>
      <w:r>
        <w:rPr>
          <w:rFonts w:hint="eastAsia" w:ascii="宋体" w:hAnsi="宋体" w:eastAsia="宋体" w:cs="宋体"/>
          <w:color w:val="000000"/>
          <w:kern w:val="0"/>
          <w:sz w:val="22"/>
          <w:szCs w:val="22"/>
        </w:rPr>
        <w:t>，任何单位和个人不得干扰、影响评标的正常进行，评标委员会成员不得私下与投标供应商接触，不得出现《浙江省政府采购活动现场组织管理办法》中规定的其他禁止行为。</w:t>
      </w:r>
    </w:p>
    <w:p w14:paraId="6D4042D8">
      <w:pPr>
        <w:pStyle w:val="9"/>
        <w:tabs>
          <w:tab w:val="left" w:pos="706"/>
          <w:tab w:val="left" w:pos="1110"/>
          <w:tab w:val="clear" w:pos="576"/>
        </w:tabs>
        <w:rPr>
          <w:rFonts w:hint="eastAsia" w:ascii="宋体" w:hAnsi="宋体" w:eastAsia="宋体" w:cs="宋体"/>
          <w:b/>
          <w:bCs/>
          <w:color w:val="000000"/>
          <w:sz w:val="22"/>
          <w:szCs w:val="22"/>
        </w:rPr>
      </w:pPr>
      <w:bookmarkStart w:id="95" w:name="_Toc24550043"/>
      <w:bookmarkStart w:id="96" w:name="_Toc33194395"/>
      <w:bookmarkStart w:id="97" w:name="_Toc17149"/>
      <w:bookmarkStart w:id="98" w:name="_Toc7645"/>
      <w:r>
        <w:rPr>
          <w:rFonts w:hint="eastAsia" w:ascii="宋体" w:hAnsi="宋体" w:eastAsia="宋体" w:cs="宋体"/>
          <w:b/>
          <w:bCs/>
          <w:color w:val="000000"/>
          <w:sz w:val="22"/>
          <w:szCs w:val="22"/>
        </w:rPr>
        <w:t>（七）</w:t>
      </w:r>
      <w:bookmarkEnd w:id="95"/>
      <w:bookmarkStart w:id="99" w:name="_Toc24550044"/>
      <w:r>
        <w:rPr>
          <w:rFonts w:hint="eastAsia" w:ascii="宋体" w:hAnsi="宋体" w:eastAsia="宋体" w:cs="宋体"/>
          <w:b/>
          <w:bCs/>
          <w:color w:val="000000"/>
          <w:sz w:val="22"/>
          <w:szCs w:val="22"/>
        </w:rPr>
        <w:t>评审流程及内容</w:t>
      </w:r>
      <w:bookmarkEnd w:id="96"/>
      <w:bookmarkEnd w:id="97"/>
      <w:bookmarkEnd w:id="98"/>
      <w:bookmarkEnd w:id="99"/>
    </w:p>
    <w:p w14:paraId="5D5F419B">
      <w:pPr>
        <w:spacing w:line="360" w:lineRule="auto"/>
        <w:ind w:firstLine="389" w:firstLineChars="176"/>
        <w:rPr>
          <w:rFonts w:hint="eastAsia" w:ascii="宋体" w:hAnsi="宋体" w:eastAsia="宋体" w:cs="宋体"/>
          <w:color w:val="000000"/>
          <w:sz w:val="22"/>
          <w:szCs w:val="22"/>
        </w:rPr>
      </w:pPr>
      <w:r>
        <w:rPr>
          <w:rFonts w:hint="eastAsia" w:ascii="宋体" w:hAnsi="宋体" w:eastAsia="宋体" w:cs="宋体"/>
          <w:b/>
          <w:color w:val="000000"/>
          <w:kern w:val="0"/>
          <w:sz w:val="22"/>
          <w:szCs w:val="22"/>
        </w:rPr>
        <w:t>本项目具体的评审事务由评标委员会负责，评审流程及内容如下：</w:t>
      </w:r>
    </w:p>
    <w:p w14:paraId="634B6307">
      <w:pPr>
        <w:pStyle w:val="10"/>
        <w:tabs>
          <w:tab w:val="left" w:pos="720"/>
          <w:tab w:val="clear" w:pos="3600"/>
        </w:tabs>
        <w:spacing w:before="0" w:after="0"/>
        <w:ind w:left="720" w:hanging="720"/>
        <w:jc w:val="both"/>
        <w:rPr>
          <w:rFonts w:hint="eastAsia" w:ascii="宋体" w:hAnsi="宋体" w:eastAsia="宋体" w:cs="宋体"/>
          <w:sz w:val="22"/>
          <w:szCs w:val="22"/>
        </w:rPr>
      </w:pPr>
      <w:bookmarkStart w:id="100" w:name="_Toc28217"/>
      <w:bookmarkStart w:id="101" w:name="_Toc2890"/>
      <w:r>
        <w:rPr>
          <w:rFonts w:hint="eastAsia" w:ascii="宋体" w:hAnsi="宋体" w:eastAsia="宋体" w:cs="宋体"/>
          <w:sz w:val="22"/>
          <w:szCs w:val="22"/>
        </w:rPr>
        <w:t>1 评审前准备</w:t>
      </w:r>
      <w:bookmarkEnd w:id="100"/>
      <w:bookmarkEnd w:id="101"/>
    </w:p>
    <w:p w14:paraId="7955530D">
      <w:pPr>
        <w:spacing w:line="360" w:lineRule="auto"/>
        <w:ind w:firstLine="440" w:firstLineChars="20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1.1由评审专家推选评审小组组长，采购人代表不得担任评审小组组长。</w:t>
      </w:r>
    </w:p>
    <w:p w14:paraId="24E34C8C">
      <w:pPr>
        <w:spacing w:line="360" w:lineRule="auto"/>
        <w:ind w:firstLine="389" w:firstLineChars="177"/>
        <w:rPr>
          <w:rFonts w:hint="eastAsia" w:ascii="宋体" w:hAnsi="宋体" w:eastAsia="宋体" w:cs="宋体"/>
          <w:b/>
          <w:color w:val="000000"/>
          <w:kern w:val="0"/>
          <w:sz w:val="22"/>
          <w:szCs w:val="22"/>
        </w:rPr>
      </w:pPr>
      <w:r>
        <w:rPr>
          <w:rFonts w:hint="eastAsia" w:ascii="宋体" w:hAnsi="宋体" w:eastAsia="宋体" w:cs="宋体"/>
          <w:color w:val="000000"/>
          <w:kern w:val="0"/>
          <w:sz w:val="22"/>
          <w:szCs w:val="22"/>
        </w:rPr>
        <w:t>1.2由评审小组组长（评标委员会主任委员）召集所有评委成员阅读</w:t>
      </w:r>
      <w:r>
        <w:rPr>
          <w:rFonts w:hint="eastAsia" w:ascii="宋体" w:hAnsi="宋体" w:eastAsia="宋体" w:cs="宋体"/>
          <w:color w:val="000000"/>
          <w:kern w:val="0"/>
          <w:sz w:val="22"/>
          <w:szCs w:val="22"/>
          <w:lang w:eastAsia="zh-CN"/>
        </w:rPr>
        <w:t>采购文件</w:t>
      </w:r>
      <w:r>
        <w:rPr>
          <w:rFonts w:hint="eastAsia" w:ascii="宋体" w:hAnsi="宋体" w:eastAsia="宋体" w:cs="宋体"/>
          <w:color w:val="000000"/>
          <w:kern w:val="0"/>
          <w:sz w:val="22"/>
          <w:szCs w:val="22"/>
        </w:rPr>
        <w:t>及相关补充、质疑、答复文件、项目书面说明等材料，熟悉采购项目基本情况、采购需求、合同主要条款、</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无效情形、评审办法、评审标准，以及其他与评审有关的内容。</w:t>
      </w:r>
    </w:p>
    <w:p w14:paraId="66954814">
      <w:pPr>
        <w:pStyle w:val="10"/>
        <w:tabs>
          <w:tab w:val="left" w:pos="720"/>
          <w:tab w:val="clear" w:pos="3600"/>
        </w:tabs>
        <w:spacing w:before="0" w:after="0"/>
        <w:ind w:left="720" w:hanging="720"/>
        <w:jc w:val="both"/>
        <w:rPr>
          <w:rFonts w:hint="eastAsia" w:ascii="宋体" w:hAnsi="宋体" w:eastAsia="宋体" w:cs="宋体"/>
          <w:sz w:val="22"/>
          <w:szCs w:val="22"/>
        </w:rPr>
      </w:pPr>
      <w:bookmarkStart w:id="102" w:name="_Toc20114"/>
      <w:bookmarkStart w:id="103" w:name="_Toc8154"/>
      <w:r>
        <w:rPr>
          <w:rFonts w:hint="eastAsia" w:ascii="宋体" w:hAnsi="宋体" w:eastAsia="宋体" w:cs="宋体"/>
          <w:sz w:val="22"/>
          <w:szCs w:val="22"/>
        </w:rPr>
        <w:t>2</w:t>
      </w:r>
      <w:r>
        <w:rPr>
          <w:rFonts w:hint="eastAsia" w:ascii="宋体" w:hAnsi="宋体" w:eastAsia="宋体" w:cs="宋体"/>
          <w:sz w:val="22"/>
          <w:szCs w:val="22"/>
          <w:lang w:eastAsia="zh-CN"/>
        </w:rPr>
        <w:t>投标响应文件</w:t>
      </w:r>
      <w:r>
        <w:rPr>
          <w:rFonts w:hint="eastAsia" w:ascii="宋体" w:hAnsi="宋体" w:eastAsia="宋体" w:cs="宋体"/>
          <w:sz w:val="22"/>
          <w:szCs w:val="22"/>
        </w:rPr>
        <w:t>的初步审查、符合性审查</w:t>
      </w:r>
      <w:bookmarkEnd w:id="102"/>
      <w:bookmarkEnd w:id="103"/>
    </w:p>
    <w:p w14:paraId="6FB30742">
      <w:pPr>
        <w:spacing w:line="360" w:lineRule="auto"/>
        <w:ind w:firstLine="391" w:firstLineChars="177"/>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对所有通过资格审查的投标供应商的</w:t>
      </w:r>
      <w:r>
        <w:rPr>
          <w:rFonts w:hint="eastAsia" w:ascii="宋体" w:hAnsi="宋体" w:eastAsia="宋体" w:cs="宋体"/>
          <w:b/>
          <w:color w:val="000000"/>
          <w:kern w:val="0"/>
          <w:sz w:val="22"/>
          <w:szCs w:val="22"/>
          <w:lang w:eastAsia="zh-CN"/>
        </w:rPr>
        <w:t>投标响应文件</w:t>
      </w:r>
      <w:r>
        <w:rPr>
          <w:rFonts w:hint="eastAsia" w:ascii="宋体" w:hAnsi="宋体" w:eastAsia="宋体" w:cs="宋体"/>
          <w:b/>
          <w:color w:val="000000"/>
          <w:kern w:val="0"/>
          <w:sz w:val="22"/>
          <w:szCs w:val="22"/>
        </w:rPr>
        <w:t>进行初步审查，审查、评价</w:t>
      </w:r>
      <w:r>
        <w:rPr>
          <w:rFonts w:hint="eastAsia" w:ascii="宋体" w:hAnsi="宋体" w:eastAsia="宋体" w:cs="宋体"/>
          <w:b/>
          <w:color w:val="000000"/>
          <w:kern w:val="0"/>
          <w:sz w:val="22"/>
          <w:szCs w:val="22"/>
          <w:lang w:eastAsia="zh-CN"/>
        </w:rPr>
        <w:t>投标响应文件</w:t>
      </w:r>
      <w:r>
        <w:rPr>
          <w:rFonts w:hint="eastAsia" w:ascii="宋体" w:hAnsi="宋体" w:eastAsia="宋体" w:cs="宋体"/>
          <w:b/>
          <w:color w:val="000000"/>
          <w:kern w:val="0"/>
          <w:sz w:val="22"/>
          <w:szCs w:val="22"/>
        </w:rPr>
        <w:t>是否符合</w:t>
      </w:r>
      <w:r>
        <w:rPr>
          <w:rFonts w:hint="eastAsia" w:ascii="宋体" w:hAnsi="宋体" w:eastAsia="宋体" w:cs="宋体"/>
          <w:b/>
          <w:color w:val="000000"/>
          <w:kern w:val="0"/>
          <w:sz w:val="22"/>
          <w:szCs w:val="22"/>
          <w:lang w:eastAsia="zh-CN"/>
        </w:rPr>
        <w:t>采购文件</w:t>
      </w:r>
      <w:r>
        <w:rPr>
          <w:rFonts w:hint="eastAsia" w:ascii="宋体" w:hAnsi="宋体" w:eastAsia="宋体" w:cs="宋体"/>
          <w:b/>
          <w:color w:val="000000"/>
          <w:kern w:val="0"/>
          <w:sz w:val="22"/>
          <w:szCs w:val="22"/>
        </w:rPr>
        <w:t>的商务、技术、服务等实质性要求。</w:t>
      </w:r>
    </w:p>
    <w:p w14:paraId="27CFA249">
      <w:pPr>
        <w:spacing w:line="360" w:lineRule="auto"/>
        <w:ind w:firstLine="389" w:firstLineChars="177"/>
        <w:rPr>
          <w:rFonts w:hint="eastAsia" w:ascii="宋体" w:hAnsi="宋体" w:eastAsia="宋体" w:cs="宋体"/>
          <w:color w:val="000000"/>
          <w:sz w:val="22"/>
          <w:szCs w:val="22"/>
        </w:rPr>
      </w:pPr>
      <w:r>
        <w:rPr>
          <w:rFonts w:hint="eastAsia" w:ascii="宋体" w:hAnsi="宋体" w:eastAsia="宋体" w:cs="宋体"/>
          <w:color w:val="000000"/>
          <w:sz w:val="22"/>
          <w:szCs w:val="22"/>
        </w:rPr>
        <w:t>2.1评标委员会首先对所有通过资格审查的投标供应商的</w:t>
      </w:r>
      <w:r>
        <w:rPr>
          <w:rFonts w:hint="eastAsia" w:ascii="宋体" w:hAnsi="宋体" w:eastAsia="宋体" w:cs="宋体"/>
          <w:color w:val="000000"/>
          <w:sz w:val="22"/>
          <w:szCs w:val="22"/>
          <w:lang w:eastAsia="zh-CN"/>
        </w:rPr>
        <w:t>投标响应文件</w:t>
      </w:r>
      <w:r>
        <w:rPr>
          <w:rFonts w:hint="eastAsia" w:ascii="宋体" w:hAnsi="宋体" w:eastAsia="宋体" w:cs="宋体"/>
          <w:color w:val="000000"/>
          <w:sz w:val="22"/>
          <w:szCs w:val="22"/>
        </w:rPr>
        <w:t>进行符合性审查，审查每份</w:t>
      </w:r>
      <w:r>
        <w:rPr>
          <w:rFonts w:hint="eastAsia" w:ascii="宋体" w:hAnsi="宋体" w:eastAsia="宋体" w:cs="宋体"/>
          <w:color w:val="000000"/>
          <w:sz w:val="22"/>
          <w:szCs w:val="22"/>
          <w:lang w:eastAsia="zh-CN"/>
        </w:rPr>
        <w:t>投标响应文件</w:t>
      </w:r>
      <w:r>
        <w:rPr>
          <w:rFonts w:hint="eastAsia" w:ascii="宋体" w:hAnsi="宋体" w:eastAsia="宋体" w:cs="宋体"/>
          <w:color w:val="000000"/>
          <w:sz w:val="22"/>
          <w:szCs w:val="22"/>
        </w:rPr>
        <w:t>是否实质上响应了</w:t>
      </w:r>
      <w:r>
        <w:rPr>
          <w:rFonts w:hint="eastAsia" w:ascii="宋体" w:hAnsi="宋体" w:eastAsia="宋体" w:cs="宋体"/>
          <w:color w:val="000000"/>
          <w:sz w:val="22"/>
          <w:szCs w:val="22"/>
          <w:lang w:eastAsia="zh-CN"/>
        </w:rPr>
        <w:t>采购文件</w:t>
      </w:r>
      <w:r>
        <w:rPr>
          <w:rFonts w:hint="eastAsia" w:ascii="宋体" w:hAnsi="宋体" w:eastAsia="宋体" w:cs="宋体"/>
          <w:color w:val="000000"/>
          <w:sz w:val="22"/>
          <w:szCs w:val="22"/>
        </w:rPr>
        <w:t>的要求（实质性响应的</w:t>
      </w:r>
      <w:r>
        <w:rPr>
          <w:rFonts w:hint="eastAsia" w:ascii="宋体" w:hAnsi="宋体" w:eastAsia="宋体" w:cs="宋体"/>
          <w:color w:val="000000"/>
          <w:sz w:val="22"/>
          <w:szCs w:val="22"/>
          <w:lang w:eastAsia="zh-CN"/>
        </w:rPr>
        <w:t>投标响应文件</w:t>
      </w:r>
      <w:r>
        <w:rPr>
          <w:rFonts w:hint="eastAsia" w:ascii="宋体" w:hAnsi="宋体" w:eastAsia="宋体" w:cs="宋体"/>
          <w:color w:val="000000"/>
          <w:sz w:val="22"/>
          <w:szCs w:val="22"/>
        </w:rPr>
        <w:t>是指</w:t>
      </w:r>
      <w:r>
        <w:rPr>
          <w:rFonts w:hint="eastAsia" w:ascii="宋体" w:hAnsi="宋体" w:eastAsia="宋体" w:cs="宋体"/>
          <w:color w:val="000000"/>
          <w:sz w:val="22"/>
          <w:szCs w:val="22"/>
          <w:lang w:eastAsia="zh-CN"/>
        </w:rPr>
        <w:t>投标响应文件</w:t>
      </w:r>
      <w:r>
        <w:rPr>
          <w:rFonts w:hint="eastAsia" w:ascii="宋体" w:hAnsi="宋体" w:eastAsia="宋体" w:cs="宋体"/>
          <w:color w:val="000000"/>
          <w:sz w:val="22"/>
          <w:szCs w:val="22"/>
        </w:rPr>
        <w:t>符合</w:t>
      </w:r>
      <w:r>
        <w:rPr>
          <w:rFonts w:hint="eastAsia" w:ascii="宋体" w:hAnsi="宋体" w:eastAsia="宋体" w:cs="宋体"/>
          <w:color w:val="000000"/>
          <w:sz w:val="22"/>
          <w:szCs w:val="22"/>
          <w:lang w:eastAsia="zh-CN"/>
        </w:rPr>
        <w:t>采购文件</w:t>
      </w:r>
      <w:r>
        <w:rPr>
          <w:rFonts w:hint="eastAsia" w:ascii="宋体" w:hAnsi="宋体" w:eastAsia="宋体" w:cs="宋体"/>
          <w:color w:val="000000"/>
          <w:sz w:val="22"/>
          <w:szCs w:val="22"/>
        </w:rPr>
        <w:t>规定的实质性内容、条件和规定）。</w:t>
      </w:r>
    </w:p>
    <w:p w14:paraId="04848B92">
      <w:pPr>
        <w:pStyle w:val="10"/>
        <w:tabs>
          <w:tab w:val="left" w:pos="720"/>
          <w:tab w:val="clear" w:pos="3600"/>
        </w:tabs>
        <w:spacing w:before="0" w:after="0"/>
        <w:jc w:val="both"/>
        <w:rPr>
          <w:rFonts w:hint="eastAsia" w:ascii="宋体" w:hAnsi="宋体" w:eastAsia="宋体" w:cs="宋体"/>
          <w:sz w:val="22"/>
          <w:szCs w:val="22"/>
        </w:rPr>
      </w:pPr>
      <w:bookmarkStart w:id="104" w:name="_Toc16713"/>
      <w:bookmarkStart w:id="105" w:name="_Toc8610"/>
      <w:r>
        <w:rPr>
          <w:rFonts w:hint="eastAsia" w:ascii="宋体" w:hAnsi="宋体" w:eastAsia="宋体" w:cs="宋体"/>
          <w:sz w:val="22"/>
          <w:szCs w:val="22"/>
        </w:rPr>
        <w:t xml:space="preserve">3 </w:t>
      </w:r>
      <w:r>
        <w:rPr>
          <w:rFonts w:hint="eastAsia" w:ascii="宋体" w:hAnsi="宋体" w:eastAsia="宋体" w:cs="宋体"/>
          <w:sz w:val="22"/>
          <w:szCs w:val="22"/>
          <w:lang w:eastAsia="zh-CN"/>
        </w:rPr>
        <w:t>投标响应文件</w:t>
      </w:r>
      <w:r>
        <w:rPr>
          <w:rFonts w:hint="eastAsia" w:ascii="宋体" w:hAnsi="宋体" w:eastAsia="宋体" w:cs="宋体"/>
          <w:sz w:val="22"/>
          <w:szCs w:val="22"/>
        </w:rPr>
        <w:t>的澄清、说明或补正</w:t>
      </w:r>
      <w:bookmarkEnd w:id="104"/>
      <w:bookmarkEnd w:id="105"/>
    </w:p>
    <w:p w14:paraId="21351AA3">
      <w:pPr>
        <w:spacing w:line="360" w:lineRule="auto"/>
        <w:ind w:firstLine="389" w:firstLineChars="177"/>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3.1对于</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571621B">
      <w:pPr>
        <w:spacing w:line="360" w:lineRule="auto"/>
        <w:ind w:firstLine="389" w:firstLineChars="177"/>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3.2投标供应商的澄清、说明或者补正应当采用书面（或通过“政府采购云平台”在线答复）形式提交，并加盖公章，或者由法定代表人或其授权的代表签字。投标供应商的澄清、说明或者补正不得超出</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的范围或者改变</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的实质性内容。</w:t>
      </w:r>
    </w:p>
    <w:p w14:paraId="7490CC40">
      <w:pPr>
        <w:pStyle w:val="10"/>
        <w:tabs>
          <w:tab w:val="left" w:pos="720"/>
          <w:tab w:val="clear" w:pos="3600"/>
        </w:tabs>
        <w:spacing w:before="0" w:after="0"/>
        <w:ind w:left="720" w:hanging="720"/>
        <w:jc w:val="both"/>
        <w:rPr>
          <w:rFonts w:hint="eastAsia" w:ascii="宋体" w:hAnsi="宋体" w:eastAsia="宋体" w:cs="宋体"/>
          <w:sz w:val="22"/>
          <w:szCs w:val="22"/>
        </w:rPr>
      </w:pPr>
      <w:bookmarkStart w:id="106" w:name="_Toc7863"/>
      <w:bookmarkStart w:id="107" w:name="_Toc15725"/>
      <w:r>
        <w:rPr>
          <w:rFonts w:hint="eastAsia" w:ascii="宋体" w:hAnsi="宋体" w:eastAsia="宋体" w:cs="宋体"/>
          <w:sz w:val="22"/>
          <w:szCs w:val="22"/>
        </w:rPr>
        <w:t xml:space="preserve">4 </w:t>
      </w:r>
      <w:r>
        <w:rPr>
          <w:rFonts w:hint="eastAsia" w:ascii="宋体" w:hAnsi="宋体" w:eastAsia="宋体" w:cs="宋体"/>
          <w:sz w:val="22"/>
          <w:szCs w:val="22"/>
          <w:lang w:eastAsia="zh-CN"/>
        </w:rPr>
        <w:t>投标响应文件</w:t>
      </w:r>
      <w:r>
        <w:rPr>
          <w:rFonts w:hint="eastAsia" w:ascii="宋体" w:hAnsi="宋体" w:eastAsia="宋体" w:cs="宋体"/>
          <w:sz w:val="22"/>
          <w:szCs w:val="22"/>
        </w:rPr>
        <w:t>的错误修正</w:t>
      </w:r>
      <w:bookmarkEnd w:id="106"/>
      <w:bookmarkEnd w:id="107"/>
    </w:p>
    <w:p w14:paraId="0980CAAF">
      <w:pPr>
        <w:spacing w:line="360" w:lineRule="auto"/>
        <w:ind w:firstLine="387" w:firstLineChars="175"/>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4.1</w:t>
      </w:r>
      <w:r>
        <w:rPr>
          <w:rFonts w:hint="eastAsia" w:ascii="宋体" w:hAnsi="宋体" w:eastAsia="宋体" w:cs="宋体"/>
          <w:b/>
          <w:color w:val="000000"/>
          <w:kern w:val="0"/>
          <w:sz w:val="22"/>
          <w:szCs w:val="22"/>
          <w:lang w:eastAsia="zh-CN"/>
        </w:rPr>
        <w:t>投标响应文件</w:t>
      </w:r>
      <w:r>
        <w:rPr>
          <w:rFonts w:hint="eastAsia" w:ascii="宋体" w:hAnsi="宋体" w:eastAsia="宋体" w:cs="宋体"/>
          <w:b/>
          <w:color w:val="000000"/>
          <w:kern w:val="0"/>
          <w:sz w:val="22"/>
          <w:szCs w:val="22"/>
        </w:rPr>
        <w:t>如果出现计算或表达上的错误，修正错误的原则如下：</w:t>
      </w:r>
    </w:p>
    <w:p w14:paraId="0AF36143">
      <w:pPr>
        <w:spacing w:line="360" w:lineRule="auto"/>
        <w:ind w:firstLine="385" w:firstLineChars="17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中开标一览表内容与</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中相应内容不一致的，以开标一览表为准。</w:t>
      </w:r>
    </w:p>
    <w:p w14:paraId="441F2D1D">
      <w:pPr>
        <w:spacing w:line="360" w:lineRule="auto"/>
        <w:ind w:firstLine="385" w:firstLineChars="17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的大写金额和小写金额不一致的，以大写金额为准；</w:t>
      </w:r>
    </w:p>
    <w:p w14:paraId="74D16ECD">
      <w:pPr>
        <w:spacing w:line="360" w:lineRule="auto"/>
        <w:ind w:firstLine="385" w:firstLineChars="17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（3）单价金额小数点或者百分比有明显错位的，应以开标一览表的总价为准，并修改单价；</w:t>
      </w:r>
    </w:p>
    <w:p w14:paraId="7A1B239D">
      <w:pPr>
        <w:spacing w:line="360" w:lineRule="auto"/>
        <w:ind w:firstLine="385" w:firstLineChars="17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（4）总价金额与按单价汇总金额不一致的，以单价金额计算结果为准。</w:t>
      </w:r>
    </w:p>
    <w:p w14:paraId="79CE0F5A">
      <w:pPr>
        <w:spacing w:line="360" w:lineRule="auto"/>
        <w:ind w:firstLine="605" w:firstLineChars="27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4.2对不同文字文本</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的解释发生异议的，以中文文本为准。</w:t>
      </w:r>
    </w:p>
    <w:p w14:paraId="6D22C572">
      <w:pPr>
        <w:pStyle w:val="174"/>
        <w:autoSpaceDE/>
        <w:adjustRightInd/>
        <w:snapToGrid w:val="0"/>
        <w:spacing w:before="0" w:line="360" w:lineRule="auto"/>
        <w:ind w:left="0" w:firstLine="0"/>
        <w:rPr>
          <w:rFonts w:hint="eastAsia" w:ascii="宋体" w:hAnsi="宋体" w:eastAsia="宋体" w:cs="宋体"/>
          <w:b/>
          <w:color w:val="000000"/>
          <w:kern w:val="2"/>
          <w:sz w:val="22"/>
          <w:szCs w:val="22"/>
        </w:rPr>
      </w:pPr>
      <w:r>
        <w:rPr>
          <w:rFonts w:hint="eastAsia" w:ascii="宋体" w:hAnsi="宋体" w:eastAsia="宋体" w:cs="宋体"/>
          <w:b/>
          <w:color w:val="000000"/>
          <w:kern w:val="2"/>
          <w:sz w:val="22"/>
          <w:szCs w:val="22"/>
        </w:rPr>
        <w:t>（八）</w:t>
      </w:r>
      <w:r>
        <w:rPr>
          <w:rFonts w:hint="eastAsia" w:ascii="宋体" w:hAnsi="宋体" w:eastAsia="宋体" w:cs="宋体"/>
          <w:b/>
          <w:color w:val="000000"/>
          <w:kern w:val="2"/>
          <w:sz w:val="22"/>
          <w:szCs w:val="22"/>
          <w:lang w:eastAsia="zh-CN"/>
        </w:rPr>
        <w:t>投标响应文件</w:t>
      </w:r>
      <w:r>
        <w:rPr>
          <w:rFonts w:hint="eastAsia" w:ascii="宋体" w:hAnsi="宋体" w:eastAsia="宋体" w:cs="宋体"/>
          <w:b/>
          <w:color w:val="000000"/>
          <w:kern w:val="2"/>
          <w:sz w:val="22"/>
          <w:szCs w:val="22"/>
        </w:rPr>
        <w:t>有下列情况之一者将视为无效：</w:t>
      </w:r>
    </w:p>
    <w:p w14:paraId="088E9F27">
      <w:pPr>
        <w:spacing w:line="360" w:lineRule="auto"/>
        <w:ind w:firstLine="389" w:firstLineChars="176"/>
        <w:rPr>
          <w:rFonts w:hint="eastAsia" w:ascii="宋体" w:hAnsi="宋体" w:eastAsia="宋体" w:cs="宋体"/>
          <w:b/>
          <w:color w:val="000000"/>
          <w:kern w:val="0"/>
          <w:sz w:val="22"/>
          <w:szCs w:val="22"/>
        </w:rPr>
      </w:pPr>
      <w:bookmarkStart w:id="108" w:name="_Hlk33211013"/>
      <w:r>
        <w:rPr>
          <w:rFonts w:hint="eastAsia" w:ascii="宋体" w:hAnsi="宋体" w:eastAsia="宋体" w:cs="宋体"/>
          <w:b/>
          <w:color w:val="000000"/>
          <w:kern w:val="0"/>
          <w:sz w:val="22"/>
          <w:szCs w:val="22"/>
        </w:rPr>
        <w:t>1、商务、技术文件符合性审查中，存在下列情形之一的，经评标委员会认定后作无效标处理：</w:t>
      </w:r>
    </w:p>
    <w:p w14:paraId="265FEA67">
      <w:pPr>
        <w:spacing w:line="360" w:lineRule="auto"/>
        <w:ind w:firstLine="389" w:firstLineChars="176"/>
        <w:rPr>
          <w:rFonts w:hint="eastAsia" w:ascii="宋体" w:hAnsi="宋体" w:eastAsia="宋体" w:cs="宋体"/>
          <w:b/>
          <w:color w:val="000000"/>
          <w:kern w:val="0"/>
          <w:sz w:val="22"/>
          <w:szCs w:val="22"/>
        </w:rPr>
      </w:pPr>
      <w:bookmarkStart w:id="109" w:name="_Toc33194396"/>
      <w:r>
        <w:rPr>
          <w:rFonts w:hint="eastAsia" w:ascii="宋体" w:hAnsi="宋体" w:eastAsia="宋体" w:cs="宋体"/>
          <w:b/>
          <w:color w:val="000000"/>
          <w:kern w:val="0"/>
          <w:sz w:val="22"/>
          <w:szCs w:val="22"/>
        </w:rPr>
        <w:t>（1）</w:t>
      </w:r>
      <w:r>
        <w:rPr>
          <w:rFonts w:hint="eastAsia" w:ascii="宋体" w:hAnsi="宋体" w:eastAsia="宋体" w:cs="宋体"/>
          <w:b/>
          <w:color w:val="000000"/>
          <w:kern w:val="0"/>
          <w:sz w:val="22"/>
          <w:szCs w:val="22"/>
          <w:lang w:eastAsia="zh-CN"/>
        </w:rPr>
        <w:t>投标响应文件</w:t>
      </w:r>
      <w:r>
        <w:rPr>
          <w:rFonts w:hint="eastAsia" w:ascii="宋体" w:hAnsi="宋体" w:eastAsia="宋体" w:cs="宋体"/>
          <w:b/>
          <w:color w:val="000000"/>
          <w:kern w:val="0"/>
          <w:sz w:val="22"/>
          <w:szCs w:val="22"/>
        </w:rPr>
        <w:t>未有效授权，法定代表人授权委托书等填写不完整或有涂改的；</w:t>
      </w:r>
      <w:bookmarkEnd w:id="109"/>
    </w:p>
    <w:p w14:paraId="49116FA4">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（2）</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没有对本</w:t>
      </w:r>
      <w:r>
        <w:rPr>
          <w:rFonts w:hint="eastAsia" w:ascii="宋体" w:hAnsi="宋体" w:eastAsia="宋体" w:cs="宋体"/>
          <w:b/>
          <w:sz w:val="22"/>
          <w:szCs w:val="22"/>
          <w:lang w:eastAsia="zh-CN"/>
        </w:rPr>
        <w:t>采购文件</w:t>
      </w:r>
      <w:r>
        <w:rPr>
          <w:rFonts w:hint="eastAsia" w:ascii="宋体" w:hAnsi="宋体" w:eastAsia="宋体" w:cs="宋体"/>
          <w:b/>
          <w:sz w:val="22"/>
          <w:szCs w:val="22"/>
        </w:rPr>
        <w:t>作出实质性响应的，或不满足（不响应）本</w:t>
      </w:r>
      <w:r>
        <w:rPr>
          <w:rFonts w:hint="eastAsia" w:ascii="宋体" w:hAnsi="宋体" w:eastAsia="宋体" w:cs="宋体"/>
          <w:b/>
          <w:sz w:val="22"/>
          <w:szCs w:val="22"/>
          <w:lang w:eastAsia="zh-CN"/>
        </w:rPr>
        <w:t>采购文件</w:t>
      </w:r>
      <w:r>
        <w:rPr>
          <w:rFonts w:hint="eastAsia" w:ascii="宋体" w:hAnsi="宋体" w:eastAsia="宋体" w:cs="宋体"/>
          <w:b/>
          <w:sz w:val="22"/>
          <w:szCs w:val="22"/>
        </w:rPr>
        <w:t>中标注“▲”的实质性要求条款的，或存在</w:t>
      </w:r>
      <w:r>
        <w:rPr>
          <w:rFonts w:hint="eastAsia" w:ascii="宋体" w:hAnsi="宋体" w:eastAsia="宋体" w:cs="宋体"/>
          <w:b/>
          <w:sz w:val="22"/>
          <w:szCs w:val="22"/>
          <w:lang w:eastAsia="zh-CN"/>
        </w:rPr>
        <w:t>采购文件</w:t>
      </w:r>
      <w:r>
        <w:rPr>
          <w:rFonts w:hint="eastAsia" w:ascii="宋体" w:hAnsi="宋体" w:eastAsia="宋体" w:cs="宋体"/>
          <w:b/>
          <w:sz w:val="22"/>
          <w:szCs w:val="22"/>
        </w:rPr>
        <w:t>中明确规定的其他无效标情形的；</w:t>
      </w:r>
    </w:p>
    <w:p w14:paraId="62798092">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（3）</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存在一个或一个以上备选（替代）投标方案的；</w:t>
      </w:r>
    </w:p>
    <w:p w14:paraId="1964B769">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（4）仅提交“备份</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”的；</w:t>
      </w:r>
    </w:p>
    <w:p w14:paraId="1A19D0B9">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（5）文件组成内容不齐全，本</w:t>
      </w:r>
      <w:r>
        <w:rPr>
          <w:rFonts w:hint="eastAsia" w:ascii="宋体" w:hAnsi="宋体" w:eastAsia="宋体" w:cs="宋体"/>
          <w:b/>
          <w:sz w:val="22"/>
          <w:szCs w:val="22"/>
          <w:lang w:eastAsia="zh-CN"/>
        </w:rPr>
        <w:t>采购文件</w:t>
      </w:r>
      <w:r>
        <w:rPr>
          <w:rFonts w:hint="eastAsia" w:ascii="宋体" w:hAnsi="宋体" w:eastAsia="宋体" w:cs="宋体"/>
          <w:b/>
          <w:sz w:val="22"/>
          <w:szCs w:val="22"/>
        </w:rPr>
        <w:t>规定必须提供而未提供的（属于资格审查范围的除外）；</w:t>
      </w:r>
    </w:p>
    <w:p w14:paraId="57806FB0">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（6）</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标注的响应或偏离情况与事实不符，或提供了虚假材料的；</w:t>
      </w:r>
    </w:p>
    <w:p w14:paraId="5BD42968">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（7）不响应或擅自改变本</w:t>
      </w:r>
      <w:r>
        <w:rPr>
          <w:rFonts w:hint="eastAsia" w:ascii="宋体" w:hAnsi="宋体" w:eastAsia="宋体" w:cs="宋体"/>
          <w:b/>
          <w:sz w:val="22"/>
          <w:szCs w:val="22"/>
          <w:lang w:eastAsia="zh-CN"/>
        </w:rPr>
        <w:t>采购文件</w:t>
      </w:r>
      <w:r>
        <w:rPr>
          <w:rFonts w:hint="eastAsia" w:ascii="宋体" w:hAnsi="宋体" w:eastAsia="宋体" w:cs="宋体"/>
          <w:b/>
          <w:sz w:val="22"/>
          <w:szCs w:val="22"/>
        </w:rPr>
        <w:t>要求或</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有采购人不能接受的附加条件的；</w:t>
      </w:r>
    </w:p>
    <w:p w14:paraId="4D923B11">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（8）参加同一合同项下政府采购活动的不同供应商之间存在利害关系并且存在影响政府采购公平竞争行为的；</w:t>
      </w:r>
    </w:p>
    <w:p w14:paraId="4B02C13C">
      <w:pPr>
        <w:spacing w:line="360" w:lineRule="auto"/>
        <w:ind w:firstLine="391" w:firstLineChars="177"/>
        <w:rPr>
          <w:rFonts w:hint="eastAsia" w:ascii="宋体" w:hAnsi="宋体" w:eastAsia="宋体" w:cs="宋体"/>
          <w:b/>
          <w:color w:val="000000"/>
          <w:sz w:val="22"/>
          <w:szCs w:val="22"/>
        </w:rPr>
      </w:pPr>
      <w:r>
        <w:rPr>
          <w:rFonts w:hint="eastAsia" w:ascii="宋体" w:hAnsi="宋体" w:eastAsia="宋体" w:cs="宋体"/>
          <w:b/>
          <w:sz w:val="22"/>
          <w:szCs w:val="22"/>
        </w:rPr>
        <w:t>（9）违反国家或政府部门相关法律、法规、文件规定的。</w:t>
      </w:r>
      <w:bookmarkEnd w:id="108"/>
    </w:p>
    <w:p w14:paraId="76819670">
      <w:pPr>
        <w:spacing w:line="360" w:lineRule="auto"/>
        <w:ind w:firstLine="391" w:firstLineChars="177"/>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2、报价文件符合性审查中，存在下列情形之一的，经评标委员会认定后作无效标处理：</w:t>
      </w:r>
    </w:p>
    <w:p w14:paraId="1A78C48D">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（1）</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没有对本</w:t>
      </w:r>
      <w:r>
        <w:rPr>
          <w:rFonts w:hint="eastAsia" w:ascii="宋体" w:hAnsi="宋体" w:eastAsia="宋体" w:cs="宋体"/>
          <w:b/>
          <w:sz w:val="22"/>
          <w:szCs w:val="22"/>
          <w:lang w:eastAsia="zh-CN"/>
        </w:rPr>
        <w:t>采购文件</w:t>
      </w:r>
      <w:r>
        <w:rPr>
          <w:rFonts w:hint="eastAsia" w:ascii="宋体" w:hAnsi="宋体" w:eastAsia="宋体" w:cs="宋体"/>
          <w:b/>
          <w:sz w:val="22"/>
          <w:szCs w:val="22"/>
        </w:rPr>
        <w:t>作出实质性响应的，或不满足（不响应）本</w:t>
      </w:r>
      <w:r>
        <w:rPr>
          <w:rFonts w:hint="eastAsia" w:ascii="宋体" w:hAnsi="宋体" w:eastAsia="宋体" w:cs="宋体"/>
          <w:b/>
          <w:sz w:val="22"/>
          <w:szCs w:val="22"/>
          <w:lang w:eastAsia="zh-CN"/>
        </w:rPr>
        <w:t>采购文件</w:t>
      </w:r>
      <w:r>
        <w:rPr>
          <w:rFonts w:hint="eastAsia" w:ascii="宋体" w:hAnsi="宋体" w:eastAsia="宋体" w:cs="宋体"/>
          <w:b/>
          <w:sz w:val="22"/>
          <w:szCs w:val="22"/>
        </w:rPr>
        <w:t>中标注“▲”的实质性要求条款的，或存在</w:t>
      </w:r>
      <w:r>
        <w:rPr>
          <w:rFonts w:hint="eastAsia" w:ascii="宋体" w:hAnsi="宋体" w:eastAsia="宋体" w:cs="宋体"/>
          <w:b/>
          <w:sz w:val="22"/>
          <w:szCs w:val="22"/>
          <w:lang w:eastAsia="zh-CN"/>
        </w:rPr>
        <w:t>采购文件</w:t>
      </w:r>
      <w:r>
        <w:rPr>
          <w:rFonts w:hint="eastAsia" w:ascii="宋体" w:hAnsi="宋体" w:eastAsia="宋体" w:cs="宋体"/>
          <w:b/>
          <w:sz w:val="22"/>
          <w:szCs w:val="22"/>
        </w:rPr>
        <w:t>中明确规定的其他无效标情形的；</w:t>
      </w:r>
    </w:p>
    <w:p w14:paraId="4986BAE4">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（2）</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存在一个或一个以上备选（替代）投标方案的；</w:t>
      </w:r>
    </w:p>
    <w:p w14:paraId="3A1E360A">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（3）未按照</w:t>
      </w:r>
      <w:r>
        <w:rPr>
          <w:rFonts w:hint="eastAsia" w:ascii="宋体" w:hAnsi="宋体" w:eastAsia="宋体" w:cs="宋体"/>
          <w:b/>
          <w:sz w:val="22"/>
          <w:szCs w:val="22"/>
          <w:lang w:eastAsia="zh-CN"/>
        </w:rPr>
        <w:t>采购文件</w:t>
      </w:r>
      <w:r>
        <w:rPr>
          <w:rFonts w:hint="eastAsia" w:ascii="宋体" w:hAnsi="宋体" w:eastAsia="宋体" w:cs="宋体"/>
          <w:b/>
          <w:sz w:val="22"/>
          <w:szCs w:val="22"/>
        </w:rPr>
        <w:t>标明的币种报价的，或者投标报价涵盖的内容不符合</w:t>
      </w:r>
      <w:r>
        <w:rPr>
          <w:rFonts w:hint="eastAsia" w:ascii="宋体" w:hAnsi="宋体" w:eastAsia="宋体" w:cs="宋体"/>
          <w:b/>
          <w:sz w:val="22"/>
          <w:szCs w:val="22"/>
          <w:lang w:eastAsia="zh-CN"/>
        </w:rPr>
        <w:t>采购文件</w:t>
      </w:r>
      <w:r>
        <w:rPr>
          <w:rFonts w:hint="eastAsia" w:ascii="宋体" w:hAnsi="宋体" w:eastAsia="宋体" w:cs="宋体"/>
          <w:b/>
          <w:sz w:val="22"/>
          <w:szCs w:val="22"/>
        </w:rPr>
        <w:t>要求的；</w:t>
      </w:r>
    </w:p>
    <w:p w14:paraId="70AB2BF3">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（4）《开标一览表》内容与《报价组成表》内容不一致且拒不接受修正的；</w:t>
      </w:r>
    </w:p>
    <w:p w14:paraId="519449EC">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（5）投标报价具有选择性，唱标价格与</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承诺的优惠（折扣）后价格不一致的；</w:t>
      </w:r>
    </w:p>
    <w:p w14:paraId="651429C8">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（6）投标报价超过采购预算（或最高限价）的；</w:t>
      </w:r>
    </w:p>
    <w:p w14:paraId="62C20F4F">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（7）仅提交“备份</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”的；</w:t>
      </w:r>
    </w:p>
    <w:p w14:paraId="5DA28721">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（8）</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组成内容不齐全，本</w:t>
      </w:r>
      <w:r>
        <w:rPr>
          <w:rFonts w:hint="eastAsia" w:ascii="宋体" w:hAnsi="宋体" w:eastAsia="宋体" w:cs="宋体"/>
          <w:b/>
          <w:sz w:val="22"/>
          <w:szCs w:val="22"/>
          <w:lang w:eastAsia="zh-CN"/>
        </w:rPr>
        <w:t>采购文件</w:t>
      </w:r>
      <w:r>
        <w:rPr>
          <w:rFonts w:hint="eastAsia" w:ascii="宋体" w:hAnsi="宋体" w:eastAsia="宋体" w:cs="宋体"/>
          <w:b/>
          <w:sz w:val="22"/>
          <w:szCs w:val="22"/>
        </w:rPr>
        <w:t>规定必须提供而未提供的（属于资格审查范围的除外）；</w:t>
      </w:r>
    </w:p>
    <w:p w14:paraId="2CDE70B8">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（9）</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标注的响应或偏离情况与事实不符，或提供了虚假材料的；</w:t>
      </w:r>
    </w:p>
    <w:p w14:paraId="30DA8960">
      <w:pPr>
        <w:spacing w:line="360" w:lineRule="auto"/>
        <w:ind w:firstLine="391" w:firstLineChars="177"/>
        <w:rPr>
          <w:rFonts w:hint="eastAsia" w:ascii="宋体" w:hAnsi="宋体" w:eastAsia="宋体" w:cs="宋体"/>
          <w:b/>
          <w:sz w:val="22"/>
          <w:szCs w:val="22"/>
        </w:rPr>
      </w:pPr>
      <w:r>
        <w:rPr>
          <w:rFonts w:hint="eastAsia" w:ascii="宋体" w:hAnsi="宋体" w:eastAsia="宋体" w:cs="宋体"/>
          <w:b/>
          <w:sz w:val="22"/>
          <w:szCs w:val="22"/>
        </w:rPr>
        <w:t>（10）不响应或擅自改变本</w:t>
      </w:r>
      <w:r>
        <w:rPr>
          <w:rFonts w:hint="eastAsia" w:ascii="宋体" w:hAnsi="宋体" w:eastAsia="宋体" w:cs="宋体"/>
          <w:b/>
          <w:sz w:val="22"/>
          <w:szCs w:val="22"/>
          <w:lang w:eastAsia="zh-CN"/>
        </w:rPr>
        <w:t>采购文件</w:t>
      </w:r>
      <w:r>
        <w:rPr>
          <w:rFonts w:hint="eastAsia" w:ascii="宋体" w:hAnsi="宋体" w:eastAsia="宋体" w:cs="宋体"/>
          <w:b/>
          <w:sz w:val="22"/>
          <w:szCs w:val="22"/>
        </w:rPr>
        <w:t>要求或</w:t>
      </w:r>
      <w:r>
        <w:rPr>
          <w:rFonts w:hint="eastAsia" w:ascii="宋体" w:hAnsi="宋体" w:eastAsia="宋体" w:cs="宋体"/>
          <w:b/>
          <w:sz w:val="22"/>
          <w:szCs w:val="22"/>
          <w:lang w:eastAsia="zh-CN"/>
        </w:rPr>
        <w:t>投标响应文件</w:t>
      </w:r>
      <w:r>
        <w:rPr>
          <w:rFonts w:hint="eastAsia" w:ascii="宋体" w:hAnsi="宋体" w:eastAsia="宋体" w:cs="宋体"/>
          <w:b/>
          <w:sz w:val="22"/>
          <w:szCs w:val="22"/>
        </w:rPr>
        <w:t>有采购人不能接受的附加条件的；</w:t>
      </w:r>
    </w:p>
    <w:p w14:paraId="71934026">
      <w:pPr>
        <w:spacing w:line="360" w:lineRule="auto"/>
        <w:ind w:firstLine="391" w:firstLineChars="177"/>
        <w:rPr>
          <w:rFonts w:hint="eastAsia" w:ascii="宋体" w:hAnsi="宋体" w:eastAsia="宋体" w:cs="宋体"/>
          <w:b/>
          <w:color w:val="000000"/>
          <w:kern w:val="0"/>
          <w:sz w:val="22"/>
          <w:szCs w:val="22"/>
        </w:rPr>
      </w:pPr>
      <w:r>
        <w:rPr>
          <w:rFonts w:hint="eastAsia" w:ascii="宋体" w:hAnsi="宋体" w:eastAsia="宋体" w:cs="宋体"/>
          <w:b/>
          <w:sz w:val="22"/>
          <w:szCs w:val="22"/>
        </w:rPr>
        <w:t>（11）违反国家或政府部门相关法律、法规、文件规定的。</w:t>
      </w:r>
    </w:p>
    <w:p w14:paraId="76AF3EAD">
      <w:pPr>
        <w:pStyle w:val="10"/>
        <w:tabs>
          <w:tab w:val="left" w:pos="720"/>
          <w:tab w:val="clear" w:pos="3600"/>
        </w:tabs>
        <w:spacing w:before="0" w:after="0"/>
        <w:ind w:left="720" w:hanging="720"/>
        <w:jc w:val="both"/>
        <w:rPr>
          <w:rFonts w:hint="eastAsia" w:ascii="宋体" w:hAnsi="宋体" w:eastAsia="宋体" w:cs="宋体"/>
          <w:sz w:val="22"/>
          <w:szCs w:val="22"/>
        </w:rPr>
      </w:pPr>
      <w:bookmarkStart w:id="110" w:name="_Toc10251"/>
      <w:bookmarkStart w:id="111" w:name="_Toc21291"/>
      <w:r>
        <w:rPr>
          <w:rFonts w:hint="eastAsia" w:ascii="宋体" w:hAnsi="宋体" w:eastAsia="宋体" w:cs="宋体"/>
          <w:sz w:val="22"/>
          <w:szCs w:val="22"/>
        </w:rPr>
        <w:t>（九）</w:t>
      </w:r>
      <w:r>
        <w:rPr>
          <w:rFonts w:hint="eastAsia" w:ascii="宋体" w:hAnsi="宋体" w:eastAsia="宋体" w:cs="宋体"/>
          <w:sz w:val="22"/>
          <w:szCs w:val="22"/>
          <w:lang w:eastAsia="zh-CN"/>
        </w:rPr>
        <w:t>投标响应文件</w:t>
      </w:r>
      <w:r>
        <w:rPr>
          <w:rFonts w:hint="eastAsia" w:ascii="宋体" w:hAnsi="宋体" w:eastAsia="宋体" w:cs="宋体"/>
          <w:sz w:val="22"/>
          <w:szCs w:val="22"/>
        </w:rPr>
        <w:t>的评估、比较、评分</w:t>
      </w:r>
      <w:bookmarkEnd w:id="110"/>
      <w:bookmarkEnd w:id="111"/>
    </w:p>
    <w:p w14:paraId="24613EF9">
      <w:pPr>
        <w:spacing w:line="360" w:lineRule="auto"/>
        <w:ind w:firstLine="389" w:firstLineChars="177"/>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1、评标委员会应当按照</w:t>
      </w:r>
      <w:r>
        <w:rPr>
          <w:rFonts w:hint="eastAsia" w:ascii="宋体" w:hAnsi="宋体" w:eastAsia="宋体" w:cs="宋体"/>
          <w:color w:val="000000"/>
          <w:kern w:val="0"/>
          <w:sz w:val="22"/>
          <w:szCs w:val="22"/>
          <w:lang w:eastAsia="zh-CN"/>
        </w:rPr>
        <w:t>采购文件</w:t>
      </w:r>
      <w:r>
        <w:rPr>
          <w:rFonts w:hint="eastAsia" w:ascii="宋体" w:hAnsi="宋体" w:eastAsia="宋体" w:cs="宋体"/>
          <w:color w:val="000000"/>
          <w:kern w:val="0"/>
          <w:sz w:val="22"/>
          <w:szCs w:val="22"/>
        </w:rPr>
        <w:t>中规定的评审方法和标准，对符合性审查合格的</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进行商务和技术评估，综合比较与评价。评标时，评标委员会各成员将独立对每个供应商的</w:t>
      </w:r>
      <w:r>
        <w:rPr>
          <w:rFonts w:hint="eastAsia" w:ascii="宋体" w:hAnsi="宋体" w:eastAsia="宋体" w:cs="宋体"/>
          <w:color w:val="000000"/>
          <w:kern w:val="0"/>
          <w:sz w:val="22"/>
          <w:szCs w:val="22"/>
          <w:lang w:eastAsia="zh-CN"/>
        </w:rPr>
        <w:t>投标响应文件</w:t>
      </w:r>
      <w:r>
        <w:rPr>
          <w:rFonts w:hint="eastAsia" w:ascii="宋体" w:hAnsi="宋体" w:eastAsia="宋体" w:cs="宋体"/>
          <w:color w:val="000000"/>
          <w:kern w:val="0"/>
          <w:sz w:val="22"/>
          <w:szCs w:val="22"/>
        </w:rPr>
        <w:t>进行评价，并汇总每个供应商的得分。评审细则详见本章第七款。</w:t>
      </w:r>
    </w:p>
    <w:p w14:paraId="4773348C">
      <w:pPr>
        <w:spacing w:line="360" w:lineRule="auto"/>
        <w:ind w:firstLine="389" w:firstLineChars="177"/>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539B8224">
      <w:pPr>
        <w:pStyle w:val="10"/>
        <w:tabs>
          <w:tab w:val="left" w:pos="720"/>
          <w:tab w:val="clear" w:pos="3600"/>
        </w:tabs>
        <w:spacing w:before="0" w:after="0"/>
        <w:ind w:left="720" w:hanging="720"/>
        <w:jc w:val="both"/>
        <w:rPr>
          <w:rFonts w:hint="eastAsia" w:ascii="宋体" w:hAnsi="宋体" w:eastAsia="宋体" w:cs="宋体"/>
          <w:sz w:val="22"/>
          <w:szCs w:val="22"/>
        </w:rPr>
      </w:pPr>
      <w:bookmarkStart w:id="112" w:name="_Toc22984"/>
      <w:bookmarkStart w:id="113" w:name="_Toc30560"/>
      <w:r>
        <w:rPr>
          <w:rFonts w:hint="eastAsia" w:ascii="宋体" w:hAnsi="宋体" w:eastAsia="宋体" w:cs="宋体"/>
          <w:sz w:val="22"/>
          <w:szCs w:val="22"/>
        </w:rPr>
        <w:t>（十）修改评审结果</w:t>
      </w:r>
      <w:bookmarkEnd w:id="112"/>
      <w:bookmarkEnd w:id="113"/>
    </w:p>
    <w:p w14:paraId="51D887FD">
      <w:pPr>
        <w:spacing w:line="360" w:lineRule="auto"/>
        <w:ind w:firstLine="446" w:firstLineChars="202"/>
        <w:rPr>
          <w:rFonts w:hint="eastAsia" w:ascii="宋体" w:hAnsi="宋体" w:eastAsia="宋体" w:cs="宋体"/>
          <w:b/>
          <w:color w:val="000000"/>
          <w:sz w:val="22"/>
          <w:szCs w:val="22"/>
        </w:rPr>
      </w:pPr>
      <w:r>
        <w:rPr>
          <w:rFonts w:hint="eastAsia" w:ascii="宋体" w:hAnsi="宋体" w:eastAsia="宋体" w:cs="宋体"/>
          <w:b/>
          <w:color w:val="000000"/>
          <w:sz w:val="22"/>
          <w:szCs w:val="22"/>
        </w:rPr>
        <w:t>1、评标结果汇总完成后，除下列情形外，任何人不得修改评标结果：</w:t>
      </w:r>
    </w:p>
    <w:p w14:paraId="6A0BC746">
      <w:pPr>
        <w:spacing w:line="360" w:lineRule="auto"/>
        <w:ind w:firstLine="444" w:firstLineChars="202"/>
        <w:rPr>
          <w:rFonts w:hint="eastAsia" w:ascii="宋体" w:hAnsi="宋体" w:eastAsia="宋体" w:cs="宋体"/>
          <w:color w:val="000000"/>
          <w:sz w:val="22"/>
          <w:szCs w:val="22"/>
        </w:rPr>
      </w:pPr>
      <w:r>
        <w:rPr>
          <w:rFonts w:hint="eastAsia" w:ascii="宋体" w:hAnsi="宋体" w:eastAsia="宋体" w:cs="宋体"/>
          <w:color w:val="000000"/>
          <w:sz w:val="22"/>
          <w:szCs w:val="22"/>
        </w:rPr>
        <w:t>（1）分值汇总计算错误的；</w:t>
      </w:r>
    </w:p>
    <w:p w14:paraId="6A942BE5">
      <w:pPr>
        <w:spacing w:line="360" w:lineRule="auto"/>
        <w:ind w:firstLine="444" w:firstLineChars="202"/>
        <w:rPr>
          <w:rFonts w:hint="eastAsia" w:ascii="宋体" w:hAnsi="宋体" w:eastAsia="宋体" w:cs="宋体"/>
          <w:color w:val="000000"/>
          <w:sz w:val="22"/>
          <w:szCs w:val="22"/>
        </w:rPr>
      </w:pPr>
      <w:r>
        <w:rPr>
          <w:rFonts w:hint="eastAsia" w:ascii="宋体" w:hAnsi="宋体" w:eastAsia="宋体" w:cs="宋体"/>
          <w:color w:val="000000"/>
          <w:sz w:val="22"/>
          <w:szCs w:val="22"/>
        </w:rPr>
        <w:t>（2）分项评分超出评分标准范围的；</w:t>
      </w:r>
    </w:p>
    <w:p w14:paraId="582D13B8">
      <w:pPr>
        <w:spacing w:line="360" w:lineRule="auto"/>
        <w:ind w:firstLine="444" w:firstLineChars="202"/>
        <w:rPr>
          <w:rFonts w:hint="eastAsia" w:ascii="宋体" w:hAnsi="宋体" w:eastAsia="宋体" w:cs="宋体"/>
          <w:color w:val="000000"/>
          <w:sz w:val="22"/>
          <w:szCs w:val="22"/>
        </w:rPr>
      </w:pPr>
      <w:r>
        <w:rPr>
          <w:rFonts w:hint="eastAsia" w:ascii="宋体" w:hAnsi="宋体" w:eastAsia="宋体" w:cs="宋体"/>
          <w:color w:val="000000"/>
          <w:sz w:val="22"/>
          <w:szCs w:val="22"/>
        </w:rPr>
        <w:t>（3）评标委员会成员对客观评审因素评分不一致的；</w:t>
      </w:r>
    </w:p>
    <w:p w14:paraId="1BADC794">
      <w:pPr>
        <w:spacing w:line="360" w:lineRule="auto"/>
        <w:ind w:firstLine="444" w:firstLineChars="202"/>
        <w:rPr>
          <w:rFonts w:hint="eastAsia" w:ascii="宋体" w:hAnsi="宋体" w:eastAsia="宋体" w:cs="宋体"/>
          <w:color w:val="000000"/>
          <w:sz w:val="22"/>
          <w:szCs w:val="22"/>
        </w:rPr>
      </w:pPr>
      <w:r>
        <w:rPr>
          <w:rFonts w:hint="eastAsia" w:ascii="宋体" w:hAnsi="宋体" w:eastAsia="宋体" w:cs="宋体"/>
          <w:color w:val="000000"/>
          <w:sz w:val="22"/>
          <w:szCs w:val="22"/>
        </w:rPr>
        <w:t>（4）经评标委员会认定评分畸高、畸低的。</w:t>
      </w:r>
    </w:p>
    <w:p w14:paraId="6CEB653B">
      <w:pPr>
        <w:spacing w:line="360" w:lineRule="auto"/>
        <w:ind w:firstLine="446" w:firstLineChars="202"/>
        <w:rPr>
          <w:rFonts w:hint="eastAsia" w:ascii="宋体" w:hAnsi="宋体" w:eastAsia="宋体" w:cs="宋体"/>
          <w:b/>
          <w:color w:val="000000"/>
          <w:sz w:val="22"/>
          <w:szCs w:val="22"/>
        </w:rPr>
      </w:pPr>
      <w:r>
        <w:rPr>
          <w:rFonts w:hint="eastAsia" w:ascii="宋体" w:hAnsi="宋体" w:eastAsia="宋体" w:cs="宋体"/>
          <w:b/>
          <w:color w:val="000000"/>
          <w:sz w:val="22"/>
          <w:szCs w:val="22"/>
        </w:rPr>
        <w:t>2、评标报告签署前，经复核发现存在以上情形之一的，评标委员会将当场修改评标结果，并在评标报告中记载。</w:t>
      </w:r>
    </w:p>
    <w:p w14:paraId="27C8D4AE">
      <w:pPr>
        <w:pStyle w:val="10"/>
        <w:tabs>
          <w:tab w:val="left" w:pos="720"/>
          <w:tab w:val="clear" w:pos="3600"/>
        </w:tabs>
        <w:spacing w:before="0" w:after="0"/>
        <w:ind w:left="720" w:hanging="720"/>
        <w:jc w:val="both"/>
        <w:rPr>
          <w:rFonts w:hint="eastAsia" w:ascii="宋体" w:hAnsi="宋体" w:eastAsia="宋体" w:cs="宋体"/>
          <w:sz w:val="22"/>
          <w:szCs w:val="22"/>
        </w:rPr>
      </w:pPr>
      <w:bookmarkStart w:id="114" w:name="_Toc16454"/>
      <w:bookmarkStart w:id="115" w:name="_Toc31603"/>
      <w:r>
        <w:rPr>
          <w:rFonts w:hint="eastAsia" w:ascii="宋体" w:hAnsi="宋体" w:eastAsia="宋体" w:cs="宋体"/>
          <w:sz w:val="22"/>
          <w:szCs w:val="22"/>
        </w:rPr>
        <w:t>（十一）供应商排序及推荐中标（成交）候选供应商</w:t>
      </w:r>
      <w:bookmarkEnd w:id="114"/>
      <w:bookmarkEnd w:id="115"/>
    </w:p>
    <w:p w14:paraId="465B45E9">
      <w:pPr>
        <w:spacing w:line="360" w:lineRule="auto"/>
        <w:ind w:firstLine="391" w:firstLineChars="177"/>
        <w:rPr>
          <w:rFonts w:hint="eastAsia" w:ascii="宋体" w:hAnsi="宋体" w:eastAsia="宋体" w:cs="宋体"/>
          <w:b/>
          <w:color w:val="000000"/>
          <w:sz w:val="22"/>
          <w:szCs w:val="22"/>
        </w:rPr>
      </w:pPr>
      <w:r>
        <w:rPr>
          <w:rFonts w:hint="eastAsia" w:ascii="宋体" w:hAnsi="宋体" w:eastAsia="宋体" w:cs="宋体"/>
          <w:b/>
          <w:color w:val="000000"/>
          <w:sz w:val="22"/>
          <w:szCs w:val="22"/>
        </w:rPr>
        <w:t>评标委员会根据以下规定确定供应商排名并推荐中标（成交）候选供应商。</w:t>
      </w:r>
    </w:p>
    <w:p w14:paraId="6501B005">
      <w:pPr>
        <w:spacing w:line="360" w:lineRule="auto"/>
        <w:ind w:firstLine="426" w:firstLineChars="193"/>
        <w:rPr>
          <w:rFonts w:hint="eastAsia" w:ascii="宋体" w:hAnsi="宋体" w:eastAsia="宋体" w:cs="宋体"/>
          <w:color w:val="000000"/>
          <w:kern w:val="0"/>
          <w:sz w:val="22"/>
          <w:szCs w:val="22"/>
        </w:rPr>
      </w:pPr>
      <w:r>
        <w:rPr>
          <w:rFonts w:hint="eastAsia" w:ascii="宋体" w:hAnsi="宋体" w:eastAsia="宋体" w:cs="宋体"/>
          <w:b/>
          <w:color w:val="000000"/>
          <w:sz w:val="22"/>
          <w:szCs w:val="22"/>
        </w:rPr>
        <w:t>1、评标委员会根据各投标供应商的综合得分（商务技术分与报价得分之和）从高到低依次进行排名排序。特殊情形按以下原则处理：</w:t>
      </w:r>
    </w:p>
    <w:p w14:paraId="50F3B343">
      <w:pPr>
        <w:spacing w:line="360" w:lineRule="auto"/>
        <w:ind w:firstLine="424" w:firstLineChars="193"/>
        <w:rPr>
          <w:rFonts w:hint="eastAsia" w:ascii="宋体" w:hAnsi="宋体" w:eastAsia="宋体" w:cs="宋体"/>
          <w:color w:val="000000"/>
          <w:sz w:val="22"/>
          <w:szCs w:val="22"/>
        </w:rPr>
      </w:pPr>
      <w:r>
        <w:rPr>
          <w:rFonts w:hint="eastAsia" w:ascii="宋体" w:hAnsi="宋体" w:eastAsia="宋体" w:cs="宋体"/>
          <w:color w:val="000000"/>
          <w:sz w:val="22"/>
          <w:szCs w:val="22"/>
        </w:rPr>
        <w:t>（1）综合得分相同的，按投标报价低的优先原则确定排名；</w:t>
      </w:r>
    </w:p>
    <w:p w14:paraId="4E433788">
      <w:pPr>
        <w:spacing w:line="360" w:lineRule="auto"/>
        <w:ind w:firstLine="424" w:firstLineChars="193"/>
        <w:rPr>
          <w:rFonts w:hint="eastAsia" w:ascii="宋体" w:hAnsi="宋体" w:eastAsia="宋体" w:cs="宋体"/>
          <w:color w:val="000000"/>
          <w:sz w:val="22"/>
          <w:szCs w:val="22"/>
        </w:rPr>
      </w:pPr>
      <w:r>
        <w:rPr>
          <w:rFonts w:hint="eastAsia" w:ascii="宋体" w:hAnsi="宋体" w:eastAsia="宋体" w:cs="宋体"/>
          <w:color w:val="000000"/>
          <w:sz w:val="22"/>
          <w:szCs w:val="22"/>
        </w:rPr>
        <w:t>（2）综合得分和投标报价均相同的，按</w:t>
      </w:r>
      <w:r>
        <w:rPr>
          <w:rFonts w:hint="eastAsia" w:ascii="宋体" w:hAnsi="宋体" w:eastAsia="宋体" w:cs="宋体"/>
          <w:color w:val="000000"/>
          <w:sz w:val="22"/>
          <w:szCs w:val="22"/>
          <w:lang w:eastAsia="zh-CN"/>
        </w:rPr>
        <w:t>商务技术</w:t>
      </w:r>
      <w:r>
        <w:rPr>
          <w:rFonts w:hint="eastAsia" w:ascii="宋体" w:hAnsi="宋体" w:eastAsia="宋体" w:cs="宋体"/>
          <w:color w:val="000000"/>
          <w:sz w:val="22"/>
          <w:szCs w:val="22"/>
        </w:rPr>
        <w:t>得分从高到低确定排名；</w:t>
      </w:r>
    </w:p>
    <w:p w14:paraId="3132F7AC">
      <w:pPr>
        <w:spacing w:line="360" w:lineRule="auto"/>
        <w:ind w:firstLine="424" w:firstLineChars="193"/>
        <w:rPr>
          <w:rFonts w:hint="eastAsia" w:ascii="宋体" w:hAnsi="宋体" w:eastAsia="宋体" w:cs="宋体"/>
          <w:color w:val="000000"/>
          <w:sz w:val="22"/>
          <w:szCs w:val="22"/>
        </w:rPr>
      </w:pPr>
      <w:r>
        <w:rPr>
          <w:rFonts w:hint="eastAsia" w:ascii="宋体" w:hAnsi="宋体" w:eastAsia="宋体" w:cs="宋体"/>
          <w:color w:val="000000"/>
          <w:sz w:val="22"/>
          <w:szCs w:val="22"/>
        </w:rPr>
        <w:t>（3）综合得分、投标报价和</w:t>
      </w:r>
      <w:r>
        <w:rPr>
          <w:rFonts w:hint="eastAsia" w:ascii="宋体" w:hAnsi="宋体" w:eastAsia="宋体" w:cs="宋体"/>
          <w:color w:val="000000"/>
          <w:sz w:val="22"/>
          <w:szCs w:val="22"/>
          <w:lang w:eastAsia="zh-CN"/>
        </w:rPr>
        <w:t>商务技术</w:t>
      </w:r>
      <w:r>
        <w:rPr>
          <w:rFonts w:hint="eastAsia" w:ascii="宋体" w:hAnsi="宋体" w:eastAsia="宋体" w:cs="宋体"/>
          <w:color w:val="000000"/>
          <w:sz w:val="22"/>
          <w:szCs w:val="22"/>
        </w:rPr>
        <w:t>得分均相同的由评标委员会全体成员记名投票按少数服从多数的原则确定排名。</w:t>
      </w:r>
    </w:p>
    <w:p w14:paraId="40B9AB76">
      <w:pPr>
        <w:spacing w:line="360" w:lineRule="auto"/>
        <w:ind w:firstLine="391" w:firstLineChars="177"/>
        <w:rPr>
          <w:rFonts w:hint="eastAsia" w:ascii="宋体" w:hAnsi="宋体" w:eastAsia="宋体" w:cs="宋体"/>
          <w:b/>
          <w:color w:val="000000"/>
          <w:sz w:val="22"/>
          <w:szCs w:val="22"/>
        </w:rPr>
      </w:pPr>
      <w:r>
        <w:rPr>
          <w:rFonts w:hint="eastAsia" w:ascii="宋体" w:hAnsi="宋体" w:eastAsia="宋体" w:cs="宋体"/>
          <w:b/>
          <w:color w:val="000000"/>
          <w:sz w:val="22"/>
          <w:szCs w:val="22"/>
        </w:rPr>
        <w:t>2、根据最终得分排序，通过书面评审报告的形式，向采购人推荐</w:t>
      </w:r>
      <w:r>
        <w:rPr>
          <w:rFonts w:hint="eastAsia" w:ascii="宋体" w:hAnsi="宋体" w:eastAsia="宋体" w:cs="宋体"/>
          <w:b/>
          <w:color w:val="000000"/>
          <w:kern w:val="0"/>
          <w:sz w:val="22"/>
          <w:szCs w:val="22"/>
        </w:rPr>
        <w:t>排名</w:t>
      </w:r>
      <w:r>
        <w:rPr>
          <w:rFonts w:hint="eastAsia" w:ascii="宋体" w:hAnsi="宋体" w:eastAsia="宋体" w:cs="宋体"/>
          <w:b/>
          <w:color w:val="000000"/>
          <w:kern w:val="0"/>
          <w:sz w:val="22"/>
          <w:szCs w:val="22"/>
          <w:lang w:eastAsia="zh-CN"/>
        </w:rPr>
        <w:t>靠前</w:t>
      </w:r>
      <w:r>
        <w:rPr>
          <w:rFonts w:hint="eastAsia" w:ascii="宋体" w:hAnsi="宋体" w:eastAsia="宋体" w:cs="宋体"/>
          <w:b/>
          <w:color w:val="000000"/>
          <w:kern w:val="0"/>
          <w:sz w:val="22"/>
          <w:szCs w:val="22"/>
        </w:rPr>
        <w:t>的投标供应商为中标（成交）候选供应商</w:t>
      </w:r>
      <w:r>
        <w:rPr>
          <w:rFonts w:hint="eastAsia" w:ascii="宋体" w:hAnsi="宋体" w:eastAsia="宋体" w:cs="宋体"/>
          <w:b/>
          <w:color w:val="000000"/>
          <w:sz w:val="22"/>
          <w:szCs w:val="22"/>
        </w:rPr>
        <w:t>。</w:t>
      </w:r>
    </w:p>
    <w:p w14:paraId="31839F5E">
      <w:pPr>
        <w:pStyle w:val="10"/>
        <w:tabs>
          <w:tab w:val="left" w:pos="720"/>
          <w:tab w:val="clear" w:pos="3600"/>
        </w:tabs>
        <w:spacing w:before="0" w:after="0"/>
        <w:ind w:left="720" w:hanging="720"/>
        <w:jc w:val="both"/>
        <w:rPr>
          <w:rFonts w:hint="eastAsia" w:ascii="宋体" w:hAnsi="宋体" w:eastAsia="宋体" w:cs="宋体"/>
          <w:sz w:val="22"/>
          <w:szCs w:val="22"/>
        </w:rPr>
      </w:pPr>
      <w:bookmarkStart w:id="116" w:name="_Toc20888"/>
      <w:bookmarkStart w:id="117" w:name="_Toc21396"/>
      <w:r>
        <w:rPr>
          <w:rFonts w:hint="eastAsia" w:ascii="宋体" w:hAnsi="宋体" w:eastAsia="宋体" w:cs="宋体"/>
          <w:sz w:val="22"/>
          <w:szCs w:val="22"/>
        </w:rPr>
        <w:t>（十二）起草、签署评审报告</w:t>
      </w:r>
      <w:bookmarkEnd w:id="116"/>
      <w:bookmarkEnd w:id="117"/>
    </w:p>
    <w:p w14:paraId="61806EDE">
      <w:pPr>
        <w:spacing w:line="360" w:lineRule="auto"/>
        <w:ind w:firstLine="424" w:firstLineChars="193"/>
        <w:rPr>
          <w:rFonts w:hint="eastAsia" w:ascii="宋体" w:hAnsi="宋体" w:eastAsia="宋体" w:cs="宋体"/>
          <w:color w:val="000000"/>
          <w:sz w:val="22"/>
          <w:szCs w:val="22"/>
        </w:rPr>
      </w:pPr>
      <w:r>
        <w:rPr>
          <w:rFonts w:hint="eastAsia" w:ascii="宋体" w:hAnsi="宋体" w:eastAsia="宋体" w:cs="宋体"/>
          <w:color w:val="000000"/>
          <w:sz w:val="22"/>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62F838DD">
      <w:pPr>
        <w:pStyle w:val="3"/>
        <w:numPr>
          <w:ilvl w:val="0"/>
          <w:numId w:val="9"/>
        </w:numPr>
        <w:snapToGrid w:val="0"/>
        <w:spacing w:line="360" w:lineRule="auto"/>
        <w:rPr>
          <w:rFonts w:hint="eastAsia" w:ascii="宋体" w:hAnsi="宋体" w:eastAsia="宋体" w:cs="宋体"/>
          <w:b/>
          <w:color w:val="000000"/>
          <w:sz w:val="22"/>
          <w:szCs w:val="22"/>
        </w:rPr>
      </w:pPr>
      <w:r>
        <w:rPr>
          <w:rFonts w:hint="eastAsia" w:ascii="宋体" w:hAnsi="宋体" w:eastAsia="宋体" w:cs="宋体"/>
          <w:b/>
          <w:color w:val="000000"/>
          <w:sz w:val="22"/>
          <w:szCs w:val="22"/>
        </w:rPr>
        <w:t>评标办法：见</w:t>
      </w:r>
      <w:r>
        <w:rPr>
          <w:rFonts w:hint="eastAsia" w:ascii="宋体" w:hAnsi="宋体" w:eastAsia="宋体" w:cs="宋体"/>
          <w:b/>
          <w:color w:val="000000"/>
          <w:sz w:val="22"/>
          <w:szCs w:val="22"/>
          <w:lang w:eastAsia="zh-CN"/>
        </w:rPr>
        <w:t>采购文件</w:t>
      </w:r>
      <w:r>
        <w:rPr>
          <w:rFonts w:hint="eastAsia" w:ascii="宋体" w:hAnsi="宋体" w:eastAsia="宋体" w:cs="宋体"/>
          <w:b/>
          <w:color w:val="000000"/>
          <w:sz w:val="22"/>
          <w:szCs w:val="22"/>
        </w:rPr>
        <w:t>“第六部分 评标办法”</w:t>
      </w:r>
    </w:p>
    <w:p w14:paraId="5F95E1D1">
      <w:pPr>
        <w:shd w:val="clear" w:color="auto" w:fill="FFFFFF"/>
        <w:snapToGrid w:val="0"/>
        <w:spacing w:line="360" w:lineRule="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（十四）评标内容的保密</w:t>
      </w:r>
    </w:p>
    <w:p w14:paraId="44B7F3D3">
      <w:pPr>
        <w:shd w:val="clear" w:color="auto" w:fill="FFFFFF"/>
        <w:snapToGrid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1、公开开标后，直到宣布中标单位止，凡属于审查、澄清、评价和比较投标的所有资料，都不应向供应商或与评标无关的其他人泄露。</w:t>
      </w:r>
    </w:p>
    <w:p w14:paraId="3C628BB9">
      <w:pPr>
        <w:shd w:val="clear" w:color="auto" w:fill="FFFFFF"/>
        <w:snapToGrid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2、在</w:t>
      </w:r>
      <w:r>
        <w:rPr>
          <w:rFonts w:hint="eastAsia" w:ascii="宋体" w:hAnsi="宋体" w:eastAsia="宋体" w:cs="宋体"/>
          <w:color w:val="000000"/>
          <w:sz w:val="22"/>
          <w:szCs w:val="22"/>
          <w:lang w:eastAsia="zh-CN"/>
        </w:rPr>
        <w:t>投标响应文件</w:t>
      </w:r>
      <w:r>
        <w:rPr>
          <w:rFonts w:hint="eastAsia" w:ascii="宋体" w:hAnsi="宋体" w:eastAsia="宋体" w:cs="宋体"/>
          <w:color w:val="000000"/>
          <w:sz w:val="22"/>
          <w:szCs w:val="22"/>
        </w:rPr>
        <w:t>的审查、澄清、评价和比较以及确定中标人过程中，供应商对招标人、招标代理机构和评标委员会施加影响的任何行为，都将导致取消资格。</w:t>
      </w:r>
    </w:p>
    <w:p w14:paraId="2EDF52C9">
      <w:pPr>
        <w:shd w:val="clear" w:color="auto" w:fill="FFFFFF"/>
        <w:snapToGrid w:val="0"/>
        <w:spacing w:line="360" w:lineRule="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（十五）废标</w:t>
      </w:r>
    </w:p>
    <w:p w14:paraId="5127C08D">
      <w:pPr>
        <w:pStyle w:val="24"/>
        <w:snapToGrid w:val="0"/>
        <w:spacing w:line="360" w:lineRule="auto"/>
        <w:ind w:left="442" w:hanging="442"/>
        <w:rPr>
          <w:rFonts w:hint="eastAsia" w:ascii="宋体" w:hAnsi="宋体" w:eastAsia="宋体" w:cs="宋体"/>
          <w:b/>
          <w:color w:val="000000"/>
          <w:sz w:val="22"/>
          <w:szCs w:val="22"/>
        </w:rPr>
      </w:pPr>
      <w:r>
        <w:rPr>
          <w:rFonts w:hint="eastAsia" w:ascii="宋体" w:hAnsi="宋体" w:eastAsia="宋体" w:cs="宋体"/>
          <w:b/>
          <w:color w:val="000000"/>
          <w:sz w:val="22"/>
          <w:szCs w:val="22"/>
        </w:rPr>
        <w:t>在采购中，</w:t>
      </w:r>
      <w:r>
        <w:rPr>
          <w:rFonts w:hint="eastAsia" w:ascii="宋体" w:hAnsi="宋体" w:eastAsia="宋体" w:cs="宋体"/>
          <w:b/>
          <w:color w:val="000000"/>
          <w:sz w:val="22"/>
          <w:szCs w:val="22"/>
          <w:lang w:val="en-US" w:eastAsia="zh-CN"/>
        </w:rPr>
        <w:t>本项目</w:t>
      </w:r>
      <w:r>
        <w:rPr>
          <w:rFonts w:hint="eastAsia" w:ascii="宋体" w:hAnsi="宋体" w:eastAsia="宋体" w:cs="宋体"/>
          <w:b/>
          <w:color w:val="000000"/>
          <w:sz w:val="22"/>
          <w:szCs w:val="22"/>
        </w:rPr>
        <w:t>出现下列情形之一的，应予废标：</w:t>
      </w:r>
    </w:p>
    <w:p w14:paraId="536AB4AD">
      <w:pPr>
        <w:pStyle w:val="24"/>
        <w:snapToGrid w:val="0"/>
        <w:spacing w:line="360" w:lineRule="auto"/>
        <w:ind w:left="442" w:hanging="442"/>
        <w:rPr>
          <w:rFonts w:hint="eastAsia" w:ascii="宋体" w:hAnsi="宋体" w:eastAsia="宋体" w:cs="宋体"/>
          <w:b/>
          <w:color w:val="000000"/>
          <w:sz w:val="22"/>
          <w:szCs w:val="22"/>
        </w:rPr>
      </w:pPr>
      <w:r>
        <w:rPr>
          <w:rFonts w:hint="eastAsia" w:ascii="宋体" w:hAnsi="宋体" w:eastAsia="宋体" w:cs="宋体"/>
          <w:b/>
          <w:color w:val="000000"/>
          <w:sz w:val="22"/>
          <w:szCs w:val="22"/>
        </w:rPr>
        <w:t>(1)符合专业条件的供应商或者对</w:t>
      </w:r>
      <w:r>
        <w:rPr>
          <w:rFonts w:hint="eastAsia" w:ascii="宋体" w:hAnsi="宋体" w:eastAsia="宋体" w:cs="宋体"/>
          <w:b/>
          <w:color w:val="000000"/>
          <w:sz w:val="22"/>
          <w:szCs w:val="22"/>
          <w:lang w:eastAsia="zh-CN"/>
        </w:rPr>
        <w:t>采购文件</w:t>
      </w:r>
      <w:r>
        <w:rPr>
          <w:rFonts w:hint="eastAsia" w:ascii="宋体" w:hAnsi="宋体" w:eastAsia="宋体" w:cs="宋体"/>
          <w:b/>
          <w:color w:val="000000"/>
          <w:sz w:val="22"/>
          <w:szCs w:val="22"/>
        </w:rPr>
        <w:t>作实质响应的供应商不足</w:t>
      </w:r>
      <w:r>
        <w:rPr>
          <w:rFonts w:hint="eastAsia" w:ascii="宋体" w:hAnsi="宋体" w:eastAsia="宋体" w:cs="宋体"/>
          <w:b/>
          <w:color w:val="000000"/>
          <w:sz w:val="22"/>
          <w:szCs w:val="22"/>
          <w:lang w:val="en-US" w:eastAsia="zh-CN"/>
        </w:rPr>
        <w:t>法定家数</w:t>
      </w:r>
      <w:r>
        <w:rPr>
          <w:rFonts w:hint="eastAsia" w:ascii="宋体" w:hAnsi="宋体" w:eastAsia="宋体" w:cs="宋体"/>
          <w:b/>
          <w:color w:val="000000"/>
          <w:sz w:val="22"/>
          <w:szCs w:val="22"/>
        </w:rPr>
        <w:t>的；</w:t>
      </w:r>
    </w:p>
    <w:p w14:paraId="473FED82">
      <w:pPr>
        <w:pStyle w:val="24"/>
        <w:snapToGrid w:val="0"/>
        <w:spacing w:line="360" w:lineRule="auto"/>
        <w:ind w:left="442" w:hanging="442"/>
        <w:rPr>
          <w:rFonts w:hint="eastAsia" w:ascii="宋体" w:hAnsi="宋体" w:eastAsia="宋体" w:cs="宋体"/>
          <w:b/>
          <w:color w:val="000000"/>
          <w:sz w:val="22"/>
          <w:szCs w:val="22"/>
        </w:rPr>
      </w:pPr>
      <w:r>
        <w:rPr>
          <w:rFonts w:hint="eastAsia" w:ascii="宋体" w:hAnsi="宋体" w:eastAsia="宋体" w:cs="宋体"/>
          <w:b/>
          <w:color w:val="000000"/>
          <w:sz w:val="22"/>
          <w:szCs w:val="22"/>
        </w:rPr>
        <w:t>(2)出现影响采购公正的违法、违规行为的；</w:t>
      </w:r>
    </w:p>
    <w:p w14:paraId="1A6FA1D8">
      <w:pPr>
        <w:pStyle w:val="24"/>
        <w:snapToGrid w:val="0"/>
        <w:spacing w:line="360" w:lineRule="auto"/>
        <w:ind w:left="442" w:hanging="442"/>
        <w:rPr>
          <w:rFonts w:hint="eastAsia" w:ascii="宋体" w:hAnsi="宋体" w:eastAsia="宋体" w:cs="宋体"/>
          <w:b/>
          <w:color w:val="000000"/>
          <w:sz w:val="22"/>
          <w:szCs w:val="22"/>
        </w:rPr>
      </w:pPr>
      <w:r>
        <w:rPr>
          <w:rFonts w:hint="eastAsia" w:ascii="宋体" w:hAnsi="宋体" w:eastAsia="宋体" w:cs="宋体"/>
          <w:b/>
          <w:color w:val="000000"/>
          <w:sz w:val="22"/>
          <w:szCs w:val="22"/>
        </w:rPr>
        <w:t>(3)报价均超过预算，不能支付的；</w:t>
      </w:r>
    </w:p>
    <w:p w14:paraId="2FAF60FF">
      <w:pPr>
        <w:shd w:val="clear" w:color="auto" w:fill="FFFFFF"/>
        <w:snapToGrid w:val="0"/>
        <w:spacing w:line="360" w:lineRule="auto"/>
        <w:rPr>
          <w:rFonts w:hint="eastAsia" w:ascii="宋体" w:hAnsi="宋体" w:eastAsia="宋体" w:cs="宋体"/>
          <w:b/>
          <w:bCs/>
          <w:color w:val="000000"/>
          <w:sz w:val="22"/>
          <w:szCs w:val="22"/>
        </w:rPr>
      </w:pPr>
      <w:r>
        <w:rPr>
          <w:rFonts w:hint="eastAsia" w:ascii="宋体" w:hAnsi="宋体" w:eastAsia="宋体" w:cs="宋体"/>
          <w:b/>
          <w:color w:val="000000"/>
          <w:sz w:val="22"/>
          <w:szCs w:val="22"/>
        </w:rPr>
        <w:t>(4)因重大变故，采购任务取消的。</w:t>
      </w:r>
    </w:p>
    <w:p w14:paraId="2FF16C4A">
      <w:pPr>
        <w:pStyle w:val="10"/>
        <w:tabs>
          <w:tab w:val="left" w:pos="720"/>
          <w:tab w:val="clear" w:pos="3600"/>
        </w:tabs>
        <w:spacing w:before="0" w:after="0"/>
        <w:jc w:val="both"/>
        <w:rPr>
          <w:rFonts w:hint="eastAsia" w:ascii="宋体" w:hAnsi="宋体" w:eastAsia="宋体" w:cs="宋体"/>
          <w:sz w:val="22"/>
          <w:szCs w:val="22"/>
        </w:rPr>
      </w:pPr>
      <w:bookmarkStart w:id="118" w:name="_Toc22425"/>
      <w:bookmarkStart w:id="119" w:name="_Toc19111"/>
      <w:r>
        <w:rPr>
          <w:rFonts w:hint="eastAsia" w:ascii="宋体" w:hAnsi="宋体" w:eastAsia="宋体" w:cs="宋体"/>
          <w:sz w:val="22"/>
          <w:szCs w:val="22"/>
        </w:rPr>
        <w:t>（十六）可中止电子交易活动的情形</w:t>
      </w:r>
      <w:bookmarkEnd w:id="118"/>
      <w:bookmarkEnd w:id="119"/>
    </w:p>
    <w:p w14:paraId="307AD139">
      <w:pPr>
        <w:spacing w:line="360" w:lineRule="auto"/>
        <w:ind w:firstLine="389" w:firstLineChars="176"/>
        <w:rPr>
          <w:rFonts w:hint="eastAsia" w:ascii="宋体" w:hAnsi="宋体" w:eastAsia="宋体" w:cs="宋体"/>
          <w:color w:val="000000"/>
          <w:sz w:val="22"/>
          <w:szCs w:val="22"/>
        </w:rPr>
      </w:pPr>
      <w:r>
        <w:rPr>
          <w:rFonts w:hint="eastAsia" w:ascii="宋体" w:hAnsi="宋体" w:eastAsia="宋体" w:cs="宋体"/>
          <w:b/>
          <w:color w:val="000000"/>
          <w:sz w:val="22"/>
          <w:szCs w:val="22"/>
        </w:rPr>
        <w:t>采购过程中出现以下情形，导致电子交易平台无法正常运行，或者无法保证电子交易的公平、公正和安全时，采购组织机构可中止电子交易活动：</w:t>
      </w:r>
    </w:p>
    <w:p w14:paraId="6ACCC8D2">
      <w:pPr>
        <w:spacing w:line="360" w:lineRule="auto"/>
        <w:ind w:firstLine="387" w:firstLineChars="176"/>
        <w:rPr>
          <w:rFonts w:hint="eastAsia" w:ascii="宋体" w:hAnsi="宋体" w:eastAsia="宋体" w:cs="宋体"/>
          <w:color w:val="000000"/>
          <w:sz w:val="22"/>
          <w:szCs w:val="22"/>
        </w:rPr>
      </w:pPr>
      <w:r>
        <w:rPr>
          <w:rFonts w:hint="eastAsia" w:ascii="宋体" w:hAnsi="宋体" w:eastAsia="宋体" w:cs="宋体"/>
          <w:color w:val="000000"/>
          <w:sz w:val="22"/>
          <w:szCs w:val="22"/>
        </w:rPr>
        <w:t>1、电子交易平台发生故障而无法登录访问的；</w:t>
      </w:r>
    </w:p>
    <w:p w14:paraId="0191796A">
      <w:pPr>
        <w:spacing w:line="360" w:lineRule="auto"/>
        <w:ind w:firstLine="387" w:firstLineChars="176"/>
        <w:rPr>
          <w:rFonts w:hint="eastAsia" w:ascii="宋体" w:hAnsi="宋体" w:eastAsia="宋体" w:cs="宋体"/>
          <w:color w:val="000000"/>
          <w:sz w:val="22"/>
          <w:szCs w:val="22"/>
        </w:rPr>
      </w:pPr>
      <w:r>
        <w:rPr>
          <w:rFonts w:hint="eastAsia" w:ascii="宋体" w:hAnsi="宋体" w:eastAsia="宋体" w:cs="宋体"/>
          <w:color w:val="000000"/>
          <w:sz w:val="22"/>
          <w:szCs w:val="22"/>
        </w:rPr>
        <w:t>2、电子交易平台应用或数据库出现错误，不能进行正常操作的；</w:t>
      </w:r>
    </w:p>
    <w:p w14:paraId="7BDE6FC7">
      <w:pPr>
        <w:spacing w:line="360" w:lineRule="auto"/>
        <w:ind w:firstLine="387" w:firstLineChars="176"/>
        <w:rPr>
          <w:rFonts w:hint="eastAsia" w:ascii="宋体" w:hAnsi="宋体" w:eastAsia="宋体" w:cs="宋体"/>
          <w:color w:val="000000"/>
          <w:sz w:val="22"/>
          <w:szCs w:val="22"/>
        </w:rPr>
      </w:pPr>
      <w:r>
        <w:rPr>
          <w:rFonts w:hint="eastAsia" w:ascii="宋体" w:hAnsi="宋体" w:eastAsia="宋体" w:cs="宋体"/>
          <w:color w:val="000000"/>
          <w:sz w:val="22"/>
          <w:szCs w:val="22"/>
        </w:rPr>
        <w:t>3、电子交易平台发现严重安全漏洞，有潜在泄密危险的；</w:t>
      </w:r>
    </w:p>
    <w:p w14:paraId="7A66D4B8">
      <w:pPr>
        <w:spacing w:line="360" w:lineRule="auto"/>
        <w:ind w:firstLine="387" w:firstLineChars="176"/>
        <w:rPr>
          <w:rFonts w:hint="eastAsia" w:ascii="宋体" w:hAnsi="宋体" w:eastAsia="宋体" w:cs="宋体"/>
          <w:color w:val="000000"/>
          <w:sz w:val="22"/>
          <w:szCs w:val="22"/>
        </w:rPr>
      </w:pPr>
      <w:r>
        <w:rPr>
          <w:rFonts w:hint="eastAsia" w:ascii="宋体" w:hAnsi="宋体" w:eastAsia="宋体" w:cs="宋体"/>
          <w:color w:val="000000"/>
          <w:sz w:val="22"/>
          <w:szCs w:val="22"/>
        </w:rPr>
        <w:t>4、病毒发作导致不能进行正常操作的；</w:t>
      </w:r>
    </w:p>
    <w:p w14:paraId="42003F30">
      <w:pPr>
        <w:spacing w:line="360" w:lineRule="auto"/>
        <w:ind w:firstLine="387" w:firstLineChars="176"/>
        <w:rPr>
          <w:rFonts w:hint="eastAsia" w:ascii="宋体" w:hAnsi="宋体" w:eastAsia="宋体" w:cs="宋体"/>
          <w:color w:val="000000"/>
          <w:sz w:val="22"/>
          <w:szCs w:val="22"/>
        </w:rPr>
      </w:pPr>
      <w:r>
        <w:rPr>
          <w:rFonts w:hint="eastAsia" w:ascii="宋体" w:hAnsi="宋体" w:eastAsia="宋体" w:cs="宋体"/>
          <w:color w:val="000000"/>
          <w:sz w:val="22"/>
          <w:szCs w:val="22"/>
        </w:rPr>
        <w:t>5、其他无法保证电子交易的公平、公正和安全的情况。</w:t>
      </w:r>
    </w:p>
    <w:p w14:paraId="67AAAAF5">
      <w:pPr>
        <w:spacing w:line="360" w:lineRule="auto"/>
        <w:ind w:firstLine="389" w:firstLineChars="176"/>
        <w:rPr>
          <w:rFonts w:hint="eastAsia" w:ascii="宋体" w:hAnsi="宋体" w:eastAsia="宋体" w:cs="宋体"/>
          <w:sz w:val="22"/>
          <w:szCs w:val="22"/>
        </w:rPr>
      </w:pPr>
      <w:r>
        <w:rPr>
          <w:rFonts w:hint="eastAsia" w:ascii="宋体" w:hAnsi="宋体" w:eastAsia="宋体" w:cs="宋体"/>
          <w:b/>
          <w:color w:val="000000"/>
          <w:sz w:val="22"/>
          <w:szCs w:val="22"/>
        </w:rPr>
        <w:t>出现前款规定情形，不影响采购公平、公正性的，采购组织机构可以待上述情形消除后继续组织电子交易活动；影响或可能影响采购公平、公正性的，应当重新采购。</w:t>
      </w:r>
    </w:p>
    <w:p w14:paraId="5A958213">
      <w:pPr>
        <w:pStyle w:val="4"/>
        <w:spacing w:line="360" w:lineRule="auto"/>
        <w:ind w:left="90" w:leftChars="43"/>
        <w:rPr>
          <w:rFonts w:hint="eastAsia" w:ascii="宋体" w:hAnsi="宋体" w:eastAsia="宋体" w:cs="宋体"/>
          <w:sz w:val="22"/>
          <w:szCs w:val="22"/>
        </w:rPr>
      </w:pPr>
    </w:p>
    <w:p w14:paraId="39D10B07">
      <w:pPr>
        <w:pStyle w:val="3"/>
        <w:adjustRightInd w:val="0"/>
        <w:snapToGrid w:val="0"/>
        <w:spacing w:line="360" w:lineRule="auto"/>
        <w:outlineLvl w:val="0"/>
        <w:rPr>
          <w:rFonts w:hint="eastAsia" w:ascii="宋体" w:hAnsi="宋体" w:eastAsia="宋体" w:cs="宋体"/>
          <w:b/>
          <w:bCs/>
          <w:sz w:val="22"/>
          <w:szCs w:val="22"/>
        </w:rPr>
      </w:pPr>
      <w:bookmarkStart w:id="120" w:name="_Toc1604"/>
      <w:bookmarkStart w:id="121" w:name="_Toc32712"/>
      <w:bookmarkStart w:id="122" w:name="_Toc9782"/>
      <w:bookmarkStart w:id="123" w:name="_Toc10887"/>
      <w:bookmarkStart w:id="124" w:name="_Toc14837"/>
      <w:r>
        <w:rPr>
          <w:rFonts w:hint="eastAsia" w:ascii="宋体" w:hAnsi="宋体" w:eastAsia="宋体" w:cs="宋体"/>
          <w:b/>
          <w:bCs/>
          <w:sz w:val="22"/>
          <w:szCs w:val="22"/>
        </w:rPr>
        <w:t>七、授予合同</w:t>
      </w:r>
      <w:bookmarkEnd w:id="120"/>
      <w:bookmarkEnd w:id="121"/>
      <w:bookmarkEnd w:id="122"/>
      <w:bookmarkEnd w:id="123"/>
      <w:bookmarkEnd w:id="124"/>
    </w:p>
    <w:p w14:paraId="2653C122">
      <w:pPr>
        <w:pStyle w:val="3"/>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 xml:space="preserve">   1、决标</w:t>
      </w:r>
    </w:p>
    <w:p w14:paraId="297F3D94">
      <w:pPr>
        <w:pStyle w:val="3"/>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 xml:space="preserve">    评标结束后，评标委员会按照</w:t>
      </w:r>
      <w:r>
        <w:rPr>
          <w:rFonts w:hint="eastAsia" w:ascii="宋体" w:hAnsi="宋体" w:eastAsia="宋体" w:cs="宋体"/>
          <w:sz w:val="22"/>
          <w:szCs w:val="22"/>
          <w:lang w:eastAsia="zh-CN"/>
        </w:rPr>
        <w:t>采购文件</w:t>
      </w:r>
      <w:r>
        <w:rPr>
          <w:rFonts w:hint="eastAsia" w:ascii="宋体" w:hAnsi="宋体" w:eastAsia="宋体" w:cs="宋体"/>
          <w:sz w:val="22"/>
          <w:szCs w:val="22"/>
        </w:rPr>
        <w:t>确定的评标办法，根据采购人授权直接确定中标供应商。</w:t>
      </w:r>
    </w:p>
    <w:p w14:paraId="67E2CBB5">
      <w:pPr>
        <w:pStyle w:val="3"/>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u w:val="single"/>
        </w:rPr>
        <w:t>采购人将把中标通知书授予最佳投标者，但最低投标报价不是中标的唯一保证。</w:t>
      </w:r>
    </w:p>
    <w:p w14:paraId="6C177D68">
      <w:pPr>
        <w:pStyle w:val="3"/>
        <w:adjustRightInd w:val="0"/>
        <w:snapToGrid w:val="0"/>
        <w:spacing w:line="360" w:lineRule="auto"/>
        <w:ind w:firstLine="435" w:firstLineChars="198"/>
        <w:rPr>
          <w:rFonts w:hint="eastAsia" w:ascii="宋体" w:hAnsi="宋体" w:eastAsia="宋体" w:cs="宋体"/>
          <w:sz w:val="22"/>
          <w:szCs w:val="22"/>
        </w:rPr>
      </w:pPr>
      <w:r>
        <w:rPr>
          <w:rFonts w:hint="eastAsia" w:ascii="宋体" w:hAnsi="宋体" w:eastAsia="宋体" w:cs="宋体"/>
          <w:sz w:val="22"/>
          <w:szCs w:val="22"/>
        </w:rPr>
        <w:t>2、中标通知书</w:t>
      </w:r>
    </w:p>
    <w:p w14:paraId="245106B6">
      <w:pPr>
        <w:pStyle w:val="3"/>
        <w:adjustRightInd w:val="0"/>
        <w:snapToGrid w:val="0"/>
        <w:spacing w:line="360" w:lineRule="auto"/>
        <w:ind w:firstLine="435" w:firstLineChars="198"/>
        <w:rPr>
          <w:rFonts w:hint="eastAsia" w:ascii="宋体" w:hAnsi="宋体" w:eastAsia="宋体" w:cs="宋体"/>
          <w:sz w:val="22"/>
          <w:szCs w:val="22"/>
        </w:rPr>
      </w:pPr>
      <w:r>
        <w:rPr>
          <w:rFonts w:hint="eastAsia" w:ascii="宋体" w:hAnsi="宋体" w:eastAsia="宋体" w:cs="宋体"/>
          <w:sz w:val="22"/>
          <w:szCs w:val="22"/>
        </w:rPr>
        <w:t>2.1开标结束后经采购人出具中标供应商确认书后招标代理机构发出中标通知书并在浙江政府采购网和</w:t>
      </w:r>
      <w:r>
        <w:rPr>
          <w:rFonts w:hint="eastAsia" w:ascii="宋体" w:hAnsi="宋体" w:eastAsia="宋体" w:cs="宋体"/>
          <w:sz w:val="22"/>
          <w:szCs w:val="22"/>
          <w:lang w:val="en-US" w:eastAsia="zh-CN"/>
        </w:rPr>
        <w:t>龙港市</w:t>
      </w:r>
      <w:r>
        <w:rPr>
          <w:rFonts w:hint="eastAsia" w:ascii="宋体" w:hAnsi="宋体" w:eastAsia="宋体" w:cs="宋体"/>
          <w:sz w:val="22"/>
          <w:szCs w:val="22"/>
        </w:rPr>
        <w:t>公共资源交易中心网站上公示中标结果，公示期为七个工作日。</w:t>
      </w:r>
    </w:p>
    <w:p w14:paraId="25B58AB7">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2.2中标通知书对采购人和中标供应商具有法律约束力。中标通知书发出后，采购人改变中标结果或者中标供应商放弃中标的，应当承担法律责任。</w:t>
      </w:r>
    </w:p>
    <w:p w14:paraId="6D4E1BA1">
      <w:pPr>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 xml:space="preserve">    3、</w:t>
      </w:r>
      <w:r>
        <w:rPr>
          <w:rFonts w:hint="eastAsia" w:ascii="宋体" w:hAnsi="宋体" w:eastAsia="宋体" w:cs="宋体"/>
          <w:b/>
          <w:bCs/>
          <w:sz w:val="22"/>
          <w:szCs w:val="22"/>
        </w:rPr>
        <w:t>评标委员会对未中标的供应商不作</w:t>
      </w:r>
      <w:r>
        <w:rPr>
          <w:rFonts w:hint="eastAsia" w:ascii="宋体" w:hAnsi="宋体" w:eastAsia="宋体" w:cs="宋体"/>
          <w:b/>
          <w:bCs/>
          <w:sz w:val="22"/>
          <w:szCs w:val="22"/>
          <w:lang w:val="en-US" w:eastAsia="zh-CN"/>
        </w:rPr>
        <w:t>未中</w:t>
      </w:r>
      <w:r>
        <w:rPr>
          <w:rFonts w:hint="eastAsia" w:ascii="宋体" w:hAnsi="宋体" w:eastAsia="宋体" w:cs="宋体"/>
          <w:b/>
          <w:bCs/>
          <w:sz w:val="22"/>
          <w:szCs w:val="22"/>
        </w:rPr>
        <w:t>标原因解释。</w:t>
      </w:r>
    </w:p>
    <w:p w14:paraId="13457606">
      <w:pPr>
        <w:pStyle w:val="3"/>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 xml:space="preserve">    4、签订合同</w:t>
      </w:r>
    </w:p>
    <w:p w14:paraId="717CB89D">
      <w:pPr>
        <w:pStyle w:val="3"/>
        <w:adjustRightInd w:val="0"/>
        <w:snapToGrid w:val="0"/>
        <w:spacing w:line="360" w:lineRule="auto"/>
        <w:ind w:firstLine="480"/>
        <w:rPr>
          <w:rFonts w:hint="eastAsia" w:ascii="宋体" w:hAnsi="宋体" w:eastAsia="宋体" w:cs="宋体"/>
          <w:sz w:val="22"/>
          <w:szCs w:val="22"/>
        </w:rPr>
      </w:pPr>
      <w:r>
        <w:rPr>
          <w:rFonts w:hint="eastAsia" w:ascii="宋体" w:hAnsi="宋体" w:eastAsia="宋体" w:cs="宋体"/>
          <w:sz w:val="22"/>
          <w:szCs w:val="22"/>
        </w:rPr>
        <w:t>4.1中标公示发出后，中标供应商主动联系招标代理机构领取中标通知书</w:t>
      </w:r>
      <w:r>
        <w:rPr>
          <w:rFonts w:hint="eastAsia" w:hAnsi="宋体" w:eastAsia="宋体" w:cs="宋体"/>
          <w:sz w:val="22"/>
          <w:szCs w:val="22"/>
          <w:lang w:eastAsia="zh-CN"/>
        </w:rPr>
        <w:t>（</w:t>
      </w:r>
      <w:r>
        <w:rPr>
          <w:rFonts w:hint="eastAsia" w:hAnsi="宋体" w:eastAsia="宋体" w:cs="宋体"/>
          <w:sz w:val="22"/>
          <w:szCs w:val="22"/>
          <w:lang w:val="en-US" w:eastAsia="zh-CN"/>
        </w:rPr>
        <w:t>可邮寄</w:t>
      </w:r>
      <w:r>
        <w:rPr>
          <w:rFonts w:hint="eastAsia" w:hAnsi="宋体" w:eastAsia="宋体" w:cs="宋体"/>
          <w:sz w:val="22"/>
          <w:szCs w:val="22"/>
          <w:lang w:eastAsia="zh-CN"/>
        </w:rPr>
        <w:t>）</w:t>
      </w:r>
      <w:r>
        <w:rPr>
          <w:rFonts w:hint="eastAsia" w:ascii="宋体" w:hAnsi="宋体" w:eastAsia="宋体" w:cs="宋体"/>
          <w:sz w:val="22"/>
          <w:szCs w:val="22"/>
        </w:rPr>
        <w:t>，</w:t>
      </w:r>
      <w:r>
        <w:rPr>
          <w:rFonts w:hint="eastAsia" w:hAnsi="宋体" w:eastAsia="宋体" w:cs="宋体"/>
          <w:sz w:val="22"/>
          <w:szCs w:val="22"/>
          <w:lang w:val="en-US" w:eastAsia="zh-CN"/>
        </w:rPr>
        <w:t>原则上20日</w:t>
      </w:r>
      <w:r>
        <w:rPr>
          <w:rFonts w:hint="eastAsia" w:ascii="宋体" w:hAnsi="宋体" w:eastAsia="宋体" w:cs="宋体"/>
          <w:sz w:val="22"/>
          <w:szCs w:val="22"/>
          <w:lang w:val="en-US" w:eastAsia="zh-CN"/>
        </w:rPr>
        <w:t>内</w:t>
      </w:r>
      <w:r>
        <w:rPr>
          <w:rFonts w:hint="eastAsia" w:ascii="宋体" w:hAnsi="宋体" w:eastAsia="宋体" w:cs="宋体"/>
          <w:sz w:val="22"/>
          <w:szCs w:val="22"/>
        </w:rPr>
        <w:t>到采购人处与采购人签订合同</w:t>
      </w:r>
      <w:r>
        <w:rPr>
          <w:rFonts w:hint="eastAsia" w:hAnsi="宋体" w:eastAsia="宋体" w:cs="宋体"/>
          <w:sz w:val="22"/>
          <w:szCs w:val="22"/>
          <w:lang w:eastAsia="zh-CN"/>
        </w:rPr>
        <w:t>，</w:t>
      </w:r>
      <w:r>
        <w:rPr>
          <w:rFonts w:hint="eastAsia" w:hAnsi="宋体" w:eastAsia="宋体" w:cs="宋体"/>
          <w:sz w:val="22"/>
          <w:szCs w:val="22"/>
          <w:lang w:val="en-US" w:eastAsia="zh-CN"/>
        </w:rPr>
        <w:t>最多不超过30日</w:t>
      </w:r>
      <w:r>
        <w:rPr>
          <w:rFonts w:hint="eastAsia" w:ascii="宋体" w:hAnsi="宋体" w:eastAsia="宋体" w:cs="宋体"/>
          <w:sz w:val="22"/>
          <w:szCs w:val="22"/>
        </w:rPr>
        <w:t>。中标供应商未经采购人许可，在规定时间内未到采购人处与采购人签订合同，则视为拒签合同。</w:t>
      </w:r>
    </w:p>
    <w:p w14:paraId="30B3ADA4">
      <w:pPr>
        <w:pStyle w:val="3"/>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 xml:space="preserve">    4.2</w:t>
      </w:r>
      <w:r>
        <w:rPr>
          <w:rFonts w:hint="eastAsia" w:ascii="宋体" w:hAnsi="宋体" w:eastAsia="宋体" w:cs="宋体"/>
          <w:sz w:val="22"/>
          <w:szCs w:val="22"/>
          <w:lang w:eastAsia="zh-CN"/>
        </w:rPr>
        <w:t>采购文件</w:t>
      </w:r>
      <w:r>
        <w:rPr>
          <w:rFonts w:hint="eastAsia" w:ascii="宋体" w:hAnsi="宋体" w:eastAsia="宋体" w:cs="宋体"/>
          <w:sz w:val="22"/>
          <w:szCs w:val="22"/>
        </w:rPr>
        <w:t>、中标供应商的</w:t>
      </w:r>
      <w:r>
        <w:rPr>
          <w:rFonts w:hint="eastAsia" w:ascii="宋体" w:hAnsi="宋体" w:eastAsia="宋体" w:cs="宋体"/>
          <w:sz w:val="22"/>
          <w:szCs w:val="22"/>
          <w:lang w:eastAsia="zh-CN"/>
        </w:rPr>
        <w:t>投标响应文件</w:t>
      </w:r>
      <w:r>
        <w:rPr>
          <w:rFonts w:hint="eastAsia" w:ascii="宋体" w:hAnsi="宋体" w:eastAsia="宋体" w:cs="宋体"/>
          <w:sz w:val="22"/>
          <w:szCs w:val="22"/>
        </w:rPr>
        <w:t>及投标修改文件、评标过程中有关澄清文件及经双方签字的询标纪要（承诺）和中标通知书均作为合同附件。</w:t>
      </w:r>
    </w:p>
    <w:p w14:paraId="3C4F877A">
      <w:pPr>
        <w:pStyle w:val="3"/>
        <w:adjustRightInd w:val="0"/>
        <w:snapToGrid w:val="0"/>
        <w:spacing w:line="360" w:lineRule="auto"/>
        <w:rPr>
          <w:rFonts w:hint="eastAsia" w:ascii="宋体" w:hAnsi="宋体" w:eastAsia="宋体" w:cs="宋体"/>
          <w:b/>
          <w:bCs/>
          <w:sz w:val="22"/>
          <w:szCs w:val="22"/>
        </w:rPr>
      </w:pPr>
      <w:r>
        <w:rPr>
          <w:rFonts w:hint="eastAsia" w:ascii="宋体" w:hAnsi="宋体" w:eastAsia="宋体" w:cs="宋体"/>
          <w:sz w:val="22"/>
          <w:szCs w:val="22"/>
        </w:rPr>
        <w:t xml:space="preserve">   </w:t>
      </w:r>
      <w:r>
        <w:rPr>
          <w:rFonts w:hint="eastAsia" w:ascii="宋体" w:hAnsi="宋体" w:eastAsia="宋体" w:cs="宋体"/>
          <w:b/>
          <w:bCs/>
          <w:sz w:val="22"/>
          <w:szCs w:val="22"/>
        </w:rPr>
        <w:t xml:space="preserve"> 4.3 拒签合同的责任</w:t>
      </w:r>
    </w:p>
    <w:p w14:paraId="6651E7AB">
      <w:pPr>
        <w:pStyle w:val="3"/>
        <w:adjustRightInd w:val="0"/>
        <w:snapToGrid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 xml:space="preserve">    中标供应商接到中标通知书后，在规定时间内借故否认已经承诺的条件而拒签合同，以投标违约处理，</w:t>
      </w:r>
      <w:r>
        <w:rPr>
          <w:rFonts w:hint="eastAsia" w:ascii="宋体" w:hAnsi="宋体" w:eastAsia="宋体" w:cs="宋体"/>
          <w:b/>
          <w:bCs/>
          <w:sz w:val="22"/>
          <w:szCs w:val="22"/>
          <w:lang w:val="en-US" w:eastAsia="zh-CN"/>
        </w:rPr>
        <w:t>须</w:t>
      </w:r>
      <w:r>
        <w:rPr>
          <w:rFonts w:hint="eastAsia" w:ascii="宋体" w:hAnsi="宋体" w:eastAsia="宋体" w:cs="宋体"/>
          <w:b/>
          <w:bCs/>
          <w:sz w:val="22"/>
          <w:szCs w:val="22"/>
        </w:rPr>
        <w:t>赔偿采购人由此造成的直接经济损失；采购人重新组织招标的，所需费用由原中标供应商承担。</w:t>
      </w:r>
    </w:p>
    <w:p w14:paraId="784B84E3">
      <w:pPr>
        <w:pStyle w:val="3"/>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 xml:space="preserve">  5、招标代理服务费</w:t>
      </w:r>
    </w:p>
    <w:p w14:paraId="2402D4FD">
      <w:pPr>
        <w:pStyle w:val="3"/>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5.1、中标</w:t>
      </w:r>
      <w:r>
        <w:rPr>
          <w:rFonts w:hint="eastAsia" w:ascii="宋体" w:hAnsi="宋体" w:eastAsia="宋体" w:cs="宋体"/>
          <w:sz w:val="22"/>
          <w:szCs w:val="22"/>
          <w:lang w:val="en-US" w:eastAsia="zh-CN"/>
        </w:rPr>
        <w:t>单位</w:t>
      </w:r>
      <w:r>
        <w:rPr>
          <w:rFonts w:hint="eastAsia" w:ascii="宋体" w:hAnsi="宋体" w:eastAsia="宋体" w:cs="宋体"/>
          <w:sz w:val="22"/>
          <w:szCs w:val="22"/>
        </w:rPr>
        <w:t>在中标通知书发出之日起七个工作日内，向采购代理机构交纳采购代理服务费，采购代理服务费收取标准按</w:t>
      </w:r>
      <w:r>
        <w:rPr>
          <w:rFonts w:hint="eastAsia" w:ascii="宋体" w:hAnsi="宋体" w:eastAsia="宋体" w:cs="宋体"/>
          <w:sz w:val="22"/>
          <w:szCs w:val="22"/>
          <w:u w:val="single"/>
        </w:rPr>
        <w:t xml:space="preserve"> </w:t>
      </w:r>
      <w:r>
        <w:rPr>
          <w:rFonts w:hint="eastAsia" w:hAnsi="宋体" w:eastAsia="宋体" w:cs="宋体"/>
          <w:b/>
          <w:bCs/>
          <w:sz w:val="22"/>
          <w:szCs w:val="22"/>
          <w:u w:val="single"/>
          <w:lang w:val="en-US" w:eastAsia="zh-CN"/>
        </w:rPr>
        <w:t>24300</w:t>
      </w:r>
      <w:r>
        <w:rPr>
          <w:rFonts w:hint="eastAsia" w:ascii="宋体" w:hAnsi="宋体" w:eastAsia="宋体" w:cs="宋体"/>
          <w:b/>
          <w:bCs/>
          <w:sz w:val="22"/>
          <w:szCs w:val="22"/>
          <w:u w:val="single"/>
          <w:lang w:val="en-US" w:eastAsia="zh-CN"/>
        </w:rPr>
        <w:t>元</w:t>
      </w:r>
      <w:r>
        <w:rPr>
          <w:rFonts w:hint="eastAsia" w:ascii="宋体" w:hAnsi="宋体" w:eastAsia="宋体" w:cs="宋体"/>
          <w:sz w:val="22"/>
          <w:szCs w:val="22"/>
          <w:u w:val="single"/>
        </w:rPr>
        <w:t xml:space="preserve"> </w:t>
      </w:r>
      <w:r>
        <w:rPr>
          <w:rFonts w:hint="eastAsia" w:ascii="宋体" w:hAnsi="宋体" w:eastAsia="宋体" w:cs="宋体"/>
          <w:sz w:val="22"/>
          <w:szCs w:val="22"/>
        </w:rPr>
        <w:t>执行，采购代理服务费包含在投标总价中。代理服务费汇入以下帐号：</w:t>
      </w:r>
    </w:p>
    <w:p w14:paraId="272B681C">
      <w:pPr>
        <w:pStyle w:val="3"/>
        <w:adjustRightInd w:val="0"/>
        <w:snapToGri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开户银行：</w:t>
      </w:r>
      <w:r>
        <w:rPr>
          <w:rFonts w:hint="eastAsia" w:hAnsi="宋体" w:eastAsia="宋体" w:cs="宋体"/>
          <w:sz w:val="22"/>
          <w:szCs w:val="22"/>
          <w:lang w:val="en-US" w:eastAsia="zh-CN"/>
        </w:rPr>
        <w:t>龙港</w:t>
      </w:r>
      <w:r>
        <w:rPr>
          <w:rFonts w:hint="eastAsia" w:ascii="宋体" w:hAnsi="宋体" w:eastAsia="宋体" w:cs="宋体"/>
          <w:sz w:val="22"/>
          <w:szCs w:val="22"/>
          <w:lang w:val="en-US" w:eastAsia="zh-CN"/>
        </w:rPr>
        <w:t>农村商业银行股份有限公司</w:t>
      </w:r>
      <w:r>
        <w:rPr>
          <w:rFonts w:hint="eastAsia" w:hAnsi="宋体" w:eastAsia="宋体" w:cs="宋体"/>
          <w:sz w:val="22"/>
          <w:szCs w:val="22"/>
          <w:lang w:val="en-US" w:eastAsia="zh-CN"/>
        </w:rPr>
        <w:t>金河</w:t>
      </w:r>
      <w:r>
        <w:rPr>
          <w:rFonts w:hint="eastAsia" w:ascii="宋体" w:hAnsi="宋体" w:eastAsia="宋体" w:cs="宋体"/>
          <w:sz w:val="22"/>
          <w:szCs w:val="22"/>
          <w:lang w:val="en-US" w:eastAsia="zh-CN"/>
        </w:rPr>
        <w:t>支行</w:t>
      </w:r>
    </w:p>
    <w:p w14:paraId="46396DC8">
      <w:pPr>
        <w:pStyle w:val="3"/>
        <w:adjustRightInd w:val="0"/>
        <w:snapToGri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 xml:space="preserve">开户名称： </w:t>
      </w:r>
      <w:r>
        <w:rPr>
          <w:rFonts w:hint="eastAsia" w:ascii="宋体" w:hAnsi="宋体" w:eastAsia="宋体" w:cs="宋体"/>
          <w:sz w:val="22"/>
          <w:szCs w:val="22"/>
          <w:lang w:eastAsia="zh-CN"/>
        </w:rPr>
        <w:t>温州立民招标代理有限公司</w:t>
      </w:r>
      <w:r>
        <w:rPr>
          <w:rFonts w:hint="eastAsia" w:ascii="宋体" w:hAnsi="宋体" w:eastAsia="宋体" w:cs="宋体"/>
          <w:sz w:val="22"/>
          <w:szCs w:val="22"/>
          <w:lang w:val="en-US" w:eastAsia="zh-CN"/>
        </w:rPr>
        <w:t xml:space="preserve"> </w:t>
      </w:r>
    </w:p>
    <w:p w14:paraId="12334942">
      <w:pPr>
        <w:pStyle w:val="3"/>
        <w:adjustRightInd w:val="0"/>
        <w:snapToGri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 xml:space="preserve">开户帐号： </w:t>
      </w:r>
      <w:r>
        <w:rPr>
          <w:rFonts w:hint="eastAsia" w:ascii="宋体" w:hAnsi="宋体" w:eastAsia="宋体" w:cs="宋体"/>
          <w:sz w:val="22"/>
          <w:szCs w:val="22"/>
          <w:lang w:val="en-US" w:eastAsia="zh-CN"/>
        </w:rPr>
        <w:t>201000181781618</w:t>
      </w:r>
    </w:p>
    <w:p w14:paraId="6BFF97AB">
      <w:pPr>
        <w:pStyle w:val="3"/>
        <w:adjustRightInd w:val="0"/>
        <w:snapToGrid w:val="0"/>
        <w:spacing w:line="360" w:lineRule="auto"/>
        <w:rPr>
          <w:rFonts w:hint="eastAsia" w:hAnsi="宋体" w:cs="宋体"/>
          <w:sz w:val="22"/>
          <w:szCs w:val="22"/>
        </w:rPr>
      </w:pPr>
    </w:p>
    <w:p w14:paraId="1496C3D7">
      <w:pPr>
        <w:snapToGrid w:val="0"/>
        <w:spacing w:line="360" w:lineRule="auto"/>
        <w:ind w:firstLine="440" w:firstLineChars="200"/>
        <w:rPr>
          <w:rFonts w:hint="eastAsia" w:ascii="宋体" w:hAnsi="宋体" w:cs="宋体"/>
          <w:sz w:val="22"/>
          <w:szCs w:val="22"/>
        </w:rPr>
      </w:pPr>
    </w:p>
    <w:bookmarkEnd w:id="24"/>
    <w:p w14:paraId="03CBCAF0">
      <w:pPr>
        <w:snapToGrid w:val="0"/>
        <w:spacing w:line="360" w:lineRule="auto"/>
        <w:jc w:val="center"/>
        <w:rPr>
          <w:rFonts w:hint="eastAsia" w:ascii="宋体" w:hAnsi="宋体" w:cs="宋体"/>
          <w:sz w:val="22"/>
          <w:szCs w:val="22"/>
        </w:rPr>
        <w:sectPr>
          <w:pgSz w:w="11906" w:h="16838"/>
          <w:pgMar w:top="1020" w:right="1417" w:bottom="1118" w:left="1417" w:header="851" w:footer="680" w:gutter="0"/>
          <w:pgBorders>
            <w:top w:val="none" w:sz="0" w:space="0"/>
            <w:left w:val="none" w:sz="0" w:space="0"/>
            <w:bottom w:val="none" w:sz="0" w:space="0"/>
            <w:right w:val="none" w:sz="0" w:space="0"/>
          </w:pgBorders>
          <w:pgNumType w:fmt="numberInDash" w:start="1"/>
          <w:cols w:space="720" w:num="1"/>
          <w:titlePg/>
          <w:docGrid w:type="lines" w:linePitch="324" w:charSpace="0"/>
        </w:sectPr>
      </w:pPr>
    </w:p>
    <w:p w14:paraId="2ACCD6E0">
      <w:pPr>
        <w:pStyle w:val="8"/>
        <w:spacing w:before="0" w:after="0"/>
        <w:jc w:val="center"/>
        <w:rPr>
          <w:rFonts w:hint="eastAsia" w:ascii="宋体" w:hAnsi="宋体" w:eastAsia="宋体" w:cs="宋体"/>
          <w:b/>
          <w:bCs/>
        </w:rPr>
      </w:pPr>
      <w:bookmarkStart w:id="125" w:name="_Toc3855"/>
      <w:bookmarkStart w:id="126" w:name="_Toc24776"/>
      <w:r>
        <w:rPr>
          <w:rFonts w:hint="eastAsia" w:ascii="宋体" w:hAnsi="宋体" w:eastAsia="宋体" w:cs="宋体"/>
          <w:b/>
          <w:bCs/>
        </w:rPr>
        <w:t>第四部分、合同格式</w:t>
      </w:r>
      <w:bookmarkEnd w:id="125"/>
      <w:bookmarkEnd w:id="126"/>
    </w:p>
    <w:p w14:paraId="1A419C96">
      <w:pPr>
        <w:pStyle w:val="3"/>
        <w:snapToGrid w:val="0"/>
        <w:spacing w:line="420" w:lineRule="exact"/>
        <w:ind w:firstLine="105" w:firstLineChars="50"/>
        <w:rPr>
          <w:rFonts w:hint="eastAsia"/>
          <w:color w:val="auto"/>
          <w:sz w:val="21"/>
          <w:szCs w:val="21"/>
        </w:rPr>
      </w:pPr>
      <w:bookmarkStart w:id="127" w:name="_Toc16486"/>
    </w:p>
    <w:p w14:paraId="4927F930">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项目名称：                                       项目编号：</w:t>
      </w:r>
    </w:p>
    <w:p w14:paraId="67E61A36">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甲方：（买方）</w:t>
      </w:r>
    </w:p>
    <w:p w14:paraId="727C0D00">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乙方：（卖方）</w:t>
      </w:r>
    </w:p>
    <w:p w14:paraId="2DEDCBC3">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u w:val="single"/>
        </w:rPr>
      </w:pPr>
      <w:r>
        <w:rPr>
          <w:rFonts w:hint="eastAsia" w:ascii="宋体" w:hAnsi="宋体" w:eastAsia="宋体" w:cs="宋体"/>
          <w:bCs/>
          <w:color w:val="auto"/>
          <w:sz w:val="22"/>
          <w:szCs w:val="22"/>
        </w:rPr>
        <w:t>甲、乙双方根据</w:t>
      </w:r>
      <w:r>
        <w:rPr>
          <w:rFonts w:hint="eastAsia" w:ascii="宋体" w:hAnsi="宋体" w:eastAsia="宋体" w:cs="宋体"/>
          <w:bCs/>
          <w:color w:val="auto"/>
          <w:sz w:val="22"/>
          <w:szCs w:val="22"/>
          <w:u w:val="single"/>
        </w:rPr>
        <w:t xml:space="preserve">                                              （</w:t>
      </w:r>
      <w:r>
        <w:rPr>
          <w:rFonts w:hint="eastAsia" w:ascii="宋体" w:hAnsi="宋体" w:eastAsia="宋体" w:cs="宋体"/>
          <w:bCs/>
          <w:color w:val="auto"/>
          <w:sz w:val="22"/>
          <w:szCs w:val="22"/>
        </w:rPr>
        <w:t>单位名称）</w:t>
      </w:r>
      <w:r>
        <w:rPr>
          <w:rFonts w:hint="eastAsia" w:ascii="宋体" w:hAnsi="宋体" w:eastAsia="宋体" w:cs="宋体"/>
          <w:bCs/>
          <w:color w:val="auto"/>
          <w:sz w:val="22"/>
          <w:szCs w:val="22"/>
          <w:u w:val="single"/>
        </w:rPr>
        <w:t xml:space="preserve">     </w:t>
      </w:r>
    </w:p>
    <w:p w14:paraId="692E21BF">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
          <w:bCs/>
          <w:color w:val="auto"/>
          <w:sz w:val="22"/>
          <w:szCs w:val="22"/>
        </w:rPr>
      </w:pPr>
      <w:r>
        <w:rPr>
          <w:rFonts w:hint="eastAsia" w:ascii="宋体" w:hAnsi="宋体" w:eastAsia="宋体" w:cs="宋体"/>
          <w:bCs/>
          <w:color w:val="auto"/>
          <w:sz w:val="22"/>
          <w:szCs w:val="22"/>
          <w:u w:val="single"/>
        </w:rPr>
        <w:t xml:space="preserve">                       </w:t>
      </w:r>
      <w:r>
        <w:rPr>
          <w:rFonts w:hint="eastAsia" w:ascii="宋体" w:hAnsi="宋体" w:eastAsia="宋体" w:cs="宋体"/>
          <w:bCs/>
          <w:color w:val="auto"/>
          <w:sz w:val="22"/>
          <w:szCs w:val="22"/>
        </w:rPr>
        <w:t>项目公开招标的结果，签署本合同。</w:t>
      </w:r>
    </w:p>
    <w:p w14:paraId="73DFA6C4">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一、合同文件</w:t>
      </w:r>
    </w:p>
    <w:p w14:paraId="76CCDF13">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1、下列文件构成本合同的组成部分：</w:t>
      </w:r>
    </w:p>
    <w:p w14:paraId="6BB9EA92">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1）招标文件</w:t>
      </w:r>
    </w:p>
    <w:p w14:paraId="3572C230">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2）投标书                  （投标书）</w:t>
      </w:r>
    </w:p>
    <w:p w14:paraId="788A3746">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3）报价表                  （投标书）</w:t>
      </w:r>
    </w:p>
    <w:p w14:paraId="0745B354">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4）中标通知书</w:t>
      </w:r>
    </w:p>
    <w:p w14:paraId="6866FDBE">
      <w:pPr>
        <w:keepNext w:val="0"/>
        <w:keepLines w:val="0"/>
        <w:pageBreakBefore w:val="0"/>
        <w:widowControl w:val="0"/>
        <w:kinsoku/>
        <w:wordWrap/>
        <w:overflowPunct/>
        <w:topLinePunct w:val="0"/>
        <w:autoSpaceDE/>
        <w:autoSpaceDN/>
        <w:bidi w:val="0"/>
        <w:adjustRightInd/>
        <w:snapToGrid/>
        <w:spacing w:line="360" w:lineRule="auto"/>
        <w:ind w:firstLine="770" w:firstLineChars="3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val="en-US" w:eastAsia="zh-CN"/>
        </w:rPr>
        <w:t>5</w:t>
      </w:r>
      <w:r>
        <w:rPr>
          <w:rFonts w:hint="eastAsia" w:ascii="宋体" w:hAnsi="宋体" w:eastAsia="宋体" w:cs="宋体"/>
          <w:bCs/>
          <w:color w:val="auto"/>
          <w:sz w:val="22"/>
          <w:szCs w:val="22"/>
        </w:rPr>
        <w:t>)</w:t>
      </w:r>
      <w:r>
        <w:rPr>
          <w:rFonts w:hint="eastAsia" w:ascii="宋体" w:hAnsi="宋体" w:eastAsia="宋体" w:cs="宋体"/>
          <w:bCs/>
          <w:color w:val="auto"/>
          <w:sz w:val="22"/>
          <w:szCs w:val="22"/>
          <w:lang w:val="en-US" w:eastAsia="zh-CN"/>
        </w:rPr>
        <w:t xml:space="preserve"> </w:t>
      </w:r>
      <w:r>
        <w:rPr>
          <w:rFonts w:hint="eastAsia" w:ascii="宋体" w:hAnsi="宋体" w:eastAsia="宋体" w:cs="宋体"/>
          <w:bCs/>
          <w:color w:val="auto"/>
          <w:sz w:val="22"/>
          <w:szCs w:val="22"/>
        </w:rPr>
        <w:t xml:space="preserve">询标记录及承诺          </w:t>
      </w:r>
    </w:p>
    <w:p w14:paraId="65A2EFF4">
      <w:pPr>
        <w:keepNext w:val="0"/>
        <w:keepLines w:val="0"/>
        <w:pageBreakBefore w:val="0"/>
        <w:widowControl w:val="0"/>
        <w:kinsoku/>
        <w:wordWrap/>
        <w:overflowPunct/>
        <w:topLinePunct w:val="0"/>
        <w:autoSpaceDE/>
        <w:autoSpaceDN/>
        <w:bidi w:val="0"/>
        <w:adjustRightInd/>
        <w:snapToGrid/>
        <w:spacing w:line="360" w:lineRule="auto"/>
        <w:ind w:left="359" w:leftChars="171"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val="en-US" w:eastAsia="zh-CN"/>
        </w:rPr>
        <w:t>6</w:t>
      </w:r>
      <w:r>
        <w:rPr>
          <w:rFonts w:hint="eastAsia" w:ascii="宋体" w:hAnsi="宋体" w:eastAsia="宋体" w:cs="宋体"/>
          <w:bCs/>
          <w:color w:val="auto"/>
          <w:sz w:val="22"/>
          <w:szCs w:val="22"/>
        </w:rPr>
        <w:t>)</w:t>
      </w:r>
      <w:r>
        <w:rPr>
          <w:rFonts w:hint="eastAsia" w:ascii="宋体" w:hAnsi="宋体" w:eastAsia="宋体" w:cs="宋体"/>
          <w:bCs/>
          <w:color w:val="auto"/>
          <w:sz w:val="22"/>
          <w:szCs w:val="22"/>
          <w:lang w:val="en-US" w:eastAsia="zh-CN"/>
        </w:rPr>
        <w:t xml:space="preserve"> </w:t>
      </w:r>
      <w:r>
        <w:rPr>
          <w:rFonts w:hint="eastAsia" w:ascii="宋体" w:hAnsi="宋体" w:eastAsia="宋体" w:cs="宋体"/>
          <w:bCs/>
          <w:color w:val="auto"/>
          <w:sz w:val="22"/>
          <w:szCs w:val="22"/>
        </w:rPr>
        <w:t>合同补充条款或说明</w:t>
      </w:r>
    </w:p>
    <w:p w14:paraId="39FC59B0">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2、合同范围和条件</w:t>
      </w:r>
    </w:p>
    <w:p w14:paraId="50039B1E">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本合同的范围和条件应与上述规定的合同文件内容一致。</w:t>
      </w:r>
    </w:p>
    <w:p w14:paraId="6BF67B8B">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3、服务内容与期限</w:t>
      </w:r>
    </w:p>
    <w:p w14:paraId="69BA8B3A">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
          <w:bCs/>
          <w:color w:val="auto"/>
          <w:sz w:val="22"/>
          <w:szCs w:val="22"/>
        </w:rPr>
      </w:pPr>
      <w:r>
        <w:rPr>
          <w:rFonts w:hint="eastAsia" w:ascii="宋体" w:hAnsi="宋体" w:eastAsia="宋体" w:cs="宋体"/>
          <w:bCs/>
          <w:color w:val="auto"/>
          <w:sz w:val="22"/>
          <w:szCs w:val="22"/>
        </w:rPr>
        <w:t xml:space="preserve">    本合同要求提供的服务内容与期限见招标文件。</w:t>
      </w:r>
    </w:p>
    <w:p w14:paraId="4232361F">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bCs/>
          <w:color w:val="auto"/>
          <w:sz w:val="22"/>
          <w:szCs w:val="22"/>
        </w:rPr>
      </w:pPr>
      <w:bookmarkStart w:id="128" w:name="_Toc366245552"/>
      <w:bookmarkStart w:id="129" w:name="_Toc365312072"/>
      <w:r>
        <w:rPr>
          <w:rFonts w:hint="eastAsia" w:ascii="宋体" w:hAnsi="宋体" w:eastAsia="宋体" w:cs="宋体"/>
          <w:b/>
          <w:bCs/>
          <w:color w:val="auto"/>
          <w:sz w:val="22"/>
          <w:szCs w:val="22"/>
        </w:rPr>
        <w:t>二、合同</w:t>
      </w:r>
      <w:bookmarkEnd w:id="128"/>
      <w:bookmarkEnd w:id="129"/>
      <w:r>
        <w:rPr>
          <w:rFonts w:hint="eastAsia" w:ascii="宋体" w:hAnsi="宋体" w:eastAsia="宋体" w:cs="宋体"/>
          <w:b/>
          <w:bCs/>
          <w:color w:val="auto"/>
          <w:sz w:val="22"/>
          <w:szCs w:val="22"/>
        </w:rPr>
        <w:t>金额</w:t>
      </w:r>
    </w:p>
    <w:p w14:paraId="4AA8345A">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合同价格按投标文件及承诺。</w:t>
      </w:r>
    </w:p>
    <w:p w14:paraId="632AC45D">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本合同金额为（大写）：</w:t>
      </w:r>
      <w:r>
        <w:rPr>
          <w:rFonts w:hint="eastAsia" w:ascii="宋体" w:hAnsi="宋体" w:eastAsia="宋体" w:cs="宋体"/>
          <w:bCs/>
          <w:color w:val="auto"/>
          <w:sz w:val="22"/>
          <w:szCs w:val="22"/>
          <w:u w:val="single"/>
        </w:rPr>
        <w:t xml:space="preserve">              </w:t>
      </w:r>
      <w:r>
        <w:rPr>
          <w:rFonts w:hint="eastAsia" w:ascii="宋体" w:hAnsi="宋体" w:eastAsia="宋体" w:cs="宋体"/>
          <w:bCs/>
          <w:color w:val="auto"/>
          <w:sz w:val="22"/>
          <w:szCs w:val="22"/>
        </w:rPr>
        <w:t>元（￥</w:t>
      </w:r>
      <w:r>
        <w:rPr>
          <w:rFonts w:hint="eastAsia" w:ascii="宋体" w:hAnsi="宋体" w:eastAsia="宋体" w:cs="宋体"/>
          <w:bCs/>
          <w:color w:val="auto"/>
          <w:sz w:val="22"/>
          <w:szCs w:val="22"/>
          <w:u w:val="single"/>
        </w:rPr>
        <w:t xml:space="preserve">              </w:t>
      </w:r>
      <w:r>
        <w:rPr>
          <w:rFonts w:hint="eastAsia" w:ascii="宋体" w:hAnsi="宋体" w:eastAsia="宋体" w:cs="宋体"/>
          <w:bCs/>
          <w:color w:val="auto"/>
          <w:sz w:val="22"/>
          <w:szCs w:val="22"/>
        </w:rPr>
        <w:t>元）人民币。</w:t>
      </w:r>
    </w:p>
    <w:p w14:paraId="30ECFF36">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本合同价款中包括装修改造费用、产品购置费、运输费、安装调试费、辅料费、系统集成、技术、售后服务、质保及后期维护费用、招标代理服务费和税金等一切费用，即供应商所投报的投标报价为供应商所能承受的整个项目的一次性最终最低报价，如有漏项，视同已包含在其它项目中，合同总价和综合单价不做调整。</w:t>
      </w:r>
    </w:p>
    <w:p w14:paraId="571C3D4A">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本项目中标方管理服务包含跟本项目有关的一切费用和协调事项，中标后，不得以不了解招标文件、施工现场和周围环境等情况为借口，而提出额外补偿等要求。</w:t>
      </w:r>
    </w:p>
    <w:p w14:paraId="3001E0CE">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三、付款方式</w:t>
      </w:r>
    </w:p>
    <w:p w14:paraId="54B28CA9">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合同签订后预付款40%（在签订合同时，供应商明确表示无需预付款或者主动要求降低预付款比例的，采购单位可不适用前述预付款比例的规定。）；</w:t>
      </w:r>
      <w:r>
        <w:rPr>
          <w:rFonts w:hint="eastAsia" w:ascii="宋体" w:hAnsi="宋体" w:eastAsia="宋体" w:cs="宋体"/>
          <w:b/>
          <w:color w:val="auto"/>
          <w:sz w:val="22"/>
          <w:szCs w:val="22"/>
          <w:highlight w:val="none"/>
        </w:rPr>
        <w:t>供应商将所有工作内容完成，由采购人验收合格后采购人向供应商支付剩余</w:t>
      </w:r>
      <w:r>
        <w:rPr>
          <w:rFonts w:hint="eastAsia" w:ascii="宋体" w:hAnsi="宋体" w:eastAsia="宋体" w:cs="宋体"/>
          <w:b/>
          <w:color w:val="auto"/>
          <w:sz w:val="22"/>
          <w:szCs w:val="22"/>
          <w:highlight w:val="none"/>
          <w:lang w:val="en-US" w:eastAsia="zh-CN"/>
        </w:rPr>
        <w:t>结算合同款</w:t>
      </w:r>
      <w:r>
        <w:rPr>
          <w:rFonts w:hint="eastAsia" w:ascii="宋体" w:hAnsi="宋体" w:eastAsia="宋体" w:cs="宋体"/>
          <w:b/>
          <w:color w:val="auto"/>
          <w:sz w:val="22"/>
          <w:szCs w:val="22"/>
          <w:highlight w:val="none"/>
        </w:rPr>
        <w:t>。</w:t>
      </w:r>
    </w:p>
    <w:p w14:paraId="5124151F">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预付款在合同生效以及具备实施条件后7个工作日内支付，对于满足合同约定支付条件的，采购人自收到发票之日起7个工作日内向供应商支付资金。</w:t>
      </w:r>
    </w:p>
    <w:p w14:paraId="3A6CE0F1">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Cs/>
          <w:color w:val="auto"/>
          <w:sz w:val="22"/>
          <w:szCs w:val="22"/>
        </w:rPr>
      </w:pPr>
      <w:r>
        <w:rPr>
          <w:rFonts w:hint="eastAsia" w:ascii="宋体" w:hAnsi="宋体" w:eastAsia="宋体" w:cs="宋体"/>
          <w:b/>
          <w:bCs/>
          <w:color w:val="auto"/>
          <w:sz w:val="22"/>
          <w:szCs w:val="22"/>
        </w:rPr>
        <w:t>四、转包或分包</w:t>
      </w:r>
    </w:p>
    <w:p w14:paraId="79A5DA83">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1.本合同范围的货物，应由乙方直接供应，不得转让他人供应。</w:t>
      </w:r>
    </w:p>
    <w:p w14:paraId="54E79733">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2.除非得到甲方的书面同意，乙方不得将本合同范围的货物全部或部分分包给他人供应。</w:t>
      </w:r>
    </w:p>
    <w:p w14:paraId="177B8231">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3.如有转让和未经甲方同意的分包行为，甲方有权单方面解除合同并追究乙方的违约责任。</w:t>
      </w:r>
    </w:p>
    <w:p w14:paraId="0404F0A6">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五、税费</w:t>
      </w:r>
    </w:p>
    <w:p w14:paraId="3A4BE74B">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本合同执行中相关的一切税费均由乙方负担。</w:t>
      </w:r>
    </w:p>
    <w:p w14:paraId="75169F74">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Cs/>
          <w:color w:val="auto"/>
          <w:sz w:val="22"/>
          <w:szCs w:val="22"/>
        </w:rPr>
      </w:pPr>
      <w:r>
        <w:rPr>
          <w:rFonts w:hint="eastAsia" w:ascii="宋体" w:hAnsi="宋体" w:eastAsia="宋体" w:cs="宋体"/>
          <w:b/>
          <w:bCs/>
          <w:color w:val="auto"/>
          <w:sz w:val="22"/>
          <w:szCs w:val="22"/>
        </w:rPr>
        <w:t>六、质量要求</w:t>
      </w:r>
    </w:p>
    <w:p w14:paraId="7B849031">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1.乙方应按招标文件规定和投标文件承诺（取二者中性能优者）的货物性能、技术要求、质量标准向甲方提供未经使用的全新产品，并应附有完整、详细的技术资料和说明文件。货物符合实行国家“三包”规定的，应执行“三包”规定。</w:t>
      </w:r>
    </w:p>
    <w:p w14:paraId="34B5E013">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val="en-US" w:eastAsia="zh-CN"/>
        </w:rPr>
        <w:t>2.</w:t>
      </w:r>
      <w:r>
        <w:rPr>
          <w:rFonts w:hint="eastAsia" w:ascii="宋体" w:hAnsi="宋体" w:eastAsia="宋体" w:cs="宋体"/>
          <w:bCs/>
          <w:color w:val="auto"/>
          <w:sz w:val="22"/>
          <w:szCs w:val="22"/>
        </w:rPr>
        <w:t>经政府采购管理部门批准采购的进口产品应执行原产地国家有关部门最新颁布的相应正式标准并提供国家商检、海关报关等手续。</w:t>
      </w:r>
    </w:p>
    <w:p w14:paraId="65219D34">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val="en-US" w:eastAsia="zh-CN"/>
        </w:rPr>
        <w:t>3</w:t>
      </w:r>
      <w:r>
        <w:rPr>
          <w:rFonts w:hint="eastAsia" w:ascii="宋体" w:hAnsi="宋体" w:eastAsia="宋体" w:cs="宋体"/>
          <w:bCs/>
          <w:color w:val="auto"/>
          <w:sz w:val="22"/>
          <w:szCs w:val="22"/>
        </w:rPr>
        <w:t>.乙方提供的货物在质保期内因货物本身的质量问题发生故障，乙方应负责免费更换。对达不到技术要求者，根据实际情况，经双方协商，可按以下办法处理：</w:t>
      </w:r>
    </w:p>
    <w:p w14:paraId="0D3B9CB7">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⑴更换：由乙方承担所发生的全部费用。</w:t>
      </w:r>
    </w:p>
    <w:p w14:paraId="050A4022">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⑵贬值处理：由甲乙双方合议定价。</w:t>
      </w:r>
    </w:p>
    <w:p w14:paraId="4DA5B770">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⑶退货处理：乙方应退还甲方支付的合同款，同时应承担该货物的直接费用（运输、保险、检验、货款利息及银行手续费等）。</w:t>
      </w:r>
    </w:p>
    <w:p w14:paraId="70744D3C">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七、调试和验收</w:t>
      </w:r>
      <w:r>
        <w:rPr>
          <w:rFonts w:hint="eastAsia" w:ascii="宋体" w:hAnsi="宋体" w:eastAsia="宋体" w:cs="宋体"/>
          <w:bCs/>
          <w:color w:val="auto"/>
          <w:sz w:val="22"/>
          <w:szCs w:val="22"/>
        </w:rPr>
        <w:t> </w:t>
      </w:r>
    </w:p>
    <w:p w14:paraId="6EAA2DA4">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
          <w:bCs/>
          <w:color w:val="auto"/>
          <w:sz w:val="22"/>
          <w:szCs w:val="22"/>
        </w:rPr>
      </w:pPr>
      <w:r>
        <w:rPr>
          <w:rFonts w:hint="eastAsia" w:ascii="宋体" w:hAnsi="宋体" w:eastAsia="宋体" w:cs="宋体"/>
          <w:bCs/>
          <w:color w:val="auto"/>
          <w:sz w:val="22"/>
          <w:szCs w:val="22"/>
        </w:rPr>
        <w:t>1.甲方对乙方提交的货物依据招标文件上的技术规格要求和国家有关质量标准进行现场初步验收，初步验收不合格的不予签收、不准安装。</w:t>
      </w:r>
    </w:p>
    <w:p w14:paraId="1B653D85">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2.乙方交货前应对产品作出全面检查和对验收文件进行整理，并列出清单，作为甲方收货验收和使用的技术条件依据，检验的结果应随货物交甲方。</w:t>
      </w:r>
    </w:p>
    <w:p w14:paraId="5F4E0537">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val="en-US" w:eastAsia="zh-CN"/>
        </w:rPr>
        <w:t>3.</w:t>
      </w:r>
      <w:r>
        <w:rPr>
          <w:rFonts w:hint="eastAsia" w:ascii="宋体" w:hAnsi="宋体" w:eastAsia="宋体" w:cs="宋体"/>
          <w:bCs/>
          <w:color w:val="auto"/>
          <w:sz w:val="22"/>
          <w:szCs w:val="22"/>
        </w:rPr>
        <w:t>隐蔽工程在隐蔽以前，乙方应当通知甲方检查。</w:t>
      </w:r>
    </w:p>
    <w:p w14:paraId="474E157D">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八、售后服务</w:t>
      </w:r>
    </w:p>
    <w:p w14:paraId="7341C409">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1.质保期为自货物通过最终验收之日起</w:t>
      </w:r>
      <w:r>
        <w:rPr>
          <w:rFonts w:hint="eastAsia" w:ascii="宋体" w:hAnsi="宋体" w:eastAsia="宋体" w:cs="宋体"/>
          <w:bCs/>
          <w:color w:val="auto"/>
          <w:sz w:val="22"/>
          <w:szCs w:val="22"/>
          <w:u w:val="single"/>
        </w:rPr>
        <w:t xml:space="preserve"> </w:t>
      </w:r>
      <w:r>
        <w:rPr>
          <w:rFonts w:hint="eastAsia" w:ascii="宋体" w:hAnsi="宋体" w:eastAsia="宋体" w:cs="宋体"/>
          <w:bCs/>
          <w:color w:val="auto"/>
          <w:sz w:val="22"/>
          <w:szCs w:val="22"/>
          <w:u w:val="single"/>
          <w:lang w:val="en-US" w:eastAsia="zh-CN"/>
        </w:rPr>
        <w:t xml:space="preserve"> </w:t>
      </w:r>
      <w:r>
        <w:rPr>
          <w:rFonts w:hint="eastAsia" w:ascii="宋体" w:hAnsi="宋体" w:eastAsia="宋体" w:cs="宋体"/>
          <w:bCs/>
          <w:color w:val="auto"/>
          <w:sz w:val="22"/>
          <w:szCs w:val="22"/>
          <w:u w:val="single"/>
        </w:rPr>
        <w:t xml:space="preserve">  </w:t>
      </w:r>
      <w:r>
        <w:rPr>
          <w:rFonts w:hint="eastAsia" w:ascii="宋体" w:hAnsi="宋体" w:eastAsia="宋体" w:cs="宋体"/>
          <w:bCs/>
          <w:color w:val="auto"/>
          <w:sz w:val="22"/>
          <w:szCs w:val="22"/>
        </w:rPr>
        <w:t>个月。若国家有明确规定的质量保证期高于此质量保证期的，执行国家规定。 </w:t>
      </w:r>
    </w:p>
    <w:p w14:paraId="536B2CB4">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九</w:t>
      </w:r>
      <w:r>
        <w:rPr>
          <w:rFonts w:hint="eastAsia" w:ascii="宋体" w:hAnsi="宋体" w:eastAsia="宋体" w:cs="宋体"/>
          <w:b/>
          <w:bCs/>
          <w:color w:val="auto"/>
          <w:sz w:val="22"/>
          <w:szCs w:val="22"/>
        </w:rPr>
        <w:t>、不可抗力事件处理</w:t>
      </w:r>
    </w:p>
    <w:p w14:paraId="25AE0A9A">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1.在合同有效期内，任何一方因不可抗力事件导致不能履行合同，则合同履行期可延长，其延长期与不可抗力影响期相同。</w:t>
      </w:r>
    </w:p>
    <w:p w14:paraId="70F1A445">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2.不可抗力事件发生后，应立即通知对方，并寄送有关权威机构出具的证明。</w:t>
      </w:r>
    </w:p>
    <w:p w14:paraId="0D80C2AD">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3.不可抗力事件延续120天以上，双方应通过友好协商，确定是否继续履行合同。</w:t>
      </w:r>
    </w:p>
    <w:p w14:paraId="394570A5">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十、诉讼</w:t>
      </w:r>
    </w:p>
    <w:p w14:paraId="5C37BFF1">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双方在执行合同中所发生的一切争议，应通过协商解决。如协商不成，可向甲方所在地法院起诉。</w:t>
      </w:r>
    </w:p>
    <w:p w14:paraId="243D734E">
      <w:pPr>
        <w:keepNext w:val="0"/>
        <w:keepLines w:val="0"/>
        <w:pageBreakBefore w:val="0"/>
        <w:widowControl w:val="0"/>
        <w:kinsoku/>
        <w:wordWrap/>
        <w:overflowPunct/>
        <w:topLinePunct w:val="0"/>
        <w:autoSpaceDE/>
        <w:autoSpaceDN/>
        <w:bidi w:val="0"/>
        <w:adjustRightInd/>
        <w:snapToGrid/>
        <w:spacing w:line="360" w:lineRule="auto"/>
        <w:ind w:firstLine="331" w:firstLineChars="15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十</w:t>
      </w:r>
      <w:r>
        <w:rPr>
          <w:rFonts w:hint="eastAsia" w:ascii="宋体" w:hAnsi="宋体" w:eastAsia="宋体" w:cs="宋体"/>
          <w:b/>
          <w:bCs/>
          <w:color w:val="auto"/>
          <w:sz w:val="22"/>
          <w:szCs w:val="22"/>
          <w:lang w:val="en-US" w:eastAsia="zh-CN"/>
        </w:rPr>
        <w:t>一</w:t>
      </w:r>
      <w:r>
        <w:rPr>
          <w:rFonts w:hint="eastAsia" w:ascii="宋体" w:hAnsi="宋体" w:eastAsia="宋体" w:cs="宋体"/>
          <w:b/>
          <w:bCs/>
          <w:color w:val="auto"/>
          <w:sz w:val="22"/>
          <w:szCs w:val="22"/>
        </w:rPr>
        <w:t>、合同生效及其它</w:t>
      </w:r>
    </w:p>
    <w:p w14:paraId="05C1B4F9">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1.合同经双方法定代表人或授权代表签字并加盖单位公章后生效。</w:t>
      </w:r>
    </w:p>
    <w:p w14:paraId="1CB4E6C9">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2.合同执行中涉及采购资金和采购内容修改或补充的，须经财政部门审批，并签书面补充协议报政府采购监督管理部门备案，方可作为主合同不可分割的一部分。</w:t>
      </w:r>
    </w:p>
    <w:p w14:paraId="46B49F1C">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3.本合同未尽事宜，遵照《</w:t>
      </w:r>
      <w:r>
        <w:rPr>
          <w:rFonts w:hint="eastAsia" w:ascii="宋体" w:hAnsi="宋体" w:eastAsia="宋体" w:cs="宋体"/>
          <w:bCs/>
          <w:color w:val="auto"/>
          <w:sz w:val="22"/>
          <w:szCs w:val="22"/>
          <w:lang w:val="en-US" w:eastAsia="zh-CN"/>
        </w:rPr>
        <w:t>民法典</w:t>
      </w:r>
      <w:r>
        <w:rPr>
          <w:rFonts w:hint="eastAsia" w:ascii="宋体" w:hAnsi="宋体" w:eastAsia="宋体" w:cs="宋体"/>
          <w:bCs/>
          <w:color w:val="auto"/>
          <w:sz w:val="22"/>
          <w:szCs w:val="22"/>
        </w:rPr>
        <w:t>》有关条文执行。</w:t>
      </w:r>
    </w:p>
    <w:p w14:paraId="7E9897EB">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4.本合同一式陆份，具有同等法律效力，甲乙双方各执二份； 用于采购代理机构存档一份；政府采购管理部门备案一份。</w:t>
      </w:r>
    </w:p>
    <w:p w14:paraId="61AC1C89">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甲    方：                               乙方： </w:t>
      </w:r>
    </w:p>
    <w:p w14:paraId="646D555B">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地    址：                               地址：</w:t>
      </w:r>
    </w:p>
    <w:p w14:paraId="6372320E">
      <w:pPr>
        <w:keepNext w:val="0"/>
        <w:keepLines w:val="0"/>
        <w:pageBreakBefore w:val="0"/>
        <w:widowControl w:val="0"/>
        <w:kinsoku/>
        <w:wordWrap/>
        <w:overflowPunct/>
        <w:topLinePunct w:val="0"/>
        <w:autoSpaceDE/>
        <w:autoSpaceDN/>
        <w:bidi w:val="0"/>
        <w:adjustRightInd/>
        <w:snapToGrid/>
        <w:spacing w:line="360" w:lineRule="auto"/>
        <w:ind w:firstLine="550" w:firstLineChars="2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联系方式：                               联系方式：</w:t>
      </w:r>
    </w:p>
    <w:p w14:paraId="28F4AE20">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法定（授权）代表人：                     法定（授权）代表人：</w:t>
      </w:r>
    </w:p>
    <w:p w14:paraId="43B21F11">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color w:val="auto"/>
          <w:sz w:val="22"/>
          <w:szCs w:val="22"/>
        </w:rPr>
      </w:pPr>
      <w:r>
        <w:rPr>
          <w:rFonts w:hint="eastAsia" w:ascii="宋体" w:hAnsi="宋体" w:eastAsia="宋体" w:cs="宋体"/>
          <w:bCs/>
          <w:color w:val="auto"/>
          <w:sz w:val="22"/>
          <w:szCs w:val="22"/>
        </w:rPr>
        <w:t>签字日期：      年  月  日               签字日期：      年  月  日</w:t>
      </w:r>
    </w:p>
    <w:p w14:paraId="0C74AED8">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color w:val="auto"/>
          <w:sz w:val="22"/>
          <w:szCs w:val="22"/>
        </w:rPr>
      </w:pPr>
    </w:p>
    <w:p w14:paraId="0DD3007C">
      <w:pPr>
        <w:keepNext/>
        <w:keepLines/>
        <w:numPr>
          <w:ilvl w:val="1"/>
          <w:numId w:val="0"/>
        </w:numPr>
        <w:spacing w:before="100" w:line="400" w:lineRule="exact"/>
        <w:jc w:val="center"/>
        <w:outlineLvl w:val="1"/>
        <w:rPr>
          <w:rFonts w:ascii="宋体" w:hAnsi="宋体" w:cs="宋体"/>
          <w:snapToGrid w:val="0"/>
          <w:kern w:val="44"/>
          <w:sz w:val="28"/>
          <w:szCs w:val="20"/>
        </w:rPr>
      </w:pPr>
      <w:r>
        <w:rPr>
          <w:rFonts w:hint="eastAsia" w:ascii="宋体" w:hAnsi="宋体" w:eastAsia="宋体" w:cs="宋体"/>
          <w:b/>
          <w:color w:val="auto"/>
          <w:sz w:val="22"/>
          <w:szCs w:val="22"/>
        </w:rPr>
        <w:t>注：本合同作为示范文本，具体以中标人与采购人所签订正式合同为准</w:t>
      </w:r>
      <w:r>
        <w:rPr>
          <w:rFonts w:hint="eastAsia" w:ascii="宋体" w:hAnsi="宋体" w:eastAsia="宋体" w:cs="宋体"/>
          <w:color w:val="auto"/>
          <w:sz w:val="22"/>
          <w:szCs w:val="22"/>
        </w:rPr>
        <w:t>。</w:t>
      </w:r>
    </w:p>
    <w:p w14:paraId="5D8B8FE8">
      <w:pPr>
        <w:pStyle w:val="3"/>
        <w:adjustRightInd w:val="0"/>
        <w:snapToGrid w:val="0"/>
        <w:spacing w:line="400" w:lineRule="exact"/>
        <w:rPr>
          <w:rFonts w:hint="eastAsia" w:hAnsi="宋体"/>
          <w:sz w:val="22"/>
          <w:szCs w:val="22"/>
        </w:rPr>
        <w:sectPr>
          <w:footerReference r:id="rId10" w:type="default"/>
          <w:pgSz w:w="11906" w:h="16838"/>
          <w:pgMar w:top="1134" w:right="1134" w:bottom="1134" w:left="1134" w:header="851" w:footer="680" w:gutter="0"/>
          <w:pgBorders>
            <w:top w:val="none" w:sz="0" w:space="0"/>
            <w:left w:val="none" w:sz="0" w:space="0"/>
            <w:bottom w:val="none" w:sz="0" w:space="0"/>
            <w:right w:val="none" w:sz="0" w:space="0"/>
          </w:pgBorders>
          <w:pgNumType w:fmt="numberInDash"/>
          <w:cols w:space="720" w:num="1"/>
          <w:docGrid w:type="lines" w:linePitch="324" w:charSpace="0"/>
        </w:sectPr>
      </w:pPr>
    </w:p>
    <w:p w14:paraId="4E72C517">
      <w:pPr>
        <w:pStyle w:val="3"/>
        <w:tabs>
          <w:tab w:val="left" w:pos="900"/>
        </w:tabs>
        <w:snapToGrid w:val="0"/>
        <w:spacing w:line="360" w:lineRule="auto"/>
        <w:ind w:firstLine="1108" w:firstLineChars="300"/>
        <w:jc w:val="both"/>
        <w:rPr>
          <w:rStyle w:val="56"/>
          <w:rFonts w:hint="eastAsia" w:ascii="宋体" w:hAnsi="宋体" w:eastAsia="宋体" w:cs="宋体"/>
          <w:b/>
          <w:bCs/>
        </w:rPr>
      </w:pPr>
      <w:bookmarkStart w:id="130" w:name="_Toc1251"/>
      <w:r>
        <w:rPr>
          <w:rStyle w:val="56"/>
          <w:rFonts w:hint="eastAsia" w:ascii="宋体" w:hAnsi="宋体" w:eastAsia="宋体" w:cs="宋体"/>
          <w:b/>
          <w:bCs/>
        </w:rPr>
        <w:t>第五部分    投标响应文件格式</w:t>
      </w:r>
    </w:p>
    <w:bookmarkEnd w:id="127"/>
    <w:bookmarkEnd w:id="130"/>
    <w:p w14:paraId="3C1E266D">
      <w:pPr>
        <w:snapToGrid w:val="0"/>
        <w:spacing w:line="600" w:lineRule="exact"/>
        <w:jc w:val="center"/>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eastAsia="zh-CN"/>
        </w:rPr>
        <w:t>附件</w:t>
      </w:r>
      <w:r>
        <w:rPr>
          <w:rFonts w:hint="eastAsia" w:ascii="宋体" w:hAnsi="宋体" w:eastAsia="宋体" w:cs="宋体"/>
          <w:b/>
          <w:bCs/>
          <w:color w:val="FF0000"/>
          <w:sz w:val="28"/>
          <w:szCs w:val="28"/>
          <w:lang w:val="en-US" w:eastAsia="zh-CN"/>
        </w:rPr>
        <w:t>1 资格文件</w:t>
      </w:r>
    </w:p>
    <w:p w14:paraId="061A0436">
      <w:pPr>
        <w:pStyle w:val="5"/>
        <w:rPr>
          <w:rFonts w:hint="eastAsia" w:ascii="宋体" w:hAnsi="宋体" w:eastAsia="宋体" w:cs="宋体"/>
          <w:lang w:val="en-US" w:eastAsia="zh-CN"/>
        </w:rPr>
      </w:pPr>
    </w:p>
    <w:p w14:paraId="32E2445A">
      <w:pPr>
        <w:pStyle w:val="3"/>
        <w:adjustRightInd w:val="0"/>
        <w:snapToGrid w:val="0"/>
        <w:spacing w:line="360" w:lineRule="auto"/>
        <w:ind w:right="5"/>
        <w:jc w:val="both"/>
        <w:rPr>
          <w:rFonts w:hint="eastAsia" w:ascii="宋体" w:hAnsi="宋体" w:eastAsia="宋体" w:cs="宋体"/>
          <w:sz w:val="24"/>
          <w:szCs w:val="16"/>
          <w:lang w:val="en-US" w:eastAsia="zh-CN"/>
        </w:rPr>
      </w:pPr>
      <w:r>
        <w:rPr>
          <w:rFonts w:hint="eastAsia" w:ascii="宋体" w:hAnsi="宋体" w:eastAsia="宋体" w:cs="宋体"/>
          <w:sz w:val="24"/>
          <w:szCs w:val="16"/>
          <w:lang w:val="en-US" w:eastAsia="zh-CN"/>
        </w:rPr>
        <w:t>1、资格文件封面</w:t>
      </w:r>
    </w:p>
    <w:p w14:paraId="2BCE8095">
      <w:pPr>
        <w:pStyle w:val="3"/>
        <w:adjustRightInd w:val="0"/>
        <w:snapToGrid w:val="0"/>
        <w:spacing w:line="360" w:lineRule="auto"/>
        <w:ind w:right="5" w:firstLine="562"/>
        <w:jc w:val="center"/>
        <w:rPr>
          <w:rFonts w:hint="eastAsia" w:ascii="宋体" w:hAnsi="宋体" w:eastAsia="宋体" w:cs="宋体"/>
          <w:sz w:val="56"/>
          <w:szCs w:val="36"/>
          <w:lang w:eastAsia="zh-CN"/>
        </w:rPr>
      </w:pPr>
      <w:r>
        <w:rPr>
          <w:rFonts w:hint="eastAsia" w:hAnsi="宋体" w:eastAsia="宋体" w:cs="宋体"/>
          <w:sz w:val="56"/>
          <w:szCs w:val="36"/>
          <w:lang w:eastAsia="zh-CN"/>
        </w:rPr>
        <w:t>龙港市第五中学新建教学楼二次装修及智能化工程采购项目</w:t>
      </w:r>
    </w:p>
    <w:p w14:paraId="54C18F87">
      <w:pPr>
        <w:pStyle w:val="3"/>
        <w:adjustRightInd w:val="0"/>
        <w:snapToGrid w:val="0"/>
        <w:spacing w:line="400" w:lineRule="exact"/>
        <w:ind w:firstLine="360"/>
        <w:jc w:val="right"/>
        <w:rPr>
          <w:rFonts w:hint="eastAsia" w:ascii="宋体" w:hAnsi="宋体" w:eastAsia="宋体" w:cs="宋体"/>
          <w:sz w:val="36"/>
          <w:szCs w:val="36"/>
        </w:rPr>
      </w:pPr>
    </w:p>
    <w:p w14:paraId="7E0C540D">
      <w:pPr>
        <w:pStyle w:val="3"/>
        <w:adjustRightInd w:val="0"/>
        <w:snapToGrid w:val="0"/>
        <w:spacing w:line="480" w:lineRule="auto"/>
        <w:jc w:val="center"/>
        <w:rPr>
          <w:rFonts w:hint="eastAsia" w:ascii="宋体" w:hAnsi="宋体" w:eastAsia="宋体" w:cs="宋体"/>
          <w:sz w:val="56"/>
          <w:szCs w:val="36"/>
          <w:lang w:eastAsia="zh-CN"/>
        </w:rPr>
      </w:pPr>
      <w:r>
        <w:rPr>
          <w:rFonts w:hint="eastAsia" w:ascii="宋体" w:hAnsi="宋体" w:eastAsia="宋体" w:cs="宋体"/>
          <w:sz w:val="56"/>
          <w:szCs w:val="36"/>
          <w:lang w:eastAsia="zh-CN"/>
        </w:rPr>
        <w:t>投标响应文件</w:t>
      </w:r>
    </w:p>
    <w:p w14:paraId="758FCCCA">
      <w:pPr>
        <w:pStyle w:val="3"/>
        <w:adjustRightInd w:val="0"/>
        <w:snapToGrid w:val="0"/>
        <w:spacing w:line="480" w:lineRule="auto"/>
        <w:jc w:val="center"/>
        <w:rPr>
          <w:rFonts w:hint="eastAsia" w:ascii="宋体" w:hAnsi="宋体" w:eastAsia="宋体" w:cs="宋体"/>
          <w:b/>
          <w:bCs/>
          <w:color w:val="FF0000"/>
          <w:sz w:val="56"/>
          <w:szCs w:val="36"/>
        </w:rPr>
      </w:pPr>
      <w:r>
        <w:rPr>
          <w:rFonts w:hint="eastAsia" w:ascii="宋体" w:hAnsi="宋体" w:eastAsia="宋体" w:cs="宋体"/>
          <w:b/>
          <w:bCs/>
          <w:color w:val="FF0000"/>
          <w:sz w:val="36"/>
          <w:szCs w:val="36"/>
        </w:rPr>
        <w:t>（</w:t>
      </w:r>
      <w:r>
        <w:rPr>
          <w:rFonts w:hint="eastAsia" w:ascii="宋体" w:hAnsi="宋体" w:eastAsia="宋体" w:cs="宋体"/>
          <w:b/>
          <w:bCs/>
          <w:color w:val="FF0000"/>
          <w:sz w:val="36"/>
          <w:szCs w:val="36"/>
          <w:lang w:val="en-US" w:eastAsia="zh-CN"/>
        </w:rPr>
        <w:t>资格</w:t>
      </w:r>
      <w:r>
        <w:rPr>
          <w:rFonts w:hint="eastAsia" w:ascii="宋体" w:hAnsi="宋体" w:eastAsia="宋体" w:cs="宋体"/>
          <w:b/>
          <w:bCs/>
          <w:color w:val="FF0000"/>
          <w:sz w:val="36"/>
          <w:szCs w:val="36"/>
        </w:rPr>
        <w:t>文件）</w:t>
      </w:r>
    </w:p>
    <w:p w14:paraId="0383CEC2">
      <w:pPr>
        <w:pStyle w:val="3"/>
        <w:adjustRightInd w:val="0"/>
        <w:snapToGrid w:val="0"/>
        <w:spacing w:line="400" w:lineRule="exact"/>
        <w:ind w:firstLine="360"/>
        <w:rPr>
          <w:rFonts w:hint="eastAsia" w:ascii="宋体" w:hAnsi="宋体" w:eastAsia="宋体" w:cs="宋体"/>
          <w:sz w:val="36"/>
          <w:szCs w:val="36"/>
        </w:rPr>
      </w:pPr>
    </w:p>
    <w:p w14:paraId="2C528DF7">
      <w:pPr>
        <w:pStyle w:val="3"/>
        <w:adjustRightInd w:val="0"/>
        <w:snapToGrid w:val="0"/>
        <w:spacing w:line="400" w:lineRule="exact"/>
        <w:ind w:firstLine="3420" w:firstLineChars="950"/>
        <w:rPr>
          <w:rFonts w:hint="eastAsia" w:ascii="宋体" w:hAnsi="宋体" w:eastAsia="宋体" w:cs="宋体"/>
          <w:sz w:val="36"/>
          <w:szCs w:val="36"/>
        </w:rPr>
      </w:pPr>
    </w:p>
    <w:p w14:paraId="500400A3">
      <w:pPr>
        <w:pStyle w:val="3"/>
        <w:adjustRightInd w:val="0"/>
        <w:snapToGrid w:val="0"/>
        <w:spacing w:line="480" w:lineRule="auto"/>
        <w:ind w:firstLine="1080" w:firstLineChars="300"/>
        <w:rPr>
          <w:rFonts w:hint="eastAsia" w:ascii="宋体" w:hAnsi="宋体" w:eastAsia="宋体" w:cs="宋体"/>
          <w:sz w:val="36"/>
          <w:szCs w:val="36"/>
          <w:u w:val="single"/>
        </w:rPr>
      </w:pPr>
      <w:r>
        <w:rPr>
          <w:rFonts w:hint="eastAsia" w:ascii="宋体" w:hAnsi="宋体" w:eastAsia="宋体" w:cs="宋体"/>
          <w:sz w:val="36"/>
          <w:szCs w:val="36"/>
        </w:rPr>
        <w:t>招标编号：</w:t>
      </w:r>
      <w:r>
        <w:rPr>
          <w:rFonts w:hint="eastAsia" w:hAnsi="宋体" w:cs="宋体"/>
          <w:sz w:val="36"/>
          <w:szCs w:val="36"/>
          <w:u w:val="single"/>
          <w:lang w:eastAsia="zh-CN"/>
        </w:rPr>
        <w:t>LGCG2024273</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p>
    <w:p w14:paraId="52AF514D">
      <w:pPr>
        <w:pStyle w:val="3"/>
        <w:adjustRightInd w:val="0"/>
        <w:snapToGrid w:val="0"/>
        <w:spacing w:line="480" w:lineRule="auto"/>
        <w:ind w:firstLine="1080" w:firstLineChars="300"/>
        <w:rPr>
          <w:rFonts w:hint="eastAsia" w:ascii="宋体" w:hAnsi="宋体" w:eastAsia="宋体" w:cs="宋体"/>
          <w:sz w:val="36"/>
          <w:szCs w:val="36"/>
          <w:u w:val="single"/>
        </w:rPr>
      </w:pPr>
      <w:r>
        <w:rPr>
          <w:rFonts w:hint="eastAsia" w:ascii="宋体" w:hAnsi="宋体" w:eastAsia="宋体" w:cs="宋体"/>
          <w:sz w:val="36"/>
          <w:szCs w:val="36"/>
        </w:rPr>
        <w:t>供应商名称（盖章）：</w:t>
      </w:r>
      <w:r>
        <w:rPr>
          <w:rFonts w:hint="eastAsia" w:ascii="宋体" w:hAnsi="宋体" w:eastAsia="宋体" w:cs="宋体"/>
          <w:sz w:val="36"/>
          <w:szCs w:val="36"/>
          <w:u w:val="single"/>
        </w:rPr>
        <w:t xml:space="preserve">                      </w:t>
      </w:r>
    </w:p>
    <w:p w14:paraId="02298337">
      <w:pPr>
        <w:pStyle w:val="3"/>
        <w:adjustRightInd w:val="0"/>
        <w:snapToGrid w:val="0"/>
        <w:spacing w:line="480" w:lineRule="auto"/>
        <w:ind w:firstLine="1080" w:firstLineChars="300"/>
        <w:rPr>
          <w:rFonts w:hint="eastAsia" w:ascii="宋体" w:hAnsi="宋体" w:eastAsia="宋体" w:cs="宋体"/>
          <w:sz w:val="36"/>
          <w:szCs w:val="36"/>
          <w:u w:val="single"/>
        </w:rPr>
      </w:pPr>
      <w:r>
        <w:rPr>
          <w:rFonts w:hint="eastAsia" w:ascii="宋体" w:hAnsi="宋体" w:eastAsia="宋体" w:cs="宋体"/>
          <w:sz w:val="36"/>
          <w:szCs w:val="36"/>
        </w:rPr>
        <w:t>投标</w:t>
      </w:r>
      <w:r>
        <w:rPr>
          <w:rFonts w:hint="eastAsia" w:ascii="宋体" w:hAnsi="宋体" w:eastAsia="宋体" w:cs="宋体"/>
          <w:sz w:val="36"/>
          <w:szCs w:val="36"/>
          <w:lang w:val="en-US" w:eastAsia="zh-CN"/>
        </w:rPr>
        <w:t>供应商</w:t>
      </w:r>
      <w:r>
        <w:rPr>
          <w:rFonts w:hint="eastAsia" w:ascii="宋体" w:hAnsi="宋体" w:eastAsia="宋体" w:cs="宋体"/>
          <w:sz w:val="36"/>
          <w:szCs w:val="36"/>
        </w:rPr>
        <w:t>代表（</w:t>
      </w:r>
      <w:r>
        <w:rPr>
          <w:rFonts w:hint="eastAsia" w:ascii="宋体" w:hAnsi="宋体" w:eastAsia="宋体" w:cs="宋体"/>
          <w:sz w:val="36"/>
          <w:szCs w:val="36"/>
          <w:lang w:val="en-US" w:eastAsia="zh-CN"/>
        </w:rPr>
        <w:t>姓名</w:t>
      </w:r>
      <w:r>
        <w:rPr>
          <w:rFonts w:hint="eastAsia" w:ascii="宋体" w:hAnsi="宋体" w:eastAsia="宋体" w:cs="宋体"/>
          <w:sz w:val="36"/>
          <w:szCs w:val="36"/>
        </w:rPr>
        <w:t>）：</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p>
    <w:p w14:paraId="0BFBA546">
      <w:pPr>
        <w:pStyle w:val="3"/>
        <w:adjustRightInd w:val="0"/>
        <w:snapToGrid w:val="0"/>
        <w:spacing w:line="480" w:lineRule="auto"/>
        <w:ind w:firstLine="1080" w:firstLineChars="300"/>
        <w:rPr>
          <w:rFonts w:hint="eastAsia" w:ascii="宋体" w:hAnsi="宋体" w:eastAsia="宋体" w:cs="宋体"/>
          <w:sz w:val="36"/>
          <w:szCs w:val="36"/>
          <w:lang w:val="en-US" w:eastAsia="zh-CN"/>
        </w:rPr>
      </w:pPr>
      <w:r>
        <w:rPr>
          <w:rFonts w:hint="eastAsia" w:ascii="宋体" w:hAnsi="宋体" w:eastAsia="宋体" w:cs="宋体"/>
          <w:sz w:val="36"/>
          <w:szCs w:val="36"/>
        </w:rPr>
        <w:t>投标</w:t>
      </w:r>
      <w:r>
        <w:rPr>
          <w:rFonts w:hint="eastAsia" w:ascii="宋体" w:hAnsi="宋体" w:eastAsia="宋体" w:cs="宋体"/>
          <w:sz w:val="36"/>
          <w:szCs w:val="36"/>
          <w:lang w:val="en-US" w:eastAsia="zh-CN"/>
        </w:rPr>
        <w:t>供应商</w:t>
      </w:r>
      <w:r>
        <w:rPr>
          <w:rFonts w:hint="eastAsia" w:ascii="宋体" w:hAnsi="宋体" w:eastAsia="宋体" w:cs="宋体"/>
          <w:sz w:val="36"/>
          <w:szCs w:val="36"/>
        </w:rPr>
        <w:t>代表（</w:t>
      </w:r>
      <w:r>
        <w:rPr>
          <w:rFonts w:hint="eastAsia" w:ascii="宋体" w:hAnsi="宋体" w:eastAsia="宋体" w:cs="宋体"/>
          <w:sz w:val="36"/>
          <w:szCs w:val="36"/>
          <w:lang w:val="en-US" w:eastAsia="zh-CN"/>
        </w:rPr>
        <w:t>联系电话</w:t>
      </w:r>
      <w:r>
        <w:rPr>
          <w:rFonts w:hint="eastAsia" w:ascii="宋体" w:hAnsi="宋体" w:eastAsia="宋体" w:cs="宋体"/>
          <w:sz w:val="36"/>
          <w:szCs w:val="36"/>
        </w:rPr>
        <w:t>）</w:t>
      </w:r>
      <w:r>
        <w:rPr>
          <w:rFonts w:hint="eastAsia" w:ascii="宋体" w:hAnsi="宋体" w:eastAsia="宋体" w:cs="宋体"/>
          <w:sz w:val="36"/>
          <w:szCs w:val="36"/>
          <w:lang w:eastAsia="zh-CN"/>
        </w:rPr>
        <w:t>：</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 xml:space="preserve"> </w:t>
      </w:r>
    </w:p>
    <w:p w14:paraId="195878CC">
      <w:pPr>
        <w:snapToGrid w:val="0"/>
        <w:spacing w:line="600" w:lineRule="exact"/>
        <w:ind w:firstLine="1080" w:firstLineChars="300"/>
        <w:jc w:val="left"/>
        <w:rPr>
          <w:rFonts w:hint="eastAsia" w:ascii="宋体" w:hAnsi="宋体" w:eastAsia="宋体" w:cs="宋体"/>
          <w:b/>
          <w:bCs/>
          <w:color w:val="000000"/>
          <w:sz w:val="28"/>
          <w:szCs w:val="28"/>
          <w:lang w:val="en-US" w:eastAsia="zh-CN"/>
        </w:rPr>
      </w:pPr>
      <w:r>
        <w:rPr>
          <w:rFonts w:hint="eastAsia" w:ascii="宋体" w:hAnsi="宋体" w:eastAsia="宋体" w:cs="宋体"/>
          <w:sz w:val="36"/>
          <w:szCs w:val="36"/>
          <w:lang w:val="en-US" w:eastAsia="zh-CN"/>
        </w:rPr>
        <w:t>日期：        年    月     日</w:t>
      </w:r>
    </w:p>
    <w:p w14:paraId="6831C5EE">
      <w:pPr>
        <w:snapToGrid w:val="0"/>
        <w:spacing w:line="600" w:lineRule="exact"/>
        <w:jc w:val="left"/>
        <w:rPr>
          <w:rFonts w:hint="eastAsia" w:ascii="宋体" w:hAnsi="宋体" w:eastAsia="宋体" w:cs="宋体"/>
          <w:b/>
          <w:bCs/>
          <w:color w:val="000000"/>
          <w:sz w:val="28"/>
          <w:szCs w:val="28"/>
          <w:lang w:val="en-US" w:eastAsia="zh-CN"/>
        </w:rPr>
      </w:pPr>
    </w:p>
    <w:p w14:paraId="0DE2CDFF">
      <w:pPr>
        <w:snapToGrid w:val="0"/>
        <w:spacing w:line="600" w:lineRule="exact"/>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br w:type="page"/>
      </w:r>
    </w:p>
    <w:p w14:paraId="358E8539">
      <w:pPr>
        <w:snapToGrid w:val="0"/>
        <w:spacing w:line="60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1-1、</w:t>
      </w:r>
      <w:r>
        <w:rPr>
          <w:rFonts w:hint="eastAsia" w:ascii="宋体" w:hAnsi="宋体" w:eastAsia="宋体" w:cs="宋体"/>
          <w:b/>
          <w:bCs/>
          <w:color w:val="000000"/>
          <w:sz w:val="28"/>
          <w:szCs w:val="28"/>
        </w:rPr>
        <w:t>营业执照（原件扫描并加盖电子签章）</w:t>
      </w:r>
    </w:p>
    <w:p w14:paraId="3F0ECFD1">
      <w:pPr>
        <w:snapToGrid w:val="0"/>
        <w:spacing w:line="6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14:paraId="37B7BFA8">
      <w:pPr>
        <w:snapToGrid w:val="0"/>
        <w:spacing w:line="600" w:lineRule="exact"/>
        <w:jc w:val="left"/>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1-2、经营声明</w:t>
      </w:r>
      <w:r>
        <w:rPr>
          <w:rFonts w:hint="eastAsia" w:ascii="宋体" w:hAnsi="宋体" w:eastAsia="宋体" w:cs="宋体"/>
          <w:b/>
          <w:bCs/>
          <w:color w:val="000000"/>
          <w:sz w:val="28"/>
          <w:szCs w:val="28"/>
          <w:lang w:eastAsia="zh-CN"/>
        </w:rPr>
        <w:t>：</w:t>
      </w:r>
    </w:p>
    <w:p w14:paraId="092F393F">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经营声明</w:t>
      </w:r>
    </w:p>
    <w:p w14:paraId="65D45366">
      <w:pPr>
        <w:pStyle w:val="29"/>
        <w:rPr>
          <w:rFonts w:hint="default"/>
          <w:lang w:val="en-US" w:eastAsia="zh-CN"/>
        </w:rPr>
      </w:pPr>
    </w:p>
    <w:p w14:paraId="218AA6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我单位具有</w:t>
      </w:r>
      <w:r>
        <w:rPr>
          <w:rFonts w:hint="eastAsia" w:ascii="宋体" w:hAnsi="宋体" w:eastAsia="宋体" w:cs="宋体"/>
          <w:sz w:val="24"/>
          <w:szCs w:val="24"/>
        </w:rPr>
        <w:t>良好的商业信誉和健全的财务会计制度,特此声明。</w:t>
      </w:r>
    </w:p>
    <w:p w14:paraId="272006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若在本次政府采购活动过程中发现我单位近三年内在</w:t>
      </w:r>
      <w:r>
        <w:rPr>
          <w:rFonts w:hint="eastAsia" w:ascii="宋体" w:hAnsi="宋体" w:eastAsia="宋体" w:cs="宋体"/>
          <w:sz w:val="24"/>
          <w:szCs w:val="24"/>
          <w:lang w:val="en-US" w:eastAsia="zh-CN"/>
        </w:rPr>
        <w:t>商业信誉或财务会计</w:t>
      </w:r>
      <w:r>
        <w:rPr>
          <w:rFonts w:hint="eastAsia" w:ascii="宋体" w:hAnsi="宋体" w:eastAsia="宋体" w:cs="宋体"/>
          <w:sz w:val="24"/>
          <w:szCs w:val="24"/>
        </w:rPr>
        <w:t>中有重大违法记录,我单位将无条件退出本项目的投标,并承担因此引起的一切后果。</w:t>
      </w:r>
    </w:p>
    <w:p w14:paraId="493DF30F">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3B9DC23D">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5FF3CA15">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0DB19140">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287B0032">
      <w:pPr>
        <w:snapToGrid w:val="0"/>
        <w:spacing w:line="600" w:lineRule="exac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332E90B5">
      <w:pPr>
        <w:snapToGrid w:val="0"/>
        <w:spacing w:line="600" w:lineRule="exact"/>
        <w:jc w:val="left"/>
        <w:rPr>
          <w:rFonts w:hint="eastAsia" w:ascii="宋体" w:hAnsi="宋体" w:eastAsia="宋体" w:cs="宋体"/>
          <w:b/>
          <w:bCs/>
          <w:color w:val="000000"/>
          <w:sz w:val="28"/>
          <w:szCs w:val="28"/>
        </w:rPr>
      </w:pPr>
    </w:p>
    <w:p w14:paraId="1B9DED3C">
      <w:pPr>
        <w:snapToGrid w:val="0"/>
        <w:spacing w:line="6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14:paraId="5ECDE622">
      <w:pPr>
        <w:snapToGrid w:val="0"/>
        <w:spacing w:line="600" w:lineRule="exact"/>
        <w:rPr>
          <w:rFonts w:hint="eastAsia" w:ascii="宋体" w:hAnsi="宋体" w:eastAsia="宋体" w:cs="宋体"/>
          <w:color w:val="000000"/>
          <w:sz w:val="24"/>
          <w:szCs w:val="24"/>
        </w:rPr>
      </w:pPr>
      <w:bookmarkStart w:id="131" w:name="_Toc27119254"/>
      <w:bookmarkStart w:id="132" w:name="_Toc33194405"/>
      <w:r>
        <w:rPr>
          <w:rFonts w:hint="eastAsia" w:ascii="宋体" w:hAnsi="宋体" w:eastAsia="宋体" w:cs="宋体"/>
          <w:b/>
          <w:bCs/>
          <w:color w:val="000000"/>
          <w:sz w:val="28"/>
          <w:szCs w:val="28"/>
          <w:lang w:val="en-US" w:eastAsia="zh-CN"/>
        </w:rPr>
        <w:t>1-3、</w:t>
      </w:r>
      <w:r>
        <w:rPr>
          <w:rFonts w:hint="eastAsia" w:ascii="宋体" w:hAnsi="宋体" w:eastAsia="宋体" w:cs="宋体"/>
          <w:b/>
          <w:bCs/>
          <w:color w:val="000000"/>
          <w:sz w:val="28"/>
          <w:szCs w:val="28"/>
        </w:rPr>
        <w:t>具有履行合同所必需的场地、设备和专业技术能力的承诺函</w:t>
      </w:r>
      <w:bookmarkEnd w:id="131"/>
      <w:bookmarkEnd w:id="132"/>
    </w:p>
    <w:p w14:paraId="738A5C45">
      <w:pPr>
        <w:shd w:val="clear" w:color="auto" w:fill="FFFFFF"/>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龙港市第五中学</w:t>
      </w:r>
      <w:r>
        <w:rPr>
          <w:rFonts w:hint="eastAsia" w:ascii="宋体" w:hAnsi="宋体" w:eastAsia="宋体" w:cs="宋体"/>
          <w:color w:val="000000"/>
          <w:kern w:val="0"/>
          <w:sz w:val="24"/>
          <w:szCs w:val="24"/>
        </w:rPr>
        <w:t>：</w:t>
      </w:r>
    </w:p>
    <w:p w14:paraId="1CC18413">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w:t>
      </w:r>
      <w:r>
        <w:rPr>
          <w:rFonts w:hint="eastAsia" w:ascii="宋体" w:hAnsi="宋体" w:eastAsia="宋体" w:cs="宋体"/>
          <w:color w:val="000000"/>
          <w:kern w:val="0"/>
          <w:sz w:val="24"/>
          <w:szCs w:val="24"/>
          <w:u w:val="single"/>
        </w:rPr>
        <w:t xml:space="preserve"> （供应商）</w:t>
      </w:r>
      <w:r>
        <w:rPr>
          <w:rFonts w:hint="eastAsia" w:ascii="宋体" w:hAnsi="宋体" w:eastAsia="宋体" w:cs="宋体"/>
          <w:color w:val="000000"/>
          <w:kern w:val="0"/>
          <w:sz w:val="24"/>
          <w:szCs w:val="24"/>
        </w:rPr>
        <w:t>承诺具有履行合同所必需的场地、设备和专业技术能力。如有虚假，采购人可取消我方任何资格（投标/中标/签订合同），我方对此无任何异议。</w:t>
      </w:r>
    </w:p>
    <w:p w14:paraId="67FCD08A">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133DF5F2">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0110B818">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189D66E1">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40D90A0A">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6320C538">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56FC432C">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4069C916">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0BF663E0">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516AA9AF">
      <w:pPr>
        <w:snapToGrid w:val="0"/>
        <w:spacing w:line="600" w:lineRule="exact"/>
        <w:jc w:val="center"/>
        <w:rPr>
          <w:rFonts w:hint="eastAsia" w:ascii="宋体" w:hAnsi="宋体" w:eastAsia="宋体" w:cs="宋体"/>
          <w:b/>
          <w:bCs/>
          <w:color w:val="000000"/>
          <w:sz w:val="28"/>
          <w:szCs w:val="28"/>
        </w:rPr>
        <w:sectPr>
          <w:pgSz w:w="11906" w:h="16838"/>
          <w:pgMar w:top="993" w:right="1474" w:bottom="1134" w:left="1474" w:header="851" w:footer="641" w:gutter="0"/>
          <w:pgBorders>
            <w:top w:val="none" w:sz="0" w:space="0"/>
            <w:left w:val="none" w:sz="0" w:space="0"/>
            <w:bottom w:val="none" w:sz="0" w:space="0"/>
            <w:right w:val="none" w:sz="0" w:space="0"/>
          </w:pgBorders>
          <w:pgNumType w:fmt="numberInDash"/>
          <w:cols w:space="720" w:num="1"/>
          <w:docGrid w:type="lines" w:linePitch="315" w:charSpace="0"/>
        </w:sectPr>
      </w:pPr>
    </w:p>
    <w:p w14:paraId="5774DE8F">
      <w:pPr>
        <w:snapToGrid w:val="0"/>
        <w:spacing w:line="60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1-4、</w:t>
      </w:r>
      <w:r>
        <w:rPr>
          <w:rFonts w:hint="eastAsia" w:ascii="宋体" w:hAnsi="宋体" w:eastAsia="宋体" w:cs="宋体"/>
          <w:b/>
          <w:bCs/>
          <w:color w:val="000000"/>
          <w:sz w:val="28"/>
          <w:szCs w:val="28"/>
        </w:rPr>
        <w:t>依法缴纳税收和社会保障资金的承诺函</w:t>
      </w:r>
    </w:p>
    <w:p w14:paraId="014A7C65">
      <w:pPr>
        <w:spacing w:line="600" w:lineRule="exact"/>
        <w:rPr>
          <w:rFonts w:hint="eastAsia" w:ascii="宋体" w:hAnsi="宋体" w:eastAsia="宋体" w:cs="宋体"/>
          <w:b/>
          <w:color w:val="000000"/>
          <w:kern w:val="0"/>
          <w:sz w:val="24"/>
          <w:szCs w:val="24"/>
          <w:u w:val="single"/>
        </w:rPr>
      </w:pPr>
    </w:p>
    <w:p w14:paraId="34F11642">
      <w:pPr>
        <w:shd w:val="clear" w:color="auto" w:fill="FFFFFF"/>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龙港市第五中学</w:t>
      </w:r>
      <w:r>
        <w:rPr>
          <w:rFonts w:hint="eastAsia" w:ascii="宋体" w:hAnsi="宋体" w:eastAsia="宋体" w:cs="宋体"/>
          <w:color w:val="000000"/>
          <w:kern w:val="0"/>
          <w:sz w:val="24"/>
          <w:szCs w:val="24"/>
        </w:rPr>
        <w:t>：</w:t>
      </w:r>
    </w:p>
    <w:p w14:paraId="600B81FC">
      <w:pPr>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我公司郑重声明，我公司严格依法缴纳税收和社会保障资金，本文件中所提供的相关材料均真实有效，不存在虚假、造假行为。如有违反，愿承担一切责任。</w:t>
      </w:r>
    </w:p>
    <w:p w14:paraId="58B22C8C">
      <w:pPr>
        <w:spacing w:line="600" w:lineRule="exact"/>
        <w:ind w:firstLine="480" w:firstLineChars="200"/>
        <w:rPr>
          <w:rFonts w:hint="eastAsia" w:ascii="宋体" w:hAnsi="宋体" w:eastAsia="宋体" w:cs="宋体"/>
          <w:color w:val="000000"/>
          <w:kern w:val="0"/>
          <w:sz w:val="24"/>
          <w:szCs w:val="24"/>
        </w:rPr>
      </w:pPr>
    </w:p>
    <w:p w14:paraId="5B2D2274">
      <w:pPr>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19311B3A">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5EF94BAC">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60F018F0">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287E4465">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0DA61331">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2D41A378">
      <w:pPr>
        <w:rPr>
          <w:rFonts w:hint="eastAsia" w:ascii="宋体" w:hAnsi="宋体" w:eastAsia="宋体" w:cs="宋体"/>
          <w:b/>
          <w:bCs/>
          <w:color w:val="000000"/>
          <w:sz w:val="28"/>
          <w:szCs w:val="28"/>
        </w:rPr>
      </w:pPr>
      <w:bookmarkStart w:id="133" w:name="_Toc11360"/>
      <w:bookmarkStart w:id="134" w:name="_Toc28957"/>
      <w:bookmarkStart w:id="135" w:name="_Toc33194406"/>
      <w:bookmarkStart w:id="136" w:name="_Toc31544"/>
      <w:bookmarkStart w:id="137" w:name="_Toc18304"/>
      <w:bookmarkStart w:id="138" w:name="_Toc14589"/>
      <w:bookmarkStart w:id="139" w:name="_Toc6606"/>
      <w:bookmarkStart w:id="140" w:name="_Toc31784"/>
      <w:bookmarkStart w:id="141" w:name="_Toc13669"/>
      <w:bookmarkStart w:id="142" w:name="_Toc14988"/>
      <w:bookmarkStart w:id="143" w:name="_Toc27119255"/>
    </w:p>
    <w:p w14:paraId="2D4478C8">
      <w:pPr>
        <w:pStyle w:val="24"/>
        <w:ind w:left="561" w:leftChars="267" w:firstLine="0" w:firstLineChars="0"/>
        <w:rPr>
          <w:rFonts w:hint="eastAsia" w:ascii="宋体" w:hAnsi="宋体" w:eastAsia="宋体" w:cs="宋体"/>
        </w:rPr>
        <w:sectPr>
          <w:pgSz w:w="11906" w:h="16838"/>
          <w:pgMar w:top="993" w:right="1474" w:bottom="1134" w:left="1474" w:header="851" w:footer="641" w:gutter="0"/>
          <w:pgBorders>
            <w:top w:val="none" w:sz="0" w:space="0"/>
            <w:left w:val="none" w:sz="0" w:space="0"/>
            <w:bottom w:val="none" w:sz="0" w:space="0"/>
            <w:right w:val="none" w:sz="0" w:space="0"/>
          </w:pgBorders>
          <w:pgNumType w:fmt="numberInDash"/>
          <w:cols w:space="720" w:num="1"/>
          <w:docGrid w:type="lines" w:linePitch="315" w:charSpace="0"/>
        </w:sectPr>
      </w:pPr>
    </w:p>
    <w:p w14:paraId="0C40D724">
      <w:pPr>
        <w:pStyle w:val="8"/>
        <w:snapToGrid w:val="0"/>
        <w:spacing w:line="600" w:lineRule="exact"/>
        <w:jc w:val="center"/>
        <w:rPr>
          <w:rFonts w:hint="eastAsia" w:ascii="宋体" w:hAnsi="宋体" w:eastAsia="宋体" w:cs="宋体"/>
          <w:b/>
          <w:bCs/>
          <w:color w:val="000000"/>
          <w:kern w:val="2"/>
          <w:sz w:val="28"/>
          <w:szCs w:val="28"/>
        </w:rPr>
      </w:pPr>
      <w:bookmarkStart w:id="144" w:name="_Toc16802"/>
      <w:bookmarkStart w:id="145" w:name="_Toc18155"/>
      <w:r>
        <w:rPr>
          <w:rFonts w:hint="eastAsia" w:ascii="宋体" w:hAnsi="宋体" w:eastAsia="宋体" w:cs="宋体"/>
          <w:b/>
          <w:bCs/>
          <w:color w:val="000000"/>
          <w:kern w:val="2"/>
          <w:sz w:val="28"/>
          <w:szCs w:val="28"/>
          <w:lang w:val="en-US" w:eastAsia="zh-CN"/>
        </w:rPr>
        <w:t>1-5、</w:t>
      </w:r>
      <w:r>
        <w:rPr>
          <w:rFonts w:hint="eastAsia" w:ascii="宋体" w:hAnsi="宋体" w:eastAsia="宋体" w:cs="宋体"/>
          <w:b/>
          <w:bCs/>
          <w:color w:val="000000"/>
          <w:kern w:val="2"/>
          <w:sz w:val="28"/>
          <w:szCs w:val="28"/>
        </w:rPr>
        <w:t>参加政府采购活动前3年内在经营活动中没有重大违法记录的声明函</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5C5E94B7">
      <w:pPr>
        <w:shd w:val="clear" w:color="auto" w:fill="FFFFFF"/>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龙港市第五中学</w:t>
      </w:r>
      <w:r>
        <w:rPr>
          <w:rFonts w:hint="eastAsia" w:ascii="宋体" w:hAnsi="宋体" w:eastAsia="宋体" w:cs="宋体"/>
          <w:color w:val="000000"/>
          <w:kern w:val="0"/>
          <w:sz w:val="24"/>
          <w:szCs w:val="24"/>
        </w:rPr>
        <w:t>：</w:t>
      </w:r>
    </w:p>
    <w:p w14:paraId="35545E8A">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w:t>
      </w:r>
      <w:r>
        <w:rPr>
          <w:rFonts w:hint="eastAsia" w:ascii="宋体" w:hAnsi="宋体" w:eastAsia="宋体" w:cs="宋体"/>
          <w:color w:val="000000"/>
          <w:kern w:val="0"/>
          <w:sz w:val="24"/>
          <w:szCs w:val="24"/>
          <w:u w:val="single"/>
        </w:rPr>
        <w:t xml:space="preserve"> （供应商）</w:t>
      </w:r>
      <w:r>
        <w:rPr>
          <w:rFonts w:hint="eastAsia" w:ascii="宋体" w:hAnsi="宋体" w:eastAsia="宋体" w:cs="宋体"/>
          <w:color w:val="000000"/>
          <w:kern w:val="0"/>
          <w:sz w:val="24"/>
          <w:szCs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3EC81D23">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18E0D6DD">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25935E53">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5D206957">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7738A470">
      <w:pPr>
        <w:pStyle w:val="9"/>
        <w:tabs>
          <w:tab w:val="left" w:pos="706"/>
          <w:tab w:val="left" w:pos="1110"/>
          <w:tab w:val="clear" w:pos="576"/>
        </w:tabs>
        <w:spacing w:line="600" w:lineRule="exact"/>
        <w:ind w:left="106" w:firstLine="454"/>
        <w:rPr>
          <w:rFonts w:hint="eastAsia" w:ascii="宋体" w:hAnsi="宋体" w:eastAsia="宋体" w:cs="宋体"/>
          <w:sz w:val="24"/>
          <w:szCs w:val="24"/>
        </w:rPr>
      </w:pPr>
    </w:p>
    <w:p w14:paraId="145DB946">
      <w:pPr>
        <w:pStyle w:val="8"/>
        <w:snapToGrid w:val="0"/>
        <w:spacing w:line="600" w:lineRule="exact"/>
        <w:jc w:val="center"/>
        <w:rPr>
          <w:rFonts w:hint="eastAsia" w:ascii="宋体" w:hAnsi="宋体" w:eastAsia="宋体" w:cs="宋体"/>
          <w:b/>
          <w:bCs/>
          <w:color w:val="000000"/>
          <w:kern w:val="2"/>
          <w:sz w:val="28"/>
          <w:szCs w:val="28"/>
        </w:rPr>
        <w:sectPr>
          <w:pgSz w:w="11906" w:h="16838"/>
          <w:pgMar w:top="993" w:right="1474" w:bottom="1134" w:left="1474" w:header="851" w:footer="641" w:gutter="0"/>
          <w:pgBorders>
            <w:top w:val="none" w:sz="0" w:space="0"/>
            <w:left w:val="none" w:sz="0" w:space="0"/>
            <w:bottom w:val="none" w:sz="0" w:space="0"/>
            <w:right w:val="none" w:sz="0" w:space="0"/>
          </w:pgBorders>
          <w:pgNumType w:fmt="numberInDash"/>
          <w:cols w:space="720" w:num="1"/>
          <w:docGrid w:type="lines" w:linePitch="315" w:charSpace="0"/>
        </w:sectPr>
      </w:pPr>
    </w:p>
    <w:p w14:paraId="1AA47731">
      <w:pPr>
        <w:pStyle w:val="8"/>
        <w:snapToGrid w:val="0"/>
        <w:spacing w:line="600" w:lineRule="exact"/>
        <w:jc w:val="center"/>
        <w:rPr>
          <w:rFonts w:hint="eastAsia" w:ascii="宋体" w:hAnsi="宋体" w:eastAsia="宋体" w:cs="宋体"/>
          <w:b/>
          <w:bCs/>
          <w:color w:val="000000"/>
          <w:kern w:val="2"/>
          <w:sz w:val="28"/>
          <w:szCs w:val="28"/>
        </w:rPr>
      </w:pPr>
      <w:bookmarkStart w:id="146" w:name="_Toc19832"/>
      <w:bookmarkStart w:id="147" w:name="_Toc10652"/>
      <w:r>
        <w:rPr>
          <w:rFonts w:hint="eastAsia" w:ascii="宋体" w:hAnsi="宋体" w:eastAsia="宋体" w:cs="宋体"/>
          <w:b/>
          <w:bCs/>
          <w:color w:val="000000"/>
          <w:kern w:val="2"/>
          <w:sz w:val="28"/>
          <w:szCs w:val="28"/>
          <w:lang w:val="en-US" w:eastAsia="zh-CN"/>
        </w:rPr>
        <w:t>1-6、</w:t>
      </w:r>
      <w:r>
        <w:rPr>
          <w:rFonts w:hint="eastAsia" w:ascii="宋体" w:hAnsi="宋体" w:eastAsia="宋体" w:cs="宋体"/>
          <w:b/>
          <w:bCs/>
          <w:color w:val="000000"/>
          <w:kern w:val="2"/>
          <w:sz w:val="28"/>
          <w:szCs w:val="28"/>
        </w:rPr>
        <w:t>与参加本次项目同一合同项下政府采购活动的其他供应商不存在单位负责人为同一人或者直接控股、管理关系的承诺函</w:t>
      </w:r>
      <w:bookmarkEnd w:id="146"/>
      <w:bookmarkEnd w:id="147"/>
    </w:p>
    <w:p w14:paraId="75B54156">
      <w:pPr>
        <w:shd w:val="clear" w:color="auto" w:fill="FFFFFF"/>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龙港市第五中学</w:t>
      </w:r>
      <w:r>
        <w:rPr>
          <w:rFonts w:hint="eastAsia" w:ascii="宋体" w:hAnsi="宋体" w:eastAsia="宋体" w:cs="宋体"/>
          <w:color w:val="000000"/>
          <w:kern w:val="0"/>
          <w:sz w:val="24"/>
          <w:szCs w:val="24"/>
        </w:rPr>
        <w:t>：</w:t>
      </w:r>
    </w:p>
    <w:p w14:paraId="5ED87D7B">
      <w:pPr>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我方郑重承诺，我方此次参加</w:t>
      </w:r>
      <w:r>
        <w:rPr>
          <w:rFonts w:hint="eastAsia" w:ascii="宋体" w:hAnsi="宋体" w:eastAsia="宋体" w:cs="宋体"/>
          <w:color w:val="000000"/>
          <w:kern w:val="0"/>
          <w:sz w:val="24"/>
          <w:szCs w:val="24"/>
          <w:lang w:eastAsia="zh-CN"/>
        </w:rPr>
        <w:t>龙港市第五中学新建教学楼二次装修及智能化工程采购项目</w:t>
      </w:r>
      <w:r>
        <w:rPr>
          <w:rFonts w:hint="eastAsia" w:ascii="宋体" w:hAnsi="宋体" w:eastAsia="宋体" w:cs="宋体"/>
          <w:color w:val="000000"/>
          <w:kern w:val="0"/>
          <w:sz w:val="24"/>
          <w:szCs w:val="24"/>
        </w:rPr>
        <w:t>的投标，与参加本次项目同一合同项下政府采购活动的其他供应商不存在单位负责人为同一人或者直接控股、管理关系。如有虚假或隐瞒，愿意承担一切后果。</w:t>
      </w:r>
    </w:p>
    <w:p w14:paraId="30E203D6">
      <w:pPr>
        <w:shd w:val="clear" w:color="auto" w:fill="FFFFFF"/>
        <w:snapToGrid w:val="0"/>
        <w:spacing w:line="600" w:lineRule="exact"/>
        <w:jc w:val="center"/>
        <w:rPr>
          <w:rFonts w:hint="eastAsia" w:ascii="宋体" w:hAnsi="宋体" w:eastAsia="宋体" w:cs="宋体"/>
          <w:b/>
          <w:color w:val="000000"/>
          <w:kern w:val="36"/>
          <w:sz w:val="24"/>
          <w:szCs w:val="24"/>
        </w:rPr>
      </w:pPr>
    </w:p>
    <w:p w14:paraId="0D99F63D">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553749F2">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053F4232">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72F9E2BB">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311ED522">
      <w:pPr>
        <w:widowControl/>
        <w:adjustRightInd w:val="0"/>
        <w:snapToGrid w:val="0"/>
        <w:spacing w:line="600" w:lineRule="exact"/>
        <w:ind w:firstLine="480" w:firstLineChars="200"/>
        <w:jc w:val="left"/>
        <w:rPr>
          <w:rFonts w:hint="eastAsia" w:ascii="宋体" w:hAnsi="宋体" w:eastAsia="宋体" w:cs="宋体"/>
          <w:color w:val="000000"/>
          <w:kern w:val="0"/>
          <w:sz w:val="24"/>
          <w:szCs w:val="24"/>
        </w:rPr>
      </w:pPr>
    </w:p>
    <w:p w14:paraId="31C75B48">
      <w:pPr>
        <w:widowControl/>
        <w:adjustRightInd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157B277E">
      <w:pPr>
        <w:shd w:val="clear" w:color="auto" w:fill="FFFFFF"/>
        <w:snapToGrid w:val="0"/>
        <w:spacing w:line="600" w:lineRule="exact"/>
        <w:rPr>
          <w:rFonts w:hint="eastAsia" w:ascii="宋体" w:hAnsi="宋体" w:eastAsia="宋体" w:cs="宋体"/>
          <w:color w:val="000000"/>
          <w:sz w:val="24"/>
          <w:szCs w:val="24"/>
        </w:rPr>
      </w:pPr>
    </w:p>
    <w:p w14:paraId="10A1865B">
      <w:pPr>
        <w:shd w:val="clear" w:color="auto" w:fill="FFFFFF"/>
        <w:snapToGrid w:val="0"/>
        <w:spacing w:line="600" w:lineRule="exact"/>
        <w:jc w:val="center"/>
        <w:rPr>
          <w:rFonts w:hint="eastAsia" w:ascii="宋体" w:hAnsi="宋体" w:eastAsia="宋体" w:cs="宋体"/>
          <w:color w:val="000000"/>
          <w:sz w:val="24"/>
          <w:szCs w:val="24"/>
        </w:rPr>
      </w:pPr>
    </w:p>
    <w:p w14:paraId="61778B35">
      <w:pPr>
        <w:spacing w:line="600" w:lineRule="exact"/>
        <w:jc w:val="center"/>
        <w:rPr>
          <w:rFonts w:hint="eastAsia" w:ascii="宋体" w:hAnsi="宋体" w:eastAsia="宋体" w:cs="宋体"/>
          <w:b/>
          <w:color w:val="000000"/>
          <w:kern w:val="0"/>
          <w:sz w:val="24"/>
          <w:szCs w:val="24"/>
        </w:rPr>
        <w:sectPr>
          <w:pgSz w:w="11906" w:h="16838"/>
          <w:pgMar w:top="993" w:right="1474" w:bottom="925" w:left="1474" w:header="851" w:footer="680" w:gutter="0"/>
          <w:pgBorders>
            <w:top w:val="none" w:sz="0" w:space="0"/>
            <w:left w:val="none" w:sz="0" w:space="0"/>
            <w:bottom w:val="none" w:sz="0" w:space="0"/>
            <w:right w:val="none" w:sz="0" w:space="0"/>
          </w:pgBorders>
          <w:pgNumType w:fmt="numberInDash"/>
          <w:cols w:space="720" w:num="1"/>
          <w:docGrid w:type="lines" w:linePitch="315" w:charSpace="0"/>
        </w:sectPr>
      </w:pPr>
    </w:p>
    <w:p w14:paraId="54A72467">
      <w:pPr>
        <w:pStyle w:val="8"/>
        <w:snapToGrid w:val="0"/>
        <w:spacing w:line="600" w:lineRule="exact"/>
        <w:jc w:val="center"/>
        <w:rPr>
          <w:rFonts w:hint="eastAsia" w:ascii="宋体" w:hAnsi="宋体" w:eastAsia="宋体" w:cs="宋体"/>
          <w:b/>
          <w:bCs/>
          <w:color w:val="000000"/>
          <w:kern w:val="2"/>
          <w:sz w:val="28"/>
          <w:szCs w:val="28"/>
        </w:rPr>
      </w:pPr>
      <w:bookmarkStart w:id="148" w:name="_Toc28246"/>
      <w:bookmarkStart w:id="149" w:name="_Toc13438"/>
      <w:r>
        <w:rPr>
          <w:rFonts w:hint="eastAsia" w:ascii="宋体" w:hAnsi="宋体" w:eastAsia="宋体" w:cs="宋体"/>
          <w:b/>
          <w:bCs/>
          <w:color w:val="000000"/>
          <w:kern w:val="2"/>
          <w:sz w:val="28"/>
          <w:szCs w:val="28"/>
          <w:lang w:val="en-US" w:eastAsia="zh-CN"/>
        </w:rPr>
        <w:t>1-7、</w:t>
      </w:r>
      <w:r>
        <w:rPr>
          <w:rFonts w:hint="eastAsia" w:ascii="宋体" w:hAnsi="宋体" w:eastAsia="宋体" w:cs="宋体"/>
          <w:b/>
          <w:bCs/>
          <w:color w:val="000000"/>
          <w:kern w:val="2"/>
          <w:sz w:val="28"/>
          <w:szCs w:val="28"/>
        </w:rPr>
        <w:t>投标供应商没有失信记录承诺函</w:t>
      </w:r>
      <w:bookmarkEnd w:id="148"/>
      <w:bookmarkEnd w:id="149"/>
    </w:p>
    <w:p w14:paraId="0005C223">
      <w:pPr>
        <w:shd w:val="clear" w:color="auto" w:fill="FFFFFF"/>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龙港市第五中学</w:t>
      </w:r>
      <w:r>
        <w:rPr>
          <w:rFonts w:hint="eastAsia" w:ascii="宋体" w:hAnsi="宋体" w:eastAsia="宋体" w:cs="宋体"/>
          <w:color w:val="000000"/>
          <w:kern w:val="0"/>
          <w:sz w:val="24"/>
          <w:szCs w:val="24"/>
        </w:rPr>
        <w:t>：</w:t>
      </w:r>
    </w:p>
    <w:p w14:paraId="53D23DD9">
      <w:pPr>
        <w:spacing w:line="600" w:lineRule="exact"/>
        <w:ind w:firstLine="484" w:firstLineChars="20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795095CB">
      <w:pPr>
        <w:shd w:val="clear" w:color="auto" w:fill="FFFFFF"/>
        <w:snapToGrid w:val="0"/>
        <w:spacing w:line="600" w:lineRule="exact"/>
        <w:rPr>
          <w:rFonts w:hint="eastAsia" w:ascii="宋体" w:hAnsi="宋体" w:eastAsia="宋体" w:cs="宋体"/>
          <w:color w:val="000000"/>
          <w:sz w:val="24"/>
          <w:szCs w:val="24"/>
        </w:rPr>
      </w:pPr>
    </w:p>
    <w:p w14:paraId="5CD701E3">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40D3DE82">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33B75DA6">
      <w:pPr>
        <w:widowControl/>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4BE517E6">
      <w:pPr>
        <w:widowControl/>
        <w:snapToGrid w:val="0"/>
        <w:spacing w:line="600" w:lineRule="exact"/>
        <w:ind w:firstLine="480" w:firstLineChars="200"/>
        <w:jc w:val="left"/>
        <w:rPr>
          <w:rFonts w:hint="eastAsia" w:ascii="宋体" w:hAnsi="宋体" w:eastAsia="宋体" w:cs="宋体"/>
          <w:color w:val="000000"/>
          <w:kern w:val="0"/>
          <w:sz w:val="24"/>
          <w:szCs w:val="24"/>
        </w:rPr>
      </w:pPr>
    </w:p>
    <w:p w14:paraId="4A6249F4">
      <w:pPr>
        <w:widowControl/>
        <w:adjustRightInd w:val="0"/>
        <w:snapToGrid w:val="0"/>
        <w:spacing w:line="600" w:lineRule="exact"/>
        <w:ind w:firstLine="480" w:firstLineChars="200"/>
        <w:jc w:val="left"/>
        <w:rPr>
          <w:rFonts w:hint="eastAsia" w:ascii="宋体" w:hAnsi="宋体" w:eastAsia="宋体" w:cs="宋体"/>
          <w:color w:val="000000"/>
          <w:kern w:val="0"/>
          <w:sz w:val="24"/>
          <w:szCs w:val="24"/>
        </w:rPr>
      </w:pPr>
    </w:p>
    <w:p w14:paraId="7B409F02">
      <w:pPr>
        <w:widowControl/>
        <w:adjustRightInd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6B513CC3">
      <w:pPr>
        <w:pStyle w:val="6"/>
        <w:rPr>
          <w:rFonts w:hint="eastAsia" w:ascii="宋体" w:hAnsi="宋体" w:eastAsia="宋体" w:cs="宋体"/>
          <w:color w:val="000000"/>
          <w:kern w:val="0"/>
          <w:sz w:val="24"/>
          <w:szCs w:val="24"/>
        </w:rPr>
      </w:pPr>
    </w:p>
    <w:p w14:paraId="72C76E53">
      <w:pPr>
        <w:pStyle w:val="7"/>
        <w:rPr>
          <w:rFonts w:hint="eastAsia" w:ascii="宋体" w:hAnsi="宋体" w:eastAsia="宋体" w:cs="宋体"/>
          <w:color w:val="000000"/>
          <w:kern w:val="0"/>
          <w:sz w:val="24"/>
          <w:szCs w:val="24"/>
        </w:rPr>
      </w:pPr>
    </w:p>
    <w:p w14:paraId="25A6B04A">
      <w:pPr>
        <w:rPr>
          <w:rFonts w:hint="eastAsia" w:ascii="宋体" w:hAnsi="宋体" w:eastAsia="宋体" w:cs="宋体"/>
          <w:color w:val="000000"/>
          <w:kern w:val="0"/>
          <w:sz w:val="24"/>
          <w:szCs w:val="24"/>
          <w:lang w:eastAsia="zh-CN"/>
        </w:rPr>
        <w:sectPr>
          <w:pgSz w:w="11906" w:h="16838"/>
          <w:pgMar w:top="1134" w:right="1134" w:bottom="1134" w:left="1134" w:header="851" w:footer="680" w:gutter="0"/>
          <w:pgBorders>
            <w:top w:val="none" w:sz="0" w:space="0"/>
            <w:left w:val="none" w:sz="0" w:space="0"/>
            <w:bottom w:val="none" w:sz="0" w:space="0"/>
            <w:right w:val="none" w:sz="0" w:space="0"/>
          </w:pgBorders>
          <w:pgNumType w:fmt="numberInDash"/>
          <w:cols w:space="720" w:num="1"/>
          <w:docGrid w:type="lines" w:linePitch="324" w:charSpace="0"/>
        </w:sectPr>
      </w:pPr>
    </w:p>
    <w:p w14:paraId="37D51B74">
      <w:pPr>
        <w:autoSpaceDE w:val="0"/>
        <w:autoSpaceDN w:val="0"/>
        <w:adjustRightInd w:val="0"/>
        <w:snapToGrid w:val="0"/>
        <w:spacing w:line="360" w:lineRule="auto"/>
        <w:textAlignment w:val="bottom"/>
        <w:rPr>
          <w:rFonts w:hint="default" w:ascii="宋体" w:hAnsi="宋体" w:eastAsia="宋体" w:cs="宋体"/>
          <w:color w:val="FF0000"/>
          <w:sz w:val="24"/>
          <w:szCs w:val="24"/>
          <w:highlight w:val="none"/>
          <w:lang w:val="en-US" w:eastAsia="zh-CN"/>
        </w:rPr>
      </w:pPr>
      <w:r>
        <w:rPr>
          <w:rFonts w:hint="eastAsia" w:ascii="宋体" w:hAnsi="宋体" w:eastAsia="宋体" w:cs="宋体"/>
          <w:b/>
          <w:sz w:val="32"/>
          <w:szCs w:val="22"/>
          <w:lang w:val="en-US" w:eastAsia="zh-CN"/>
        </w:rPr>
        <w:t>1-8、</w:t>
      </w:r>
      <w:r>
        <w:rPr>
          <w:rFonts w:hint="eastAsia" w:ascii="宋体" w:hAnsi="宋体" w:eastAsia="宋体" w:cs="宋体"/>
          <w:b/>
          <w:sz w:val="32"/>
          <w:lang w:val="en-US" w:eastAsia="zh-CN"/>
        </w:rPr>
        <w:t>特定资格要求</w:t>
      </w:r>
    </w:p>
    <w:p w14:paraId="4720577E">
      <w:pPr>
        <w:autoSpaceDE w:val="0"/>
        <w:autoSpaceDN w:val="0"/>
        <w:adjustRightInd w:val="0"/>
        <w:snapToGrid w:val="0"/>
        <w:spacing w:line="360" w:lineRule="auto"/>
        <w:textAlignment w:val="bottom"/>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rPr>
        <w:t>具备</w:t>
      </w:r>
      <w:r>
        <w:rPr>
          <w:rFonts w:hint="eastAsia" w:ascii="宋体" w:hAnsi="宋体" w:eastAsia="宋体" w:cs="宋体"/>
          <w:color w:val="FF0000"/>
          <w:sz w:val="24"/>
          <w:szCs w:val="24"/>
          <w:highlight w:val="none"/>
          <w:lang w:eastAsia="zh-CN"/>
        </w:rPr>
        <w:t>建筑工程施工总承包三级或以上资质（</w:t>
      </w:r>
      <w:r>
        <w:rPr>
          <w:rFonts w:hint="eastAsia" w:ascii="宋体" w:hAnsi="宋体" w:eastAsia="宋体" w:cs="宋体"/>
          <w:color w:val="FF0000"/>
          <w:sz w:val="24"/>
          <w:szCs w:val="24"/>
          <w:highlight w:val="none"/>
          <w:lang w:val="en-US" w:eastAsia="zh-CN"/>
        </w:rPr>
        <w:t>扫描件</w:t>
      </w:r>
      <w:r>
        <w:rPr>
          <w:rFonts w:hint="eastAsia" w:ascii="宋体" w:hAnsi="宋体" w:eastAsia="宋体" w:cs="宋体"/>
          <w:color w:val="FF0000"/>
          <w:sz w:val="24"/>
          <w:szCs w:val="24"/>
          <w:highlight w:val="none"/>
          <w:lang w:eastAsia="zh-CN"/>
        </w:rPr>
        <w:t>）</w:t>
      </w:r>
    </w:p>
    <w:p w14:paraId="56D98DAD">
      <w:pPr>
        <w:autoSpaceDE w:val="0"/>
        <w:autoSpaceDN w:val="0"/>
        <w:adjustRightInd w:val="0"/>
        <w:snapToGrid w:val="0"/>
        <w:spacing w:line="360" w:lineRule="auto"/>
        <w:textAlignment w:val="bottom"/>
        <w:rPr>
          <w:rFonts w:hint="eastAsia" w:ascii="宋体" w:hAnsi="宋体" w:eastAsia="宋体" w:cs="宋体"/>
          <w:color w:val="FF0000"/>
          <w:sz w:val="24"/>
          <w:szCs w:val="24"/>
          <w:highlight w:val="none"/>
          <w:lang w:eastAsia="zh-CN"/>
        </w:rPr>
      </w:pPr>
    </w:p>
    <w:p w14:paraId="40FA17C6">
      <w:pPr>
        <w:autoSpaceDE w:val="0"/>
        <w:autoSpaceDN w:val="0"/>
        <w:adjustRightInd w:val="0"/>
        <w:snapToGrid w:val="0"/>
        <w:spacing w:line="360" w:lineRule="auto"/>
        <w:textAlignment w:val="bottom"/>
        <w:rPr>
          <w:rFonts w:hint="eastAsia" w:ascii="宋体" w:hAnsi="宋体" w:eastAsia="宋体" w:cs="宋体"/>
          <w:color w:val="FF0000"/>
          <w:sz w:val="24"/>
          <w:szCs w:val="24"/>
          <w:highlight w:val="none"/>
          <w:lang w:eastAsia="zh-CN"/>
        </w:rPr>
        <w:sectPr>
          <w:pgSz w:w="11906" w:h="16838"/>
          <w:pgMar w:top="1134" w:right="1134" w:bottom="1134" w:left="1134" w:header="851" w:footer="680" w:gutter="0"/>
          <w:pgBorders>
            <w:top w:val="none" w:sz="0" w:space="0"/>
            <w:left w:val="none" w:sz="0" w:space="0"/>
            <w:bottom w:val="none" w:sz="0" w:space="0"/>
            <w:right w:val="none" w:sz="0" w:space="0"/>
          </w:pgBorders>
          <w:pgNumType w:fmt="numberInDash"/>
          <w:cols w:space="720" w:num="1"/>
          <w:docGrid w:type="lines" w:linePitch="324" w:charSpace="0"/>
        </w:sectPr>
      </w:pPr>
    </w:p>
    <w:p w14:paraId="744C9977">
      <w:pPr>
        <w:autoSpaceDE w:val="0"/>
        <w:autoSpaceDN w:val="0"/>
        <w:adjustRightInd w:val="0"/>
        <w:snapToGrid w:val="0"/>
        <w:spacing w:line="360" w:lineRule="auto"/>
        <w:textAlignment w:val="bottom"/>
        <w:rPr>
          <w:rFonts w:hint="eastAsia" w:ascii="宋体" w:hAnsi="宋体" w:eastAsia="宋体" w:cs="宋体"/>
          <w:lang w:val="en-US" w:eastAsia="zh-CN"/>
        </w:rPr>
      </w:pPr>
      <w:r>
        <w:rPr>
          <w:rFonts w:hint="eastAsia" w:ascii="宋体" w:hAnsi="宋体" w:eastAsia="宋体" w:cs="宋体"/>
          <w:b/>
          <w:sz w:val="32"/>
          <w:szCs w:val="22"/>
          <w:lang w:val="en-US" w:eastAsia="zh-CN"/>
        </w:rPr>
        <w:t>1-9、</w:t>
      </w:r>
      <w:r>
        <w:rPr>
          <w:rFonts w:hint="eastAsia" w:ascii="宋体" w:hAnsi="宋体" w:eastAsia="宋体" w:cs="宋体"/>
          <w:b/>
          <w:sz w:val="32"/>
          <w:lang w:val="en-US" w:eastAsia="zh-CN"/>
        </w:rPr>
        <w:t>中小企业声明（注：中、小、微企业提供）</w:t>
      </w:r>
    </w:p>
    <w:p w14:paraId="6956AFA7">
      <w:pPr>
        <w:spacing w:line="600" w:lineRule="auto"/>
        <w:jc w:val="center"/>
        <w:rPr>
          <w:rFonts w:hint="eastAsia" w:ascii="宋体" w:hAnsi="宋体" w:eastAsia="宋体" w:cs="宋体"/>
          <w:b/>
          <w:bCs/>
          <w:spacing w:val="-6"/>
          <w:sz w:val="40"/>
          <w:szCs w:val="28"/>
        </w:rPr>
      </w:pPr>
      <w:r>
        <w:rPr>
          <w:rFonts w:hint="eastAsia" w:ascii="宋体" w:hAnsi="宋体" w:eastAsia="宋体" w:cs="宋体"/>
          <w:b/>
          <w:bCs/>
          <w:spacing w:val="-6"/>
          <w:sz w:val="40"/>
          <w:szCs w:val="28"/>
        </w:rPr>
        <w:t>中小企业声明函</w:t>
      </w:r>
    </w:p>
    <w:p w14:paraId="2E7AA083">
      <w:pPr>
        <w:spacing w:line="48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本公司郑重声明，根据《政府采购促进中小企业发展管理办法》（财库﹝2020﹞46 号）的规定，本公司参加</w:t>
      </w:r>
      <w:r>
        <w:rPr>
          <w:rFonts w:hint="eastAsia" w:ascii="宋体" w:hAnsi="宋体" w:eastAsia="宋体" w:cs="宋体"/>
          <w:spacing w:val="-6"/>
          <w:sz w:val="24"/>
          <w:u w:val="single"/>
          <w:lang w:val="en-US" w:eastAsia="zh-CN"/>
        </w:rPr>
        <w:t xml:space="preserve"> 龙港市第五中学 </w:t>
      </w:r>
      <w:r>
        <w:rPr>
          <w:rFonts w:hint="eastAsia" w:ascii="宋体" w:hAnsi="宋体" w:eastAsia="宋体" w:cs="宋体"/>
          <w:spacing w:val="-6"/>
          <w:sz w:val="24"/>
          <w:lang w:val="en-US" w:eastAsia="zh-CN"/>
        </w:rPr>
        <w:t>的</w:t>
      </w:r>
      <w:r>
        <w:rPr>
          <w:rFonts w:hint="eastAsia" w:ascii="宋体" w:hAnsi="宋体" w:eastAsia="宋体" w:cs="宋体"/>
          <w:spacing w:val="-6"/>
          <w:sz w:val="24"/>
          <w:u w:val="single"/>
          <w:lang w:val="en-US" w:eastAsia="zh-CN"/>
        </w:rPr>
        <w:t xml:space="preserve">  </w:t>
      </w:r>
      <w:r>
        <w:rPr>
          <w:rFonts w:hint="eastAsia" w:ascii="宋体" w:hAnsi="宋体" w:eastAsia="宋体" w:cs="宋体"/>
          <w:spacing w:val="-6"/>
          <w:sz w:val="24"/>
          <w:u w:val="single"/>
          <w:lang w:eastAsia="zh-CN"/>
        </w:rPr>
        <w:t>龙港市第五中学新建教学楼二次装修及智能化工程采购项目</w:t>
      </w:r>
      <w:r>
        <w:rPr>
          <w:rFonts w:hint="eastAsia" w:ascii="宋体" w:hAnsi="宋体" w:eastAsia="宋体" w:cs="宋体"/>
          <w:spacing w:val="-6"/>
          <w:sz w:val="24"/>
          <w:u w:val="single"/>
          <w:lang w:val="en-US" w:eastAsia="zh-CN"/>
        </w:rPr>
        <w:t xml:space="preserve">  </w:t>
      </w:r>
      <w:r>
        <w:rPr>
          <w:rFonts w:hint="eastAsia" w:ascii="宋体" w:hAnsi="宋体" w:eastAsia="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1E2EBE79">
      <w:pPr>
        <w:wordWrap w:val="0"/>
        <w:spacing w:line="48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1.</w:t>
      </w:r>
      <w:r>
        <w:rPr>
          <w:rFonts w:hint="eastAsia" w:ascii="宋体" w:hAnsi="宋体" w:eastAsia="宋体" w:cs="宋体"/>
          <w:spacing w:val="-6"/>
          <w:sz w:val="24"/>
          <w:u w:val="single"/>
          <w:lang w:eastAsia="zh-CN"/>
        </w:rPr>
        <w:t>龙港市第五中学新建教学楼二次装修及智能化工程采购项目</w:t>
      </w:r>
      <w:r>
        <w:rPr>
          <w:rFonts w:hint="eastAsia" w:ascii="宋体" w:hAnsi="宋体" w:eastAsia="宋体" w:cs="宋体"/>
          <w:spacing w:val="-6"/>
          <w:sz w:val="24"/>
        </w:rPr>
        <w:t>，属于</w:t>
      </w:r>
      <w:r>
        <w:rPr>
          <w:rFonts w:hint="eastAsia" w:ascii="宋体" w:hAnsi="宋体" w:eastAsia="宋体" w:cs="宋体"/>
          <w:spacing w:val="-6"/>
          <w:sz w:val="24"/>
          <w:u w:val="single"/>
          <w:lang w:eastAsia="zh-CN"/>
        </w:rPr>
        <w:t>建筑业</w:t>
      </w:r>
      <w:r>
        <w:rPr>
          <w:rFonts w:hint="eastAsia" w:ascii="宋体" w:hAnsi="宋体" w:eastAsia="宋体" w:cs="宋体"/>
          <w:spacing w:val="-6"/>
          <w:sz w:val="24"/>
        </w:rPr>
        <w:t>；</w:t>
      </w:r>
      <w:r>
        <w:rPr>
          <w:rFonts w:hint="eastAsia" w:ascii="宋体" w:hAnsi="宋体" w:cs="宋体"/>
          <w:sz w:val="24"/>
        </w:rPr>
        <w:t>承建（承接）企业为</w:t>
      </w:r>
      <w:r>
        <w:rPr>
          <w:rFonts w:hint="eastAsia" w:ascii="宋体" w:hAnsi="宋体" w:eastAsia="宋体" w:cs="宋体"/>
          <w:spacing w:val="-6"/>
          <w:sz w:val="24"/>
          <w:u w:val="single"/>
        </w:rPr>
        <w:t xml:space="preserve">           </w:t>
      </w:r>
      <w:r>
        <w:rPr>
          <w:rFonts w:hint="eastAsia" w:ascii="宋体" w:hAnsi="宋体" w:eastAsia="宋体" w:cs="宋体"/>
          <w:spacing w:val="-6"/>
          <w:sz w:val="24"/>
        </w:rPr>
        <w:t xml:space="preserve">，从业人员 </w:t>
      </w:r>
      <w:r>
        <w:rPr>
          <w:rFonts w:hint="eastAsia" w:ascii="宋体" w:hAnsi="宋体" w:eastAsia="宋体" w:cs="宋体"/>
          <w:spacing w:val="-6"/>
          <w:sz w:val="24"/>
          <w:u w:val="single"/>
        </w:rPr>
        <w:t xml:space="preserve">           </w:t>
      </w:r>
      <w:r>
        <w:rPr>
          <w:rFonts w:hint="eastAsia" w:ascii="宋体" w:hAnsi="宋体" w:eastAsia="宋体" w:cs="宋体"/>
          <w:spacing w:val="-6"/>
          <w:sz w:val="24"/>
        </w:rPr>
        <w:t xml:space="preserve">人，营业收入为 </w:t>
      </w:r>
      <w:r>
        <w:rPr>
          <w:rFonts w:hint="eastAsia" w:ascii="宋体" w:hAnsi="宋体" w:eastAsia="宋体" w:cs="宋体"/>
          <w:spacing w:val="-6"/>
          <w:sz w:val="24"/>
          <w:u w:val="single"/>
        </w:rPr>
        <w:t xml:space="preserve">           </w:t>
      </w:r>
      <w:r>
        <w:rPr>
          <w:rFonts w:hint="eastAsia" w:ascii="宋体" w:hAnsi="宋体" w:eastAsia="宋体" w:cs="宋体"/>
          <w:spacing w:val="-6"/>
          <w:sz w:val="24"/>
        </w:rPr>
        <w:t xml:space="preserve">万元，资产总额为 </w:t>
      </w:r>
      <w:r>
        <w:rPr>
          <w:rFonts w:hint="eastAsia" w:ascii="宋体" w:hAnsi="宋体" w:eastAsia="宋体" w:cs="宋体"/>
          <w:spacing w:val="-6"/>
          <w:sz w:val="24"/>
          <w:u w:val="single"/>
        </w:rPr>
        <w:t xml:space="preserve">           </w:t>
      </w:r>
      <w:r>
        <w:rPr>
          <w:rFonts w:hint="eastAsia" w:ascii="宋体" w:hAnsi="宋体" w:eastAsia="宋体" w:cs="宋体"/>
          <w:spacing w:val="-6"/>
          <w:sz w:val="24"/>
        </w:rPr>
        <w:t>万元，属于</w:t>
      </w:r>
      <w:r>
        <w:rPr>
          <w:rFonts w:hint="eastAsia" w:ascii="宋体" w:hAnsi="宋体" w:eastAsia="宋体" w:cs="宋体"/>
          <w:spacing w:val="-6"/>
          <w:sz w:val="24"/>
          <w:u w:val="single"/>
        </w:rPr>
        <w:t xml:space="preserve">           </w:t>
      </w:r>
      <w:r>
        <w:rPr>
          <w:rFonts w:hint="eastAsia" w:ascii="宋体" w:hAnsi="宋体" w:eastAsia="宋体" w:cs="宋体"/>
          <w:spacing w:val="-6"/>
          <w:sz w:val="24"/>
        </w:rPr>
        <w:t>（中型企业、小型企业、微型企业）；</w:t>
      </w:r>
    </w:p>
    <w:p w14:paraId="71285931">
      <w:pPr>
        <w:spacing w:line="48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w:t>
      </w:r>
    </w:p>
    <w:p w14:paraId="47569F26">
      <w:pPr>
        <w:spacing w:line="48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以上企业，不属于大企业的分支机构，不存在控股股东为大企业的情形，也不存在与大企业的负责人为同一人的情形。</w:t>
      </w:r>
    </w:p>
    <w:p w14:paraId="4402A941">
      <w:pPr>
        <w:spacing w:line="480" w:lineRule="auto"/>
        <w:ind w:firstLine="456" w:firstLineChars="200"/>
        <w:rPr>
          <w:rFonts w:hint="eastAsia" w:ascii="宋体" w:hAnsi="宋体" w:eastAsia="宋体" w:cs="宋体"/>
          <w:spacing w:val="-6"/>
          <w:sz w:val="24"/>
        </w:rPr>
      </w:pPr>
      <w:r>
        <w:rPr>
          <w:rFonts w:hint="eastAsia" w:ascii="宋体" w:hAnsi="宋体" w:eastAsia="宋体" w:cs="宋体"/>
          <w:spacing w:val="-6"/>
          <w:sz w:val="24"/>
        </w:rPr>
        <w:t>本企业对上述声明内容的真实性负责。如有虚假，将依法承担相应责任。</w:t>
      </w:r>
    </w:p>
    <w:p w14:paraId="2A60C1E7">
      <w:pPr>
        <w:pStyle w:val="36"/>
        <w:spacing w:line="288" w:lineRule="auto"/>
        <w:ind w:left="0" w:firstLine="0" w:firstLineChars="0"/>
        <w:rPr>
          <w:rFonts w:hint="eastAsia" w:ascii="宋体" w:hAnsi="宋体" w:eastAsia="宋体" w:cs="宋体"/>
          <w:spacing w:val="-6"/>
          <w:sz w:val="21"/>
          <w:szCs w:val="21"/>
        </w:rPr>
      </w:pPr>
    </w:p>
    <w:p w14:paraId="1C3CCE6B">
      <w:pPr>
        <w:pStyle w:val="36"/>
        <w:spacing w:line="288" w:lineRule="auto"/>
        <w:ind w:left="0" w:firstLine="0" w:firstLineChars="0"/>
        <w:rPr>
          <w:rFonts w:hint="eastAsia" w:ascii="宋体" w:hAnsi="宋体" w:eastAsia="宋体" w:cs="宋体"/>
          <w:b/>
          <w:bCs/>
          <w:spacing w:val="-6"/>
          <w:sz w:val="21"/>
          <w:szCs w:val="21"/>
        </w:rPr>
      </w:pPr>
    </w:p>
    <w:p w14:paraId="71C92139">
      <w:pPr>
        <w:spacing w:line="360" w:lineRule="auto"/>
        <w:ind w:firstLine="5101" w:firstLineChars="2228"/>
        <w:rPr>
          <w:rFonts w:hint="eastAsia" w:ascii="宋体" w:hAnsi="宋体" w:eastAsia="宋体" w:cs="宋体"/>
          <w:b/>
          <w:bCs/>
          <w:spacing w:val="-6"/>
          <w:sz w:val="24"/>
        </w:rPr>
      </w:pPr>
      <w:r>
        <w:rPr>
          <w:rFonts w:hint="eastAsia" w:ascii="宋体" w:hAnsi="宋体" w:eastAsia="宋体" w:cs="宋体"/>
          <w:b/>
          <w:bCs/>
          <w:spacing w:val="-6"/>
          <w:sz w:val="24"/>
        </w:rPr>
        <w:t>企业名称（盖章）：</w:t>
      </w:r>
    </w:p>
    <w:p w14:paraId="08CC22B6">
      <w:pPr>
        <w:spacing w:line="360" w:lineRule="auto"/>
        <w:ind w:firstLine="5101" w:firstLineChars="2228"/>
        <w:rPr>
          <w:rFonts w:hint="eastAsia" w:ascii="宋体" w:hAnsi="宋体" w:eastAsia="宋体" w:cs="宋体"/>
          <w:b/>
          <w:bCs/>
          <w:spacing w:val="-6"/>
          <w:sz w:val="24"/>
        </w:rPr>
      </w:pPr>
      <w:r>
        <w:rPr>
          <w:rFonts w:hint="eastAsia" w:ascii="宋体" w:hAnsi="宋体" w:eastAsia="宋体" w:cs="宋体"/>
          <w:b/>
          <w:bCs/>
          <w:spacing w:val="-6"/>
          <w:sz w:val="24"/>
        </w:rPr>
        <w:t xml:space="preserve">日期： </w:t>
      </w:r>
    </w:p>
    <w:p w14:paraId="4BA0918E">
      <w:pPr>
        <w:pStyle w:val="36"/>
        <w:spacing w:line="288" w:lineRule="auto"/>
        <w:ind w:left="0" w:firstLine="0" w:firstLineChars="0"/>
        <w:rPr>
          <w:rFonts w:hint="eastAsia" w:ascii="宋体" w:hAnsi="宋体" w:eastAsia="宋体" w:cs="宋体"/>
          <w:spacing w:val="-6"/>
          <w:sz w:val="21"/>
          <w:szCs w:val="21"/>
        </w:rPr>
      </w:pPr>
    </w:p>
    <w:p w14:paraId="31D550C2">
      <w:pPr>
        <w:pStyle w:val="36"/>
        <w:spacing w:line="288" w:lineRule="auto"/>
        <w:ind w:left="0" w:firstLine="0" w:firstLineChars="0"/>
        <w:rPr>
          <w:rFonts w:hint="eastAsia" w:ascii="宋体" w:hAnsi="宋体" w:eastAsia="宋体" w:cs="宋体"/>
          <w:spacing w:val="-6"/>
          <w:sz w:val="21"/>
          <w:szCs w:val="21"/>
        </w:rPr>
      </w:pPr>
    </w:p>
    <w:p w14:paraId="3FE69D4E">
      <w:pPr>
        <w:pStyle w:val="36"/>
        <w:spacing w:line="288" w:lineRule="auto"/>
        <w:ind w:left="0" w:firstLine="0" w:firstLineChars="0"/>
        <w:rPr>
          <w:rFonts w:hint="eastAsia" w:ascii="宋体" w:hAnsi="宋体" w:eastAsia="宋体" w:cs="宋体"/>
          <w:b/>
          <w:spacing w:val="-6"/>
          <w:sz w:val="21"/>
          <w:szCs w:val="21"/>
        </w:rPr>
      </w:pPr>
      <w:r>
        <w:rPr>
          <w:rFonts w:hint="eastAsia" w:ascii="宋体" w:hAnsi="宋体" w:eastAsia="宋体" w:cs="宋体"/>
          <w:b/>
          <w:spacing w:val="-6"/>
          <w:sz w:val="21"/>
          <w:szCs w:val="21"/>
        </w:rPr>
        <w:t>注：</w:t>
      </w:r>
    </w:p>
    <w:p w14:paraId="7C8C01D9">
      <w:pPr>
        <w:pStyle w:val="36"/>
        <w:spacing w:line="288" w:lineRule="auto"/>
        <w:ind w:left="0"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1.从业人员、营业收入、资产总额填报上一年度数据，无上一年度数据的新成立企业可不填报。</w:t>
      </w:r>
    </w:p>
    <w:p w14:paraId="45CA3677">
      <w:pPr>
        <w:autoSpaceDE w:val="0"/>
        <w:autoSpaceDN w:val="0"/>
        <w:adjustRightInd w:val="0"/>
        <w:snapToGrid w:val="0"/>
        <w:spacing w:line="360" w:lineRule="auto"/>
        <w:ind w:firstLine="396" w:firstLineChars="200"/>
        <w:jc w:val="left"/>
        <w:textAlignment w:val="bottom"/>
        <w:rPr>
          <w:rFonts w:hint="eastAsia" w:ascii="宋体" w:hAnsi="宋体" w:eastAsia="宋体" w:cs="宋体"/>
          <w:sz w:val="22"/>
          <w:szCs w:val="22"/>
        </w:rPr>
      </w:pPr>
      <w:r>
        <w:rPr>
          <w:rFonts w:hint="eastAsia" w:ascii="宋体" w:hAnsi="宋体" w:eastAsia="宋体" w:cs="宋体"/>
          <w:spacing w:val="-6"/>
          <w:sz w:val="21"/>
          <w:szCs w:val="21"/>
        </w:rPr>
        <w:t>2.</w:t>
      </w:r>
      <w:r>
        <w:rPr>
          <w:rFonts w:hint="eastAsia" w:ascii="宋体" w:hAnsi="宋体" w:eastAsia="宋体" w:cs="宋体"/>
          <w:spacing w:val="-6"/>
          <w:sz w:val="21"/>
          <w:szCs w:val="21"/>
          <w:lang w:eastAsia="zh-CN"/>
        </w:rPr>
        <w:t>建筑业</w:t>
      </w:r>
      <w:r>
        <w:rPr>
          <w:rFonts w:hint="eastAsia" w:ascii="宋体" w:hAnsi="宋体" w:eastAsia="宋体" w:cs="宋体"/>
          <w:spacing w:val="-6"/>
          <w:sz w:val="21"/>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E17C5C">
      <w:pPr>
        <w:autoSpaceDE w:val="0"/>
        <w:autoSpaceDN w:val="0"/>
        <w:adjustRightInd w:val="0"/>
        <w:snapToGrid w:val="0"/>
        <w:spacing w:line="360" w:lineRule="auto"/>
        <w:ind w:firstLine="440" w:firstLineChars="200"/>
        <w:jc w:val="left"/>
        <w:textAlignment w:val="bottom"/>
        <w:rPr>
          <w:rFonts w:hint="eastAsia" w:ascii="宋体" w:hAnsi="宋体" w:eastAsia="宋体" w:cs="宋体"/>
          <w:sz w:val="22"/>
          <w:szCs w:val="22"/>
        </w:rPr>
      </w:pPr>
    </w:p>
    <w:p w14:paraId="1A705DD1">
      <w:pPr>
        <w:autoSpaceDE w:val="0"/>
        <w:autoSpaceDN w:val="0"/>
        <w:adjustRightInd w:val="0"/>
        <w:snapToGrid w:val="0"/>
        <w:spacing w:line="360" w:lineRule="auto"/>
        <w:textAlignment w:val="bottom"/>
        <w:rPr>
          <w:rFonts w:hint="eastAsia" w:ascii="宋体" w:hAnsi="宋体" w:eastAsia="宋体" w:cs="宋体"/>
          <w:b/>
          <w:sz w:val="32"/>
        </w:rPr>
      </w:pPr>
      <w:r>
        <w:rPr>
          <w:rFonts w:hint="eastAsia" w:ascii="宋体" w:hAnsi="宋体" w:eastAsia="宋体" w:cs="宋体"/>
          <w:sz w:val="36"/>
        </w:rPr>
        <w:br w:type="page"/>
      </w:r>
      <w:r>
        <w:rPr>
          <w:rFonts w:hint="eastAsia" w:ascii="宋体" w:hAnsi="宋体" w:eastAsia="宋体" w:cs="宋体"/>
          <w:b/>
          <w:sz w:val="32"/>
          <w:lang w:val="en-US" w:eastAsia="zh-CN"/>
        </w:rPr>
        <w:t xml:space="preserve"> </w:t>
      </w:r>
    </w:p>
    <w:p w14:paraId="374B6B85">
      <w:pPr>
        <w:widowControl/>
        <w:spacing w:before="100" w:beforeAutospacing="1" w:after="100" w:afterAutospacing="1" w:line="480" w:lineRule="auto"/>
        <w:jc w:val="center"/>
        <w:rPr>
          <w:rFonts w:hint="eastAsia" w:ascii="宋体" w:hAnsi="宋体" w:eastAsia="宋体" w:cs="宋体"/>
          <w:b/>
          <w:sz w:val="44"/>
          <w:szCs w:val="44"/>
        </w:rPr>
      </w:pPr>
      <w:r>
        <w:rPr>
          <w:rFonts w:hint="eastAsia" w:ascii="宋体" w:hAnsi="宋体" w:eastAsia="宋体" w:cs="宋体"/>
          <w:b/>
          <w:sz w:val="44"/>
          <w:szCs w:val="44"/>
        </w:rPr>
        <w:t>残疾人福利性单位声明函（如是）</w:t>
      </w:r>
    </w:p>
    <w:p w14:paraId="321C9FBA">
      <w:pPr>
        <w:widowControl/>
        <w:spacing w:before="100" w:beforeAutospacing="1" w:after="100" w:afterAutospacing="1" w:line="480" w:lineRule="auto"/>
        <w:ind w:firstLine="360" w:firstLineChars="150"/>
        <w:jc w:val="left"/>
        <w:rPr>
          <w:rFonts w:hint="eastAsia" w:ascii="宋体" w:hAnsi="宋体" w:eastAsia="宋体" w:cs="宋体"/>
          <w:bCs/>
          <w:sz w:val="24"/>
          <w:szCs w:val="24"/>
        </w:rPr>
      </w:pPr>
      <w:r>
        <w:rPr>
          <w:rFonts w:hint="eastAsia" w:ascii="宋体" w:hAnsi="宋体" w:eastAsia="宋体" w:cs="宋体"/>
          <w:bCs/>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bCs/>
          <w:sz w:val="24"/>
          <w:szCs w:val="24"/>
          <w:u w:val="single"/>
        </w:rPr>
        <w:t xml:space="preserve">    （项目名称）（项目编号）</w:t>
      </w:r>
      <w:r>
        <w:rPr>
          <w:rFonts w:hint="eastAsia" w:ascii="宋体" w:hAnsi="宋体" w:eastAsia="宋体" w:cs="宋体"/>
          <w:bCs/>
          <w:sz w:val="24"/>
          <w:szCs w:val="24"/>
        </w:rPr>
        <w:t>采购活动提供本单位制造的货物（由本单位承担工程/提供服务），或者提供其他残疾人福利性单位制造的货物（不包括使用非残疾人福利性单位注册商标的货物）。</w:t>
      </w:r>
    </w:p>
    <w:p w14:paraId="7656F41C">
      <w:pPr>
        <w:widowControl/>
        <w:spacing w:before="100" w:beforeAutospacing="1" w:after="100" w:afterAutospacing="1" w:line="480" w:lineRule="auto"/>
        <w:ind w:firstLine="360" w:firstLineChars="150"/>
        <w:jc w:val="left"/>
        <w:rPr>
          <w:rFonts w:hint="eastAsia" w:ascii="宋体" w:hAnsi="宋体" w:eastAsia="宋体" w:cs="宋体"/>
          <w:bCs/>
          <w:sz w:val="24"/>
          <w:szCs w:val="24"/>
        </w:rPr>
      </w:pPr>
      <w:r>
        <w:rPr>
          <w:rFonts w:hint="eastAsia" w:ascii="宋体" w:hAnsi="宋体" w:eastAsia="宋体" w:cs="宋体"/>
          <w:bCs/>
          <w:sz w:val="24"/>
          <w:szCs w:val="24"/>
        </w:rPr>
        <w:t>本单位对上述声明的真实性负责。如有虚假，将依法承担相应责任。</w:t>
      </w:r>
    </w:p>
    <w:p w14:paraId="443FAF15">
      <w:pPr>
        <w:snapToGrid w:val="0"/>
        <w:spacing w:line="360" w:lineRule="atLeast"/>
        <w:ind w:firstLine="570"/>
        <w:outlineLvl w:val="0"/>
        <w:rPr>
          <w:rFonts w:hint="eastAsia" w:ascii="宋体" w:hAnsi="宋体" w:eastAsia="宋体" w:cs="宋体"/>
          <w:b/>
          <w:sz w:val="36"/>
          <w:szCs w:val="36"/>
        </w:rPr>
      </w:pPr>
    </w:p>
    <w:p w14:paraId="30E95A74">
      <w:pPr>
        <w:widowControl/>
        <w:spacing w:before="100" w:beforeAutospacing="1" w:after="100" w:afterAutospacing="1" w:line="480" w:lineRule="auto"/>
        <w:ind w:firstLine="361" w:firstLineChars="150"/>
        <w:jc w:val="left"/>
        <w:rPr>
          <w:rFonts w:hint="eastAsia" w:ascii="宋体" w:hAnsi="宋体" w:eastAsia="宋体" w:cs="宋体"/>
          <w:b/>
          <w:bCs/>
          <w:sz w:val="24"/>
          <w:szCs w:val="24"/>
        </w:rPr>
      </w:pPr>
      <w:r>
        <w:rPr>
          <w:rFonts w:hint="eastAsia" w:ascii="宋体" w:hAnsi="宋体" w:eastAsia="宋体" w:cs="宋体"/>
          <w:b/>
          <w:bCs/>
          <w:sz w:val="24"/>
          <w:szCs w:val="24"/>
        </w:rPr>
        <w:t xml:space="preserve">企业名称（电子签章）： </w:t>
      </w:r>
    </w:p>
    <w:p w14:paraId="6D2B0046">
      <w:pPr>
        <w:autoSpaceDE w:val="0"/>
        <w:autoSpaceDN w:val="0"/>
        <w:adjustRightInd w:val="0"/>
        <w:spacing w:line="440" w:lineRule="atLeast"/>
        <w:ind w:firstLine="354" w:firstLineChars="147"/>
        <w:rPr>
          <w:rFonts w:hint="eastAsia" w:ascii="宋体" w:hAnsi="宋体" w:eastAsia="宋体" w:cs="宋体"/>
          <w:lang w:val="en-US" w:eastAsia="zh-CN"/>
        </w:rPr>
        <w:sectPr>
          <w:pgSz w:w="11906" w:h="16838"/>
          <w:pgMar w:top="1134" w:right="1134" w:bottom="1134" w:left="1134" w:header="851" w:footer="680" w:gutter="0"/>
          <w:pgBorders>
            <w:top w:val="none" w:sz="0" w:space="0"/>
            <w:left w:val="none" w:sz="0" w:space="0"/>
            <w:bottom w:val="none" w:sz="0" w:space="0"/>
            <w:right w:val="none" w:sz="0" w:space="0"/>
          </w:pgBorders>
          <w:pgNumType w:fmt="numberInDash"/>
          <w:cols w:space="720" w:num="1"/>
          <w:docGrid w:type="lines" w:linePitch="324" w:charSpace="0"/>
        </w:sectPr>
      </w:pPr>
      <w:r>
        <w:rPr>
          <w:rFonts w:hint="eastAsia" w:ascii="宋体" w:hAnsi="宋体" w:eastAsia="宋体" w:cs="宋体"/>
          <w:b/>
          <w:bCs/>
          <w:sz w:val="24"/>
          <w:szCs w:val="24"/>
        </w:rPr>
        <w:t>日期</w:t>
      </w:r>
      <w:r>
        <w:rPr>
          <w:rFonts w:hint="eastAsia" w:ascii="宋体" w:hAnsi="宋体" w:eastAsia="宋体" w:cs="宋体"/>
          <w:b/>
          <w:bCs/>
          <w:sz w:val="24"/>
          <w:szCs w:val="24"/>
          <w:lang w:eastAsia="zh-CN"/>
        </w:rPr>
        <w:t>：</w:t>
      </w:r>
    </w:p>
    <w:p w14:paraId="33581CDD">
      <w:pPr>
        <w:pStyle w:val="6"/>
        <w:ind w:left="0" w:leftChars="0" w:firstLine="0" w:firstLineChars="0"/>
        <w:rPr>
          <w:rFonts w:hint="default"/>
          <w:lang w:val="en-US" w:eastAsia="zh-CN"/>
        </w:rPr>
      </w:pPr>
    </w:p>
    <w:p w14:paraId="3813EF6B">
      <w:pPr>
        <w:pStyle w:val="3"/>
        <w:adjustRightInd w:val="0"/>
        <w:snapToGrid w:val="0"/>
        <w:spacing w:line="360" w:lineRule="auto"/>
        <w:jc w:val="center"/>
        <w:rPr>
          <w:rFonts w:hint="eastAsia" w:ascii="宋体" w:hAnsi="宋体" w:eastAsia="宋体" w:cs="宋体"/>
          <w:sz w:val="30"/>
          <w:lang w:val="en-US" w:eastAsia="zh-CN"/>
        </w:rPr>
      </w:pPr>
      <w:r>
        <w:rPr>
          <w:rFonts w:hint="eastAsia" w:ascii="宋体" w:hAnsi="宋体" w:eastAsia="宋体" w:cs="宋体"/>
          <w:sz w:val="30"/>
          <w:lang w:val="en-US" w:eastAsia="zh-CN"/>
        </w:rPr>
        <w:t xml:space="preserve">附件2 </w:t>
      </w:r>
      <w:r>
        <w:rPr>
          <w:rFonts w:hint="eastAsia" w:ascii="宋体" w:hAnsi="宋体" w:eastAsia="宋体" w:cs="宋体"/>
          <w:color w:val="FF0000"/>
          <w:sz w:val="30"/>
          <w:lang w:val="en-US" w:eastAsia="zh-CN"/>
        </w:rPr>
        <w:t>商务技术文件</w:t>
      </w:r>
    </w:p>
    <w:p w14:paraId="68B0E521">
      <w:pPr>
        <w:pStyle w:val="3"/>
        <w:adjustRightInd w:val="0"/>
        <w:snapToGrid w:val="0"/>
        <w:spacing w:line="360" w:lineRule="auto"/>
        <w:ind w:right="5"/>
        <w:jc w:val="both"/>
        <w:rPr>
          <w:rFonts w:hint="eastAsia" w:ascii="宋体" w:hAnsi="宋体" w:eastAsia="宋体" w:cs="宋体"/>
          <w:sz w:val="32"/>
          <w:szCs w:val="20"/>
          <w:lang w:val="en-US" w:eastAsia="zh-CN"/>
        </w:rPr>
      </w:pPr>
      <w:r>
        <w:rPr>
          <w:rFonts w:hint="eastAsia" w:ascii="宋体" w:hAnsi="宋体" w:eastAsia="宋体" w:cs="宋体"/>
          <w:sz w:val="32"/>
          <w:szCs w:val="20"/>
          <w:lang w:val="en-US" w:eastAsia="zh-CN"/>
        </w:rPr>
        <w:t>2、商务技术文件封面</w:t>
      </w:r>
    </w:p>
    <w:p w14:paraId="58CC2EFF">
      <w:pPr>
        <w:pStyle w:val="3"/>
        <w:adjustRightInd w:val="0"/>
        <w:snapToGrid w:val="0"/>
        <w:spacing w:line="360" w:lineRule="auto"/>
        <w:ind w:right="5" w:firstLine="562"/>
        <w:jc w:val="center"/>
        <w:rPr>
          <w:rFonts w:hint="eastAsia" w:ascii="宋体" w:hAnsi="宋体" w:eastAsia="宋体" w:cs="宋体"/>
          <w:sz w:val="56"/>
          <w:szCs w:val="36"/>
          <w:lang w:eastAsia="zh-CN"/>
        </w:rPr>
      </w:pPr>
      <w:r>
        <w:rPr>
          <w:rFonts w:hint="eastAsia" w:hAnsi="宋体" w:eastAsia="宋体" w:cs="宋体"/>
          <w:sz w:val="56"/>
          <w:szCs w:val="36"/>
          <w:lang w:eastAsia="zh-CN"/>
        </w:rPr>
        <w:t>龙港市第五中学新建教学楼二次装修及智能化工程采购项目</w:t>
      </w:r>
    </w:p>
    <w:p w14:paraId="71B09399">
      <w:pPr>
        <w:pStyle w:val="3"/>
        <w:adjustRightInd w:val="0"/>
        <w:snapToGrid w:val="0"/>
        <w:spacing w:line="400" w:lineRule="exact"/>
        <w:ind w:firstLine="360"/>
        <w:jc w:val="right"/>
        <w:rPr>
          <w:rFonts w:hint="eastAsia" w:ascii="宋体" w:hAnsi="宋体" w:eastAsia="宋体" w:cs="宋体"/>
          <w:sz w:val="36"/>
          <w:szCs w:val="36"/>
        </w:rPr>
      </w:pPr>
    </w:p>
    <w:p w14:paraId="7B467D83">
      <w:pPr>
        <w:pStyle w:val="3"/>
        <w:adjustRightInd w:val="0"/>
        <w:snapToGrid w:val="0"/>
        <w:spacing w:line="480" w:lineRule="auto"/>
        <w:jc w:val="center"/>
        <w:rPr>
          <w:rFonts w:hint="eastAsia" w:ascii="宋体" w:hAnsi="宋体" w:eastAsia="宋体" w:cs="宋体"/>
          <w:sz w:val="56"/>
          <w:szCs w:val="36"/>
          <w:lang w:eastAsia="zh-CN"/>
        </w:rPr>
      </w:pPr>
      <w:r>
        <w:rPr>
          <w:rFonts w:hint="eastAsia" w:ascii="宋体" w:hAnsi="宋体" w:eastAsia="宋体" w:cs="宋体"/>
          <w:sz w:val="56"/>
          <w:szCs w:val="36"/>
          <w:lang w:eastAsia="zh-CN"/>
        </w:rPr>
        <w:t>投标响应文件</w:t>
      </w:r>
    </w:p>
    <w:p w14:paraId="07170598">
      <w:pPr>
        <w:pStyle w:val="3"/>
        <w:adjustRightInd w:val="0"/>
        <w:snapToGrid w:val="0"/>
        <w:spacing w:line="480" w:lineRule="auto"/>
        <w:jc w:val="center"/>
        <w:rPr>
          <w:rFonts w:hint="eastAsia" w:ascii="宋体" w:hAnsi="宋体" w:eastAsia="宋体" w:cs="宋体"/>
          <w:b/>
          <w:bCs/>
          <w:color w:val="FF0000"/>
          <w:sz w:val="56"/>
          <w:szCs w:val="36"/>
        </w:rPr>
      </w:pPr>
      <w:r>
        <w:rPr>
          <w:rFonts w:hint="eastAsia" w:ascii="宋体" w:hAnsi="宋体" w:eastAsia="宋体" w:cs="宋体"/>
          <w:b/>
          <w:bCs/>
          <w:color w:val="FF0000"/>
          <w:sz w:val="36"/>
          <w:szCs w:val="36"/>
        </w:rPr>
        <w:t>（</w:t>
      </w:r>
      <w:r>
        <w:rPr>
          <w:rFonts w:hint="eastAsia" w:ascii="宋体" w:hAnsi="宋体" w:eastAsia="宋体" w:cs="宋体"/>
          <w:b/>
          <w:bCs/>
          <w:color w:val="FF0000"/>
          <w:sz w:val="36"/>
          <w:szCs w:val="36"/>
          <w:lang w:val="en-US" w:eastAsia="zh-CN"/>
        </w:rPr>
        <w:t>商务技术</w:t>
      </w:r>
      <w:r>
        <w:rPr>
          <w:rFonts w:hint="eastAsia" w:ascii="宋体" w:hAnsi="宋体" w:eastAsia="宋体" w:cs="宋体"/>
          <w:b/>
          <w:bCs/>
          <w:color w:val="FF0000"/>
          <w:sz w:val="36"/>
          <w:szCs w:val="36"/>
        </w:rPr>
        <w:t>文件）</w:t>
      </w:r>
    </w:p>
    <w:p w14:paraId="70EFE658">
      <w:pPr>
        <w:pStyle w:val="3"/>
        <w:adjustRightInd w:val="0"/>
        <w:snapToGrid w:val="0"/>
        <w:spacing w:line="400" w:lineRule="exact"/>
        <w:ind w:firstLine="360"/>
        <w:rPr>
          <w:rFonts w:hint="eastAsia" w:ascii="宋体" w:hAnsi="宋体" w:eastAsia="宋体" w:cs="宋体"/>
          <w:sz w:val="36"/>
          <w:szCs w:val="36"/>
        </w:rPr>
      </w:pPr>
    </w:p>
    <w:p w14:paraId="60DD7EFE">
      <w:pPr>
        <w:pStyle w:val="3"/>
        <w:adjustRightInd w:val="0"/>
        <w:snapToGrid w:val="0"/>
        <w:spacing w:line="400" w:lineRule="exact"/>
        <w:ind w:firstLine="3420" w:firstLineChars="950"/>
        <w:rPr>
          <w:rFonts w:hint="eastAsia" w:ascii="宋体" w:hAnsi="宋体" w:eastAsia="宋体" w:cs="宋体"/>
          <w:sz w:val="36"/>
          <w:szCs w:val="36"/>
        </w:rPr>
      </w:pPr>
    </w:p>
    <w:p w14:paraId="3390B603">
      <w:pPr>
        <w:pStyle w:val="3"/>
        <w:adjustRightInd w:val="0"/>
        <w:snapToGrid w:val="0"/>
        <w:spacing w:line="480" w:lineRule="auto"/>
        <w:ind w:firstLine="1080" w:firstLineChars="300"/>
        <w:rPr>
          <w:rFonts w:hint="eastAsia" w:ascii="宋体" w:hAnsi="宋体" w:eastAsia="宋体" w:cs="宋体"/>
          <w:sz w:val="36"/>
          <w:szCs w:val="36"/>
          <w:u w:val="single"/>
        </w:rPr>
      </w:pPr>
      <w:r>
        <w:rPr>
          <w:rFonts w:hint="eastAsia" w:ascii="宋体" w:hAnsi="宋体" w:eastAsia="宋体" w:cs="宋体"/>
          <w:sz w:val="36"/>
          <w:szCs w:val="36"/>
        </w:rPr>
        <w:t>招标编号：</w:t>
      </w:r>
      <w:r>
        <w:rPr>
          <w:rFonts w:hint="eastAsia" w:hAnsi="宋体" w:cs="宋体"/>
          <w:sz w:val="36"/>
          <w:szCs w:val="36"/>
          <w:u w:val="single"/>
          <w:lang w:eastAsia="zh-CN"/>
        </w:rPr>
        <w:t>LGCG2024273</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p>
    <w:p w14:paraId="3B99B994">
      <w:pPr>
        <w:pStyle w:val="3"/>
        <w:adjustRightInd w:val="0"/>
        <w:snapToGrid w:val="0"/>
        <w:spacing w:line="480" w:lineRule="auto"/>
        <w:ind w:firstLine="1080" w:firstLineChars="300"/>
        <w:rPr>
          <w:rFonts w:hint="eastAsia" w:ascii="宋体" w:hAnsi="宋体" w:eastAsia="宋体" w:cs="宋体"/>
          <w:sz w:val="36"/>
          <w:szCs w:val="36"/>
          <w:u w:val="single"/>
        </w:rPr>
      </w:pPr>
      <w:r>
        <w:rPr>
          <w:rFonts w:hint="eastAsia" w:ascii="宋体" w:hAnsi="宋体" w:eastAsia="宋体" w:cs="宋体"/>
          <w:sz w:val="36"/>
          <w:szCs w:val="36"/>
        </w:rPr>
        <w:t>供应商名称（盖章）：</w:t>
      </w:r>
      <w:r>
        <w:rPr>
          <w:rFonts w:hint="eastAsia" w:ascii="宋体" w:hAnsi="宋体" w:eastAsia="宋体" w:cs="宋体"/>
          <w:sz w:val="36"/>
          <w:szCs w:val="36"/>
          <w:u w:val="single"/>
        </w:rPr>
        <w:t xml:space="preserve">                      </w:t>
      </w:r>
    </w:p>
    <w:p w14:paraId="5E87E188">
      <w:pPr>
        <w:pStyle w:val="3"/>
        <w:adjustRightInd w:val="0"/>
        <w:snapToGrid w:val="0"/>
        <w:spacing w:line="480" w:lineRule="auto"/>
        <w:ind w:firstLine="1080" w:firstLineChars="300"/>
        <w:rPr>
          <w:rFonts w:hint="eastAsia" w:ascii="宋体" w:hAnsi="宋体" w:eastAsia="宋体" w:cs="宋体"/>
          <w:sz w:val="36"/>
          <w:szCs w:val="36"/>
          <w:u w:val="single"/>
        </w:rPr>
      </w:pPr>
      <w:r>
        <w:rPr>
          <w:rFonts w:hint="eastAsia" w:ascii="宋体" w:hAnsi="宋体" w:eastAsia="宋体" w:cs="宋体"/>
          <w:sz w:val="36"/>
          <w:szCs w:val="36"/>
        </w:rPr>
        <w:t>投标</w:t>
      </w:r>
      <w:r>
        <w:rPr>
          <w:rFonts w:hint="eastAsia" w:ascii="宋体" w:hAnsi="宋体" w:eastAsia="宋体" w:cs="宋体"/>
          <w:sz w:val="36"/>
          <w:szCs w:val="36"/>
          <w:lang w:val="en-US" w:eastAsia="zh-CN"/>
        </w:rPr>
        <w:t>供应商</w:t>
      </w:r>
      <w:r>
        <w:rPr>
          <w:rFonts w:hint="eastAsia" w:ascii="宋体" w:hAnsi="宋体" w:eastAsia="宋体" w:cs="宋体"/>
          <w:sz w:val="36"/>
          <w:szCs w:val="36"/>
        </w:rPr>
        <w:t>代表（</w:t>
      </w:r>
      <w:r>
        <w:rPr>
          <w:rFonts w:hint="eastAsia" w:ascii="宋体" w:hAnsi="宋体" w:eastAsia="宋体" w:cs="宋体"/>
          <w:sz w:val="36"/>
          <w:szCs w:val="36"/>
          <w:lang w:val="en-US" w:eastAsia="zh-CN"/>
        </w:rPr>
        <w:t>姓名</w:t>
      </w:r>
      <w:r>
        <w:rPr>
          <w:rFonts w:hint="eastAsia" w:ascii="宋体" w:hAnsi="宋体" w:eastAsia="宋体" w:cs="宋体"/>
          <w:sz w:val="36"/>
          <w:szCs w:val="36"/>
        </w:rPr>
        <w:t>）：</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p>
    <w:p w14:paraId="20E42969">
      <w:pPr>
        <w:pStyle w:val="3"/>
        <w:adjustRightInd w:val="0"/>
        <w:snapToGrid w:val="0"/>
        <w:spacing w:line="480" w:lineRule="auto"/>
        <w:ind w:firstLine="1080" w:firstLineChars="300"/>
        <w:rPr>
          <w:rFonts w:hint="eastAsia" w:ascii="宋体" w:hAnsi="宋体" w:eastAsia="宋体" w:cs="宋体"/>
          <w:sz w:val="36"/>
          <w:szCs w:val="36"/>
          <w:lang w:val="en-US" w:eastAsia="zh-CN"/>
        </w:rPr>
      </w:pPr>
      <w:r>
        <w:rPr>
          <w:rFonts w:hint="eastAsia" w:ascii="宋体" w:hAnsi="宋体" w:eastAsia="宋体" w:cs="宋体"/>
          <w:sz w:val="36"/>
          <w:szCs w:val="36"/>
        </w:rPr>
        <w:t>投标</w:t>
      </w:r>
      <w:r>
        <w:rPr>
          <w:rFonts w:hint="eastAsia" w:ascii="宋体" w:hAnsi="宋体" w:eastAsia="宋体" w:cs="宋体"/>
          <w:sz w:val="36"/>
          <w:szCs w:val="36"/>
          <w:lang w:val="en-US" w:eastAsia="zh-CN"/>
        </w:rPr>
        <w:t>供应商</w:t>
      </w:r>
      <w:r>
        <w:rPr>
          <w:rFonts w:hint="eastAsia" w:ascii="宋体" w:hAnsi="宋体" w:eastAsia="宋体" w:cs="宋体"/>
          <w:sz w:val="36"/>
          <w:szCs w:val="36"/>
        </w:rPr>
        <w:t>代表（</w:t>
      </w:r>
      <w:r>
        <w:rPr>
          <w:rFonts w:hint="eastAsia" w:ascii="宋体" w:hAnsi="宋体" w:eastAsia="宋体" w:cs="宋体"/>
          <w:sz w:val="36"/>
          <w:szCs w:val="36"/>
          <w:lang w:val="en-US" w:eastAsia="zh-CN"/>
        </w:rPr>
        <w:t>联系电话</w:t>
      </w:r>
      <w:r>
        <w:rPr>
          <w:rFonts w:hint="eastAsia" w:ascii="宋体" w:hAnsi="宋体" w:eastAsia="宋体" w:cs="宋体"/>
          <w:sz w:val="36"/>
          <w:szCs w:val="36"/>
        </w:rPr>
        <w:t>）</w:t>
      </w:r>
      <w:r>
        <w:rPr>
          <w:rFonts w:hint="eastAsia" w:ascii="宋体" w:hAnsi="宋体" w:eastAsia="宋体" w:cs="宋体"/>
          <w:sz w:val="36"/>
          <w:szCs w:val="36"/>
          <w:lang w:eastAsia="zh-CN"/>
        </w:rPr>
        <w:t>：</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 xml:space="preserve"> </w:t>
      </w:r>
    </w:p>
    <w:p w14:paraId="2E2330AE">
      <w:pPr>
        <w:pStyle w:val="3"/>
        <w:adjustRightInd w:val="0"/>
        <w:snapToGrid w:val="0"/>
        <w:spacing w:line="360" w:lineRule="auto"/>
        <w:ind w:firstLine="1080" w:firstLineChars="300"/>
        <w:rPr>
          <w:rFonts w:hint="eastAsia" w:ascii="宋体" w:hAnsi="宋体" w:eastAsia="宋体" w:cs="宋体"/>
          <w:sz w:val="30"/>
          <w:lang w:val="en-US" w:eastAsia="zh-CN"/>
        </w:rPr>
      </w:pPr>
      <w:r>
        <w:rPr>
          <w:rFonts w:hint="eastAsia" w:ascii="宋体" w:hAnsi="宋体" w:eastAsia="宋体" w:cs="宋体"/>
          <w:sz w:val="36"/>
          <w:szCs w:val="36"/>
          <w:lang w:val="en-US" w:eastAsia="zh-CN"/>
        </w:rPr>
        <w:t xml:space="preserve">日期：        年    月     日 </w:t>
      </w:r>
    </w:p>
    <w:p w14:paraId="6AF20D0F">
      <w:pPr>
        <w:pStyle w:val="4"/>
        <w:rPr>
          <w:rFonts w:hint="eastAsia" w:ascii="宋体" w:hAnsi="宋体" w:eastAsia="宋体" w:cs="宋体"/>
          <w:sz w:val="30"/>
          <w:lang w:val="en-US" w:eastAsia="zh-CN"/>
        </w:rPr>
        <w:sectPr>
          <w:footerReference r:id="rId11" w:type="default"/>
          <w:pgSz w:w="11906" w:h="16838"/>
          <w:pgMar w:top="1440" w:right="1046" w:bottom="898" w:left="1400" w:header="851" w:footer="680" w:gutter="0"/>
          <w:pgBorders>
            <w:top w:val="none" w:sz="0" w:space="0"/>
            <w:left w:val="none" w:sz="0" w:space="0"/>
            <w:bottom w:val="none" w:sz="0" w:space="0"/>
            <w:right w:val="none" w:sz="0" w:space="0"/>
          </w:pgBorders>
          <w:pgNumType w:fmt="numberInDash"/>
          <w:cols w:space="720" w:num="1"/>
          <w:docGrid w:type="lines" w:linePitch="312" w:charSpace="0"/>
        </w:sectPr>
      </w:pPr>
    </w:p>
    <w:p w14:paraId="30D90676">
      <w:pPr>
        <w:pStyle w:val="4"/>
        <w:rPr>
          <w:rFonts w:hint="eastAsia" w:ascii="宋体" w:hAnsi="宋体" w:eastAsia="宋体" w:cs="宋体"/>
          <w:sz w:val="36"/>
        </w:rPr>
      </w:pPr>
      <w:r>
        <w:rPr>
          <w:rFonts w:hint="eastAsia" w:ascii="宋体" w:hAnsi="宋体" w:eastAsia="宋体" w:cs="宋体"/>
          <w:sz w:val="30"/>
          <w:lang w:val="en-US" w:eastAsia="zh-CN"/>
        </w:rPr>
        <w:t>2-1、投标函</w:t>
      </w:r>
      <w:r>
        <w:rPr>
          <w:rFonts w:hint="eastAsia" w:ascii="宋体" w:hAnsi="宋体" w:eastAsia="宋体" w:cs="宋体"/>
          <w:sz w:val="24"/>
        </w:rPr>
        <w:cr/>
      </w:r>
      <w:r>
        <w:rPr>
          <w:rFonts w:hint="eastAsia" w:ascii="宋体" w:hAnsi="宋体" w:eastAsia="宋体" w:cs="宋体"/>
          <w:sz w:val="32"/>
        </w:rPr>
        <w:t xml:space="preserve">                         </w:t>
      </w:r>
      <w:r>
        <w:rPr>
          <w:rFonts w:hint="eastAsia" w:ascii="宋体" w:hAnsi="宋体" w:eastAsia="宋体" w:cs="宋体"/>
          <w:sz w:val="36"/>
        </w:rPr>
        <w:t>投  标  函</w:t>
      </w:r>
    </w:p>
    <w:p w14:paraId="4B511CBB">
      <w:pPr>
        <w:pStyle w:val="3"/>
        <w:adjustRightInd w:val="0"/>
        <w:snapToGrid w:val="0"/>
        <w:spacing w:line="360" w:lineRule="auto"/>
        <w:ind w:firstLine="552" w:firstLineChars="251"/>
        <w:rPr>
          <w:rFonts w:hint="eastAsia" w:ascii="宋体" w:hAnsi="宋体" w:eastAsia="宋体" w:cs="宋体"/>
          <w:sz w:val="22"/>
          <w:szCs w:val="24"/>
          <w:u w:val="single"/>
        </w:rPr>
      </w:pPr>
      <w:bookmarkStart w:id="150" w:name="_Toc10630"/>
      <w:r>
        <w:rPr>
          <w:rFonts w:hint="eastAsia" w:hAnsi="宋体" w:eastAsia="宋体" w:cs="宋体"/>
          <w:sz w:val="22"/>
          <w:szCs w:val="24"/>
          <w:u w:val="single"/>
          <w:lang w:eastAsia="zh-CN"/>
        </w:rPr>
        <w:t>龙港市第五中学</w:t>
      </w:r>
      <w:r>
        <w:rPr>
          <w:rFonts w:hint="eastAsia" w:ascii="宋体" w:hAnsi="宋体" w:eastAsia="宋体" w:cs="宋体"/>
          <w:sz w:val="22"/>
          <w:szCs w:val="24"/>
          <w:u w:val="single"/>
        </w:rPr>
        <w:t>：</w:t>
      </w:r>
    </w:p>
    <w:p w14:paraId="1C7AB4E3">
      <w:pPr>
        <w:autoSpaceDE w:val="0"/>
        <w:autoSpaceDN w:val="0"/>
        <w:adjustRightInd w:val="0"/>
        <w:spacing w:line="240" w:lineRule="auto"/>
        <w:rPr>
          <w:rFonts w:hint="eastAsia" w:ascii="宋体" w:hAnsi="宋体" w:eastAsia="宋体" w:cs="宋体"/>
          <w:color w:val="000000"/>
          <w:sz w:val="22"/>
          <w:szCs w:val="24"/>
          <w:lang w:val="zh-CN"/>
        </w:rPr>
      </w:pPr>
      <w:r>
        <w:rPr>
          <w:rFonts w:hint="eastAsia" w:ascii="宋体" w:hAnsi="宋体" w:eastAsia="宋体" w:cs="宋体"/>
          <w:sz w:val="22"/>
          <w:szCs w:val="24"/>
        </w:rPr>
        <w:t xml:space="preserve">    </w:t>
      </w:r>
      <w:r>
        <w:rPr>
          <w:rFonts w:hint="eastAsia" w:ascii="宋体" w:hAnsi="宋体" w:eastAsia="宋体" w:cs="宋体"/>
          <w:sz w:val="22"/>
          <w:szCs w:val="24"/>
          <w:lang w:val="zh-CN"/>
        </w:rPr>
        <w:t xml:space="preserve"> </w:t>
      </w:r>
      <w:r>
        <w:rPr>
          <w:rFonts w:hint="eastAsia" w:ascii="宋体" w:hAnsi="宋体" w:eastAsia="宋体" w:cs="宋体"/>
          <w:sz w:val="22"/>
          <w:szCs w:val="24"/>
          <w:u w:val="single"/>
          <w:lang w:val="zh-CN"/>
        </w:rPr>
        <w:t xml:space="preserve">                    </w:t>
      </w:r>
      <w:r>
        <w:rPr>
          <w:rFonts w:hint="eastAsia" w:ascii="宋体" w:hAnsi="宋体" w:eastAsia="宋体" w:cs="宋体"/>
          <w:sz w:val="22"/>
          <w:szCs w:val="24"/>
          <w:lang w:val="zh-CN"/>
        </w:rPr>
        <w:t>（供应商全称）授权</w:t>
      </w:r>
      <w:r>
        <w:rPr>
          <w:rFonts w:hint="eastAsia" w:ascii="宋体" w:hAnsi="宋体" w:eastAsia="宋体" w:cs="宋体"/>
          <w:sz w:val="22"/>
          <w:szCs w:val="24"/>
          <w:u w:val="single"/>
          <w:lang w:val="zh-CN"/>
        </w:rPr>
        <w:t xml:space="preserve">              </w:t>
      </w:r>
      <w:r>
        <w:rPr>
          <w:rFonts w:hint="eastAsia" w:ascii="宋体" w:hAnsi="宋体" w:eastAsia="宋体" w:cs="宋体"/>
          <w:sz w:val="22"/>
          <w:szCs w:val="24"/>
          <w:lang w:val="zh-CN"/>
        </w:rPr>
        <w:t xml:space="preserve"> （授权代表名称）</w:t>
      </w:r>
      <w:r>
        <w:rPr>
          <w:rFonts w:hint="eastAsia" w:ascii="宋体" w:hAnsi="宋体" w:eastAsia="宋体" w:cs="宋体"/>
          <w:sz w:val="22"/>
          <w:szCs w:val="24"/>
          <w:u w:val="single"/>
          <w:lang w:val="zh-CN"/>
        </w:rPr>
        <w:t xml:space="preserve">         </w:t>
      </w:r>
      <w:r>
        <w:rPr>
          <w:rFonts w:hint="eastAsia" w:ascii="宋体" w:hAnsi="宋体" w:eastAsia="宋体" w:cs="宋体"/>
          <w:sz w:val="22"/>
          <w:szCs w:val="24"/>
          <w:lang w:val="zh-CN"/>
        </w:rPr>
        <w:t>（职务、职称）为授权代表，参加贵方组织的</w:t>
      </w:r>
      <w:r>
        <w:rPr>
          <w:rFonts w:hint="eastAsia" w:ascii="宋体" w:hAnsi="宋体" w:eastAsia="宋体" w:cs="宋体"/>
          <w:sz w:val="22"/>
          <w:szCs w:val="24"/>
          <w:u w:val="single"/>
          <w:lang w:val="zh-CN"/>
        </w:rPr>
        <w:t xml:space="preserve">           （招标项目名称）（括号内填项目编号）</w:t>
      </w:r>
      <w:r>
        <w:rPr>
          <w:rFonts w:hint="eastAsia" w:ascii="宋体" w:hAnsi="宋体" w:eastAsia="宋体" w:cs="宋体"/>
          <w:sz w:val="22"/>
          <w:szCs w:val="24"/>
          <w:lang w:val="zh-CN"/>
        </w:rPr>
        <w:t>招标的有关活动，为此：</w:t>
      </w:r>
      <w:r>
        <w:rPr>
          <w:rFonts w:hint="eastAsia" w:ascii="宋体" w:hAnsi="宋体" w:eastAsia="宋体" w:cs="宋体"/>
          <w:color w:val="000000"/>
          <w:sz w:val="22"/>
          <w:szCs w:val="24"/>
          <w:lang w:val="zh-CN"/>
        </w:rPr>
        <w:t>并对</w:t>
      </w:r>
      <w:r>
        <w:rPr>
          <w:rFonts w:hint="eastAsia" w:ascii="宋体" w:hAnsi="宋体" w:eastAsia="宋体" w:cs="宋体"/>
          <w:color w:val="000000"/>
          <w:sz w:val="22"/>
          <w:szCs w:val="24"/>
          <w:u w:val="single"/>
          <w:lang w:val="zh-CN"/>
        </w:rPr>
        <w:t xml:space="preserve">            </w:t>
      </w:r>
      <w:r>
        <w:rPr>
          <w:rFonts w:hint="eastAsia" w:ascii="宋体" w:hAnsi="宋体" w:eastAsia="宋体" w:cs="宋体"/>
          <w:color w:val="000000"/>
          <w:sz w:val="22"/>
          <w:szCs w:val="24"/>
          <w:lang w:val="zh-CN"/>
        </w:rPr>
        <w:t xml:space="preserve">项目（采购项目名称）进行投标。   </w:t>
      </w:r>
    </w:p>
    <w:p w14:paraId="6E7A4D7E">
      <w:pPr>
        <w:autoSpaceDE w:val="0"/>
        <w:autoSpaceDN w:val="0"/>
        <w:adjustRightInd w:val="0"/>
        <w:spacing w:line="360" w:lineRule="auto"/>
        <w:ind w:left="1" w:firstLine="585" w:firstLineChars="266"/>
        <w:rPr>
          <w:rFonts w:hint="eastAsia" w:ascii="宋体" w:hAnsi="宋体" w:eastAsia="宋体" w:cs="宋体"/>
          <w:color w:val="000000"/>
          <w:sz w:val="22"/>
          <w:szCs w:val="24"/>
          <w:lang w:val="zh-CN"/>
        </w:rPr>
      </w:pPr>
      <w:r>
        <w:rPr>
          <w:rFonts w:hint="eastAsia" w:ascii="宋体" w:hAnsi="宋体" w:eastAsia="宋体" w:cs="宋体"/>
          <w:color w:val="000000"/>
          <w:sz w:val="22"/>
          <w:szCs w:val="24"/>
          <w:lang w:val="zh-CN"/>
        </w:rPr>
        <w:t>1、提供供应商须知规定的全部</w:t>
      </w:r>
      <w:r>
        <w:rPr>
          <w:rFonts w:hint="eastAsia" w:ascii="宋体" w:hAnsi="宋体" w:eastAsia="宋体" w:cs="宋体"/>
          <w:color w:val="000000"/>
          <w:sz w:val="22"/>
          <w:szCs w:val="24"/>
          <w:lang w:val="en-US" w:eastAsia="zh-CN"/>
        </w:rPr>
        <w:t>投标响应文件</w:t>
      </w:r>
      <w:r>
        <w:rPr>
          <w:rFonts w:hint="eastAsia" w:ascii="宋体" w:hAnsi="宋体" w:eastAsia="宋体" w:cs="宋体"/>
          <w:color w:val="000000"/>
          <w:sz w:val="22"/>
          <w:szCs w:val="24"/>
          <w:lang w:val="zh-CN"/>
        </w:rPr>
        <w:t>：</w:t>
      </w:r>
    </w:p>
    <w:p w14:paraId="4879D342">
      <w:pPr>
        <w:autoSpaceDE w:val="0"/>
        <w:autoSpaceDN w:val="0"/>
        <w:adjustRightInd w:val="0"/>
        <w:spacing w:line="360" w:lineRule="auto"/>
        <w:ind w:left="1" w:firstLine="913" w:firstLineChars="415"/>
        <w:rPr>
          <w:rFonts w:hint="eastAsia" w:ascii="宋体" w:hAnsi="宋体" w:eastAsia="宋体" w:cs="宋体"/>
          <w:color w:val="000000"/>
          <w:sz w:val="22"/>
          <w:szCs w:val="24"/>
          <w:lang w:val="zh-CN"/>
        </w:rPr>
      </w:pPr>
      <w:r>
        <w:rPr>
          <w:rFonts w:hint="eastAsia" w:ascii="宋体" w:hAnsi="宋体" w:eastAsia="宋体" w:cs="宋体"/>
          <w:color w:val="000000"/>
          <w:sz w:val="22"/>
          <w:szCs w:val="24"/>
          <w:lang w:val="en-US" w:eastAsia="zh-CN"/>
        </w:rPr>
        <w:t>投标响应文件</w:t>
      </w:r>
      <w:r>
        <w:rPr>
          <w:rFonts w:hint="eastAsia" w:ascii="宋体" w:hAnsi="宋体" w:eastAsia="宋体" w:cs="宋体"/>
          <w:color w:val="000000"/>
          <w:sz w:val="22"/>
          <w:szCs w:val="24"/>
          <w:lang w:val="zh-CN"/>
        </w:rPr>
        <w:t>（商务技术文件）；</w:t>
      </w:r>
      <w:r>
        <w:rPr>
          <w:rFonts w:hint="eastAsia" w:ascii="宋体" w:hAnsi="宋体" w:eastAsia="宋体" w:cs="宋体"/>
          <w:color w:val="000000"/>
          <w:sz w:val="22"/>
          <w:szCs w:val="24"/>
          <w:lang w:val="en-US" w:eastAsia="zh-CN"/>
        </w:rPr>
        <w:t>投标响应文件</w:t>
      </w:r>
      <w:r>
        <w:rPr>
          <w:rFonts w:hint="eastAsia" w:ascii="宋体" w:hAnsi="宋体" w:eastAsia="宋体" w:cs="宋体"/>
          <w:color w:val="000000"/>
          <w:sz w:val="22"/>
          <w:szCs w:val="24"/>
          <w:lang w:val="zh-CN"/>
        </w:rPr>
        <w:t>（报价文件）；</w:t>
      </w:r>
      <w:r>
        <w:rPr>
          <w:rFonts w:hint="eastAsia" w:ascii="宋体" w:hAnsi="宋体" w:eastAsia="宋体" w:cs="宋体"/>
          <w:color w:val="000000"/>
          <w:sz w:val="22"/>
          <w:szCs w:val="24"/>
          <w:lang w:val="en-US" w:eastAsia="zh-CN"/>
        </w:rPr>
        <w:t>投标响应文件</w:t>
      </w:r>
      <w:r>
        <w:rPr>
          <w:rFonts w:hint="eastAsia" w:ascii="宋体" w:hAnsi="宋体" w:eastAsia="宋体" w:cs="宋体"/>
          <w:color w:val="000000"/>
          <w:sz w:val="22"/>
          <w:szCs w:val="24"/>
          <w:lang w:val="zh-CN"/>
        </w:rPr>
        <w:t>（</w:t>
      </w:r>
      <w:r>
        <w:rPr>
          <w:rFonts w:hint="eastAsia" w:ascii="宋体" w:hAnsi="宋体" w:eastAsia="宋体" w:cs="宋体"/>
          <w:color w:val="000000"/>
          <w:sz w:val="22"/>
          <w:szCs w:val="24"/>
          <w:lang w:val="en-US" w:eastAsia="zh-CN"/>
        </w:rPr>
        <w:t>资格</w:t>
      </w:r>
      <w:r>
        <w:rPr>
          <w:rFonts w:hint="eastAsia" w:ascii="宋体" w:hAnsi="宋体" w:eastAsia="宋体" w:cs="宋体"/>
          <w:color w:val="000000"/>
          <w:sz w:val="22"/>
          <w:szCs w:val="24"/>
          <w:lang w:val="zh-CN"/>
        </w:rPr>
        <w:t>文件）。</w:t>
      </w:r>
    </w:p>
    <w:p w14:paraId="318E7ADC">
      <w:pPr>
        <w:autoSpaceDE w:val="0"/>
        <w:autoSpaceDN w:val="0"/>
        <w:adjustRightInd w:val="0"/>
        <w:spacing w:line="360" w:lineRule="auto"/>
        <w:ind w:left="1" w:firstLine="585" w:firstLineChars="266"/>
        <w:rPr>
          <w:rFonts w:hint="eastAsia" w:ascii="宋体" w:hAnsi="宋体" w:eastAsia="宋体" w:cs="宋体"/>
          <w:color w:val="000000"/>
          <w:sz w:val="22"/>
          <w:szCs w:val="24"/>
          <w:lang w:val="zh-CN"/>
        </w:rPr>
      </w:pPr>
      <w:r>
        <w:rPr>
          <w:rFonts w:hint="eastAsia" w:ascii="宋体" w:hAnsi="宋体" w:eastAsia="宋体" w:cs="宋体"/>
          <w:color w:val="000000"/>
          <w:sz w:val="22"/>
          <w:szCs w:val="24"/>
          <w:lang w:val="zh-CN"/>
        </w:rPr>
        <w:t>2、保证遵守采购文件中的有关规定和收费标准。</w:t>
      </w:r>
    </w:p>
    <w:p w14:paraId="005A996D">
      <w:pPr>
        <w:autoSpaceDE w:val="0"/>
        <w:autoSpaceDN w:val="0"/>
        <w:adjustRightInd w:val="0"/>
        <w:spacing w:line="360" w:lineRule="auto"/>
        <w:ind w:left="1" w:firstLine="585" w:firstLineChars="266"/>
        <w:rPr>
          <w:rFonts w:hint="eastAsia" w:ascii="宋体" w:hAnsi="宋体" w:eastAsia="宋体" w:cs="宋体"/>
          <w:color w:val="000000"/>
          <w:sz w:val="22"/>
          <w:szCs w:val="24"/>
          <w:lang w:val="zh-CN"/>
        </w:rPr>
      </w:pPr>
      <w:r>
        <w:rPr>
          <w:rFonts w:hint="eastAsia" w:ascii="宋体" w:hAnsi="宋体" w:eastAsia="宋体" w:cs="宋体"/>
          <w:color w:val="000000"/>
          <w:sz w:val="22"/>
          <w:szCs w:val="24"/>
          <w:lang w:val="zh-CN"/>
        </w:rPr>
        <w:t>3、保证忠实地执行采购人、中标供应商双方所签的合同，并承担合同规定的责任义务。</w:t>
      </w:r>
    </w:p>
    <w:p w14:paraId="47129553">
      <w:pPr>
        <w:autoSpaceDE w:val="0"/>
        <w:autoSpaceDN w:val="0"/>
        <w:adjustRightInd w:val="0"/>
        <w:spacing w:line="360" w:lineRule="auto"/>
        <w:ind w:left="1" w:firstLine="585" w:firstLineChars="266"/>
        <w:rPr>
          <w:rFonts w:hint="eastAsia" w:ascii="宋体" w:hAnsi="宋体" w:eastAsia="宋体" w:cs="宋体"/>
          <w:color w:val="000000"/>
          <w:sz w:val="22"/>
          <w:szCs w:val="24"/>
          <w:lang w:val="zh-CN"/>
        </w:rPr>
      </w:pPr>
      <w:r>
        <w:rPr>
          <w:rFonts w:hint="eastAsia" w:ascii="宋体" w:hAnsi="宋体" w:eastAsia="宋体" w:cs="宋体"/>
          <w:color w:val="000000"/>
          <w:sz w:val="22"/>
          <w:szCs w:val="24"/>
          <w:lang w:val="zh-CN"/>
        </w:rPr>
        <w:t>4、我方承诺如中标，本投标响应文件至本项目合同履行完毕止均保持有效，本</w:t>
      </w:r>
      <w:r>
        <w:rPr>
          <w:rFonts w:hint="eastAsia" w:ascii="宋体" w:hAnsi="宋体" w:eastAsia="宋体" w:cs="宋体"/>
          <w:color w:val="000000"/>
          <w:sz w:val="22"/>
          <w:szCs w:val="24"/>
          <w:lang w:val="en-US" w:eastAsia="zh-CN"/>
        </w:rPr>
        <w:t>供应商</w:t>
      </w:r>
      <w:r>
        <w:rPr>
          <w:rFonts w:hint="eastAsia" w:ascii="宋体" w:hAnsi="宋体" w:eastAsia="宋体" w:cs="宋体"/>
          <w:color w:val="000000"/>
          <w:sz w:val="22"/>
          <w:szCs w:val="24"/>
          <w:lang w:val="zh-CN"/>
        </w:rPr>
        <w:t>将按“</w:t>
      </w:r>
      <w:r>
        <w:rPr>
          <w:rFonts w:hint="eastAsia" w:ascii="宋体" w:hAnsi="宋体" w:eastAsia="宋体" w:cs="宋体"/>
          <w:color w:val="000000"/>
          <w:sz w:val="22"/>
          <w:szCs w:val="24"/>
          <w:lang w:val="en-US" w:eastAsia="zh-CN"/>
        </w:rPr>
        <w:t>采购</w:t>
      </w:r>
      <w:r>
        <w:rPr>
          <w:rFonts w:hint="eastAsia" w:ascii="宋体" w:hAnsi="宋体" w:eastAsia="宋体" w:cs="宋体"/>
          <w:color w:val="000000"/>
          <w:sz w:val="22"/>
          <w:szCs w:val="24"/>
          <w:lang w:val="zh-CN"/>
        </w:rPr>
        <w:t>文件”及政府采购法律、法规的规定履行合同责任和义务。</w:t>
      </w:r>
    </w:p>
    <w:p w14:paraId="285892AF">
      <w:pPr>
        <w:autoSpaceDE w:val="0"/>
        <w:autoSpaceDN w:val="0"/>
        <w:adjustRightInd w:val="0"/>
        <w:spacing w:line="360" w:lineRule="auto"/>
        <w:ind w:left="1" w:firstLine="587" w:firstLineChars="266"/>
        <w:rPr>
          <w:rFonts w:hint="eastAsia" w:ascii="宋体" w:hAnsi="宋体" w:eastAsia="宋体" w:cs="宋体"/>
          <w:color w:val="000000"/>
          <w:sz w:val="22"/>
          <w:szCs w:val="24"/>
          <w:lang w:val="en-US" w:eastAsia="zh-CN"/>
        </w:rPr>
      </w:pPr>
      <w:r>
        <w:rPr>
          <w:rFonts w:hint="eastAsia" w:ascii="宋体" w:hAnsi="宋体" w:eastAsia="宋体" w:cs="宋体"/>
          <w:b/>
          <w:color w:val="000000"/>
          <w:sz w:val="22"/>
          <w:szCs w:val="24"/>
        </w:rPr>
        <w:t>5、</w:t>
      </w:r>
      <w:r>
        <w:rPr>
          <w:rFonts w:hint="eastAsia" w:ascii="宋体" w:hAnsi="宋体" w:eastAsia="宋体" w:cs="宋体"/>
          <w:b/>
          <w:color w:val="000000"/>
          <w:sz w:val="22"/>
          <w:szCs w:val="24"/>
          <w:lang w:val="zh-CN"/>
        </w:rPr>
        <w:t>我方对服务期限（</w:t>
      </w:r>
      <w:r>
        <w:rPr>
          <w:rFonts w:hint="eastAsia" w:ascii="宋体" w:hAnsi="宋体" w:eastAsia="宋体" w:cs="宋体"/>
          <w:b/>
          <w:color w:val="000000"/>
          <w:sz w:val="22"/>
          <w:szCs w:val="24"/>
          <w:lang w:val="en-US" w:eastAsia="zh-CN"/>
        </w:rPr>
        <w:t>完工期</w:t>
      </w:r>
      <w:r>
        <w:rPr>
          <w:rFonts w:hint="eastAsia" w:ascii="宋体" w:hAnsi="宋体" w:eastAsia="宋体" w:cs="宋体"/>
          <w:b/>
          <w:color w:val="000000"/>
          <w:sz w:val="22"/>
          <w:szCs w:val="24"/>
          <w:lang w:val="zh-CN"/>
        </w:rPr>
        <w:t>）承诺如下：</w:t>
      </w:r>
      <w:r>
        <w:rPr>
          <w:rFonts w:hint="eastAsia" w:ascii="宋体" w:hAnsi="宋体" w:eastAsia="宋体" w:cs="宋体"/>
          <w:b/>
          <w:color w:val="000000"/>
          <w:sz w:val="22"/>
          <w:szCs w:val="24"/>
          <w:lang w:val="en-US" w:eastAsia="zh-CN"/>
        </w:rPr>
        <w:t>按采购文件执行</w:t>
      </w:r>
      <w:r>
        <w:rPr>
          <w:rFonts w:hint="eastAsia" w:ascii="宋体" w:hAnsi="宋体" w:eastAsia="宋体" w:cs="宋体"/>
          <w:color w:val="000000"/>
          <w:sz w:val="22"/>
          <w:szCs w:val="24"/>
          <w:lang w:val="zh-CN"/>
        </w:rPr>
        <w:t>。</w:t>
      </w:r>
    </w:p>
    <w:p w14:paraId="3C1438A2">
      <w:pPr>
        <w:autoSpaceDE w:val="0"/>
        <w:autoSpaceDN w:val="0"/>
        <w:adjustRightInd w:val="0"/>
        <w:spacing w:line="360" w:lineRule="auto"/>
        <w:ind w:left="1" w:firstLine="585" w:firstLineChars="266"/>
        <w:rPr>
          <w:rFonts w:hint="eastAsia" w:ascii="宋体" w:hAnsi="宋体" w:eastAsia="宋体" w:cs="宋体"/>
          <w:color w:val="000000"/>
          <w:sz w:val="22"/>
          <w:szCs w:val="24"/>
          <w:lang w:val="zh-CN"/>
        </w:rPr>
      </w:pPr>
      <w:r>
        <w:rPr>
          <w:rFonts w:hint="eastAsia" w:ascii="宋体" w:hAnsi="宋体" w:eastAsia="宋体" w:cs="宋体"/>
          <w:color w:val="000000"/>
          <w:sz w:val="22"/>
          <w:szCs w:val="24"/>
        </w:rPr>
        <w:t>6</w:t>
      </w:r>
      <w:r>
        <w:rPr>
          <w:rFonts w:hint="eastAsia" w:ascii="宋体" w:hAnsi="宋体" w:eastAsia="宋体" w:cs="宋体"/>
          <w:color w:val="000000"/>
          <w:sz w:val="22"/>
          <w:szCs w:val="24"/>
          <w:lang w:val="zh-CN"/>
        </w:rPr>
        <w:t>、供应商已详细审查全部采购文件，包括采购文件补充文件（如果有的话）。我方完全理解并同意放弃对这方面有不明及误解的权力。如果采购文件有相互矛盾之处，我方同意按采购人的理解处理。</w:t>
      </w:r>
    </w:p>
    <w:p w14:paraId="5FEA98B6">
      <w:pPr>
        <w:autoSpaceDE w:val="0"/>
        <w:autoSpaceDN w:val="0"/>
        <w:adjustRightInd w:val="0"/>
        <w:spacing w:line="360" w:lineRule="auto"/>
        <w:ind w:left="1" w:firstLine="585" w:firstLineChars="266"/>
        <w:rPr>
          <w:rFonts w:hint="eastAsia" w:ascii="宋体" w:hAnsi="宋体" w:eastAsia="宋体" w:cs="宋体"/>
          <w:color w:val="000000"/>
          <w:sz w:val="22"/>
          <w:szCs w:val="24"/>
        </w:rPr>
      </w:pPr>
      <w:r>
        <w:rPr>
          <w:rFonts w:hint="eastAsia" w:ascii="宋体" w:hAnsi="宋体" w:eastAsia="宋体" w:cs="宋体"/>
          <w:color w:val="000000"/>
          <w:sz w:val="22"/>
          <w:szCs w:val="24"/>
        </w:rPr>
        <w:t>7、利益冲突：近三年内直至目前，我单位与本项目的采购人、招标代理机构没有任何的隶属关系。</w:t>
      </w:r>
    </w:p>
    <w:p w14:paraId="25C14782">
      <w:pPr>
        <w:autoSpaceDE w:val="0"/>
        <w:autoSpaceDN w:val="0"/>
        <w:adjustRightInd w:val="0"/>
        <w:spacing w:line="360" w:lineRule="auto"/>
        <w:ind w:left="1" w:firstLine="585" w:firstLineChars="266"/>
        <w:rPr>
          <w:rFonts w:hint="eastAsia" w:ascii="宋体" w:hAnsi="宋体" w:eastAsia="宋体" w:cs="宋体"/>
          <w:color w:val="000000"/>
          <w:sz w:val="22"/>
          <w:szCs w:val="24"/>
          <w:lang w:val="zh-CN"/>
        </w:rPr>
      </w:pPr>
      <w:r>
        <w:rPr>
          <w:rFonts w:hint="eastAsia" w:ascii="宋体" w:hAnsi="宋体" w:eastAsia="宋体" w:cs="宋体"/>
          <w:color w:val="000000"/>
          <w:sz w:val="22"/>
          <w:szCs w:val="24"/>
        </w:rPr>
        <w:t>8、</w:t>
      </w:r>
      <w:r>
        <w:rPr>
          <w:rFonts w:hint="eastAsia" w:ascii="宋体" w:hAnsi="宋体" w:eastAsia="宋体" w:cs="宋体"/>
          <w:bCs/>
          <w:color w:val="000000"/>
          <w:sz w:val="22"/>
          <w:szCs w:val="24"/>
        </w:rPr>
        <w:t>我单位没有被浙江省财政厅、温州市财政局及本项目所在地的政府采购管理部门限制参加投标。</w:t>
      </w:r>
    </w:p>
    <w:p w14:paraId="17A498EE">
      <w:pPr>
        <w:autoSpaceDE w:val="0"/>
        <w:autoSpaceDN w:val="0"/>
        <w:adjustRightInd w:val="0"/>
        <w:spacing w:line="360" w:lineRule="auto"/>
        <w:ind w:left="1" w:firstLine="585" w:firstLineChars="266"/>
        <w:rPr>
          <w:rFonts w:hint="eastAsia" w:ascii="宋体" w:hAnsi="宋体" w:eastAsia="宋体" w:cs="宋体"/>
          <w:color w:val="000000"/>
          <w:sz w:val="22"/>
          <w:szCs w:val="24"/>
          <w:lang w:val="zh-CN"/>
        </w:rPr>
      </w:pPr>
      <w:r>
        <w:rPr>
          <w:rFonts w:hint="eastAsia" w:ascii="宋体" w:hAnsi="宋体" w:eastAsia="宋体" w:cs="宋体"/>
          <w:color w:val="000000"/>
          <w:sz w:val="22"/>
          <w:szCs w:val="24"/>
        </w:rPr>
        <w:t>9</w:t>
      </w:r>
      <w:r>
        <w:rPr>
          <w:rFonts w:hint="eastAsia" w:ascii="宋体" w:hAnsi="宋体" w:eastAsia="宋体" w:cs="宋体"/>
          <w:color w:val="000000"/>
          <w:sz w:val="22"/>
          <w:szCs w:val="24"/>
          <w:lang w:val="zh-CN"/>
        </w:rPr>
        <w:t>、愿意向贵方提供任何与该项投标有关的数据、情况和技术资料，完全理解贵方不一定接受最低价的投标或收到的任何投标。</w:t>
      </w:r>
    </w:p>
    <w:p w14:paraId="450F46C9">
      <w:pPr>
        <w:autoSpaceDE w:val="0"/>
        <w:autoSpaceDN w:val="0"/>
        <w:adjustRightInd w:val="0"/>
        <w:spacing w:line="360" w:lineRule="auto"/>
        <w:ind w:left="1" w:firstLine="585" w:firstLineChars="266"/>
        <w:rPr>
          <w:rFonts w:hint="eastAsia" w:ascii="宋体" w:hAnsi="宋体" w:eastAsia="宋体" w:cs="宋体"/>
          <w:lang w:val="en-US" w:eastAsia="zh-CN"/>
        </w:rPr>
      </w:pPr>
      <w:r>
        <w:rPr>
          <w:rFonts w:hint="eastAsia" w:ascii="宋体" w:hAnsi="宋体" w:eastAsia="宋体" w:cs="宋体"/>
          <w:color w:val="000000"/>
          <w:sz w:val="22"/>
          <w:szCs w:val="24"/>
          <w:lang w:val="zh-CN"/>
        </w:rPr>
        <w:t>10、</w:t>
      </w:r>
      <w:r>
        <w:rPr>
          <w:rFonts w:hint="eastAsia" w:ascii="宋体" w:hAnsi="宋体" w:eastAsia="宋体" w:cs="宋体"/>
          <w:color w:val="000000"/>
          <w:sz w:val="22"/>
          <w:szCs w:val="24"/>
          <w:lang w:val="en-US" w:eastAsia="zh-CN"/>
        </w:rPr>
        <w:t>投标响应文件</w:t>
      </w:r>
      <w:r>
        <w:rPr>
          <w:rFonts w:hint="eastAsia" w:ascii="宋体" w:hAnsi="宋体" w:eastAsia="宋体" w:cs="宋体"/>
          <w:color w:val="000000"/>
          <w:sz w:val="22"/>
          <w:szCs w:val="24"/>
          <w:lang w:val="zh-CN"/>
        </w:rPr>
        <w:t>自</w:t>
      </w:r>
      <w:r>
        <w:rPr>
          <w:rFonts w:hint="eastAsia" w:ascii="宋体" w:hAnsi="宋体" w:eastAsia="宋体" w:cs="宋体"/>
          <w:color w:val="000000"/>
          <w:sz w:val="22"/>
          <w:szCs w:val="24"/>
          <w:lang w:val="en-US" w:eastAsia="zh-CN"/>
        </w:rPr>
        <w:t>投标</w:t>
      </w:r>
      <w:r>
        <w:rPr>
          <w:rFonts w:hint="eastAsia" w:ascii="宋体" w:hAnsi="宋体" w:eastAsia="宋体" w:cs="宋体"/>
          <w:color w:val="000000"/>
          <w:sz w:val="22"/>
          <w:szCs w:val="24"/>
          <w:lang w:val="zh-CN"/>
        </w:rPr>
        <w:t>截止之日起90天内有效。</w:t>
      </w:r>
    </w:p>
    <w:p w14:paraId="30ADBE84">
      <w:pPr>
        <w:autoSpaceDE w:val="0"/>
        <w:autoSpaceDN w:val="0"/>
        <w:adjustRightInd w:val="0"/>
        <w:spacing w:line="360" w:lineRule="auto"/>
        <w:ind w:left="1" w:firstLine="585" w:firstLineChars="266"/>
        <w:rPr>
          <w:rFonts w:hint="eastAsia" w:ascii="宋体" w:hAnsi="宋体" w:eastAsia="宋体" w:cs="宋体"/>
          <w:color w:val="000000"/>
          <w:sz w:val="22"/>
          <w:szCs w:val="24"/>
          <w:lang w:val="zh-CN"/>
        </w:rPr>
      </w:pPr>
      <w:r>
        <w:rPr>
          <w:rFonts w:hint="eastAsia" w:ascii="宋体" w:hAnsi="宋体" w:eastAsia="宋体" w:cs="宋体"/>
          <w:color w:val="000000"/>
          <w:sz w:val="22"/>
          <w:szCs w:val="24"/>
          <w:lang w:val="zh-CN"/>
        </w:rPr>
        <w:t>1</w:t>
      </w:r>
      <w:r>
        <w:rPr>
          <w:rFonts w:hint="eastAsia" w:ascii="宋体" w:hAnsi="宋体" w:eastAsia="宋体" w:cs="宋体"/>
          <w:color w:val="000000"/>
          <w:sz w:val="22"/>
          <w:szCs w:val="24"/>
          <w:lang w:val="en-US" w:eastAsia="zh-CN"/>
        </w:rPr>
        <w:t>1</w:t>
      </w:r>
      <w:r>
        <w:rPr>
          <w:rFonts w:hint="eastAsia" w:ascii="宋体" w:hAnsi="宋体" w:eastAsia="宋体" w:cs="宋体"/>
          <w:color w:val="000000"/>
          <w:sz w:val="22"/>
          <w:szCs w:val="24"/>
          <w:lang w:val="zh-CN"/>
        </w:rPr>
        <w:t>、与本投标有关的一切往来通讯请寄：</w:t>
      </w:r>
    </w:p>
    <w:p w14:paraId="63640383">
      <w:pPr>
        <w:autoSpaceDE w:val="0"/>
        <w:autoSpaceDN w:val="0"/>
        <w:adjustRightInd w:val="0"/>
        <w:spacing w:line="360" w:lineRule="auto"/>
        <w:ind w:firstLine="585" w:firstLineChars="266"/>
        <w:rPr>
          <w:rFonts w:hint="eastAsia" w:ascii="宋体" w:hAnsi="宋体" w:eastAsia="宋体" w:cs="宋体"/>
          <w:color w:val="000000"/>
          <w:sz w:val="22"/>
          <w:szCs w:val="24"/>
          <w:lang w:val="zh-CN"/>
        </w:rPr>
      </w:pPr>
      <w:r>
        <w:rPr>
          <w:rFonts w:hint="eastAsia" w:ascii="宋体" w:hAnsi="宋体" w:eastAsia="宋体" w:cs="宋体"/>
          <w:color w:val="000000"/>
          <w:sz w:val="22"/>
          <w:szCs w:val="24"/>
          <w:lang w:val="zh-CN"/>
        </w:rPr>
        <w:t>地址：</w:t>
      </w:r>
      <w:r>
        <w:rPr>
          <w:rFonts w:hint="eastAsia" w:ascii="宋体" w:hAnsi="宋体" w:eastAsia="宋体" w:cs="宋体"/>
          <w:color w:val="000000"/>
          <w:sz w:val="22"/>
          <w:szCs w:val="24"/>
          <w:u w:val="single"/>
          <w:lang w:val="zh-CN"/>
        </w:rPr>
        <w:t xml:space="preserve">                                 </w:t>
      </w:r>
    </w:p>
    <w:p w14:paraId="22D1E29A">
      <w:pPr>
        <w:autoSpaceDE w:val="0"/>
        <w:autoSpaceDN w:val="0"/>
        <w:adjustRightInd w:val="0"/>
        <w:spacing w:line="360" w:lineRule="auto"/>
        <w:ind w:firstLine="585" w:firstLineChars="266"/>
        <w:rPr>
          <w:rFonts w:hint="eastAsia" w:ascii="宋体" w:hAnsi="宋体" w:eastAsia="宋体" w:cs="宋体"/>
          <w:color w:val="000000"/>
          <w:sz w:val="22"/>
          <w:szCs w:val="24"/>
          <w:u w:val="single"/>
          <w:lang w:val="zh-CN"/>
        </w:rPr>
      </w:pPr>
      <w:r>
        <w:rPr>
          <w:rFonts w:hint="eastAsia" w:ascii="宋体" w:hAnsi="宋体" w:eastAsia="宋体" w:cs="宋体"/>
          <w:color w:val="000000"/>
          <w:sz w:val="22"/>
          <w:szCs w:val="24"/>
          <w:lang w:val="zh-CN"/>
        </w:rPr>
        <w:t>邮编：</w:t>
      </w:r>
      <w:r>
        <w:rPr>
          <w:rFonts w:hint="eastAsia" w:ascii="宋体" w:hAnsi="宋体" w:eastAsia="宋体" w:cs="宋体"/>
          <w:color w:val="000000"/>
          <w:sz w:val="22"/>
          <w:szCs w:val="24"/>
          <w:u w:val="single"/>
          <w:lang w:val="zh-CN"/>
        </w:rPr>
        <w:t xml:space="preserve">               </w:t>
      </w:r>
      <w:r>
        <w:rPr>
          <w:rFonts w:hint="eastAsia" w:ascii="宋体" w:hAnsi="宋体" w:eastAsia="宋体" w:cs="宋体"/>
          <w:color w:val="000000"/>
          <w:sz w:val="22"/>
          <w:szCs w:val="24"/>
          <w:lang w:val="zh-CN"/>
        </w:rPr>
        <w:t>电话：</w:t>
      </w:r>
      <w:r>
        <w:rPr>
          <w:rFonts w:hint="eastAsia" w:ascii="宋体" w:hAnsi="宋体" w:eastAsia="宋体" w:cs="宋体"/>
          <w:color w:val="000000"/>
          <w:sz w:val="22"/>
          <w:szCs w:val="24"/>
          <w:u w:val="single"/>
          <w:lang w:val="zh-CN"/>
        </w:rPr>
        <w:t xml:space="preserve">                 </w:t>
      </w:r>
      <w:r>
        <w:rPr>
          <w:rFonts w:hint="eastAsia" w:ascii="宋体" w:hAnsi="宋体" w:eastAsia="宋体" w:cs="宋体"/>
          <w:color w:val="000000"/>
          <w:sz w:val="22"/>
          <w:szCs w:val="24"/>
          <w:lang w:val="zh-CN"/>
        </w:rPr>
        <w:t>传真：</w:t>
      </w:r>
      <w:r>
        <w:rPr>
          <w:rFonts w:hint="eastAsia" w:ascii="宋体" w:hAnsi="宋体" w:eastAsia="宋体" w:cs="宋体"/>
          <w:color w:val="000000"/>
          <w:sz w:val="22"/>
          <w:szCs w:val="24"/>
          <w:u w:val="single"/>
          <w:lang w:val="zh-CN"/>
        </w:rPr>
        <w:t xml:space="preserve">                 </w:t>
      </w:r>
    </w:p>
    <w:p w14:paraId="4E3EAF3E">
      <w:pPr>
        <w:spacing w:line="360" w:lineRule="auto"/>
        <w:ind w:firstLine="660" w:firstLineChars="300"/>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供应商</w:t>
      </w:r>
      <w:r>
        <w:rPr>
          <w:rFonts w:hint="eastAsia" w:ascii="宋体" w:hAnsi="宋体" w:eastAsia="宋体" w:cs="宋体"/>
          <w:sz w:val="22"/>
          <w:szCs w:val="21"/>
          <w:lang w:val="zh-CN"/>
        </w:rPr>
        <w:t>代表姓名：</w:t>
      </w:r>
      <w:r>
        <w:rPr>
          <w:rFonts w:hint="eastAsia" w:ascii="宋体" w:hAnsi="宋体" w:eastAsia="宋体" w:cs="宋体"/>
          <w:sz w:val="22"/>
          <w:szCs w:val="21"/>
          <w:u w:val="single"/>
          <w:lang w:val="zh-CN"/>
        </w:rPr>
        <w:t xml:space="preserve">                    </w:t>
      </w:r>
      <w:r>
        <w:rPr>
          <w:rFonts w:hint="eastAsia" w:ascii="宋体" w:hAnsi="宋体" w:eastAsia="宋体" w:cs="宋体"/>
          <w:sz w:val="22"/>
          <w:szCs w:val="21"/>
          <w:lang w:val="zh-CN"/>
        </w:rPr>
        <w:t>职务：</w:t>
      </w:r>
      <w:r>
        <w:rPr>
          <w:rFonts w:hint="eastAsia" w:ascii="宋体" w:hAnsi="宋体" w:eastAsia="宋体" w:cs="宋体"/>
          <w:sz w:val="22"/>
          <w:szCs w:val="21"/>
          <w:u w:val="single"/>
          <w:lang w:val="en-US" w:eastAsia="zh-CN"/>
        </w:rPr>
        <w:t xml:space="preserve">               </w:t>
      </w:r>
      <w:r>
        <w:rPr>
          <w:rFonts w:hint="eastAsia" w:ascii="宋体" w:hAnsi="宋体" w:eastAsia="宋体" w:cs="宋体"/>
          <w:sz w:val="22"/>
          <w:szCs w:val="21"/>
          <w:lang w:val="en-US" w:eastAsia="zh-CN"/>
        </w:rPr>
        <w:t xml:space="preserve">    </w:t>
      </w:r>
    </w:p>
    <w:p w14:paraId="602C856E">
      <w:pPr>
        <w:spacing w:line="360" w:lineRule="auto"/>
        <w:ind w:firstLine="660" w:firstLineChars="300"/>
        <w:rPr>
          <w:rFonts w:hint="eastAsia" w:ascii="宋体" w:hAnsi="宋体" w:eastAsia="宋体" w:cs="宋体"/>
          <w:sz w:val="22"/>
          <w:szCs w:val="21"/>
          <w:lang w:val="zh-CN"/>
        </w:rPr>
      </w:pPr>
      <w:r>
        <w:rPr>
          <w:rFonts w:hint="eastAsia" w:ascii="宋体" w:hAnsi="宋体" w:eastAsia="宋体" w:cs="宋体"/>
          <w:sz w:val="22"/>
          <w:szCs w:val="21"/>
          <w:lang w:val="zh-CN"/>
        </w:rPr>
        <w:t>供应商全称（盖章）：</w:t>
      </w:r>
    </w:p>
    <w:p w14:paraId="1264BB29">
      <w:pPr>
        <w:rPr>
          <w:rFonts w:hint="eastAsia" w:ascii="宋体" w:hAnsi="宋体" w:eastAsia="宋体" w:cs="宋体"/>
          <w:sz w:val="36"/>
          <w:szCs w:val="36"/>
          <w:lang w:val="en-US" w:eastAsia="zh-CN"/>
        </w:rPr>
      </w:pPr>
      <w:r>
        <w:rPr>
          <w:rFonts w:hint="eastAsia" w:ascii="宋体" w:hAnsi="宋体" w:eastAsia="宋体" w:cs="宋体"/>
          <w:sz w:val="22"/>
          <w:szCs w:val="21"/>
        </w:rPr>
        <w:t>不提供本函做无效投标处理。</w:t>
      </w:r>
      <w:bookmarkEnd w:id="150"/>
      <w:r>
        <w:rPr>
          <w:rFonts w:hint="eastAsia" w:ascii="宋体" w:hAnsi="宋体" w:eastAsia="宋体" w:cs="宋体"/>
        </w:rPr>
        <w:br w:type="page"/>
      </w:r>
      <w:r>
        <w:rPr>
          <w:rFonts w:hint="eastAsia" w:ascii="宋体" w:hAnsi="宋体" w:eastAsia="宋体" w:cs="宋体"/>
          <w:sz w:val="30"/>
          <w:szCs w:val="22"/>
          <w:lang w:val="en-US" w:eastAsia="zh-CN"/>
        </w:rPr>
        <w:t>2-2、法定代表人授权书</w:t>
      </w:r>
    </w:p>
    <w:p w14:paraId="38BBB254">
      <w:pPr>
        <w:pStyle w:val="24"/>
        <w:ind w:left="640" w:hanging="640"/>
        <w:jc w:val="center"/>
        <w:rPr>
          <w:rFonts w:hint="eastAsia" w:ascii="宋体" w:hAnsi="宋体" w:eastAsia="宋体" w:cs="宋体"/>
          <w:sz w:val="32"/>
          <w:szCs w:val="32"/>
        </w:rPr>
      </w:pPr>
      <w:bookmarkStart w:id="151" w:name="_Toc31978"/>
      <w:r>
        <w:rPr>
          <w:rFonts w:hint="eastAsia" w:ascii="宋体" w:hAnsi="宋体" w:eastAsia="宋体" w:cs="宋体"/>
          <w:sz w:val="32"/>
          <w:szCs w:val="32"/>
        </w:rPr>
        <w:t>（一）法定代表人授权书</w:t>
      </w:r>
      <w:bookmarkEnd w:id="151"/>
    </w:p>
    <w:p w14:paraId="4AE1F381">
      <w:pPr>
        <w:spacing w:line="360" w:lineRule="auto"/>
        <w:rPr>
          <w:rFonts w:hint="eastAsia" w:ascii="宋体" w:hAnsi="宋体" w:eastAsia="宋体" w:cs="宋体"/>
          <w:u w:val="single"/>
        </w:rPr>
      </w:pPr>
    </w:p>
    <w:p w14:paraId="311B4449">
      <w:pPr>
        <w:pStyle w:val="3"/>
        <w:adjustRightInd w:val="0"/>
        <w:snapToGrid w:val="0"/>
        <w:spacing w:line="500" w:lineRule="exact"/>
        <w:rPr>
          <w:rFonts w:hint="eastAsia" w:ascii="宋体" w:hAnsi="宋体" w:eastAsia="宋体" w:cs="宋体"/>
          <w:sz w:val="22"/>
          <w:szCs w:val="22"/>
          <w:u w:val="single"/>
        </w:rPr>
      </w:pPr>
      <w:r>
        <w:rPr>
          <w:rFonts w:hint="eastAsia" w:hAnsi="宋体" w:eastAsia="宋体" w:cs="宋体"/>
          <w:sz w:val="22"/>
          <w:szCs w:val="22"/>
          <w:lang w:eastAsia="zh-CN"/>
        </w:rPr>
        <w:t>龙港市第五中学</w:t>
      </w:r>
      <w:r>
        <w:rPr>
          <w:rFonts w:hint="eastAsia" w:ascii="宋体" w:hAnsi="宋体" w:eastAsia="宋体" w:cs="宋体"/>
          <w:sz w:val="22"/>
          <w:szCs w:val="22"/>
        </w:rPr>
        <w:t>：</w:t>
      </w:r>
    </w:p>
    <w:p w14:paraId="2456D0C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本授权委托书声明：我</w:t>
      </w:r>
      <w:r>
        <w:rPr>
          <w:rFonts w:hint="eastAsia" w:ascii="宋体" w:hAnsi="宋体" w:eastAsia="宋体" w:cs="宋体"/>
          <w:sz w:val="22"/>
          <w:szCs w:val="22"/>
          <w:u w:val="single"/>
        </w:rPr>
        <w:t xml:space="preserve">   （法定代表人姓名）   </w:t>
      </w:r>
      <w:r>
        <w:rPr>
          <w:rFonts w:hint="eastAsia" w:ascii="宋体" w:hAnsi="宋体" w:eastAsia="宋体" w:cs="宋体"/>
          <w:sz w:val="22"/>
          <w:szCs w:val="22"/>
        </w:rPr>
        <w:t>系</w:t>
      </w:r>
      <w:r>
        <w:rPr>
          <w:rFonts w:hint="eastAsia" w:ascii="宋体" w:hAnsi="宋体" w:eastAsia="宋体" w:cs="宋体"/>
          <w:sz w:val="22"/>
          <w:szCs w:val="22"/>
          <w:u w:val="single"/>
        </w:rPr>
        <w:t xml:space="preserve">   （供 应 商 名 称）  </w:t>
      </w:r>
      <w:r>
        <w:rPr>
          <w:rFonts w:hint="eastAsia" w:ascii="宋体" w:hAnsi="宋体" w:eastAsia="宋体" w:cs="宋体"/>
          <w:sz w:val="22"/>
          <w:szCs w:val="22"/>
        </w:rPr>
        <w:t>的法定代表人，现授权委托</w:t>
      </w:r>
      <w:r>
        <w:rPr>
          <w:rFonts w:hint="eastAsia" w:ascii="宋体" w:hAnsi="宋体" w:eastAsia="宋体" w:cs="宋体"/>
          <w:sz w:val="22"/>
          <w:szCs w:val="22"/>
          <w:u w:val="single"/>
        </w:rPr>
        <w:t xml:space="preserve">  （单 位 名 称）   </w:t>
      </w:r>
      <w:r>
        <w:rPr>
          <w:rFonts w:hint="eastAsia" w:ascii="宋体" w:hAnsi="宋体" w:eastAsia="宋体" w:cs="宋体"/>
          <w:sz w:val="22"/>
          <w:szCs w:val="22"/>
        </w:rPr>
        <w:t>的</w:t>
      </w:r>
      <w:r>
        <w:rPr>
          <w:rFonts w:hint="eastAsia" w:ascii="宋体" w:hAnsi="宋体" w:eastAsia="宋体" w:cs="宋体"/>
          <w:sz w:val="22"/>
          <w:szCs w:val="22"/>
          <w:u w:val="single"/>
        </w:rPr>
        <w:t xml:space="preserve">  （授权代表姓名）  </w:t>
      </w:r>
      <w:r>
        <w:rPr>
          <w:rFonts w:hint="eastAsia" w:ascii="宋体" w:hAnsi="宋体" w:eastAsia="宋体" w:cs="宋体"/>
          <w:sz w:val="22"/>
          <w:szCs w:val="22"/>
        </w:rPr>
        <w:t>为我公司法定代表人授权代表，参加贵处组织的</w:t>
      </w:r>
      <w:r>
        <w:rPr>
          <w:rFonts w:hint="eastAsia" w:ascii="宋体" w:hAnsi="宋体" w:eastAsia="宋体" w:cs="宋体"/>
          <w:sz w:val="22"/>
          <w:szCs w:val="22"/>
          <w:u w:val="single"/>
        </w:rPr>
        <w:t xml:space="preserve">  （招标项目名称，括号中填写项目编号）  </w:t>
      </w:r>
      <w:r>
        <w:rPr>
          <w:rFonts w:hint="eastAsia" w:ascii="宋体" w:hAnsi="宋体" w:eastAsia="宋体" w:cs="宋体"/>
          <w:sz w:val="22"/>
          <w:szCs w:val="22"/>
        </w:rPr>
        <w:t>项目投标，全权处理本次招投标活动中的一切事宜，我承认授权代表全权代表我所签署的本项目的</w:t>
      </w:r>
      <w:r>
        <w:rPr>
          <w:rFonts w:hint="eastAsia" w:ascii="宋体" w:hAnsi="宋体" w:eastAsia="宋体" w:cs="宋体"/>
          <w:sz w:val="22"/>
          <w:szCs w:val="22"/>
          <w:lang w:eastAsia="zh-CN"/>
        </w:rPr>
        <w:t>投标响应文件</w:t>
      </w:r>
      <w:r>
        <w:rPr>
          <w:rFonts w:hint="eastAsia" w:ascii="宋体" w:hAnsi="宋体" w:eastAsia="宋体" w:cs="宋体"/>
          <w:sz w:val="22"/>
          <w:szCs w:val="22"/>
        </w:rPr>
        <w:t>的内容。</w:t>
      </w:r>
    </w:p>
    <w:p w14:paraId="70A8AEC7">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授权代表无转授权，特此授权</w:t>
      </w:r>
    </w:p>
    <w:p w14:paraId="6F829EC4">
      <w:pPr>
        <w:spacing w:line="360" w:lineRule="auto"/>
        <w:ind w:left="1260"/>
        <w:rPr>
          <w:rFonts w:hint="eastAsia" w:ascii="宋体" w:hAnsi="宋体" w:eastAsia="宋体" w:cs="宋体"/>
          <w:sz w:val="22"/>
          <w:szCs w:val="22"/>
        </w:rPr>
      </w:pPr>
    </w:p>
    <w:p w14:paraId="31C8FA7B">
      <w:pPr>
        <w:spacing w:line="360" w:lineRule="auto"/>
        <w:ind w:left="2098" w:leftChars="999" w:right="440" w:firstLine="959" w:firstLineChars="436"/>
        <w:rPr>
          <w:rFonts w:hint="eastAsia" w:ascii="宋体" w:hAnsi="宋体" w:eastAsia="宋体" w:cs="宋体"/>
          <w:sz w:val="22"/>
          <w:szCs w:val="22"/>
        </w:rPr>
      </w:pPr>
      <w:r>
        <w:rPr>
          <w:rFonts w:hint="eastAsia" w:ascii="宋体" w:hAnsi="宋体" w:eastAsia="宋体" w:cs="宋体"/>
          <w:sz w:val="22"/>
          <w:szCs w:val="22"/>
        </w:rPr>
        <w:t>供应商：</w:t>
      </w:r>
      <w:r>
        <w:rPr>
          <w:rFonts w:hint="eastAsia" w:ascii="宋体" w:hAnsi="宋体" w:eastAsia="宋体" w:cs="宋体"/>
          <w:sz w:val="22"/>
          <w:szCs w:val="22"/>
          <w:u w:val="single"/>
        </w:rPr>
        <w:t xml:space="preserve">                                   （电子签章）</w:t>
      </w:r>
    </w:p>
    <w:p w14:paraId="52F3EB62">
      <w:pPr>
        <w:spacing w:line="360" w:lineRule="auto"/>
        <w:ind w:left="2098" w:leftChars="999" w:right="440" w:firstLine="959" w:firstLineChars="436"/>
        <w:rPr>
          <w:rFonts w:hint="eastAsia" w:ascii="宋体" w:hAnsi="宋体" w:eastAsia="宋体" w:cs="宋体"/>
          <w:sz w:val="22"/>
          <w:szCs w:val="22"/>
        </w:rPr>
      </w:pPr>
      <w:r>
        <w:rPr>
          <w:rFonts w:hint="eastAsia" w:ascii="宋体" w:hAnsi="宋体" w:eastAsia="宋体" w:cs="宋体"/>
          <w:sz w:val="22"/>
          <w:szCs w:val="22"/>
        </w:rPr>
        <w:t>法定代表人：</w:t>
      </w:r>
      <w:r>
        <w:rPr>
          <w:rFonts w:hint="eastAsia" w:ascii="宋体" w:hAnsi="宋体" w:eastAsia="宋体" w:cs="宋体"/>
          <w:sz w:val="22"/>
          <w:szCs w:val="22"/>
          <w:u w:val="single"/>
        </w:rPr>
        <w:t xml:space="preserve">                           （签字或盖章）</w:t>
      </w:r>
    </w:p>
    <w:p w14:paraId="6C0422EA">
      <w:pPr>
        <w:spacing w:line="360" w:lineRule="auto"/>
        <w:ind w:left="2098" w:leftChars="999" w:firstLine="959" w:firstLineChars="436"/>
        <w:rPr>
          <w:rFonts w:hint="eastAsia" w:ascii="宋体" w:hAnsi="宋体" w:eastAsia="宋体" w:cs="宋体"/>
          <w:sz w:val="22"/>
          <w:szCs w:val="22"/>
          <w:u w:val="single"/>
        </w:rPr>
      </w:pPr>
      <w:r>
        <w:rPr>
          <w:rFonts w:hint="eastAsia" w:ascii="宋体" w:hAnsi="宋体" w:eastAsia="宋体" w:cs="宋体"/>
          <w:sz w:val="22"/>
          <w:szCs w:val="22"/>
        </w:rPr>
        <w:t>详细通讯地址：</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邮政编码：</w:t>
      </w:r>
      <w:r>
        <w:rPr>
          <w:rFonts w:hint="eastAsia" w:ascii="宋体" w:hAnsi="宋体" w:eastAsia="宋体" w:cs="宋体"/>
          <w:sz w:val="22"/>
          <w:szCs w:val="22"/>
          <w:u w:val="single"/>
        </w:rPr>
        <w:t xml:space="preserve">           </w:t>
      </w:r>
    </w:p>
    <w:p w14:paraId="31DAE21D">
      <w:pPr>
        <w:ind w:left="2098" w:leftChars="999" w:firstLine="959" w:firstLineChars="436"/>
        <w:rPr>
          <w:rFonts w:hint="eastAsia" w:ascii="宋体" w:hAnsi="宋体" w:eastAsia="宋体" w:cs="宋体"/>
          <w:sz w:val="22"/>
          <w:szCs w:val="22"/>
          <w:u w:val="single"/>
        </w:rPr>
      </w:pPr>
      <w:r>
        <w:rPr>
          <w:rFonts w:hint="eastAsia" w:ascii="宋体" w:hAnsi="宋体" w:eastAsia="宋体" w:cs="宋体"/>
          <w:sz w:val="22"/>
          <w:szCs w:val="22"/>
        </w:rPr>
        <w:t>电话：</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传真：</w:t>
      </w:r>
      <w:r>
        <w:rPr>
          <w:rFonts w:hint="eastAsia" w:ascii="宋体" w:hAnsi="宋体" w:eastAsia="宋体" w:cs="宋体"/>
          <w:sz w:val="22"/>
          <w:szCs w:val="22"/>
          <w:u w:val="single"/>
        </w:rPr>
        <w:t xml:space="preserve">                    </w:t>
      </w:r>
    </w:p>
    <w:p w14:paraId="349D02DD">
      <w:pPr>
        <w:ind w:left="2098" w:leftChars="999" w:firstLine="959" w:firstLineChars="436"/>
        <w:rPr>
          <w:rFonts w:hint="eastAsia" w:ascii="宋体" w:hAnsi="宋体" w:eastAsia="宋体" w:cs="宋体"/>
          <w:sz w:val="22"/>
          <w:szCs w:val="22"/>
        </w:rPr>
      </w:pPr>
      <w:r>
        <w:rPr>
          <w:rFonts w:hint="eastAsia" w:ascii="宋体" w:hAnsi="宋体" w:eastAsia="宋体" w:cs="宋体"/>
          <w:sz w:val="22"/>
          <w:szCs w:val="22"/>
        </w:rPr>
        <w:t xml:space="preserve">                                </w:t>
      </w:r>
    </w:p>
    <w:p w14:paraId="459E2F18">
      <w:pPr>
        <w:spacing w:line="360" w:lineRule="auto"/>
        <w:rPr>
          <w:rFonts w:hint="eastAsia" w:ascii="宋体" w:hAnsi="宋体" w:eastAsia="宋体" w:cs="宋体"/>
          <w:sz w:val="22"/>
          <w:szCs w:val="22"/>
        </w:rPr>
      </w:pPr>
    </w:p>
    <w:p w14:paraId="5E2E9BAC">
      <w:pPr>
        <w:spacing w:line="360" w:lineRule="auto"/>
        <w:ind w:left="2098" w:leftChars="999" w:right="440" w:firstLine="959" w:firstLineChars="436"/>
        <w:rPr>
          <w:rFonts w:hint="eastAsia" w:ascii="宋体" w:hAnsi="宋体" w:eastAsia="宋体" w:cs="宋体"/>
          <w:sz w:val="24"/>
        </w:rPr>
      </w:pPr>
      <w:r>
        <w:rPr>
          <w:rFonts w:hint="eastAsia" w:ascii="宋体" w:hAnsi="宋体" w:eastAsia="宋体" w:cs="宋体"/>
          <w:sz w:val="22"/>
          <w:szCs w:val="22"/>
        </w:rPr>
        <w:t>授权委托日期：</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年 </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14:paraId="12C2309A">
      <w:pPr>
        <w:spacing w:line="360" w:lineRule="auto"/>
        <w:ind w:firstLine="3600" w:firstLineChars="1500"/>
        <w:jc w:val="right"/>
        <w:rPr>
          <w:rFonts w:hint="eastAsia" w:ascii="宋体" w:hAnsi="宋体" w:eastAsia="宋体" w:cs="宋体"/>
          <w:sz w:val="24"/>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00CA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9000" w:type="dxa"/>
            <w:noWrap w:val="0"/>
            <w:vAlign w:val="top"/>
          </w:tcPr>
          <w:p w14:paraId="751AF2D0">
            <w:pPr>
              <w:pStyle w:val="3"/>
              <w:adjustRightInd w:val="0"/>
              <w:snapToGrid w:val="0"/>
              <w:spacing w:line="400" w:lineRule="exact"/>
              <w:jc w:val="center"/>
              <w:rPr>
                <w:rFonts w:hint="eastAsia" w:ascii="宋体" w:hAnsi="宋体" w:eastAsia="宋体" w:cs="宋体"/>
                <w:sz w:val="24"/>
                <w:lang w:val="en-US" w:eastAsia="zh-CN"/>
              </w:rPr>
            </w:pPr>
          </w:p>
          <w:p w14:paraId="44F4519E">
            <w:pPr>
              <w:pStyle w:val="3"/>
              <w:adjustRightInd w:val="0"/>
              <w:snapToGrid w:val="0"/>
              <w:spacing w:line="400" w:lineRule="exact"/>
              <w:jc w:val="center"/>
              <w:rPr>
                <w:rFonts w:hint="eastAsia" w:ascii="宋体" w:hAnsi="宋体" w:eastAsia="宋体" w:cs="宋体"/>
                <w:sz w:val="24"/>
                <w:lang w:val="en-US" w:eastAsia="zh-CN"/>
              </w:rPr>
            </w:pPr>
          </w:p>
          <w:p w14:paraId="533941D5">
            <w:pPr>
              <w:pStyle w:val="3"/>
              <w:adjustRightInd w:val="0"/>
              <w:snapToGrid w:val="0"/>
              <w:spacing w:line="400" w:lineRule="exact"/>
              <w:jc w:val="center"/>
              <w:rPr>
                <w:rFonts w:hint="eastAsia" w:ascii="宋体" w:hAnsi="宋体" w:eastAsia="宋体" w:cs="宋体"/>
                <w:sz w:val="24"/>
                <w:lang w:val="en-US" w:eastAsia="zh-CN"/>
              </w:rPr>
            </w:pPr>
          </w:p>
          <w:p w14:paraId="3272016F">
            <w:pPr>
              <w:pStyle w:val="3"/>
              <w:adjustRightInd w:val="0"/>
              <w:snapToGrid w:val="0"/>
              <w:spacing w:line="400" w:lineRule="exact"/>
              <w:jc w:val="center"/>
              <w:rPr>
                <w:rFonts w:hint="eastAsia" w:ascii="宋体" w:hAnsi="宋体" w:eastAsia="宋体" w:cs="宋体"/>
                <w:sz w:val="24"/>
                <w:lang w:val="en-US" w:eastAsia="zh-CN"/>
              </w:rPr>
            </w:pPr>
          </w:p>
          <w:p w14:paraId="573CB3AA">
            <w:pPr>
              <w:pStyle w:val="3"/>
              <w:adjustRightInd w:val="0"/>
              <w:snapToGrid w:val="0"/>
              <w:spacing w:line="320" w:lineRule="atLeas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授权代表身份证复印件与影印件粘贴处</w:t>
            </w:r>
          </w:p>
          <w:p w14:paraId="61066187">
            <w:pPr>
              <w:pStyle w:val="3"/>
              <w:adjustRightInd w:val="0"/>
              <w:snapToGrid w:val="0"/>
              <w:spacing w:line="400" w:lineRule="exact"/>
              <w:jc w:val="center"/>
              <w:rPr>
                <w:rFonts w:hint="eastAsia" w:ascii="宋体" w:hAnsi="宋体" w:eastAsia="宋体" w:cs="宋体"/>
                <w:sz w:val="24"/>
                <w:lang w:val="en-US" w:eastAsia="zh-CN"/>
              </w:rPr>
            </w:pPr>
          </w:p>
          <w:p w14:paraId="1F2B09E9">
            <w:pPr>
              <w:pStyle w:val="3"/>
              <w:adjustRightInd w:val="0"/>
              <w:snapToGrid w:val="0"/>
              <w:spacing w:line="400" w:lineRule="exact"/>
              <w:jc w:val="center"/>
              <w:rPr>
                <w:rFonts w:hint="eastAsia" w:ascii="宋体" w:hAnsi="宋体" w:eastAsia="宋体" w:cs="宋体"/>
                <w:sz w:val="24"/>
                <w:lang w:val="en-US" w:eastAsia="zh-CN"/>
              </w:rPr>
            </w:pPr>
          </w:p>
          <w:p w14:paraId="5B6488C5">
            <w:pPr>
              <w:pStyle w:val="3"/>
              <w:adjustRightInd w:val="0"/>
              <w:snapToGrid w:val="0"/>
              <w:spacing w:line="400" w:lineRule="exact"/>
              <w:jc w:val="center"/>
              <w:rPr>
                <w:rFonts w:hint="eastAsia" w:ascii="宋体" w:hAnsi="宋体" w:eastAsia="宋体" w:cs="宋体"/>
                <w:sz w:val="36"/>
                <w:lang w:val="en-US" w:eastAsia="zh-CN"/>
              </w:rPr>
            </w:pPr>
          </w:p>
        </w:tc>
      </w:tr>
    </w:tbl>
    <w:p w14:paraId="0BF4E7AD">
      <w:pPr>
        <w:pStyle w:val="3"/>
        <w:adjustRightInd w:val="0"/>
        <w:snapToGrid w:val="0"/>
        <w:spacing w:line="400" w:lineRule="exact"/>
        <w:jc w:val="center"/>
        <w:rPr>
          <w:rFonts w:hint="eastAsia" w:ascii="宋体" w:hAnsi="宋体" w:eastAsia="宋体" w:cs="宋体"/>
          <w:sz w:val="24"/>
        </w:rPr>
      </w:pPr>
    </w:p>
    <w:p w14:paraId="29F5FF35">
      <w:pPr>
        <w:pStyle w:val="24"/>
        <w:ind w:left="720" w:hanging="720"/>
        <w:jc w:val="both"/>
        <w:rPr>
          <w:rFonts w:hint="eastAsia" w:ascii="宋体" w:hAnsi="宋体" w:eastAsia="宋体" w:cs="宋体"/>
          <w:sz w:val="36"/>
          <w:szCs w:val="36"/>
          <w:lang w:val="en-US" w:eastAsia="zh-CN"/>
        </w:rPr>
      </w:pPr>
      <w:bookmarkStart w:id="152" w:name="_Toc21841"/>
      <w:r>
        <w:rPr>
          <w:rFonts w:hint="eastAsia" w:ascii="宋体" w:hAnsi="宋体" w:eastAsia="宋体" w:cs="宋体"/>
          <w:sz w:val="36"/>
          <w:szCs w:val="36"/>
          <w:lang w:val="en-US" w:eastAsia="zh-CN"/>
        </w:rPr>
        <w:br w:type="page"/>
      </w:r>
      <w:r>
        <w:rPr>
          <w:rFonts w:hint="eastAsia" w:ascii="宋体" w:hAnsi="宋体" w:eastAsia="宋体" w:cs="宋体"/>
          <w:sz w:val="36"/>
          <w:szCs w:val="36"/>
          <w:lang w:val="en-US" w:eastAsia="zh-CN"/>
        </w:rPr>
        <w:t>2-3、供应商情况声明</w:t>
      </w:r>
    </w:p>
    <w:p w14:paraId="3DF166E6">
      <w:pPr>
        <w:pStyle w:val="24"/>
        <w:ind w:left="720" w:hanging="720"/>
        <w:jc w:val="center"/>
        <w:rPr>
          <w:rFonts w:hint="eastAsia" w:ascii="宋体" w:hAnsi="宋体" w:eastAsia="宋体" w:cs="宋体"/>
          <w:sz w:val="36"/>
          <w:szCs w:val="36"/>
        </w:rPr>
      </w:pPr>
      <w:r>
        <w:rPr>
          <w:rFonts w:hint="eastAsia" w:ascii="宋体" w:hAnsi="宋体" w:eastAsia="宋体" w:cs="宋体"/>
          <w:sz w:val="36"/>
          <w:szCs w:val="36"/>
        </w:rPr>
        <w:t>投标供应商情况声明</w:t>
      </w:r>
      <w:bookmarkEnd w:id="152"/>
    </w:p>
    <w:p w14:paraId="5C1E741C">
      <w:pPr>
        <w:spacing w:line="360" w:lineRule="auto"/>
        <w:rPr>
          <w:rFonts w:hint="eastAsia" w:ascii="宋体" w:hAnsi="宋体" w:eastAsia="宋体" w:cs="宋体"/>
          <w:sz w:val="22"/>
        </w:rPr>
      </w:pPr>
      <w:r>
        <w:rPr>
          <w:rFonts w:hint="eastAsia" w:ascii="宋体" w:hAnsi="宋体" w:eastAsia="宋体" w:cs="宋体"/>
          <w:sz w:val="22"/>
        </w:rPr>
        <w:t>1. 名称及概况：</w:t>
      </w:r>
    </w:p>
    <w:p w14:paraId="0E84B3C9">
      <w:pPr>
        <w:spacing w:line="360" w:lineRule="auto"/>
        <w:rPr>
          <w:rFonts w:hint="eastAsia" w:ascii="宋体" w:hAnsi="宋体" w:eastAsia="宋体" w:cs="宋体"/>
          <w:sz w:val="22"/>
          <w:szCs w:val="24"/>
        </w:rPr>
      </w:pPr>
      <w:r>
        <w:rPr>
          <w:rFonts w:hint="eastAsia" w:ascii="宋体" w:hAnsi="宋体" w:eastAsia="宋体" w:cs="宋体"/>
          <w:sz w:val="22"/>
          <w:szCs w:val="24"/>
        </w:rPr>
        <w:t>（1）供应商名称：</w:t>
      </w:r>
      <w:r>
        <w:rPr>
          <w:rFonts w:hint="eastAsia" w:ascii="宋体" w:hAnsi="宋体" w:eastAsia="宋体" w:cs="宋体"/>
          <w:sz w:val="22"/>
          <w:szCs w:val="24"/>
          <w:u w:val="single"/>
        </w:rPr>
        <w:t xml:space="preserve">                           </w:t>
      </w:r>
    </w:p>
    <w:p w14:paraId="66E76192">
      <w:pPr>
        <w:spacing w:line="360" w:lineRule="auto"/>
        <w:rPr>
          <w:rFonts w:hint="eastAsia" w:ascii="宋体" w:hAnsi="宋体" w:eastAsia="宋体" w:cs="宋体"/>
          <w:sz w:val="22"/>
          <w:szCs w:val="24"/>
        </w:rPr>
      </w:pPr>
      <w:r>
        <w:rPr>
          <w:rFonts w:hint="eastAsia" w:ascii="宋体" w:hAnsi="宋体" w:eastAsia="宋体" w:cs="宋体"/>
          <w:sz w:val="22"/>
          <w:szCs w:val="24"/>
        </w:rPr>
        <w:t>（2）总部地址：</w:t>
      </w:r>
      <w:r>
        <w:rPr>
          <w:rFonts w:hint="eastAsia" w:ascii="宋体" w:hAnsi="宋体" w:eastAsia="宋体" w:cs="宋体"/>
          <w:sz w:val="22"/>
          <w:szCs w:val="24"/>
          <w:u w:val="single"/>
        </w:rPr>
        <w:t xml:space="preserve">                             </w:t>
      </w:r>
    </w:p>
    <w:p w14:paraId="2CE5C639">
      <w:pPr>
        <w:spacing w:line="360" w:lineRule="auto"/>
        <w:ind w:firstLine="600"/>
        <w:rPr>
          <w:rFonts w:hint="eastAsia" w:ascii="宋体" w:hAnsi="宋体" w:eastAsia="宋体" w:cs="宋体"/>
          <w:sz w:val="22"/>
          <w:szCs w:val="24"/>
        </w:rPr>
      </w:pPr>
      <w:r>
        <w:rPr>
          <w:rFonts w:hint="eastAsia" w:ascii="宋体" w:hAnsi="宋体" w:eastAsia="宋体" w:cs="宋体"/>
          <w:sz w:val="22"/>
          <w:szCs w:val="24"/>
        </w:rPr>
        <w:t>传真/电话号码：</w:t>
      </w:r>
      <w:r>
        <w:rPr>
          <w:rFonts w:hint="eastAsia" w:ascii="宋体" w:hAnsi="宋体" w:eastAsia="宋体" w:cs="宋体"/>
          <w:sz w:val="22"/>
          <w:szCs w:val="24"/>
          <w:u w:val="single"/>
        </w:rPr>
        <w:t xml:space="preserve">                        </w:t>
      </w:r>
    </w:p>
    <w:p w14:paraId="25076BC9">
      <w:pPr>
        <w:spacing w:line="360" w:lineRule="auto"/>
        <w:rPr>
          <w:rFonts w:hint="eastAsia" w:ascii="宋体" w:hAnsi="宋体" w:eastAsia="宋体" w:cs="宋体"/>
          <w:sz w:val="22"/>
          <w:szCs w:val="24"/>
        </w:rPr>
      </w:pPr>
      <w:r>
        <w:rPr>
          <w:rFonts w:hint="eastAsia" w:ascii="宋体" w:hAnsi="宋体" w:eastAsia="宋体" w:cs="宋体"/>
          <w:sz w:val="22"/>
          <w:szCs w:val="24"/>
        </w:rPr>
        <w:t>（3）成立或注册日期：</w:t>
      </w:r>
      <w:r>
        <w:rPr>
          <w:rFonts w:hint="eastAsia" w:ascii="宋体" w:hAnsi="宋体" w:eastAsia="宋体" w:cs="宋体"/>
          <w:sz w:val="22"/>
          <w:szCs w:val="24"/>
          <w:u w:val="single"/>
        </w:rPr>
        <w:t xml:space="preserve">                        </w:t>
      </w:r>
    </w:p>
    <w:p w14:paraId="09DE2F92">
      <w:pPr>
        <w:spacing w:line="360" w:lineRule="auto"/>
        <w:rPr>
          <w:rFonts w:hint="eastAsia" w:ascii="宋体" w:hAnsi="宋体" w:eastAsia="宋体" w:cs="宋体"/>
          <w:sz w:val="22"/>
          <w:szCs w:val="24"/>
        </w:rPr>
      </w:pPr>
      <w:r>
        <w:rPr>
          <w:rFonts w:hint="eastAsia" w:ascii="宋体" w:hAnsi="宋体" w:eastAsia="宋体" w:cs="宋体"/>
          <w:sz w:val="22"/>
          <w:szCs w:val="24"/>
        </w:rPr>
        <w:t>（4）实收资本：</w:t>
      </w:r>
      <w:r>
        <w:rPr>
          <w:rFonts w:hint="eastAsia" w:ascii="宋体" w:hAnsi="宋体" w:eastAsia="宋体" w:cs="宋体"/>
          <w:sz w:val="22"/>
          <w:szCs w:val="24"/>
          <w:u w:val="single"/>
        </w:rPr>
        <w:t xml:space="preserve">                              </w:t>
      </w:r>
    </w:p>
    <w:p w14:paraId="7E9AC404">
      <w:pPr>
        <w:spacing w:line="360" w:lineRule="auto"/>
        <w:rPr>
          <w:rFonts w:hint="eastAsia" w:ascii="宋体" w:hAnsi="宋体" w:eastAsia="宋体" w:cs="宋体"/>
          <w:sz w:val="22"/>
          <w:szCs w:val="24"/>
        </w:rPr>
      </w:pPr>
      <w:r>
        <w:rPr>
          <w:rFonts w:hint="eastAsia" w:ascii="宋体" w:hAnsi="宋体" w:eastAsia="宋体" w:cs="宋体"/>
          <w:sz w:val="22"/>
          <w:szCs w:val="24"/>
        </w:rPr>
        <w:t>（5）近期资产负债表（到</w:t>
      </w:r>
      <w:r>
        <w:rPr>
          <w:rFonts w:hint="eastAsia" w:ascii="宋体" w:hAnsi="宋体" w:eastAsia="宋体" w:cs="宋体"/>
          <w:sz w:val="22"/>
          <w:szCs w:val="24"/>
          <w:u w:val="single"/>
        </w:rPr>
        <w:t xml:space="preserve">        </w:t>
      </w:r>
      <w:r>
        <w:rPr>
          <w:rFonts w:hint="eastAsia" w:ascii="宋体" w:hAnsi="宋体" w:eastAsia="宋体" w:cs="宋体"/>
          <w:sz w:val="22"/>
          <w:szCs w:val="24"/>
        </w:rPr>
        <w:t>年</w:t>
      </w:r>
      <w:r>
        <w:rPr>
          <w:rFonts w:hint="eastAsia" w:ascii="宋体" w:hAnsi="宋体" w:eastAsia="宋体" w:cs="宋体"/>
          <w:sz w:val="22"/>
          <w:szCs w:val="24"/>
          <w:u w:val="single"/>
        </w:rPr>
        <w:t xml:space="preserve">    </w:t>
      </w:r>
      <w:r>
        <w:rPr>
          <w:rFonts w:hint="eastAsia" w:ascii="宋体" w:hAnsi="宋体" w:eastAsia="宋体" w:cs="宋体"/>
          <w:sz w:val="22"/>
          <w:szCs w:val="24"/>
        </w:rPr>
        <w:t>月</w:t>
      </w:r>
      <w:r>
        <w:rPr>
          <w:rFonts w:hint="eastAsia" w:ascii="宋体" w:hAnsi="宋体" w:eastAsia="宋体" w:cs="宋体"/>
          <w:sz w:val="22"/>
          <w:szCs w:val="24"/>
          <w:u w:val="single"/>
        </w:rPr>
        <w:t xml:space="preserve">    </w:t>
      </w:r>
      <w:r>
        <w:rPr>
          <w:rFonts w:hint="eastAsia" w:ascii="宋体" w:hAnsi="宋体" w:eastAsia="宋体" w:cs="宋体"/>
          <w:sz w:val="22"/>
          <w:szCs w:val="24"/>
        </w:rPr>
        <w:t>日止）</w:t>
      </w:r>
    </w:p>
    <w:p w14:paraId="17C84D96">
      <w:pPr>
        <w:spacing w:line="360" w:lineRule="auto"/>
        <w:rPr>
          <w:rFonts w:hint="eastAsia" w:ascii="宋体" w:hAnsi="宋体" w:eastAsia="宋体" w:cs="宋体"/>
          <w:sz w:val="22"/>
          <w:szCs w:val="24"/>
        </w:rPr>
      </w:pPr>
      <w:r>
        <w:rPr>
          <w:rFonts w:hint="eastAsia" w:ascii="宋体" w:hAnsi="宋体" w:eastAsia="宋体" w:cs="宋体"/>
          <w:sz w:val="22"/>
          <w:szCs w:val="24"/>
        </w:rPr>
        <w:t xml:space="preserve">  1）固定资产：</w:t>
      </w:r>
      <w:r>
        <w:rPr>
          <w:rFonts w:hint="eastAsia" w:ascii="宋体" w:hAnsi="宋体" w:eastAsia="宋体" w:cs="宋体"/>
          <w:sz w:val="22"/>
          <w:szCs w:val="24"/>
          <w:u w:val="single"/>
        </w:rPr>
        <w:t xml:space="preserve">               </w:t>
      </w:r>
    </w:p>
    <w:p w14:paraId="36FDEB2A">
      <w:pPr>
        <w:spacing w:line="360" w:lineRule="auto"/>
        <w:rPr>
          <w:rFonts w:hint="eastAsia" w:ascii="宋体" w:hAnsi="宋体" w:eastAsia="宋体" w:cs="宋体"/>
          <w:sz w:val="22"/>
          <w:szCs w:val="24"/>
        </w:rPr>
      </w:pPr>
      <w:r>
        <w:rPr>
          <w:rFonts w:hint="eastAsia" w:ascii="宋体" w:hAnsi="宋体" w:eastAsia="宋体" w:cs="宋体"/>
          <w:sz w:val="22"/>
          <w:szCs w:val="24"/>
        </w:rPr>
        <w:t xml:space="preserve">  2）流动资产：</w:t>
      </w:r>
      <w:r>
        <w:rPr>
          <w:rFonts w:hint="eastAsia" w:ascii="宋体" w:hAnsi="宋体" w:eastAsia="宋体" w:cs="宋体"/>
          <w:sz w:val="22"/>
          <w:szCs w:val="24"/>
          <w:u w:val="single"/>
        </w:rPr>
        <w:t xml:space="preserve">               </w:t>
      </w:r>
    </w:p>
    <w:p w14:paraId="04C1E6CE">
      <w:pPr>
        <w:spacing w:line="360" w:lineRule="auto"/>
        <w:rPr>
          <w:rFonts w:hint="eastAsia" w:ascii="宋体" w:hAnsi="宋体" w:eastAsia="宋体" w:cs="宋体"/>
          <w:sz w:val="22"/>
          <w:szCs w:val="24"/>
        </w:rPr>
      </w:pPr>
      <w:r>
        <w:rPr>
          <w:rFonts w:hint="eastAsia" w:ascii="宋体" w:hAnsi="宋体" w:eastAsia="宋体" w:cs="宋体"/>
          <w:sz w:val="22"/>
          <w:szCs w:val="24"/>
        </w:rPr>
        <w:t xml:space="preserve">  3）长期负债：</w:t>
      </w:r>
      <w:r>
        <w:rPr>
          <w:rFonts w:hint="eastAsia" w:ascii="宋体" w:hAnsi="宋体" w:eastAsia="宋体" w:cs="宋体"/>
          <w:sz w:val="22"/>
          <w:szCs w:val="24"/>
          <w:u w:val="single"/>
        </w:rPr>
        <w:t xml:space="preserve">               </w:t>
      </w:r>
    </w:p>
    <w:p w14:paraId="00BAE818">
      <w:pPr>
        <w:spacing w:line="360" w:lineRule="auto"/>
        <w:rPr>
          <w:rFonts w:hint="eastAsia" w:ascii="宋体" w:hAnsi="宋体" w:eastAsia="宋体" w:cs="宋体"/>
          <w:sz w:val="22"/>
          <w:szCs w:val="24"/>
        </w:rPr>
      </w:pPr>
      <w:r>
        <w:rPr>
          <w:rFonts w:hint="eastAsia" w:ascii="宋体" w:hAnsi="宋体" w:eastAsia="宋体" w:cs="宋体"/>
          <w:sz w:val="22"/>
          <w:szCs w:val="24"/>
        </w:rPr>
        <w:t xml:space="preserve">  4）流动负债：</w:t>
      </w:r>
      <w:r>
        <w:rPr>
          <w:rFonts w:hint="eastAsia" w:ascii="宋体" w:hAnsi="宋体" w:eastAsia="宋体" w:cs="宋体"/>
          <w:sz w:val="22"/>
          <w:szCs w:val="24"/>
          <w:u w:val="single"/>
        </w:rPr>
        <w:t xml:space="preserve">               </w:t>
      </w:r>
    </w:p>
    <w:p w14:paraId="61534793">
      <w:pPr>
        <w:spacing w:line="360" w:lineRule="auto"/>
        <w:rPr>
          <w:rFonts w:hint="eastAsia" w:ascii="宋体" w:hAnsi="宋体" w:eastAsia="宋体" w:cs="宋体"/>
          <w:sz w:val="22"/>
          <w:szCs w:val="24"/>
        </w:rPr>
      </w:pPr>
      <w:r>
        <w:rPr>
          <w:rFonts w:hint="eastAsia" w:ascii="宋体" w:hAnsi="宋体" w:eastAsia="宋体" w:cs="宋体"/>
          <w:sz w:val="22"/>
          <w:szCs w:val="24"/>
        </w:rPr>
        <w:t xml:space="preserve">  5）净值：</w:t>
      </w:r>
      <w:r>
        <w:rPr>
          <w:rFonts w:hint="eastAsia" w:ascii="宋体" w:hAnsi="宋体" w:eastAsia="宋体" w:cs="宋体"/>
          <w:sz w:val="22"/>
          <w:szCs w:val="24"/>
          <w:u w:val="single"/>
        </w:rPr>
        <w:t xml:space="preserve">                   </w:t>
      </w:r>
    </w:p>
    <w:p w14:paraId="2F6B7CC1">
      <w:pPr>
        <w:spacing w:line="360" w:lineRule="auto"/>
        <w:rPr>
          <w:rFonts w:hint="eastAsia" w:ascii="宋体" w:hAnsi="宋体" w:eastAsia="宋体" w:cs="宋体"/>
          <w:sz w:val="22"/>
          <w:szCs w:val="24"/>
        </w:rPr>
      </w:pPr>
      <w:r>
        <w:rPr>
          <w:rFonts w:hint="eastAsia" w:ascii="宋体" w:hAnsi="宋体" w:eastAsia="宋体" w:cs="宋体"/>
          <w:sz w:val="22"/>
          <w:szCs w:val="24"/>
        </w:rPr>
        <w:t>（6）主要负责人姓名：</w:t>
      </w:r>
      <w:r>
        <w:rPr>
          <w:rFonts w:hint="eastAsia" w:ascii="宋体" w:hAnsi="宋体" w:eastAsia="宋体" w:cs="宋体"/>
          <w:sz w:val="22"/>
          <w:szCs w:val="24"/>
          <w:u w:val="single"/>
        </w:rPr>
        <w:t xml:space="preserve">                      </w:t>
      </w:r>
    </w:p>
    <w:p w14:paraId="54F6DEA3">
      <w:pPr>
        <w:spacing w:line="360" w:lineRule="auto"/>
        <w:ind w:left="663" w:hanging="660" w:hangingChars="300"/>
        <w:jc w:val="left"/>
        <w:rPr>
          <w:rFonts w:hint="eastAsia" w:ascii="宋体" w:hAnsi="宋体" w:eastAsia="宋体" w:cs="宋体"/>
          <w:sz w:val="22"/>
          <w:szCs w:val="24"/>
        </w:rPr>
      </w:pPr>
      <w:r>
        <w:rPr>
          <w:rFonts w:hint="eastAsia" w:ascii="宋体" w:hAnsi="宋体" w:eastAsia="宋体" w:cs="宋体"/>
          <w:sz w:val="22"/>
          <w:szCs w:val="24"/>
        </w:rPr>
        <w:t>2．企业生产规模：</w:t>
      </w:r>
    </w:p>
    <w:p w14:paraId="305745CF">
      <w:pPr>
        <w:spacing w:line="360" w:lineRule="auto"/>
        <w:rPr>
          <w:rFonts w:hint="eastAsia" w:ascii="宋体" w:hAnsi="宋体" w:eastAsia="宋体" w:cs="宋体"/>
          <w:sz w:val="22"/>
        </w:rPr>
      </w:pPr>
      <w:r>
        <w:rPr>
          <w:rFonts w:hint="eastAsia" w:ascii="宋体" w:hAnsi="宋体" w:eastAsia="宋体" w:cs="宋体"/>
          <w:sz w:val="22"/>
        </w:rPr>
        <w:t>3. 企业人员情况：</w:t>
      </w:r>
    </w:p>
    <w:p w14:paraId="352410BE">
      <w:pPr>
        <w:spacing w:line="360" w:lineRule="auto"/>
        <w:rPr>
          <w:rFonts w:hint="eastAsia" w:ascii="宋体" w:hAnsi="宋体" w:eastAsia="宋体" w:cs="宋体"/>
          <w:sz w:val="22"/>
          <w:szCs w:val="24"/>
        </w:rPr>
      </w:pPr>
      <w:r>
        <w:rPr>
          <w:rFonts w:hint="eastAsia" w:ascii="宋体" w:hAnsi="宋体" w:eastAsia="宋体" w:cs="宋体"/>
          <w:sz w:val="22"/>
          <w:szCs w:val="24"/>
        </w:rPr>
        <w:t>职工（在职）人数</w:t>
      </w:r>
      <w:r>
        <w:rPr>
          <w:rFonts w:hint="eastAsia" w:ascii="宋体" w:hAnsi="宋体" w:eastAsia="宋体" w:cs="宋体"/>
          <w:sz w:val="22"/>
          <w:szCs w:val="24"/>
          <w:u w:val="single"/>
        </w:rPr>
        <w:t xml:space="preserve">       </w:t>
      </w:r>
      <w:r>
        <w:rPr>
          <w:rFonts w:hint="eastAsia" w:ascii="宋体" w:hAnsi="宋体" w:eastAsia="宋体" w:cs="宋体"/>
          <w:sz w:val="22"/>
          <w:szCs w:val="24"/>
        </w:rPr>
        <w:t>人，其中技术人员</w:t>
      </w:r>
      <w:r>
        <w:rPr>
          <w:rFonts w:hint="eastAsia" w:ascii="宋体" w:hAnsi="宋体" w:eastAsia="宋体" w:cs="宋体"/>
          <w:sz w:val="22"/>
          <w:szCs w:val="24"/>
          <w:u w:val="single"/>
        </w:rPr>
        <w:t xml:space="preserve">       </w:t>
      </w:r>
      <w:r>
        <w:rPr>
          <w:rFonts w:hint="eastAsia" w:ascii="宋体" w:hAnsi="宋体" w:eastAsia="宋体" w:cs="宋体"/>
          <w:sz w:val="22"/>
          <w:szCs w:val="24"/>
        </w:rPr>
        <w:t>人，</w:t>
      </w:r>
    </w:p>
    <w:p w14:paraId="4B545F19">
      <w:pPr>
        <w:spacing w:line="360" w:lineRule="auto"/>
        <w:rPr>
          <w:rFonts w:hint="eastAsia" w:ascii="宋体" w:hAnsi="宋体" w:eastAsia="宋体" w:cs="宋体"/>
          <w:sz w:val="22"/>
        </w:rPr>
      </w:pPr>
      <w:r>
        <w:rPr>
          <w:rFonts w:hint="eastAsia" w:ascii="宋体" w:hAnsi="宋体" w:eastAsia="宋体" w:cs="宋体"/>
          <w:sz w:val="22"/>
        </w:rPr>
        <w:t>4. 近三年的年营业总额</w:t>
      </w:r>
      <w:r>
        <w:rPr>
          <w:rFonts w:hint="eastAsia" w:ascii="宋体" w:hAnsi="宋体" w:eastAsia="宋体" w:cs="宋体"/>
          <w:sz w:val="22"/>
          <w:lang w:eastAsia="zh-CN"/>
        </w:rPr>
        <w:t>：</w:t>
      </w:r>
      <w:r>
        <w:rPr>
          <w:rFonts w:hint="eastAsia" w:ascii="宋体" w:hAnsi="宋体" w:eastAsia="宋体" w:cs="宋体"/>
          <w:sz w:val="22"/>
          <w:u w:val="single"/>
        </w:rPr>
        <w:t xml:space="preserve">                      </w:t>
      </w:r>
      <w:r>
        <w:rPr>
          <w:rFonts w:hint="eastAsia" w:ascii="宋体" w:hAnsi="宋体" w:eastAsia="宋体" w:cs="宋体"/>
          <w:sz w:val="22"/>
        </w:rPr>
        <w:t xml:space="preserve"> </w:t>
      </w:r>
    </w:p>
    <w:p w14:paraId="2472F59E">
      <w:pPr>
        <w:spacing w:line="360" w:lineRule="auto"/>
        <w:ind w:firstLine="220" w:firstLineChars="100"/>
        <w:rPr>
          <w:rFonts w:hint="eastAsia" w:ascii="宋体" w:hAnsi="宋体" w:eastAsia="宋体" w:cs="宋体"/>
          <w:sz w:val="22"/>
          <w:szCs w:val="24"/>
        </w:rPr>
      </w:pPr>
      <w:r>
        <w:rPr>
          <w:rFonts w:hint="eastAsia" w:ascii="宋体" w:hAnsi="宋体" w:eastAsia="宋体" w:cs="宋体"/>
          <w:sz w:val="22"/>
          <w:szCs w:val="24"/>
        </w:rPr>
        <w:t>兹证明上述声明是真实、正确的、并提供了全部能提供的资料和数据，我们同意遵照贵方要求出示有关证明文件。</w:t>
      </w:r>
    </w:p>
    <w:p w14:paraId="48395E84">
      <w:pPr>
        <w:spacing w:line="360" w:lineRule="auto"/>
        <w:rPr>
          <w:rFonts w:hint="eastAsia" w:ascii="宋体" w:hAnsi="宋体" w:eastAsia="宋体" w:cs="宋体"/>
          <w:sz w:val="22"/>
          <w:szCs w:val="24"/>
        </w:rPr>
      </w:pPr>
      <w:r>
        <w:rPr>
          <w:rFonts w:hint="eastAsia" w:ascii="宋体" w:hAnsi="宋体" w:eastAsia="宋体" w:cs="宋体"/>
          <w:sz w:val="22"/>
          <w:szCs w:val="24"/>
        </w:rPr>
        <w:t>供应商名称</w:t>
      </w:r>
      <w:r>
        <w:rPr>
          <w:rFonts w:hint="eastAsia" w:ascii="宋体" w:hAnsi="宋体" w:eastAsia="宋体" w:cs="宋体"/>
          <w:sz w:val="22"/>
          <w:szCs w:val="24"/>
          <w:u w:val="single"/>
        </w:rPr>
        <w:t xml:space="preserve">                               （盖章）</w:t>
      </w:r>
    </w:p>
    <w:p w14:paraId="37E1E9BF">
      <w:pPr>
        <w:spacing w:line="360" w:lineRule="auto"/>
        <w:rPr>
          <w:rFonts w:hint="eastAsia" w:ascii="宋体" w:hAnsi="宋体" w:eastAsia="宋体" w:cs="宋体"/>
          <w:sz w:val="22"/>
          <w:szCs w:val="24"/>
        </w:rPr>
      </w:pPr>
      <w:r>
        <w:rPr>
          <w:rFonts w:hint="eastAsia" w:ascii="宋体" w:hAnsi="宋体" w:eastAsia="宋体" w:cs="宋体"/>
          <w:sz w:val="22"/>
          <w:szCs w:val="24"/>
        </w:rPr>
        <w:t>法定代表人姓名和职务</w:t>
      </w:r>
      <w:r>
        <w:rPr>
          <w:rFonts w:hint="eastAsia" w:ascii="宋体" w:hAnsi="宋体" w:eastAsia="宋体" w:cs="宋体"/>
          <w:sz w:val="22"/>
          <w:szCs w:val="24"/>
          <w:u w:val="single"/>
        </w:rPr>
        <w:t xml:space="preserve">                </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 xml:space="preserve">     </w:t>
      </w:r>
    </w:p>
    <w:p w14:paraId="7BAEA393">
      <w:pPr>
        <w:spacing w:line="360" w:lineRule="auto"/>
        <w:rPr>
          <w:rFonts w:hint="eastAsia" w:ascii="宋体" w:hAnsi="宋体" w:eastAsia="宋体" w:cs="宋体"/>
          <w:sz w:val="22"/>
          <w:szCs w:val="24"/>
        </w:rPr>
      </w:pPr>
      <w:r>
        <w:rPr>
          <w:rFonts w:hint="eastAsia" w:ascii="宋体" w:hAnsi="宋体" w:eastAsia="宋体" w:cs="宋体"/>
          <w:sz w:val="22"/>
          <w:szCs w:val="24"/>
        </w:rPr>
        <w:t>日期</w:t>
      </w:r>
      <w:r>
        <w:rPr>
          <w:rFonts w:hint="eastAsia" w:ascii="宋体" w:hAnsi="宋体" w:eastAsia="宋体" w:cs="宋体"/>
          <w:sz w:val="22"/>
          <w:szCs w:val="24"/>
          <w:u w:val="single"/>
        </w:rPr>
        <w:t xml:space="preserve">                           </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 xml:space="preserve">      </w:t>
      </w:r>
    </w:p>
    <w:p w14:paraId="517DABA0">
      <w:pPr>
        <w:spacing w:line="360" w:lineRule="auto"/>
        <w:jc w:val="left"/>
        <w:rPr>
          <w:rFonts w:hint="eastAsia" w:ascii="宋体" w:hAnsi="宋体" w:eastAsia="宋体" w:cs="宋体"/>
          <w:sz w:val="22"/>
          <w:szCs w:val="24"/>
          <w:u w:val="single"/>
        </w:rPr>
      </w:pPr>
      <w:r>
        <w:rPr>
          <w:rFonts w:hint="eastAsia" w:ascii="宋体" w:hAnsi="宋体" w:eastAsia="宋体" w:cs="宋体"/>
          <w:sz w:val="22"/>
          <w:szCs w:val="24"/>
        </w:rPr>
        <w:t>电子邮件</w:t>
      </w:r>
      <w:r>
        <w:rPr>
          <w:rFonts w:hint="eastAsia" w:ascii="宋体" w:hAnsi="宋体" w:eastAsia="宋体" w:cs="宋体"/>
          <w:sz w:val="22"/>
          <w:szCs w:val="24"/>
          <w:u w:val="single"/>
        </w:rPr>
        <w:t xml:space="preserve">                   </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 xml:space="preserve">              </w:t>
      </w:r>
    </w:p>
    <w:p w14:paraId="3F437527">
      <w:pPr>
        <w:pStyle w:val="24"/>
        <w:ind w:left="720" w:hanging="720"/>
        <w:jc w:val="both"/>
        <w:rPr>
          <w:rFonts w:hint="eastAsia" w:ascii="宋体" w:hAnsi="宋体" w:eastAsia="宋体" w:cs="宋体"/>
          <w:bCs/>
          <w:sz w:val="22"/>
          <w:szCs w:val="22"/>
          <w:lang w:val="en-US" w:eastAsia="zh-CN"/>
        </w:rPr>
      </w:pPr>
      <w:r>
        <w:rPr>
          <w:rFonts w:hint="eastAsia" w:ascii="宋体" w:hAnsi="宋体" w:eastAsia="宋体" w:cs="宋体"/>
          <w:bCs/>
          <w:sz w:val="22"/>
          <w:szCs w:val="22"/>
        </w:rPr>
        <w:br w:type="page"/>
      </w:r>
      <w:r>
        <w:rPr>
          <w:rFonts w:hint="eastAsia" w:ascii="宋体" w:hAnsi="宋体" w:eastAsia="宋体" w:cs="宋体"/>
          <w:bCs/>
          <w:sz w:val="28"/>
          <w:szCs w:val="28"/>
          <w:lang w:val="en-US" w:eastAsia="zh-CN"/>
        </w:rPr>
        <w:t>2-4、商务偏离表、技术偏离表</w:t>
      </w:r>
    </w:p>
    <w:p w14:paraId="735C882D">
      <w:pPr>
        <w:pStyle w:val="3"/>
        <w:adjustRightInd w:val="0"/>
        <w:snapToGrid w:val="0"/>
        <w:spacing w:line="400" w:lineRule="exact"/>
        <w:rPr>
          <w:rFonts w:hint="eastAsia" w:ascii="宋体" w:hAnsi="宋体" w:eastAsia="宋体" w:cs="宋体"/>
          <w:sz w:val="24"/>
          <w:lang w:val="en-US" w:eastAsia="zh-CN"/>
        </w:rPr>
      </w:pPr>
    </w:p>
    <w:p w14:paraId="631A03B7">
      <w:pPr>
        <w:pStyle w:val="3"/>
        <w:adjustRightInd w:val="0"/>
        <w:snapToGrid w:val="0"/>
        <w:spacing w:line="400" w:lineRule="exact"/>
        <w:jc w:val="center"/>
        <w:rPr>
          <w:rFonts w:hint="eastAsia" w:ascii="宋体" w:hAnsi="宋体" w:eastAsia="宋体" w:cs="宋体"/>
          <w:sz w:val="36"/>
          <w:szCs w:val="36"/>
        </w:rPr>
      </w:pPr>
    </w:p>
    <w:p w14:paraId="64DDDEB6">
      <w:pPr>
        <w:pStyle w:val="3"/>
        <w:adjustRightInd w:val="0"/>
        <w:snapToGrid w:val="0"/>
        <w:spacing w:line="400" w:lineRule="exact"/>
        <w:jc w:val="center"/>
        <w:rPr>
          <w:rFonts w:hint="eastAsia" w:ascii="宋体" w:hAnsi="宋体" w:eastAsia="宋体" w:cs="宋体"/>
          <w:sz w:val="36"/>
          <w:szCs w:val="36"/>
        </w:rPr>
      </w:pPr>
      <w:r>
        <w:rPr>
          <w:rFonts w:hint="eastAsia" w:ascii="宋体" w:hAnsi="宋体" w:eastAsia="宋体" w:cs="宋体"/>
          <w:sz w:val="36"/>
          <w:szCs w:val="36"/>
        </w:rPr>
        <w:t>商 务 偏 离 表</w:t>
      </w:r>
    </w:p>
    <w:tbl>
      <w:tblPr>
        <w:tblStyle w:val="44"/>
        <w:tblW w:w="0" w:type="auto"/>
        <w:jc w:val="center"/>
        <w:tblLayout w:type="fixed"/>
        <w:tblCellMar>
          <w:top w:w="0" w:type="dxa"/>
          <w:left w:w="108" w:type="dxa"/>
          <w:bottom w:w="0" w:type="dxa"/>
          <w:right w:w="108" w:type="dxa"/>
        </w:tblCellMar>
      </w:tblPr>
      <w:tblGrid>
        <w:gridCol w:w="900"/>
        <w:gridCol w:w="1800"/>
        <w:gridCol w:w="2387"/>
        <w:gridCol w:w="2387"/>
        <w:gridCol w:w="2126"/>
      </w:tblGrid>
      <w:tr w14:paraId="1E101B32">
        <w:tblPrEx>
          <w:tblCellMar>
            <w:top w:w="0" w:type="dxa"/>
            <w:left w:w="108" w:type="dxa"/>
            <w:bottom w:w="0" w:type="dxa"/>
            <w:right w:w="108" w:type="dxa"/>
          </w:tblCellMar>
        </w:tblPrEx>
        <w:trPr>
          <w:trHeight w:val="936"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center"/>
          </w:tcPr>
          <w:p w14:paraId="376C3E28">
            <w:pPr>
              <w:pStyle w:val="3"/>
              <w:adjustRightInd w:val="0"/>
              <w:snapToGrid w:val="0"/>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08ADAD5">
            <w:pPr>
              <w:pStyle w:val="3"/>
              <w:adjustRightInd w:val="0"/>
              <w:snapToGrid w:val="0"/>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内容</w:t>
            </w:r>
          </w:p>
        </w:tc>
        <w:tc>
          <w:tcPr>
            <w:tcW w:w="2387" w:type="dxa"/>
            <w:tcBorders>
              <w:top w:val="single" w:color="auto" w:sz="6" w:space="0"/>
              <w:left w:val="single" w:color="auto" w:sz="6" w:space="0"/>
              <w:bottom w:val="single" w:color="auto" w:sz="6" w:space="0"/>
              <w:right w:val="single" w:color="auto" w:sz="6" w:space="0"/>
            </w:tcBorders>
            <w:noWrap w:val="0"/>
            <w:vAlign w:val="center"/>
          </w:tcPr>
          <w:p w14:paraId="013A1E21">
            <w:pPr>
              <w:pStyle w:val="3"/>
              <w:adjustRightInd w:val="0"/>
              <w:snapToGrid w:val="0"/>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采购文件规范要求</w:t>
            </w:r>
          </w:p>
        </w:tc>
        <w:tc>
          <w:tcPr>
            <w:tcW w:w="2387" w:type="dxa"/>
            <w:tcBorders>
              <w:top w:val="single" w:color="auto" w:sz="6" w:space="0"/>
              <w:left w:val="single" w:color="auto" w:sz="6" w:space="0"/>
              <w:bottom w:val="single" w:color="auto" w:sz="6" w:space="0"/>
              <w:right w:val="single" w:color="auto" w:sz="6" w:space="0"/>
            </w:tcBorders>
            <w:noWrap w:val="0"/>
            <w:vAlign w:val="center"/>
          </w:tcPr>
          <w:p w14:paraId="460F7EA0">
            <w:pPr>
              <w:pStyle w:val="3"/>
              <w:adjustRightInd w:val="0"/>
              <w:snapToGrid w:val="0"/>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投标响应文件对应规范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654351B">
            <w:pPr>
              <w:pStyle w:val="3"/>
              <w:adjustRightInd w:val="0"/>
              <w:snapToGrid w:val="0"/>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备 注</w:t>
            </w:r>
          </w:p>
        </w:tc>
      </w:tr>
      <w:tr w14:paraId="19B88F10">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0146493B">
            <w:pPr>
              <w:pStyle w:val="3"/>
              <w:adjustRightInd w:val="0"/>
              <w:snapToGrid w:val="0"/>
              <w:spacing w:line="400" w:lineRule="exact"/>
              <w:rPr>
                <w:rFonts w:hint="eastAsia" w:ascii="宋体" w:hAnsi="宋体" w:eastAsia="宋体" w:cs="宋体"/>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AF1F9EC">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32336F46">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D1449E8">
            <w:pPr>
              <w:pStyle w:val="3"/>
              <w:adjustRightInd w:val="0"/>
              <w:snapToGrid w:val="0"/>
              <w:spacing w:line="400" w:lineRule="exact"/>
              <w:rPr>
                <w:rFonts w:hint="eastAsia" w:ascii="宋体" w:hAnsi="宋体" w:eastAsia="宋体" w:cs="宋体"/>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37BF1E0">
            <w:pPr>
              <w:pStyle w:val="3"/>
              <w:adjustRightInd w:val="0"/>
              <w:snapToGrid w:val="0"/>
              <w:spacing w:line="400" w:lineRule="exact"/>
              <w:rPr>
                <w:rFonts w:hint="eastAsia" w:ascii="宋体" w:hAnsi="宋体" w:eastAsia="宋体" w:cs="宋体"/>
                <w:sz w:val="24"/>
                <w:lang w:val="en-US" w:eastAsia="zh-CN"/>
              </w:rPr>
            </w:pPr>
          </w:p>
        </w:tc>
      </w:tr>
      <w:tr w14:paraId="6DED1AAA">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52B7AF6E">
            <w:pPr>
              <w:pStyle w:val="3"/>
              <w:adjustRightInd w:val="0"/>
              <w:snapToGrid w:val="0"/>
              <w:spacing w:line="400" w:lineRule="exact"/>
              <w:rPr>
                <w:rFonts w:hint="eastAsia" w:ascii="宋体" w:hAnsi="宋体" w:eastAsia="宋体" w:cs="宋体"/>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56DD910">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02E30B02">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D48D8E5">
            <w:pPr>
              <w:pStyle w:val="3"/>
              <w:adjustRightInd w:val="0"/>
              <w:snapToGrid w:val="0"/>
              <w:spacing w:line="400" w:lineRule="exact"/>
              <w:rPr>
                <w:rFonts w:hint="eastAsia" w:ascii="宋体" w:hAnsi="宋体" w:eastAsia="宋体" w:cs="宋体"/>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709B466">
            <w:pPr>
              <w:pStyle w:val="3"/>
              <w:adjustRightInd w:val="0"/>
              <w:snapToGrid w:val="0"/>
              <w:spacing w:line="400" w:lineRule="exact"/>
              <w:rPr>
                <w:rFonts w:hint="eastAsia" w:ascii="宋体" w:hAnsi="宋体" w:eastAsia="宋体" w:cs="宋体"/>
                <w:sz w:val="24"/>
                <w:lang w:val="en-US" w:eastAsia="zh-CN"/>
              </w:rPr>
            </w:pPr>
          </w:p>
        </w:tc>
      </w:tr>
      <w:tr w14:paraId="1B1D5CED">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29724CA7">
            <w:pPr>
              <w:pStyle w:val="3"/>
              <w:adjustRightInd w:val="0"/>
              <w:snapToGrid w:val="0"/>
              <w:spacing w:line="400" w:lineRule="exact"/>
              <w:rPr>
                <w:rFonts w:hint="eastAsia" w:ascii="宋体" w:hAnsi="宋体" w:eastAsia="宋体" w:cs="宋体"/>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D9A30D">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03265FBD">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27089D5">
            <w:pPr>
              <w:pStyle w:val="3"/>
              <w:adjustRightInd w:val="0"/>
              <w:snapToGrid w:val="0"/>
              <w:spacing w:line="400" w:lineRule="exact"/>
              <w:rPr>
                <w:rFonts w:hint="eastAsia" w:ascii="宋体" w:hAnsi="宋体" w:eastAsia="宋体" w:cs="宋体"/>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9712558">
            <w:pPr>
              <w:pStyle w:val="3"/>
              <w:adjustRightInd w:val="0"/>
              <w:snapToGrid w:val="0"/>
              <w:spacing w:line="400" w:lineRule="exact"/>
              <w:rPr>
                <w:rFonts w:hint="eastAsia" w:ascii="宋体" w:hAnsi="宋体" w:eastAsia="宋体" w:cs="宋体"/>
                <w:sz w:val="24"/>
                <w:lang w:val="en-US" w:eastAsia="zh-CN"/>
              </w:rPr>
            </w:pPr>
          </w:p>
        </w:tc>
      </w:tr>
      <w:tr w14:paraId="5251E54B">
        <w:tblPrEx>
          <w:tblCellMar>
            <w:top w:w="0" w:type="dxa"/>
            <w:left w:w="108" w:type="dxa"/>
            <w:bottom w:w="0" w:type="dxa"/>
            <w:right w:w="108" w:type="dxa"/>
          </w:tblCellMar>
        </w:tblPrEx>
        <w:trPr>
          <w:trHeight w:val="436"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15673B53">
            <w:pPr>
              <w:pStyle w:val="3"/>
              <w:adjustRightInd w:val="0"/>
              <w:snapToGrid w:val="0"/>
              <w:spacing w:line="400" w:lineRule="exact"/>
              <w:rPr>
                <w:rFonts w:hint="eastAsia" w:ascii="宋体" w:hAnsi="宋体" w:eastAsia="宋体" w:cs="宋体"/>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E9DE876">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30A1ACB1">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3E75860D">
            <w:pPr>
              <w:pStyle w:val="3"/>
              <w:adjustRightInd w:val="0"/>
              <w:snapToGrid w:val="0"/>
              <w:spacing w:line="400" w:lineRule="exact"/>
              <w:rPr>
                <w:rFonts w:hint="eastAsia" w:ascii="宋体" w:hAnsi="宋体" w:eastAsia="宋体" w:cs="宋体"/>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D33B9B2">
            <w:pPr>
              <w:pStyle w:val="3"/>
              <w:adjustRightInd w:val="0"/>
              <w:snapToGrid w:val="0"/>
              <w:spacing w:line="400" w:lineRule="exact"/>
              <w:rPr>
                <w:rFonts w:hint="eastAsia" w:ascii="宋体" w:hAnsi="宋体" w:eastAsia="宋体" w:cs="宋体"/>
                <w:sz w:val="24"/>
                <w:lang w:val="en-US" w:eastAsia="zh-CN"/>
              </w:rPr>
            </w:pPr>
          </w:p>
        </w:tc>
      </w:tr>
      <w:tr w14:paraId="19B7FD29">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2292AB0C">
            <w:pPr>
              <w:pStyle w:val="3"/>
              <w:adjustRightInd w:val="0"/>
              <w:snapToGrid w:val="0"/>
              <w:spacing w:line="400" w:lineRule="exact"/>
              <w:rPr>
                <w:rFonts w:hint="eastAsia" w:ascii="宋体" w:hAnsi="宋体" w:eastAsia="宋体" w:cs="宋体"/>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589FDCB">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3760DF88">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4FA9AC58">
            <w:pPr>
              <w:pStyle w:val="3"/>
              <w:adjustRightInd w:val="0"/>
              <w:snapToGrid w:val="0"/>
              <w:spacing w:line="400" w:lineRule="exact"/>
              <w:rPr>
                <w:rFonts w:hint="eastAsia" w:ascii="宋体" w:hAnsi="宋体" w:eastAsia="宋体" w:cs="宋体"/>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F91AE79">
            <w:pPr>
              <w:pStyle w:val="3"/>
              <w:adjustRightInd w:val="0"/>
              <w:snapToGrid w:val="0"/>
              <w:spacing w:line="400" w:lineRule="exact"/>
              <w:rPr>
                <w:rFonts w:hint="eastAsia" w:ascii="宋体" w:hAnsi="宋体" w:eastAsia="宋体" w:cs="宋体"/>
                <w:sz w:val="24"/>
                <w:lang w:val="en-US" w:eastAsia="zh-CN"/>
              </w:rPr>
            </w:pPr>
          </w:p>
        </w:tc>
      </w:tr>
      <w:tr w14:paraId="2D7899E2">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7CF86506">
            <w:pPr>
              <w:pStyle w:val="3"/>
              <w:adjustRightInd w:val="0"/>
              <w:snapToGrid w:val="0"/>
              <w:spacing w:line="400" w:lineRule="exact"/>
              <w:rPr>
                <w:rFonts w:hint="eastAsia" w:ascii="宋体" w:hAnsi="宋体" w:eastAsia="宋体" w:cs="宋体"/>
                <w:sz w:val="24"/>
                <w:lang w:val="en-US" w:eastAsia="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0A6B91C">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254EFB49">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7B965815">
            <w:pPr>
              <w:pStyle w:val="3"/>
              <w:adjustRightInd w:val="0"/>
              <w:snapToGrid w:val="0"/>
              <w:spacing w:line="400" w:lineRule="exact"/>
              <w:rPr>
                <w:rFonts w:hint="eastAsia" w:ascii="宋体" w:hAnsi="宋体" w:eastAsia="宋体" w:cs="宋体"/>
                <w:sz w:val="24"/>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3B7C560">
            <w:pPr>
              <w:pStyle w:val="3"/>
              <w:adjustRightInd w:val="0"/>
              <w:snapToGrid w:val="0"/>
              <w:spacing w:line="400" w:lineRule="exact"/>
              <w:rPr>
                <w:rFonts w:hint="eastAsia" w:ascii="宋体" w:hAnsi="宋体" w:eastAsia="宋体" w:cs="宋体"/>
                <w:sz w:val="24"/>
                <w:lang w:val="en-US" w:eastAsia="zh-CN"/>
              </w:rPr>
            </w:pPr>
          </w:p>
        </w:tc>
      </w:tr>
    </w:tbl>
    <w:p w14:paraId="30E37A1D">
      <w:pPr>
        <w:pStyle w:val="3"/>
        <w:adjustRightInd w:val="0"/>
        <w:snapToGrid w:val="0"/>
        <w:spacing w:line="400" w:lineRule="exact"/>
        <w:ind w:firstLine="315" w:firstLineChars="150"/>
        <w:rPr>
          <w:rFonts w:hint="eastAsia" w:ascii="宋体" w:hAnsi="宋体" w:eastAsia="宋体" w:cs="宋体"/>
          <w:szCs w:val="21"/>
        </w:rPr>
      </w:pPr>
      <w:r>
        <w:rPr>
          <w:rFonts w:hint="eastAsia" w:ascii="宋体" w:hAnsi="宋体" w:eastAsia="宋体" w:cs="宋体"/>
          <w:iCs/>
        </w:rPr>
        <w:t>注：供应商须如实填写上表，</w:t>
      </w:r>
      <w:r>
        <w:rPr>
          <w:rFonts w:hint="eastAsia" w:ascii="宋体" w:hAnsi="宋体" w:eastAsia="宋体" w:cs="宋体"/>
          <w:szCs w:val="21"/>
        </w:rPr>
        <w:t>没有填写此表或未提供视为完全响应</w:t>
      </w:r>
      <w:r>
        <w:rPr>
          <w:rFonts w:hint="eastAsia" w:ascii="宋体" w:hAnsi="宋体" w:eastAsia="宋体" w:cs="宋体"/>
          <w:szCs w:val="21"/>
          <w:lang w:eastAsia="zh-CN"/>
        </w:rPr>
        <w:t>采购文件</w:t>
      </w:r>
      <w:r>
        <w:rPr>
          <w:rFonts w:hint="eastAsia" w:ascii="宋体" w:hAnsi="宋体" w:eastAsia="宋体" w:cs="宋体"/>
          <w:szCs w:val="21"/>
        </w:rPr>
        <w:t>要求。</w:t>
      </w:r>
    </w:p>
    <w:p w14:paraId="6B904DAD">
      <w:pPr>
        <w:pStyle w:val="3"/>
        <w:adjustRightInd w:val="0"/>
        <w:snapToGrid w:val="0"/>
        <w:spacing w:line="400" w:lineRule="exact"/>
        <w:rPr>
          <w:rFonts w:hint="eastAsia" w:ascii="宋体" w:hAnsi="宋体" w:eastAsia="宋体" w:cs="宋体"/>
          <w:sz w:val="24"/>
        </w:rPr>
      </w:pPr>
    </w:p>
    <w:p w14:paraId="4A4B0C67">
      <w:pPr>
        <w:pStyle w:val="3"/>
        <w:adjustRightInd w:val="0"/>
        <w:snapToGrid w:val="0"/>
        <w:spacing w:line="400" w:lineRule="exact"/>
        <w:rPr>
          <w:rFonts w:hint="eastAsia" w:ascii="宋体" w:hAnsi="宋体" w:eastAsia="宋体" w:cs="宋体"/>
          <w:sz w:val="24"/>
        </w:rPr>
      </w:pPr>
      <w:r>
        <w:rPr>
          <w:rFonts w:hint="eastAsia" w:ascii="宋体" w:hAnsi="宋体" w:eastAsia="宋体" w:cs="宋体"/>
          <w:sz w:val="24"/>
        </w:rPr>
        <w:t>供应商电子签章：</w:t>
      </w:r>
    </w:p>
    <w:p w14:paraId="03C4112C">
      <w:pPr>
        <w:pStyle w:val="3"/>
        <w:adjustRightInd w:val="0"/>
        <w:snapToGrid w:val="0"/>
        <w:spacing w:line="400" w:lineRule="exact"/>
        <w:rPr>
          <w:rFonts w:hint="eastAsia" w:ascii="宋体" w:hAnsi="宋体" w:eastAsia="宋体" w:cs="宋体"/>
          <w:sz w:val="36"/>
          <w:szCs w:val="36"/>
        </w:rPr>
      </w:pPr>
    </w:p>
    <w:p w14:paraId="0451FE15">
      <w:pPr>
        <w:pStyle w:val="3"/>
        <w:adjustRightInd w:val="0"/>
        <w:snapToGrid w:val="0"/>
        <w:spacing w:line="400" w:lineRule="exact"/>
        <w:rPr>
          <w:rFonts w:hint="eastAsia" w:ascii="宋体" w:hAnsi="宋体" w:eastAsia="宋体" w:cs="宋体"/>
          <w:sz w:val="36"/>
          <w:szCs w:val="36"/>
        </w:rPr>
      </w:pPr>
    </w:p>
    <w:p w14:paraId="3473A5A2">
      <w:pPr>
        <w:pStyle w:val="3"/>
        <w:adjustRightInd w:val="0"/>
        <w:snapToGrid w:val="0"/>
        <w:spacing w:line="400" w:lineRule="exact"/>
        <w:ind w:firstLine="3600" w:firstLineChars="1000"/>
        <w:rPr>
          <w:rFonts w:hint="eastAsia" w:ascii="宋体" w:hAnsi="宋体" w:eastAsia="宋体" w:cs="宋体"/>
          <w:sz w:val="36"/>
          <w:szCs w:val="36"/>
        </w:rPr>
      </w:pPr>
      <w:r>
        <w:rPr>
          <w:rFonts w:hint="eastAsia" w:ascii="宋体" w:hAnsi="宋体" w:eastAsia="宋体" w:cs="宋体"/>
          <w:sz w:val="36"/>
          <w:szCs w:val="36"/>
        </w:rPr>
        <w:t>技术偏离表</w:t>
      </w:r>
    </w:p>
    <w:tbl>
      <w:tblPr>
        <w:tblStyle w:val="44"/>
        <w:tblW w:w="0" w:type="auto"/>
        <w:jc w:val="center"/>
        <w:tblLayout w:type="fixed"/>
        <w:tblCellMar>
          <w:top w:w="0" w:type="dxa"/>
          <w:left w:w="108" w:type="dxa"/>
          <w:bottom w:w="0" w:type="dxa"/>
          <w:right w:w="108" w:type="dxa"/>
        </w:tblCellMar>
      </w:tblPr>
      <w:tblGrid>
        <w:gridCol w:w="896"/>
        <w:gridCol w:w="1806"/>
        <w:gridCol w:w="2386"/>
        <w:gridCol w:w="2387"/>
        <w:gridCol w:w="2137"/>
      </w:tblGrid>
      <w:tr w14:paraId="09ADD9C0">
        <w:tblPrEx>
          <w:tblCellMar>
            <w:top w:w="0" w:type="dxa"/>
            <w:left w:w="108" w:type="dxa"/>
            <w:bottom w:w="0" w:type="dxa"/>
            <w:right w:w="108" w:type="dxa"/>
          </w:tblCellMar>
        </w:tblPrEx>
        <w:trPr>
          <w:trHeight w:val="918" w:hRule="atLeast"/>
          <w:jc w:val="center"/>
        </w:trPr>
        <w:tc>
          <w:tcPr>
            <w:tcW w:w="896" w:type="dxa"/>
            <w:tcBorders>
              <w:top w:val="single" w:color="auto" w:sz="6" w:space="0"/>
              <w:left w:val="single" w:color="auto" w:sz="6" w:space="0"/>
              <w:bottom w:val="single" w:color="auto" w:sz="6" w:space="0"/>
              <w:right w:val="single" w:color="auto" w:sz="6" w:space="0"/>
            </w:tcBorders>
            <w:noWrap w:val="0"/>
            <w:vAlign w:val="center"/>
          </w:tcPr>
          <w:p w14:paraId="3AE45FEC">
            <w:pPr>
              <w:pStyle w:val="3"/>
              <w:adjustRightInd w:val="0"/>
              <w:snapToGrid w:val="0"/>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序 号</w:t>
            </w:r>
          </w:p>
        </w:tc>
        <w:tc>
          <w:tcPr>
            <w:tcW w:w="1806" w:type="dxa"/>
            <w:tcBorders>
              <w:top w:val="single" w:color="auto" w:sz="6" w:space="0"/>
              <w:left w:val="single" w:color="auto" w:sz="6" w:space="0"/>
              <w:bottom w:val="single" w:color="auto" w:sz="6" w:space="0"/>
              <w:right w:val="single" w:color="auto" w:sz="6" w:space="0"/>
            </w:tcBorders>
            <w:noWrap w:val="0"/>
            <w:vAlign w:val="center"/>
          </w:tcPr>
          <w:p w14:paraId="4FEF1F16">
            <w:pPr>
              <w:pStyle w:val="3"/>
              <w:adjustRightInd w:val="0"/>
              <w:snapToGrid w:val="0"/>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内容</w:t>
            </w:r>
          </w:p>
        </w:tc>
        <w:tc>
          <w:tcPr>
            <w:tcW w:w="2386" w:type="dxa"/>
            <w:tcBorders>
              <w:top w:val="single" w:color="auto" w:sz="6" w:space="0"/>
              <w:left w:val="single" w:color="auto" w:sz="6" w:space="0"/>
              <w:bottom w:val="single" w:color="auto" w:sz="6" w:space="0"/>
              <w:right w:val="single" w:color="auto" w:sz="6" w:space="0"/>
            </w:tcBorders>
            <w:noWrap w:val="0"/>
            <w:vAlign w:val="center"/>
          </w:tcPr>
          <w:p w14:paraId="6D8D215B">
            <w:pPr>
              <w:pStyle w:val="3"/>
              <w:adjustRightInd w:val="0"/>
              <w:snapToGrid w:val="0"/>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采购文件规范要求</w:t>
            </w:r>
          </w:p>
        </w:tc>
        <w:tc>
          <w:tcPr>
            <w:tcW w:w="2387" w:type="dxa"/>
            <w:tcBorders>
              <w:top w:val="single" w:color="auto" w:sz="6" w:space="0"/>
              <w:left w:val="single" w:color="auto" w:sz="6" w:space="0"/>
              <w:bottom w:val="single" w:color="auto" w:sz="6" w:space="0"/>
              <w:right w:val="single" w:color="auto" w:sz="6" w:space="0"/>
            </w:tcBorders>
            <w:noWrap w:val="0"/>
            <w:vAlign w:val="center"/>
          </w:tcPr>
          <w:p w14:paraId="6ACF01B6">
            <w:pPr>
              <w:pStyle w:val="3"/>
              <w:adjustRightInd w:val="0"/>
              <w:snapToGrid w:val="0"/>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投标响应文件对应规范</w:t>
            </w:r>
          </w:p>
        </w:tc>
        <w:tc>
          <w:tcPr>
            <w:tcW w:w="2137" w:type="dxa"/>
            <w:tcBorders>
              <w:top w:val="single" w:color="auto" w:sz="6" w:space="0"/>
              <w:left w:val="single" w:color="auto" w:sz="6" w:space="0"/>
              <w:bottom w:val="single" w:color="auto" w:sz="6" w:space="0"/>
              <w:right w:val="single" w:color="auto" w:sz="6" w:space="0"/>
            </w:tcBorders>
            <w:noWrap w:val="0"/>
            <w:vAlign w:val="center"/>
          </w:tcPr>
          <w:p w14:paraId="3351CD4D">
            <w:pPr>
              <w:pStyle w:val="3"/>
              <w:adjustRightInd w:val="0"/>
              <w:snapToGrid w:val="0"/>
              <w:spacing w:line="400" w:lineRule="exact"/>
              <w:rPr>
                <w:rFonts w:hint="eastAsia" w:ascii="宋体" w:hAnsi="宋体" w:eastAsia="宋体" w:cs="宋体"/>
                <w:sz w:val="24"/>
                <w:lang w:val="en-US" w:eastAsia="zh-CN"/>
              </w:rPr>
            </w:pPr>
            <w:r>
              <w:rPr>
                <w:rFonts w:hint="eastAsia" w:ascii="宋体" w:hAnsi="宋体" w:eastAsia="宋体" w:cs="宋体"/>
                <w:sz w:val="24"/>
                <w:lang w:val="en-US" w:eastAsia="zh-CN"/>
              </w:rPr>
              <w:t>备 注</w:t>
            </w:r>
          </w:p>
        </w:tc>
      </w:tr>
      <w:tr w14:paraId="312B7687">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2EB36E3C">
            <w:pPr>
              <w:pStyle w:val="3"/>
              <w:adjustRightInd w:val="0"/>
              <w:snapToGrid w:val="0"/>
              <w:spacing w:line="400" w:lineRule="exact"/>
              <w:rPr>
                <w:rFonts w:hint="eastAsia" w:ascii="宋体" w:hAnsi="宋体" w:eastAsia="宋体" w:cs="宋体"/>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44CBEF72">
            <w:pPr>
              <w:pStyle w:val="3"/>
              <w:adjustRightInd w:val="0"/>
              <w:snapToGrid w:val="0"/>
              <w:spacing w:line="400" w:lineRule="exact"/>
              <w:rPr>
                <w:rFonts w:hint="eastAsia" w:ascii="宋体" w:hAnsi="宋体" w:eastAsia="宋体" w:cs="宋体"/>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032BF278">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4712A689">
            <w:pPr>
              <w:pStyle w:val="3"/>
              <w:adjustRightInd w:val="0"/>
              <w:snapToGrid w:val="0"/>
              <w:spacing w:line="400" w:lineRule="exact"/>
              <w:rPr>
                <w:rFonts w:hint="eastAsia" w:ascii="宋体" w:hAnsi="宋体" w:eastAsia="宋体" w:cs="宋体"/>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4DD9F1FD">
            <w:pPr>
              <w:pStyle w:val="3"/>
              <w:adjustRightInd w:val="0"/>
              <w:snapToGrid w:val="0"/>
              <w:spacing w:line="400" w:lineRule="exact"/>
              <w:rPr>
                <w:rFonts w:hint="eastAsia" w:ascii="宋体" w:hAnsi="宋体" w:eastAsia="宋体" w:cs="宋体"/>
                <w:sz w:val="24"/>
                <w:lang w:val="en-US" w:eastAsia="zh-CN"/>
              </w:rPr>
            </w:pPr>
          </w:p>
        </w:tc>
      </w:tr>
      <w:tr w14:paraId="6CAC3DDF">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26FCF32C">
            <w:pPr>
              <w:pStyle w:val="3"/>
              <w:adjustRightInd w:val="0"/>
              <w:snapToGrid w:val="0"/>
              <w:spacing w:line="400" w:lineRule="exact"/>
              <w:rPr>
                <w:rFonts w:hint="eastAsia" w:ascii="宋体" w:hAnsi="宋体" w:eastAsia="宋体" w:cs="宋体"/>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13E6B186">
            <w:pPr>
              <w:pStyle w:val="3"/>
              <w:adjustRightInd w:val="0"/>
              <w:snapToGrid w:val="0"/>
              <w:spacing w:line="400" w:lineRule="exact"/>
              <w:rPr>
                <w:rFonts w:hint="eastAsia" w:ascii="宋体" w:hAnsi="宋体" w:eastAsia="宋体" w:cs="宋体"/>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00132D73">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320C873">
            <w:pPr>
              <w:pStyle w:val="3"/>
              <w:adjustRightInd w:val="0"/>
              <w:snapToGrid w:val="0"/>
              <w:spacing w:line="400" w:lineRule="exact"/>
              <w:rPr>
                <w:rFonts w:hint="eastAsia" w:ascii="宋体" w:hAnsi="宋体" w:eastAsia="宋体" w:cs="宋体"/>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130FF9A3">
            <w:pPr>
              <w:pStyle w:val="3"/>
              <w:adjustRightInd w:val="0"/>
              <w:snapToGrid w:val="0"/>
              <w:spacing w:line="400" w:lineRule="exact"/>
              <w:rPr>
                <w:rFonts w:hint="eastAsia" w:ascii="宋体" w:hAnsi="宋体" w:eastAsia="宋体" w:cs="宋体"/>
                <w:sz w:val="24"/>
                <w:lang w:val="en-US" w:eastAsia="zh-CN"/>
              </w:rPr>
            </w:pPr>
          </w:p>
        </w:tc>
      </w:tr>
      <w:tr w14:paraId="21364B44">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1E32D848">
            <w:pPr>
              <w:pStyle w:val="3"/>
              <w:adjustRightInd w:val="0"/>
              <w:snapToGrid w:val="0"/>
              <w:spacing w:line="400" w:lineRule="exact"/>
              <w:rPr>
                <w:rFonts w:hint="eastAsia" w:ascii="宋体" w:hAnsi="宋体" w:eastAsia="宋体" w:cs="宋体"/>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5F6C8F07">
            <w:pPr>
              <w:pStyle w:val="3"/>
              <w:adjustRightInd w:val="0"/>
              <w:snapToGrid w:val="0"/>
              <w:spacing w:line="400" w:lineRule="exact"/>
              <w:rPr>
                <w:rFonts w:hint="eastAsia" w:ascii="宋体" w:hAnsi="宋体" w:eastAsia="宋体" w:cs="宋体"/>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2FE70843">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BCCC183">
            <w:pPr>
              <w:pStyle w:val="3"/>
              <w:adjustRightInd w:val="0"/>
              <w:snapToGrid w:val="0"/>
              <w:spacing w:line="400" w:lineRule="exact"/>
              <w:rPr>
                <w:rFonts w:hint="eastAsia" w:ascii="宋体" w:hAnsi="宋体" w:eastAsia="宋体" w:cs="宋体"/>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59C3FA7A">
            <w:pPr>
              <w:pStyle w:val="3"/>
              <w:adjustRightInd w:val="0"/>
              <w:snapToGrid w:val="0"/>
              <w:spacing w:line="400" w:lineRule="exact"/>
              <w:rPr>
                <w:rFonts w:hint="eastAsia" w:ascii="宋体" w:hAnsi="宋体" w:eastAsia="宋体" w:cs="宋体"/>
                <w:sz w:val="24"/>
                <w:lang w:val="en-US" w:eastAsia="zh-CN"/>
              </w:rPr>
            </w:pPr>
          </w:p>
        </w:tc>
      </w:tr>
      <w:tr w14:paraId="309056DE">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6F378CA2">
            <w:pPr>
              <w:pStyle w:val="3"/>
              <w:adjustRightInd w:val="0"/>
              <w:snapToGrid w:val="0"/>
              <w:spacing w:line="400" w:lineRule="exact"/>
              <w:rPr>
                <w:rFonts w:hint="eastAsia" w:ascii="宋体" w:hAnsi="宋体" w:eastAsia="宋体" w:cs="宋体"/>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184091EB">
            <w:pPr>
              <w:pStyle w:val="3"/>
              <w:adjustRightInd w:val="0"/>
              <w:snapToGrid w:val="0"/>
              <w:spacing w:line="400" w:lineRule="exact"/>
              <w:rPr>
                <w:rFonts w:hint="eastAsia" w:ascii="宋体" w:hAnsi="宋体" w:eastAsia="宋体" w:cs="宋体"/>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786DAACE">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B16BD07">
            <w:pPr>
              <w:pStyle w:val="3"/>
              <w:adjustRightInd w:val="0"/>
              <w:snapToGrid w:val="0"/>
              <w:spacing w:line="400" w:lineRule="exact"/>
              <w:rPr>
                <w:rFonts w:hint="eastAsia" w:ascii="宋体" w:hAnsi="宋体" w:eastAsia="宋体" w:cs="宋体"/>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48A142D6">
            <w:pPr>
              <w:pStyle w:val="3"/>
              <w:adjustRightInd w:val="0"/>
              <w:snapToGrid w:val="0"/>
              <w:spacing w:line="400" w:lineRule="exact"/>
              <w:rPr>
                <w:rFonts w:hint="eastAsia" w:ascii="宋体" w:hAnsi="宋体" w:eastAsia="宋体" w:cs="宋体"/>
                <w:sz w:val="24"/>
                <w:lang w:val="en-US" w:eastAsia="zh-CN"/>
              </w:rPr>
            </w:pPr>
          </w:p>
        </w:tc>
      </w:tr>
      <w:tr w14:paraId="499A0C70">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29BCFC3D">
            <w:pPr>
              <w:pStyle w:val="3"/>
              <w:adjustRightInd w:val="0"/>
              <w:snapToGrid w:val="0"/>
              <w:spacing w:line="400" w:lineRule="exact"/>
              <w:rPr>
                <w:rFonts w:hint="eastAsia" w:ascii="宋体" w:hAnsi="宋体" w:eastAsia="宋体" w:cs="宋体"/>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11CCFFC3">
            <w:pPr>
              <w:pStyle w:val="3"/>
              <w:adjustRightInd w:val="0"/>
              <w:snapToGrid w:val="0"/>
              <w:spacing w:line="400" w:lineRule="exact"/>
              <w:rPr>
                <w:rFonts w:hint="eastAsia" w:ascii="宋体" w:hAnsi="宋体" w:eastAsia="宋体" w:cs="宋体"/>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2C3F8F9F">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29AAA887">
            <w:pPr>
              <w:pStyle w:val="3"/>
              <w:adjustRightInd w:val="0"/>
              <w:snapToGrid w:val="0"/>
              <w:spacing w:line="400" w:lineRule="exact"/>
              <w:rPr>
                <w:rFonts w:hint="eastAsia" w:ascii="宋体" w:hAnsi="宋体" w:eastAsia="宋体" w:cs="宋体"/>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554C7AEF">
            <w:pPr>
              <w:pStyle w:val="3"/>
              <w:adjustRightInd w:val="0"/>
              <w:snapToGrid w:val="0"/>
              <w:spacing w:line="400" w:lineRule="exact"/>
              <w:rPr>
                <w:rFonts w:hint="eastAsia" w:ascii="宋体" w:hAnsi="宋体" w:eastAsia="宋体" w:cs="宋体"/>
                <w:sz w:val="24"/>
                <w:lang w:val="en-US" w:eastAsia="zh-CN"/>
              </w:rPr>
            </w:pPr>
          </w:p>
        </w:tc>
      </w:tr>
      <w:tr w14:paraId="4AD8A4BA">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26D3330B">
            <w:pPr>
              <w:pStyle w:val="3"/>
              <w:adjustRightInd w:val="0"/>
              <w:snapToGrid w:val="0"/>
              <w:spacing w:line="400" w:lineRule="exact"/>
              <w:rPr>
                <w:rFonts w:hint="eastAsia" w:ascii="宋体" w:hAnsi="宋体" w:eastAsia="宋体" w:cs="宋体"/>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3DB169C3">
            <w:pPr>
              <w:pStyle w:val="3"/>
              <w:adjustRightInd w:val="0"/>
              <w:snapToGrid w:val="0"/>
              <w:spacing w:line="400" w:lineRule="exact"/>
              <w:rPr>
                <w:rFonts w:hint="eastAsia" w:ascii="宋体" w:hAnsi="宋体" w:eastAsia="宋体" w:cs="宋体"/>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44F57DFC">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73AA515A">
            <w:pPr>
              <w:pStyle w:val="3"/>
              <w:adjustRightInd w:val="0"/>
              <w:snapToGrid w:val="0"/>
              <w:spacing w:line="400" w:lineRule="exact"/>
              <w:rPr>
                <w:rFonts w:hint="eastAsia" w:ascii="宋体" w:hAnsi="宋体" w:eastAsia="宋体" w:cs="宋体"/>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6167474F">
            <w:pPr>
              <w:pStyle w:val="3"/>
              <w:adjustRightInd w:val="0"/>
              <w:snapToGrid w:val="0"/>
              <w:spacing w:line="400" w:lineRule="exact"/>
              <w:rPr>
                <w:rFonts w:hint="eastAsia" w:ascii="宋体" w:hAnsi="宋体" w:eastAsia="宋体" w:cs="宋体"/>
                <w:sz w:val="24"/>
                <w:lang w:val="en-US" w:eastAsia="zh-CN"/>
              </w:rPr>
            </w:pPr>
          </w:p>
        </w:tc>
      </w:tr>
      <w:tr w14:paraId="5BEE3A97">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4C57AFFE">
            <w:pPr>
              <w:pStyle w:val="3"/>
              <w:adjustRightInd w:val="0"/>
              <w:snapToGrid w:val="0"/>
              <w:spacing w:line="400" w:lineRule="exact"/>
              <w:rPr>
                <w:rFonts w:hint="eastAsia" w:ascii="宋体" w:hAnsi="宋体" w:eastAsia="宋体" w:cs="宋体"/>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5C950940">
            <w:pPr>
              <w:pStyle w:val="3"/>
              <w:adjustRightInd w:val="0"/>
              <w:snapToGrid w:val="0"/>
              <w:spacing w:line="400" w:lineRule="exact"/>
              <w:rPr>
                <w:rFonts w:hint="eastAsia" w:ascii="宋体" w:hAnsi="宋体" w:eastAsia="宋体" w:cs="宋体"/>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44515FDB">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DD3A8A9">
            <w:pPr>
              <w:pStyle w:val="3"/>
              <w:adjustRightInd w:val="0"/>
              <w:snapToGrid w:val="0"/>
              <w:spacing w:line="400" w:lineRule="exact"/>
              <w:rPr>
                <w:rFonts w:hint="eastAsia" w:ascii="宋体" w:hAnsi="宋体" w:eastAsia="宋体" w:cs="宋体"/>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778016F3">
            <w:pPr>
              <w:pStyle w:val="3"/>
              <w:adjustRightInd w:val="0"/>
              <w:snapToGrid w:val="0"/>
              <w:spacing w:line="400" w:lineRule="exact"/>
              <w:rPr>
                <w:rFonts w:hint="eastAsia" w:ascii="宋体" w:hAnsi="宋体" w:eastAsia="宋体" w:cs="宋体"/>
                <w:sz w:val="24"/>
                <w:lang w:val="en-US" w:eastAsia="zh-CN"/>
              </w:rPr>
            </w:pPr>
          </w:p>
        </w:tc>
      </w:tr>
      <w:tr w14:paraId="414F9840">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7B834AC2">
            <w:pPr>
              <w:pStyle w:val="3"/>
              <w:adjustRightInd w:val="0"/>
              <w:snapToGrid w:val="0"/>
              <w:spacing w:line="400" w:lineRule="exact"/>
              <w:rPr>
                <w:rFonts w:hint="eastAsia" w:ascii="宋体" w:hAnsi="宋体" w:eastAsia="宋体" w:cs="宋体"/>
                <w:sz w:val="24"/>
                <w:lang w:val="en-US" w:eastAsia="zh-CN"/>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062A671B">
            <w:pPr>
              <w:pStyle w:val="3"/>
              <w:adjustRightInd w:val="0"/>
              <w:snapToGrid w:val="0"/>
              <w:spacing w:line="400" w:lineRule="exact"/>
              <w:rPr>
                <w:rFonts w:hint="eastAsia" w:ascii="宋体" w:hAnsi="宋体" w:eastAsia="宋体" w:cs="宋体"/>
                <w:sz w:val="24"/>
                <w:lang w:val="en-US" w:eastAsia="zh-CN"/>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3E466013">
            <w:pPr>
              <w:pStyle w:val="3"/>
              <w:adjustRightInd w:val="0"/>
              <w:snapToGrid w:val="0"/>
              <w:spacing w:line="400" w:lineRule="exact"/>
              <w:rPr>
                <w:rFonts w:hint="eastAsia" w:ascii="宋体" w:hAnsi="宋体" w:eastAsia="宋体" w:cs="宋体"/>
                <w:sz w:val="24"/>
                <w:lang w:val="en-US" w:eastAsia="zh-CN"/>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465DBFC1">
            <w:pPr>
              <w:pStyle w:val="3"/>
              <w:adjustRightInd w:val="0"/>
              <w:snapToGrid w:val="0"/>
              <w:spacing w:line="400" w:lineRule="exact"/>
              <w:rPr>
                <w:rFonts w:hint="eastAsia" w:ascii="宋体" w:hAnsi="宋体" w:eastAsia="宋体" w:cs="宋体"/>
                <w:sz w:val="24"/>
                <w:lang w:val="en-US" w:eastAsia="zh-CN"/>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14C1B204">
            <w:pPr>
              <w:pStyle w:val="3"/>
              <w:adjustRightInd w:val="0"/>
              <w:snapToGrid w:val="0"/>
              <w:spacing w:line="400" w:lineRule="exact"/>
              <w:rPr>
                <w:rFonts w:hint="eastAsia" w:ascii="宋体" w:hAnsi="宋体" w:eastAsia="宋体" w:cs="宋体"/>
                <w:sz w:val="24"/>
                <w:lang w:val="en-US" w:eastAsia="zh-CN"/>
              </w:rPr>
            </w:pPr>
          </w:p>
        </w:tc>
      </w:tr>
    </w:tbl>
    <w:p w14:paraId="50152214">
      <w:pPr>
        <w:pStyle w:val="3"/>
        <w:adjustRightInd w:val="0"/>
        <w:snapToGrid w:val="0"/>
        <w:spacing w:line="400" w:lineRule="exact"/>
        <w:ind w:firstLine="315" w:firstLineChars="150"/>
        <w:rPr>
          <w:rFonts w:hint="eastAsia" w:ascii="宋体" w:hAnsi="宋体" w:eastAsia="宋体" w:cs="宋体"/>
          <w:sz w:val="24"/>
        </w:rPr>
      </w:pPr>
      <w:r>
        <w:rPr>
          <w:rFonts w:hint="eastAsia" w:ascii="宋体" w:hAnsi="宋体" w:eastAsia="宋体" w:cs="宋体"/>
          <w:iCs/>
        </w:rPr>
        <w:t>注：供应商须如实填写上表，</w:t>
      </w:r>
      <w:r>
        <w:rPr>
          <w:rFonts w:hint="eastAsia" w:ascii="宋体" w:hAnsi="宋体" w:eastAsia="宋体" w:cs="宋体"/>
          <w:szCs w:val="21"/>
        </w:rPr>
        <w:t>没有填写此表或未提供视为完全响应</w:t>
      </w:r>
      <w:r>
        <w:rPr>
          <w:rFonts w:hint="eastAsia" w:ascii="宋体" w:hAnsi="宋体" w:eastAsia="宋体" w:cs="宋体"/>
          <w:szCs w:val="21"/>
          <w:lang w:eastAsia="zh-CN"/>
        </w:rPr>
        <w:t>采购文件</w:t>
      </w:r>
      <w:r>
        <w:rPr>
          <w:rFonts w:hint="eastAsia" w:ascii="宋体" w:hAnsi="宋体" w:eastAsia="宋体" w:cs="宋体"/>
          <w:szCs w:val="21"/>
        </w:rPr>
        <w:t>要求。</w:t>
      </w:r>
    </w:p>
    <w:p w14:paraId="182D80AC">
      <w:pPr>
        <w:pStyle w:val="3"/>
        <w:adjustRightInd w:val="0"/>
        <w:snapToGrid w:val="0"/>
        <w:spacing w:line="400" w:lineRule="exact"/>
        <w:rPr>
          <w:rFonts w:hint="eastAsia" w:ascii="宋体" w:hAnsi="宋体" w:eastAsia="宋体" w:cs="宋体"/>
          <w:sz w:val="24"/>
        </w:rPr>
      </w:pPr>
    </w:p>
    <w:p w14:paraId="735E9518">
      <w:pPr>
        <w:pStyle w:val="3"/>
        <w:adjustRightInd w:val="0"/>
        <w:snapToGrid w:val="0"/>
        <w:spacing w:line="400" w:lineRule="exact"/>
        <w:rPr>
          <w:rFonts w:hint="eastAsia" w:ascii="宋体" w:hAnsi="宋体" w:eastAsia="宋体" w:cs="宋体"/>
          <w:sz w:val="24"/>
        </w:rPr>
      </w:pPr>
      <w:r>
        <w:rPr>
          <w:rFonts w:hint="eastAsia" w:ascii="宋体" w:hAnsi="宋体" w:eastAsia="宋体" w:cs="宋体"/>
          <w:sz w:val="24"/>
        </w:rPr>
        <w:t>供应商电子签章：</w:t>
      </w:r>
    </w:p>
    <w:p w14:paraId="18C4D10A">
      <w:pPr>
        <w:pStyle w:val="3"/>
        <w:spacing w:line="460" w:lineRule="atLeast"/>
        <w:rPr>
          <w:rFonts w:hint="eastAsia" w:ascii="宋体" w:hAnsi="宋体" w:eastAsia="宋体" w:cs="宋体"/>
          <w:b/>
          <w:sz w:val="32"/>
          <w:lang w:val="en-US" w:eastAsia="zh-CN"/>
        </w:rPr>
      </w:pPr>
      <w:r>
        <w:rPr>
          <w:rFonts w:hint="eastAsia" w:ascii="宋体" w:hAnsi="宋体" w:eastAsia="宋体" w:cs="宋体"/>
          <w:sz w:val="24"/>
        </w:rPr>
        <w:br w:type="page"/>
      </w:r>
      <w:r>
        <w:rPr>
          <w:rFonts w:hint="eastAsia" w:ascii="宋体" w:hAnsi="宋体" w:eastAsia="宋体" w:cs="宋体"/>
          <w:b/>
          <w:sz w:val="32"/>
          <w:lang w:val="en-US" w:eastAsia="zh-CN"/>
        </w:rPr>
        <w:t>2-5、</w:t>
      </w:r>
      <w:r>
        <w:rPr>
          <w:rFonts w:hint="eastAsia" w:hAnsi="宋体" w:eastAsia="宋体" w:cs="宋体"/>
          <w:b/>
          <w:sz w:val="32"/>
          <w:lang w:val="en-US" w:eastAsia="zh-CN"/>
        </w:rPr>
        <w:t>类似</w:t>
      </w:r>
      <w:r>
        <w:rPr>
          <w:rFonts w:hint="eastAsia" w:ascii="宋体" w:hAnsi="宋体" w:eastAsia="宋体" w:cs="宋体"/>
          <w:b/>
          <w:sz w:val="32"/>
          <w:lang w:val="en-US" w:eastAsia="zh-CN"/>
        </w:rPr>
        <w:t>项目业绩</w:t>
      </w:r>
    </w:p>
    <w:p w14:paraId="000CC62E">
      <w:pPr>
        <w:pStyle w:val="3"/>
        <w:adjustRightInd w:val="0"/>
        <w:snapToGrid w:val="0"/>
        <w:spacing w:line="440" w:lineRule="atLeast"/>
        <w:jc w:val="center"/>
        <w:rPr>
          <w:rFonts w:hint="eastAsia" w:ascii="宋体" w:hAnsi="宋体" w:eastAsia="宋体" w:cs="宋体"/>
          <w:b/>
          <w:sz w:val="36"/>
          <w:szCs w:val="36"/>
        </w:rPr>
      </w:pPr>
      <w:r>
        <w:rPr>
          <w:rFonts w:hint="eastAsia" w:ascii="宋体" w:hAnsi="宋体" w:eastAsia="宋体" w:cs="宋体"/>
          <w:b/>
          <w:sz w:val="36"/>
          <w:szCs w:val="36"/>
        </w:rPr>
        <w:t>供应商</w:t>
      </w:r>
      <w:r>
        <w:rPr>
          <w:rFonts w:hint="eastAsia" w:hAnsi="宋体" w:eastAsia="宋体" w:cs="宋体"/>
          <w:b/>
          <w:sz w:val="36"/>
          <w:szCs w:val="36"/>
          <w:lang w:val="en-US" w:eastAsia="zh-CN"/>
        </w:rPr>
        <w:t>类似</w:t>
      </w:r>
      <w:r>
        <w:rPr>
          <w:rFonts w:hint="eastAsia" w:ascii="宋体" w:hAnsi="宋体" w:eastAsia="宋体" w:cs="宋体"/>
          <w:b/>
          <w:sz w:val="36"/>
          <w:szCs w:val="36"/>
        </w:rPr>
        <w:t>项目业绩一览表</w:t>
      </w:r>
    </w:p>
    <w:p w14:paraId="2934500D">
      <w:pPr>
        <w:spacing w:line="360" w:lineRule="auto"/>
        <w:ind w:firstLine="315" w:firstLineChars="150"/>
        <w:rPr>
          <w:rFonts w:hint="eastAsia" w:ascii="宋体" w:hAnsi="宋体" w:eastAsia="宋体" w:cs="宋体"/>
          <w:b/>
          <w:kern w:val="0"/>
          <w:u w:val="single"/>
        </w:rPr>
      </w:pPr>
      <w:r>
        <w:rPr>
          <w:rFonts w:hint="eastAsia" w:ascii="宋体" w:hAnsi="宋体" w:eastAsia="宋体" w:cs="宋体"/>
          <w:szCs w:val="21"/>
        </w:rPr>
        <w:t>项目名称：</w:t>
      </w:r>
      <w:r>
        <w:rPr>
          <w:rFonts w:hint="eastAsia" w:ascii="宋体" w:hAnsi="宋体" w:eastAsia="宋体" w:cs="宋体"/>
          <w:b/>
          <w:kern w:val="0"/>
          <w:u w:val="single"/>
        </w:rPr>
        <w:t xml:space="preserve">                                </w:t>
      </w:r>
    </w:p>
    <w:p w14:paraId="7357D644">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095"/>
        <w:gridCol w:w="1697"/>
        <w:gridCol w:w="1352"/>
        <w:gridCol w:w="1479"/>
      </w:tblGrid>
      <w:tr w14:paraId="2D80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2673" w:type="dxa"/>
            <w:tcBorders>
              <w:top w:val="single" w:color="auto" w:sz="12" w:space="0"/>
              <w:left w:val="single" w:color="auto" w:sz="12" w:space="0"/>
              <w:bottom w:val="single" w:color="auto" w:sz="4" w:space="0"/>
              <w:right w:val="single" w:color="auto" w:sz="4" w:space="0"/>
            </w:tcBorders>
            <w:noWrap w:val="0"/>
            <w:vAlign w:val="center"/>
          </w:tcPr>
          <w:p w14:paraId="47263B52">
            <w:pPr>
              <w:autoSpaceDE w:val="0"/>
              <w:autoSpaceDN w:val="0"/>
              <w:adjustRightInd w:val="0"/>
              <w:spacing w:line="360" w:lineRule="auto"/>
              <w:jc w:val="center"/>
              <w:rPr>
                <w:rFonts w:hint="default" w:ascii="宋体" w:hAnsi="宋体" w:eastAsia="宋体" w:cs="宋体"/>
                <w:bCs/>
                <w:lang w:val="en-US" w:eastAsia="zh-CN"/>
              </w:rPr>
            </w:pPr>
            <w:r>
              <w:rPr>
                <w:rFonts w:hint="eastAsia" w:ascii="宋体" w:hAnsi="宋体" w:eastAsia="宋体" w:cs="宋体"/>
                <w:bCs/>
                <w:lang w:val="en-US" w:eastAsia="zh-CN"/>
              </w:rPr>
              <w:t>采购单位</w:t>
            </w:r>
          </w:p>
        </w:tc>
        <w:tc>
          <w:tcPr>
            <w:tcW w:w="2095" w:type="dxa"/>
            <w:tcBorders>
              <w:top w:val="single" w:color="auto" w:sz="12" w:space="0"/>
              <w:left w:val="single" w:color="auto" w:sz="4" w:space="0"/>
              <w:right w:val="single" w:color="auto" w:sz="4" w:space="0"/>
            </w:tcBorders>
            <w:noWrap w:val="0"/>
            <w:vAlign w:val="center"/>
          </w:tcPr>
          <w:p w14:paraId="0147C493">
            <w:pPr>
              <w:autoSpaceDE w:val="0"/>
              <w:autoSpaceDN w:val="0"/>
              <w:adjustRightInd w:val="0"/>
              <w:spacing w:line="360" w:lineRule="auto"/>
              <w:jc w:val="center"/>
              <w:rPr>
                <w:rFonts w:hint="eastAsia" w:ascii="宋体" w:hAnsi="宋体" w:eastAsia="宋体" w:cs="宋体"/>
                <w:bCs/>
                <w:lang w:val="zh-CN"/>
              </w:rPr>
            </w:pPr>
            <w:r>
              <w:rPr>
                <w:rFonts w:hint="eastAsia" w:ascii="宋体" w:hAnsi="宋体" w:eastAsia="宋体" w:cs="宋体"/>
                <w:bCs/>
                <w:lang w:val="zh-CN"/>
              </w:rPr>
              <w:t>地址、联系电话</w:t>
            </w:r>
          </w:p>
        </w:tc>
        <w:tc>
          <w:tcPr>
            <w:tcW w:w="1697" w:type="dxa"/>
            <w:tcBorders>
              <w:top w:val="single" w:color="auto" w:sz="12" w:space="0"/>
              <w:left w:val="single" w:color="auto" w:sz="4" w:space="0"/>
              <w:right w:val="single" w:color="auto" w:sz="4" w:space="0"/>
            </w:tcBorders>
            <w:noWrap w:val="0"/>
            <w:vAlign w:val="center"/>
          </w:tcPr>
          <w:p w14:paraId="6FCF70EC">
            <w:pPr>
              <w:autoSpaceDE w:val="0"/>
              <w:autoSpaceDN w:val="0"/>
              <w:adjustRightInd w:val="0"/>
              <w:spacing w:line="360" w:lineRule="auto"/>
              <w:jc w:val="center"/>
              <w:rPr>
                <w:rFonts w:hint="eastAsia" w:ascii="宋体" w:hAnsi="宋体" w:eastAsia="宋体" w:cs="宋体"/>
                <w:bCs/>
                <w:lang w:val="zh-CN"/>
              </w:rPr>
            </w:pPr>
            <w:r>
              <w:rPr>
                <w:rFonts w:hint="eastAsia" w:ascii="宋体" w:hAnsi="宋体" w:eastAsia="宋体" w:cs="宋体"/>
                <w:bCs/>
                <w:lang w:val="zh-CN"/>
              </w:rPr>
              <w:t>合同起止时间</w:t>
            </w:r>
          </w:p>
        </w:tc>
        <w:tc>
          <w:tcPr>
            <w:tcW w:w="1352" w:type="dxa"/>
            <w:tcBorders>
              <w:top w:val="single" w:color="auto" w:sz="12" w:space="0"/>
              <w:left w:val="single" w:color="auto" w:sz="4" w:space="0"/>
              <w:right w:val="single" w:color="auto" w:sz="4" w:space="0"/>
            </w:tcBorders>
            <w:noWrap w:val="0"/>
            <w:vAlign w:val="center"/>
          </w:tcPr>
          <w:p w14:paraId="4D112ACC">
            <w:pPr>
              <w:autoSpaceDE w:val="0"/>
              <w:autoSpaceDN w:val="0"/>
              <w:adjustRightInd w:val="0"/>
              <w:spacing w:line="360" w:lineRule="auto"/>
              <w:jc w:val="center"/>
              <w:rPr>
                <w:rFonts w:hint="eastAsia" w:ascii="宋体" w:hAnsi="宋体" w:eastAsia="宋体" w:cs="宋体"/>
                <w:bCs/>
                <w:lang w:val="zh-CN"/>
              </w:rPr>
            </w:pPr>
            <w:r>
              <w:rPr>
                <w:rFonts w:hint="eastAsia" w:ascii="宋体" w:hAnsi="宋体" w:eastAsia="宋体" w:cs="宋体"/>
                <w:bCs/>
                <w:lang w:val="zh-CN"/>
              </w:rPr>
              <w:t>合同金额</w:t>
            </w:r>
          </w:p>
          <w:p w14:paraId="63637005">
            <w:pPr>
              <w:autoSpaceDE w:val="0"/>
              <w:autoSpaceDN w:val="0"/>
              <w:adjustRightInd w:val="0"/>
              <w:spacing w:line="360" w:lineRule="auto"/>
              <w:jc w:val="center"/>
              <w:rPr>
                <w:rFonts w:hint="eastAsia" w:ascii="宋体" w:hAnsi="宋体" w:eastAsia="宋体" w:cs="宋体"/>
                <w:bCs/>
                <w:lang w:val="zh-CN"/>
              </w:rPr>
            </w:pPr>
            <w:r>
              <w:rPr>
                <w:rFonts w:hint="eastAsia" w:ascii="宋体" w:hAnsi="宋体" w:eastAsia="宋体" w:cs="宋体"/>
                <w:bCs/>
                <w:lang w:val="zh-CN"/>
              </w:rPr>
              <w:t>（万元）</w:t>
            </w:r>
          </w:p>
        </w:tc>
        <w:tc>
          <w:tcPr>
            <w:tcW w:w="1479" w:type="dxa"/>
            <w:tcBorders>
              <w:top w:val="single" w:color="auto" w:sz="12" w:space="0"/>
              <w:left w:val="single" w:color="auto" w:sz="4" w:space="0"/>
              <w:bottom w:val="single" w:color="auto" w:sz="4" w:space="0"/>
              <w:right w:val="single" w:color="auto" w:sz="12" w:space="0"/>
            </w:tcBorders>
            <w:noWrap w:val="0"/>
            <w:vAlign w:val="center"/>
          </w:tcPr>
          <w:p w14:paraId="504CC52C">
            <w:pPr>
              <w:autoSpaceDE w:val="0"/>
              <w:autoSpaceDN w:val="0"/>
              <w:adjustRightInd w:val="0"/>
              <w:spacing w:line="360" w:lineRule="auto"/>
              <w:jc w:val="center"/>
              <w:rPr>
                <w:rFonts w:hint="default" w:ascii="宋体" w:hAnsi="宋体" w:eastAsia="宋体" w:cs="宋体"/>
                <w:bCs/>
                <w:lang w:val="en-US" w:eastAsia="zh-CN"/>
              </w:rPr>
            </w:pPr>
            <w:r>
              <w:rPr>
                <w:rFonts w:hint="eastAsia" w:ascii="宋体" w:hAnsi="宋体" w:eastAsia="宋体" w:cs="宋体"/>
                <w:bCs/>
                <w:lang w:val="en-US" w:eastAsia="zh-CN"/>
              </w:rPr>
              <w:t>采购项目/服务内容</w:t>
            </w:r>
          </w:p>
        </w:tc>
      </w:tr>
      <w:tr w14:paraId="687F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673" w:type="dxa"/>
            <w:tcBorders>
              <w:top w:val="single" w:color="auto" w:sz="4" w:space="0"/>
              <w:left w:val="single" w:color="auto" w:sz="12" w:space="0"/>
              <w:bottom w:val="single" w:color="auto" w:sz="4" w:space="0"/>
              <w:right w:val="single" w:color="auto" w:sz="4" w:space="0"/>
            </w:tcBorders>
            <w:noWrap w:val="0"/>
            <w:vAlign w:val="top"/>
          </w:tcPr>
          <w:p w14:paraId="2EC5BFCB">
            <w:pPr>
              <w:autoSpaceDE w:val="0"/>
              <w:autoSpaceDN w:val="0"/>
              <w:adjustRightInd w:val="0"/>
              <w:spacing w:line="360" w:lineRule="auto"/>
              <w:rPr>
                <w:rFonts w:hint="eastAsia" w:ascii="宋体" w:hAnsi="宋体" w:eastAsia="宋体" w:cs="宋体"/>
                <w:sz w:val="24"/>
                <w:lang w:val="zh-CN"/>
              </w:rPr>
            </w:pPr>
          </w:p>
        </w:tc>
        <w:tc>
          <w:tcPr>
            <w:tcW w:w="2095" w:type="dxa"/>
            <w:tcBorders>
              <w:left w:val="single" w:color="auto" w:sz="4" w:space="0"/>
              <w:right w:val="single" w:color="auto" w:sz="4" w:space="0"/>
            </w:tcBorders>
            <w:noWrap w:val="0"/>
            <w:vAlign w:val="top"/>
          </w:tcPr>
          <w:p w14:paraId="7A54B44B">
            <w:pPr>
              <w:autoSpaceDE w:val="0"/>
              <w:autoSpaceDN w:val="0"/>
              <w:adjustRightInd w:val="0"/>
              <w:spacing w:line="360" w:lineRule="auto"/>
              <w:rPr>
                <w:rFonts w:hint="eastAsia" w:ascii="宋体" w:hAnsi="宋体" w:eastAsia="宋体" w:cs="宋体"/>
                <w:sz w:val="24"/>
                <w:lang w:val="zh-CN"/>
              </w:rPr>
            </w:pPr>
          </w:p>
        </w:tc>
        <w:tc>
          <w:tcPr>
            <w:tcW w:w="1697" w:type="dxa"/>
            <w:tcBorders>
              <w:left w:val="single" w:color="auto" w:sz="4" w:space="0"/>
              <w:right w:val="single" w:color="auto" w:sz="4" w:space="0"/>
            </w:tcBorders>
            <w:noWrap w:val="0"/>
            <w:vAlign w:val="top"/>
          </w:tcPr>
          <w:p w14:paraId="7A02CEFE">
            <w:pPr>
              <w:autoSpaceDE w:val="0"/>
              <w:autoSpaceDN w:val="0"/>
              <w:adjustRightInd w:val="0"/>
              <w:spacing w:line="360" w:lineRule="auto"/>
              <w:rPr>
                <w:rFonts w:hint="eastAsia" w:ascii="宋体" w:hAnsi="宋体" w:eastAsia="宋体" w:cs="宋体"/>
                <w:sz w:val="24"/>
                <w:lang w:val="zh-CN"/>
              </w:rPr>
            </w:pPr>
          </w:p>
        </w:tc>
        <w:tc>
          <w:tcPr>
            <w:tcW w:w="1352" w:type="dxa"/>
            <w:tcBorders>
              <w:left w:val="single" w:color="auto" w:sz="4" w:space="0"/>
              <w:right w:val="single" w:color="auto" w:sz="4" w:space="0"/>
            </w:tcBorders>
            <w:noWrap w:val="0"/>
            <w:vAlign w:val="top"/>
          </w:tcPr>
          <w:p w14:paraId="537440ED">
            <w:pPr>
              <w:autoSpaceDE w:val="0"/>
              <w:autoSpaceDN w:val="0"/>
              <w:adjustRightInd w:val="0"/>
              <w:spacing w:line="360" w:lineRule="auto"/>
              <w:rPr>
                <w:rFonts w:hint="eastAsia" w:ascii="宋体" w:hAnsi="宋体" w:eastAsia="宋体" w:cs="宋体"/>
                <w:sz w:val="24"/>
                <w:lang w:val="zh-CN"/>
              </w:rPr>
            </w:pPr>
          </w:p>
        </w:tc>
        <w:tc>
          <w:tcPr>
            <w:tcW w:w="1479" w:type="dxa"/>
            <w:tcBorders>
              <w:top w:val="single" w:color="auto" w:sz="4" w:space="0"/>
              <w:left w:val="single" w:color="auto" w:sz="4" w:space="0"/>
              <w:bottom w:val="single" w:color="auto" w:sz="4" w:space="0"/>
              <w:right w:val="single" w:color="auto" w:sz="12" w:space="0"/>
            </w:tcBorders>
            <w:noWrap w:val="0"/>
            <w:vAlign w:val="top"/>
          </w:tcPr>
          <w:p w14:paraId="6E9B72CD">
            <w:pPr>
              <w:autoSpaceDE w:val="0"/>
              <w:autoSpaceDN w:val="0"/>
              <w:adjustRightInd w:val="0"/>
              <w:spacing w:line="360" w:lineRule="auto"/>
              <w:rPr>
                <w:rFonts w:hint="eastAsia" w:ascii="宋体" w:hAnsi="宋体" w:eastAsia="宋体" w:cs="宋体"/>
                <w:sz w:val="24"/>
                <w:lang w:val="zh-CN"/>
              </w:rPr>
            </w:pPr>
          </w:p>
        </w:tc>
      </w:tr>
      <w:tr w14:paraId="4C83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673" w:type="dxa"/>
            <w:tcBorders>
              <w:top w:val="single" w:color="auto" w:sz="4" w:space="0"/>
              <w:left w:val="single" w:color="auto" w:sz="12" w:space="0"/>
              <w:bottom w:val="single" w:color="auto" w:sz="4" w:space="0"/>
              <w:right w:val="single" w:color="auto" w:sz="4" w:space="0"/>
            </w:tcBorders>
            <w:noWrap w:val="0"/>
            <w:vAlign w:val="top"/>
          </w:tcPr>
          <w:p w14:paraId="5D43A225">
            <w:pPr>
              <w:autoSpaceDE w:val="0"/>
              <w:autoSpaceDN w:val="0"/>
              <w:adjustRightInd w:val="0"/>
              <w:spacing w:line="360" w:lineRule="auto"/>
              <w:rPr>
                <w:rFonts w:hint="eastAsia" w:ascii="宋体" w:hAnsi="宋体" w:eastAsia="宋体" w:cs="宋体"/>
                <w:sz w:val="24"/>
                <w:lang w:val="zh-CN"/>
              </w:rPr>
            </w:pPr>
          </w:p>
        </w:tc>
        <w:tc>
          <w:tcPr>
            <w:tcW w:w="2095" w:type="dxa"/>
            <w:tcBorders>
              <w:left w:val="single" w:color="auto" w:sz="4" w:space="0"/>
              <w:right w:val="single" w:color="auto" w:sz="4" w:space="0"/>
            </w:tcBorders>
            <w:noWrap w:val="0"/>
            <w:vAlign w:val="top"/>
          </w:tcPr>
          <w:p w14:paraId="4446159D">
            <w:pPr>
              <w:autoSpaceDE w:val="0"/>
              <w:autoSpaceDN w:val="0"/>
              <w:adjustRightInd w:val="0"/>
              <w:spacing w:line="360" w:lineRule="auto"/>
              <w:rPr>
                <w:rFonts w:hint="eastAsia" w:ascii="宋体" w:hAnsi="宋体" w:eastAsia="宋体" w:cs="宋体"/>
                <w:sz w:val="24"/>
                <w:lang w:val="zh-CN"/>
              </w:rPr>
            </w:pPr>
          </w:p>
        </w:tc>
        <w:tc>
          <w:tcPr>
            <w:tcW w:w="1697" w:type="dxa"/>
            <w:tcBorders>
              <w:left w:val="single" w:color="auto" w:sz="4" w:space="0"/>
              <w:right w:val="single" w:color="auto" w:sz="4" w:space="0"/>
            </w:tcBorders>
            <w:noWrap w:val="0"/>
            <w:vAlign w:val="top"/>
          </w:tcPr>
          <w:p w14:paraId="06E662D3">
            <w:pPr>
              <w:autoSpaceDE w:val="0"/>
              <w:autoSpaceDN w:val="0"/>
              <w:adjustRightInd w:val="0"/>
              <w:spacing w:line="360" w:lineRule="auto"/>
              <w:rPr>
                <w:rFonts w:hint="eastAsia" w:ascii="宋体" w:hAnsi="宋体" w:eastAsia="宋体" w:cs="宋体"/>
                <w:sz w:val="24"/>
                <w:lang w:val="zh-CN"/>
              </w:rPr>
            </w:pPr>
          </w:p>
        </w:tc>
        <w:tc>
          <w:tcPr>
            <w:tcW w:w="1352" w:type="dxa"/>
            <w:tcBorders>
              <w:left w:val="single" w:color="auto" w:sz="4" w:space="0"/>
              <w:right w:val="single" w:color="auto" w:sz="4" w:space="0"/>
            </w:tcBorders>
            <w:noWrap w:val="0"/>
            <w:vAlign w:val="top"/>
          </w:tcPr>
          <w:p w14:paraId="642034B1">
            <w:pPr>
              <w:autoSpaceDE w:val="0"/>
              <w:autoSpaceDN w:val="0"/>
              <w:adjustRightInd w:val="0"/>
              <w:spacing w:line="360" w:lineRule="auto"/>
              <w:rPr>
                <w:rFonts w:hint="eastAsia" w:ascii="宋体" w:hAnsi="宋体" w:eastAsia="宋体" w:cs="宋体"/>
                <w:sz w:val="24"/>
                <w:lang w:val="zh-CN"/>
              </w:rPr>
            </w:pPr>
          </w:p>
        </w:tc>
        <w:tc>
          <w:tcPr>
            <w:tcW w:w="1479" w:type="dxa"/>
            <w:tcBorders>
              <w:top w:val="single" w:color="auto" w:sz="4" w:space="0"/>
              <w:left w:val="single" w:color="auto" w:sz="4" w:space="0"/>
              <w:bottom w:val="single" w:color="auto" w:sz="4" w:space="0"/>
              <w:right w:val="single" w:color="auto" w:sz="12" w:space="0"/>
            </w:tcBorders>
            <w:noWrap w:val="0"/>
            <w:vAlign w:val="top"/>
          </w:tcPr>
          <w:p w14:paraId="17E70B1C">
            <w:pPr>
              <w:autoSpaceDE w:val="0"/>
              <w:autoSpaceDN w:val="0"/>
              <w:adjustRightInd w:val="0"/>
              <w:spacing w:line="360" w:lineRule="auto"/>
              <w:rPr>
                <w:rFonts w:hint="eastAsia" w:ascii="宋体" w:hAnsi="宋体" w:eastAsia="宋体" w:cs="宋体"/>
                <w:sz w:val="24"/>
                <w:lang w:val="zh-CN"/>
              </w:rPr>
            </w:pPr>
          </w:p>
        </w:tc>
      </w:tr>
      <w:tr w14:paraId="422E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673" w:type="dxa"/>
            <w:tcBorders>
              <w:top w:val="single" w:color="auto" w:sz="4" w:space="0"/>
              <w:left w:val="single" w:color="auto" w:sz="12" w:space="0"/>
              <w:bottom w:val="single" w:color="auto" w:sz="4" w:space="0"/>
              <w:right w:val="single" w:color="auto" w:sz="4" w:space="0"/>
            </w:tcBorders>
            <w:noWrap w:val="0"/>
            <w:vAlign w:val="top"/>
          </w:tcPr>
          <w:p w14:paraId="11887E82">
            <w:pPr>
              <w:autoSpaceDE w:val="0"/>
              <w:autoSpaceDN w:val="0"/>
              <w:adjustRightInd w:val="0"/>
              <w:spacing w:line="360" w:lineRule="auto"/>
              <w:rPr>
                <w:rFonts w:hint="eastAsia" w:ascii="宋体" w:hAnsi="宋体" w:eastAsia="宋体" w:cs="宋体"/>
                <w:sz w:val="24"/>
                <w:lang w:val="zh-CN"/>
              </w:rPr>
            </w:pPr>
          </w:p>
        </w:tc>
        <w:tc>
          <w:tcPr>
            <w:tcW w:w="2095" w:type="dxa"/>
            <w:tcBorders>
              <w:left w:val="single" w:color="auto" w:sz="4" w:space="0"/>
              <w:right w:val="single" w:color="auto" w:sz="4" w:space="0"/>
            </w:tcBorders>
            <w:noWrap w:val="0"/>
            <w:vAlign w:val="top"/>
          </w:tcPr>
          <w:p w14:paraId="438EE570">
            <w:pPr>
              <w:autoSpaceDE w:val="0"/>
              <w:autoSpaceDN w:val="0"/>
              <w:adjustRightInd w:val="0"/>
              <w:spacing w:line="360" w:lineRule="auto"/>
              <w:rPr>
                <w:rFonts w:hint="eastAsia" w:ascii="宋体" w:hAnsi="宋体" w:eastAsia="宋体" w:cs="宋体"/>
                <w:sz w:val="24"/>
                <w:lang w:val="zh-CN"/>
              </w:rPr>
            </w:pPr>
          </w:p>
        </w:tc>
        <w:tc>
          <w:tcPr>
            <w:tcW w:w="1697" w:type="dxa"/>
            <w:tcBorders>
              <w:left w:val="single" w:color="auto" w:sz="4" w:space="0"/>
              <w:right w:val="single" w:color="auto" w:sz="4" w:space="0"/>
            </w:tcBorders>
            <w:noWrap w:val="0"/>
            <w:vAlign w:val="top"/>
          </w:tcPr>
          <w:p w14:paraId="43571AF6">
            <w:pPr>
              <w:autoSpaceDE w:val="0"/>
              <w:autoSpaceDN w:val="0"/>
              <w:adjustRightInd w:val="0"/>
              <w:spacing w:line="360" w:lineRule="auto"/>
              <w:rPr>
                <w:rFonts w:hint="eastAsia" w:ascii="宋体" w:hAnsi="宋体" w:eastAsia="宋体" w:cs="宋体"/>
                <w:sz w:val="24"/>
                <w:lang w:val="zh-CN"/>
              </w:rPr>
            </w:pPr>
          </w:p>
        </w:tc>
        <w:tc>
          <w:tcPr>
            <w:tcW w:w="1352" w:type="dxa"/>
            <w:tcBorders>
              <w:left w:val="single" w:color="auto" w:sz="4" w:space="0"/>
              <w:right w:val="single" w:color="auto" w:sz="4" w:space="0"/>
            </w:tcBorders>
            <w:noWrap w:val="0"/>
            <w:vAlign w:val="top"/>
          </w:tcPr>
          <w:p w14:paraId="0E8765FC">
            <w:pPr>
              <w:autoSpaceDE w:val="0"/>
              <w:autoSpaceDN w:val="0"/>
              <w:adjustRightInd w:val="0"/>
              <w:spacing w:line="360" w:lineRule="auto"/>
              <w:rPr>
                <w:rFonts w:hint="eastAsia" w:ascii="宋体" w:hAnsi="宋体" w:eastAsia="宋体" w:cs="宋体"/>
                <w:sz w:val="24"/>
                <w:lang w:val="zh-CN"/>
              </w:rPr>
            </w:pPr>
          </w:p>
        </w:tc>
        <w:tc>
          <w:tcPr>
            <w:tcW w:w="1479" w:type="dxa"/>
            <w:tcBorders>
              <w:top w:val="single" w:color="auto" w:sz="4" w:space="0"/>
              <w:left w:val="single" w:color="auto" w:sz="4" w:space="0"/>
              <w:bottom w:val="single" w:color="auto" w:sz="4" w:space="0"/>
              <w:right w:val="single" w:color="auto" w:sz="12" w:space="0"/>
            </w:tcBorders>
            <w:noWrap w:val="0"/>
            <w:vAlign w:val="top"/>
          </w:tcPr>
          <w:p w14:paraId="41B5787D">
            <w:pPr>
              <w:autoSpaceDE w:val="0"/>
              <w:autoSpaceDN w:val="0"/>
              <w:adjustRightInd w:val="0"/>
              <w:spacing w:line="360" w:lineRule="auto"/>
              <w:rPr>
                <w:rFonts w:hint="eastAsia" w:ascii="宋体" w:hAnsi="宋体" w:eastAsia="宋体" w:cs="宋体"/>
                <w:sz w:val="24"/>
                <w:lang w:val="zh-CN"/>
              </w:rPr>
            </w:pPr>
          </w:p>
        </w:tc>
      </w:tr>
      <w:tr w14:paraId="7BF5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673" w:type="dxa"/>
            <w:tcBorders>
              <w:top w:val="single" w:color="auto" w:sz="4" w:space="0"/>
              <w:left w:val="single" w:color="auto" w:sz="12" w:space="0"/>
              <w:bottom w:val="single" w:color="auto" w:sz="4" w:space="0"/>
              <w:right w:val="single" w:color="auto" w:sz="4" w:space="0"/>
            </w:tcBorders>
            <w:noWrap w:val="0"/>
            <w:vAlign w:val="top"/>
          </w:tcPr>
          <w:p w14:paraId="1E991D79">
            <w:pPr>
              <w:autoSpaceDE w:val="0"/>
              <w:autoSpaceDN w:val="0"/>
              <w:adjustRightInd w:val="0"/>
              <w:spacing w:line="360" w:lineRule="auto"/>
              <w:rPr>
                <w:rFonts w:hint="eastAsia" w:ascii="宋体" w:hAnsi="宋体" w:eastAsia="宋体" w:cs="宋体"/>
                <w:sz w:val="24"/>
                <w:lang w:val="zh-CN"/>
              </w:rPr>
            </w:pPr>
          </w:p>
        </w:tc>
        <w:tc>
          <w:tcPr>
            <w:tcW w:w="2095" w:type="dxa"/>
            <w:tcBorders>
              <w:left w:val="single" w:color="auto" w:sz="4" w:space="0"/>
              <w:right w:val="single" w:color="auto" w:sz="4" w:space="0"/>
            </w:tcBorders>
            <w:noWrap w:val="0"/>
            <w:vAlign w:val="top"/>
          </w:tcPr>
          <w:p w14:paraId="28841D2C">
            <w:pPr>
              <w:autoSpaceDE w:val="0"/>
              <w:autoSpaceDN w:val="0"/>
              <w:adjustRightInd w:val="0"/>
              <w:spacing w:line="360" w:lineRule="auto"/>
              <w:rPr>
                <w:rFonts w:hint="eastAsia" w:ascii="宋体" w:hAnsi="宋体" w:eastAsia="宋体" w:cs="宋体"/>
                <w:sz w:val="24"/>
                <w:lang w:val="zh-CN"/>
              </w:rPr>
            </w:pPr>
          </w:p>
        </w:tc>
        <w:tc>
          <w:tcPr>
            <w:tcW w:w="1697" w:type="dxa"/>
            <w:tcBorders>
              <w:left w:val="single" w:color="auto" w:sz="4" w:space="0"/>
              <w:right w:val="single" w:color="auto" w:sz="4" w:space="0"/>
            </w:tcBorders>
            <w:noWrap w:val="0"/>
            <w:vAlign w:val="top"/>
          </w:tcPr>
          <w:p w14:paraId="484FDCAC">
            <w:pPr>
              <w:autoSpaceDE w:val="0"/>
              <w:autoSpaceDN w:val="0"/>
              <w:adjustRightInd w:val="0"/>
              <w:spacing w:line="360" w:lineRule="auto"/>
              <w:rPr>
                <w:rFonts w:hint="eastAsia" w:ascii="宋体" w:hAnsi="宋体" w:eastAsia="宋体" w:cs="宋体"/>
                <w:sz w:val="24"/>
                <w:lang w:val="zh-CN"/>
              </w:rPr>
            </w:pPr>
          </w:p>
        </w:tc>
        <w:tc>
          <w:tcPr>
            <w:tcW w:w="1352" w:type="dxa"/>
            <w:tcBorders>
              <w:left w:val="single" w:color="auto" w:sz="4" w:space="0"/>
              <w:right w:val="single" w:color="auto" w:sz="4" w:space="0"/>
            </w:tcBorders>
            <w:noWrap w:val="0"/>
            <w:vAlign w:val="top"/>
          </w:tcPr>
          <w:p w14:paraId="78DB25F9">
            <w:pPr>
              <w:autoSpaceDE w:val="0"/>
              <w:autoSpaceDN w:val="0"/>
              <w:adjustRightInd w:val="0"/>
              <w:spacing w:line="360" w:lineRule="auto"/>
              <w:rPr>
                <w:rFonts w:hint="eastAsia" w:ascii="宋体" w:hAnsi="宋体" w:eastAsia="宋体" w:cs="宋体"/>
                <w:sz w:val="24"/>
                <w:lang w:val="zh-CN"/>
              </w:rPr>
            </w:pPr>
          </w:p>
        </w:tc>
        <w:tc>
          <w:tcPr>
            <w:tcW w:w="1479" w:type="dxa"/>
            <w:tcBorders>
              <w:top w:val="single" w:color="auto" w:sz="4" w:space="0"/>
              <w:left w:val="single" w:color="auto" w:sz="4" w:space="0"/>
              <w:bottom w:val="single" w:color="auto" w:sz="4" w:space="0"/>
              <w:right w:val="single" w:color="auto" w:sz="12" w:space="0"/>
            </w:tcBorders>
            <w:noWrap w:val="0"/>
            <w:vAlign w:val="top"/>
          </w:tcPr>
          <w:p w14:paraId="6FD3B5C7">
            <w:pPr>
              <w:autoSpaceDE w:val="0"/>
              <w:autoSpaceDN w:val="0"/>
              <w:adjustRightInd w:val="0"/>
              <w:spacing w:line="360" w:lineRule="auto"/>
              <w:rPr>
                <w:rFonts w:hint="eastAsia" w:ascii="宋体" w:hAnsi="宋体" w:eastAsia="宋体" w:cs="宋体"/>
                <w:sz w:val="24"/>
                <w:lang w:val="zh-CN"/>
              </w:rPr>
            </w:pPr>
          </w:p>
        </w:tc>
      </w:tr>
      <w:tr w14:paraId="31D2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673" w:type="dxa"/>
            <w:tcBorders>
              <w:top w:val="single" w:color="auto" w:sz="4" w:space="0"/>
              <w:left w:val="single" w:color="auto" w:sz="12" w:space="0"/>
              <w:bottom w:val="single" w:color="auto" w:sz="4" w:space="0"/>
              <w:right w:val="single" w:color="auto" w:sz="4" w:space="0"/>
            </w:tcBorders>
            <w:noWrap w:val="0"/>
            <w:vAlign w:val="top"/>
          </w:tcPr>
          <w:p w14:paraId="753EBBE6">
            <w:pPr>
              <w:autoSpaceDE w:val="0"/>
              <w:autoSpaceDN w:val="0"/>
              <w:adjustRightInd w:val="0"/>
              <w:spacing w:line="360" w:lineRule="auto"/>
              <w:rPr>
                <w:rFonts w:hint="eastAsia" w:ascii="宋体" w:hAnsi="宋体" w:eastAsia="宋体" w:cs="宋体"/>
                <w:sz w:val="24"/>
                <w:lang w:val="zh-CN"/>
              </w:rPr>
            </w:pPr>
          </w:p>
        </w:tc>
        <w:tc>
          <w:tcPr>
            <w:tcW w:w="2095" w:type="dxa"/>
            <w:tcBorders>
              <w:left w:val="single" w:color="auto" w:sz="4" w:space="0"/>
              <w:right w:val="single" w:color="auto" w:sz="4" w:space="0"/>
            </w:tcBorders>
            <w:noWrap w:val="0"/>
            <w:vAlign w:val="top"/>
          </w:tcPr>
          <w:p w14:paraId="37AE1874">
            <w:pPr>
              <w:autoSpaceDE w:val="0"/>
              <w:autoSpaceDN w:val="0"/>
              <w:adjustRightInd w:val="0"/>
              <w:spacing w:line="360" w:lineRule="auto"/>
              <w:rPr>
                <w:rFonts w:hint="eastAsia" w:ascii="宋体" w:hAnsi="宋体" w:eastAsia="宋体" w:cs="宋体"/>
                <w:sz w:val="24"/>
                <w:lang w:val="zh-CN"/>
              </w:rPr>
            </w:pPr>
          </w:p>
        </w:tc>
        <w:tc>
          <w:tcPr>
            <w:tcW w:w="1697" w:type="dxa"/>
            <w:tcBorders>
              <w:left w:val="single" w:color="auto" w:sz="4" w:space="0"/>
              <w:right w:val="single" w:color="auto" w:sz="4" w:space="0"/>
            </w:tcBorders>
            <w:noWrap w:val="0"/>
            <w:vAlign w:val="top"/>
          </w:tcPr>
          <w:p w14:paraId="068E8871">
            <w:pPr>
              <w:autoSpaceDE w:val="0"/>
              <w:autoSpaceDN w:val="0"/>
              <w:adjustRightInd w:val="0"/>
              <w:spacing w:line="360" w:lineRule="auto"/>
              <w:rPr>
                <w:rFonts w:hint="eastAsia" w:ascii="宋体" w:hAnsi="宋体" w:eastAsia="宋体" w:cs="宋体"/>
                <w:sz w:val="24"/>
                <w:lang w:val="zh-CN"/>
              </w:rPr>
            </w:pPr>
          </w:p>
        </w:tc>
        <w:tc>
          <w:tcPr>
            <w:tcW w:w="1352" w:type="dxa"/>
            <w:tcBorders>
              <w:left w:val="single" w:color="auto" w:sz="4" w:space="0"/>
              <w:right w:val="single" w:color="auto" w:sz="4" w:space="0"/>
            </w:tcBorders>
            <w:noWrap w:val="0"/>
            <w:vAlign w:val="top"/>
          </w:tcPr>
          <w:p w14:paraId="72A77DDA">
            <w:pPr>
              <w:autoSpaceDE w:val="0"/>
              <w:autoSpaceDN w:val="0"/>
              <w:adjustRightInd w:val="0"/>
              <w:spacing w:line="360" w:lineRule="auto"/>
              <w:rPr>
                <w:rFonts w:hint="eastAsia" w:ascii="宋体" w:hAnsi="宋体" w:eastAsia="宋体" w:cs="宋体"/>
                <w:sz w:val="24"/>
                <w:lang w:val="zh-CN"/>
              </w:rPr>
            </w:pPr>
          </w:p>
        </w:tc>
        <w:tc>
          <w:tcPr>
            <w:tcW w:w="1479" w:type="dxa"/>
            <w:tcBorders>
              <w:top w:val="single" w:color="auto" w:sz="4" w:space="0"/>
              <w:left w:val="single" w:color="auto" w:sz="4" w:space="0"/>
              <w:bottom w:val="single" w:color="auto" w:sz="4" w:space="0"/>
              <w:right w:val="single" w:color="auto" w:sz="12" w:space="0"/>
            </w:tcBorders>
            <w:noWrap w:val="0"/>
            <w:vAlign w:val="top"/>
          </w:tcPr>
          <w:p w14:paraId="40A8C011">
            <w:pPr>
              <w:autoSpaceDE w:val="0"/>
              <w:autoSpaceDN w:val="0"/>
              <w:adjustRightInd w:val="0"/>
              <w:spacing w:line="360" w:lineRule="auto"/>
              <w:rPr>
                <w:rFonts w:hint="eastAsia" w:ascii="宋体" w:hAnsi="宋体" w:eastAsia="宋体" w:cs="宋体"/>
                <w:sz w:val="24"/>
                <w:lang w:val="zh-CN"/>
              </w:rPr>
            </w:pPr>
          </w:p>
        </w:tc>
      </w:tr>
      <w:tr w14:paraId="537C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673" w:type="dxa"/>
            <w:tcBorders>
              <w:top w:val="single" w:color="auto" w:sz="4" w:space="0"/>
              <w:left w:val="single" w:color="auto" w:sz="12" w:space="0"/>
              <w:bottom w:val="single" w:color="auto" w:sz="4" w:space="0"/>
              <w:right w:val="single" w:color="auto" w:sz="4" w:space="0"/>
            </w:tcBorders>
            <w:noWrap w:val="0"/>
            <w:vAlign w:val="top"/>
          </w:tcPr>
          <w:p w14:paraId="25A85373">
            <w:pPr>
              <w:autoSpaceDE w:val="0"/>
              <w:autoSpaceDN w:val="0"/>
              <w:adjustRightInd w:val="0"/>
              <w:spacing w:line="360" w:lineRule="auto"/>
              <w:rPr>
                <w:rFonts w:hint="eastAsia" w:ascii="宋体" w:hAnsi="宋体" w:eastAsia="宋体" w:cs="宋体"/>
                <w:sz w:val="24"/>
                <w:lang w:val="zh-CN"/>
              </w:rPr>
            </w:pPr>
          </w:p>
        </w:tc>
        <w:tc>
          <w:tcPr>
            <w:tcW w:w="2095" w:type="dxa"/>
            <w:tcBorders>
              <w:left w:val="single" w:color="auto" w:sz="4" w:space="0"/>
              <w:right w:val="single" w:color="auto" w:sz="4" w:space="0"/>
            </w:tcBorders>
            <w:noWrap w:val="0"/>
            <w:vAlign w:val="top"/>
          </w:tcPr>
          <w:p w14:paraId="427BC3FC">
            <w:pPr>
              <w:autoSpaceDE w:val="0"/>
              <w:autoSpaceDN w:val="0"/>
              <w:adjustRightInd w:val="0"/>
              <w:spacing w:line="360" w:lineRule="auto"/>
              <w:rPr>
                <w:rFonts w:hint="eastAsia" w:ascii="宋体" w:hAnsi="宋体" w:eastAsia="宋体" w:cs="宋体"/>
                <w:sz w:val="24"/>
                <w:lang w:val="zh-CN"/>
              </w:rPr>
            </w:pPr>
          </w:p>
        </w:tc>
        <w:tc>
          <w:tcPr>
            <w:tcW w:w="1697" w:type="dxa"/>
            <w:tcBorders>
              <w:left w:val="single" w:color="auto" w:sz="4" w:space="0"/>
              <w:right w:val="single" w:color="auto" w:sz="4" w:space="0"/>
            </w:tcBorders>
            <w:noWrap w:val="0"/>
            <w:vAlign w:val="top"/>
          </w:tcPr>
          <w:p w14:paraId="08C19F77">
            <w:pPr>
              <w:autoSpaceDE w:val="0"/>
              <w:autoSpaceDN w:val="0"/>
              <w:adjustRightInd w:val="0"/>
              <w:spacing w:line="360" w:lineRule="auto"/>
              <w:rPr>
                <w:rFonts w:hint="eastAsia" w:ascii="宋体" w:hAnsi="宋体" w:eastAsia="宋体" w:cs="宋体"/>
                <w:sz w:val="24"/>
                <w:lang w:val="zh-CN"/>
              </w:rPr>
            </w:pPr>
          </w:p>
        </w:tc>
        <w:tc>
          <w:tcPr>
            <w:tcW w:w="1352" w:type="dxa"/>
            <w:tcBorders>
              <w:left w:val="single" w:color="auto" w:sz="4" w:space="0"/>
              <w:right w:val="single" w:color="auto" w:sz="4" w:space="0"/>
            </w:tcBorders>
            <w:noWrap w:val="0"/>
            <w:vAlign w:val="top"/>
          </w:tcPr>
          <w:p w14:paraId="6F7D9207">
            <w:pPr>
              <w:autoSpaceDE w:val="0"/>
              <w:autoSpaceDN w:val="0"/>
              <w:adjustRightInd w:val="0"/>
              <w:spacing w:line="360" w:lineRule="auto"/>
              <w:rPr>
                <w:rFonts w:hint="eastAsia" w:ascii="宋体" w:hAnsi="宋体" w:eastAsia="宋体" w:cs="宋体"/>
                <w:sz w:val="24"/>
                <w:lang w:val="zh-CN"/>
              </w:rPr>
            </w:pPr>
          </w:p>
        </w:tc>
        <w:tc>
          <w:tcPr>
            <w:tcW w:w="1479" w:type="dxa"/>
            <w:tcBorders>
              <w:top w:val="single" w:color="auto" w:sz="4" w:space="0"/>
              <w:left w:val="single" w:color="auto" w:sz="4" w:space="0"/>
              <w:bottom w:val="single" w:color="auto" w:sz="4" w:space="0"/>
              <w:right w:val="single" w:color="auto" w:sz="12" w:space="0"/>
            </w:tcBorders>
            <w:noWrap w:val="0"/>
            <w:vAlign w:val="top"/>
          </w:tcPr>
          <w:p w14:paraId="4A0244FD">
            <w:pPr>
              <w:autoSpaceDE w:val="0"/>
              <w:autoSpaceDN w:val="0"/>
              <w:adjustRightInd w:val="0"/>
              <w:spacing w:line="360" w:lineRule="auto"/>
              <w:rPr>
                <w:rFonts w:hint="eastAsia" w:ascii="宋体" w:hAnsi="宋体" w:eastAsia="宋体" w:cs="宋体"/>
                <w:sz w:val="24"/>
                <w:lang w:val="zh-CN"/>
              </w:rPr>
            </w:pPr>
          </w:p>
        </w:tc>
      </w:tr>
      <w:tr w14:paraId="44E7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673" w:type="dxa"/>
            <w:tcBorders>
              <w:top w:val="single" w:color="auto" w:sz="4" w:space="0"/>
              <w:left w:val="single" w:color="auto" w:sz="12" w:space="0"/>
              <w:bottom w:val="single" w:color="auto" w:sz="12" w:space="0"/>
              <w:right w:val="single" w:color="auto" w:sz="4" w:space="0"/>
            </w:tcBorders>
            <w:noWrap w:val="0"/>
            <w:vAlign w:val="top"/>
          </w:tcPr>
          <w:p w14:paraId="3C925F57">
            <w:pPr>
              <w:autoSpaceDE w:val="0"/>
              <w:autoSpaceDN w:val="0"/>
              <w:adjustRightInd w:val="0"/>
              <w:spacing w:line="360" w:lineRule="auto"/>
              <w:rPr>
                <w:rFonts w:hint="eastAsia" w:ascii="宋体" w:hAnsi="宋体" w:eastAsia="宋体" w:cs="宋体"/>
                <w:sz w:val="24"/>
                <w:lang w:val="zh-CN"/>
              </w:rPr>
            </w:pPr>
          </w:p>
        </w:tc>
        <w:tc>
          <w:tcPr>
            <w:tcW w:w="2095" w:type="dxa"/>
            <w:tcBorders>
              <w:left w:val="single" w:color="auto" w:sz="4" w:space="0"/>
              <w:bottom w:val="single" w:color="auto" w:sz="12" w:space="0"/>
              <w:right w:val="single" w:color="auto" w:sz="4" w:space="0"/>
            </w:tcBorders>
            <w:noWrap w:val="0"/>
            <w:vAlign w:val="top"/>
          </w:tcPr>
          <w:p w14:paraId="5D620E62">
            <w:pPr>
              <w:autoSpaceDE w:val="0"/>
              <w:autoSpaceDN w:val="0"/>
              <w:adjustRightInd w:val="0"/>
              <w:spacing w:line="360" w:lineRule="auto"/>
              <w:rPr>
                <w:rFonts w:hint="eastAsia" w:ascii="宋体" w:hAnsi="宋体" w:eastAsia="宋体" w:cs="宋体"/>
                <w:sz w:val="24"/>
                <w:lang w:val="zh-CN"/>
              </w:rPr>
            </w:pPr>
          </w:p>
        </w:tc>
        <w:tc>
          <w:tcPr>
            <w:tcW w:w="1697" w:type="dxa"/>
            <w:tcBorders>
              <w:left w:val="single" w:color="auto" w:sz="4" w:space="0"/>
              <w:bottom w:val="single" w:color="auto" w:sz="12" w:space="0"/>
              <w:right w:val="single" w:color="auto" w:sz="4" w:space="0"/>
            </w:tcBorders>
            <w:noWrap w:val="0"/>
            <w:vAlign w:val="top"/>
          </w:tcPr>
          <w:p w14:paraId="5A587431">
            <w:pPr>
              <w:autoSpaceDE w:val="0"/>
              <w:autoSpaceDN w:val="0"/>
              <w:adjustRightInd w:val="0"/>
              <w:spacing w:line="360" w:lineRule="auto"/>
              <w:rPr>
                <w:rFonts w:hint="eastAsia" w:ascii="宋体" w:hAnsi="宋体" w:eastAsia="宋体" w:cs="宋体"/>
                <w:sz w:val="24"/>
                <w:lang w:val="zh-CN"/>
              </w:rPr>
            </w:pPr>
          </w:p>
        </w:tc>
        <w:tc>
          <w:tcPr>
            <w:tcW w:w="1352" w:type="dxa"/>
            <w:tcBorders>
              <w:left w:val="single" w:color="auto" w:sz="4" w:space="0"/>
              <w:bottom w:val="single" w:color="auto" w:sz="12" w:space="0"/>
              <w:right w:val="single" w:color="auto" w:sz="4" w:space="0"/>
            </w:tcBorders>
            <w:noWrap w:val="0"/>
            <w:vAlign w:val="top"/>
          </w:tcPr>
          <w:p w14:paraId="20472E4D">
            <w:pPr>
              <w:autoSpaceDE w:val="0"/>
              <w:autoSpaceDN w:val="0"/>
              <w:adjustRightInd w:val="0"/>
              <w:spacing w:line="360" w:lineRule="auto"/>
              <w:rPr>
                <w:rFonts w:hint="eastAsia" w:ascii="宋体" w:hAnsi="宋体" w:eastAsia="宋体" w:cs="宋体"/>
                <w:sz w:val="24"/>
                <w:lang w:val="zh-CN"/>
              </w:rPr>
            </w:pPr>
          </w:p>
        </w:tc>
        <w:tc>
          <w:tcPr>
            <w:tcW w:w="1479" w:type="dxa"/>
            <w:tcBorders>
              <w:top w:val="single" w:color="auto" w:sz="4" w:space="0"/>
              <w:left w:val="single" w:color="auto" w:sz="4" w:space="0"/>
              <w:bottom w:val="single" w:color="auto" w:sz="12" w:space="0"/>
              <w:right w:val="single" w:color="auto" w:sz="12" w:space="0"/>
            </w:tcBorders>
            <w:noWrap w:val="0"/>
            <w:vAlign w:val="top"/>
          </w:tcPr>
          <w:p w14:paraId="53987D9A">
            <w:pPr>
              <w:autoSpaceDE w:val="0"/>
              <w:autoSpaceDN w:val="0"/>
              <w:adjustRightInd w:val="0"/>
              <w:spacing w:line="360" w:lineRule="auto"/>
              <w:rPr>
                <w:rFonts w:hint="eastAsia" w:ascii="宋体" w:hAnsi="宋体" w:eastAsia="宋体" w:cs="宋体"/>
                <w:sz w:val="24"/>
                <w:lang w:val="zh-CN"/>
              </w:rPr>
            </w:pPr>
          </w:p>
        </w:tc>
      </w:tr>
    </w:tbl>
    <w:p w14:paraId="09874A43">
      <w:pPr>
        <w:snapToGrid w:val="0"/>
        <w:spacing w:line="500" w:lineRule="atLeast"/>
        <w:ind w:firstLine="552" w:firstLineChars="250"/>
        <w:rPr>
          <w:rFonts w:hint="default" w:ascii="宋体" w:hAnsi="宋体" w:eastAsia="宋体" w:cs="宋体"/>
          <w:b/>
          <w:sz w:val="22"/>
          <w:szCs w:val="22"/>
          <w:lang w:val="en-US" w:eastAsia="zh-CN"/>
        </w:rPr>
      </w:pPr>
      <w:r>
        <w:rPr>
          <w:rFonts w:hint="eastAsia" w:ascii="宋体" w:hAnsi="宋体" w:eastAsia="宋体" w:cs="宋体"/>
          <w:b/>
          <w:sz w:val="22"/>
          <w:szCs w:val="22"/>
          <w:lang w:val="en-US" w:eastAsia="zh-CN"/>
        </w:rPr>
        <w:t>后附资料见评分要求</w:t>
      </w:r>
    </w:p>
    <w:p w14:paraId="748FF811">
      <w:pPr>
        <w:snapToGrid w:val="0"/>
        <w:spacing w:line="500" w:lineRule="atLeast"/>
        <w:ind w:firstLine="552" w:firstLineChars="250"/>
        <w:rPr>
          <w:rFonts w:hint="eastAsia" w:ascii="宋体" w:hAnsi="宋体" w:eastAsia="宋体" w:cs="宋体"/>
          <w:b/>
          <w:sz w:val="22"/>
          <w:szCs w:val="22"/>
        </w:rPr>
      </w:pPr>
      <w:r>
        <w:rPr>
          <w:rFonts w:hint="eastAsia" w:ascii="宋体" w:hAnsi="宋体" w:eastAsia="宋体" w:cs="宋体"/>
          <w:b/>
          <w:sz w:val="22"/>
          <w:szCs w:val="22"/>
        </w:rPr>
        <w:t>供应商（电子签章）：</w:t>
      </w:r>
    </w:p>
    <w:p w14:paraId="101B6FDF">
      <w:pPr>
        <w:snapToGrid w:val="0"/>
        <w:spacing w:line="500" w:lineRule="atLeast"/>
        <w:ind w:firstLine="541" w:firstLineChars="245"/>
        <w:rPr>
          <w:rFonts w:hint="eastAsia" w:ascii="宋体" w:hAnsi="宋体" w:eastAsia="宋体" w:cs="宋体"/>
        </w:rPr>
      </w:pPr>
      <w:r>
        <w:rPr>
          <w:rFonts w:hint="eastAsia" w:ascii="宋体" w:hAnsi="宋体" w:eastAsia="宋体" w:cs="宋体"/>
          <w:b/>
          <w:sz w:val="22"/>
          <w:szCs w:val="22"/>
        </w:rPr>
        <w:t xml:space="preserve">日期：  </w:t>
      </w:r>
      <w:r>
        <w:rPr>
          <w:rFonts w:hint="eastAsia" w:ascii="宋体" w:hAnsi="宋体" w:eastAsia="宋体" w:cs="宋体"/>
        </w:rPr>
        <w:t xml:space="preserve">  </w:t>
      </w:r>
    </w:p>
    <w:p w14:paraId="2F2D29A7">
      <w:pPr>
        <w:snapToGrid w:val="0"/>
        <w:spacing w:line="500" w:lineRule="atLeast"/>
        <w:rPr>
          <w:rFonts w:hint="default" w:ascii="宋体" w:hAnsi="宋体" w:eastAsia="宋体"/>
          <w:sz w:val="28"/>
          <w:lang w:val="en-US" w:eastAsia="zh-CN"/>
        </w:rPr>
      </w:pPr>
      <w:r>
        <w:rPr>
          <w:rFonts w:hint="eastAsia" w:ascii="宋体" w:hAnsi="宋体" w:eastAsia="宋体" w:cs="宋体"/>
          <w:b/>
          <w:sz w:val="32"/>
        </w:rPr>
        <w:br w:type="page"/>
      </w:r>
      <w:r>
        <w:rPr>
          <w:rFonts w:hint="eastAsia" w:ascii="宋体" w:hAnsi="宋体" w:eastAsia="宋体" w:cs="宋体"/>
          <w:b/>
          <w:sz w:val="32"/>
          <w:szCs w:val="22"/>
          <w:lang w:val="en-US" w:eastAsia="zh-CN"/>
        </w:rPr>
        <w:t>2-6、投标人综合情况</w:t>
      </w:r>
    </w:p>
    <w:p w14:paraId="3DD782E1">
      <w:pPr>
        <w:pStyle w:val="6"/>
        <w:rPr>
          <w:rFonts w:hint="eastAsia" w:ascii="宋体" w:hAnsi="宋体" w:eastAsia="宋体" w:cs="宋体"/>
          <w:lang w:val="en-US" w:eastAsia="zh-CN"/>
        </w:rPr>
      </w:pPr>
      <w:r>
        <w:rPr>
          <w:rFonts w:hint="eastAsia" w:ascii="宋体" w:hAnsi="宋体" w:eastAsia="宋体" w:cs="宋体"/>
          <w:lang w:val="en-US" w:eastAsia="zh-CN"/>
        </w:rPr>
        <w:t>根据评分细则编制，格式自拟</w:t>
      </w:r>
    </w:p>
    <w:p w14:paraId="3745E451">
      <w:pPr>
        <w:snapToGrid w:val="0"/>
        <w:spacing w:line="500" w:lineRule="atLeast"/>
        <w:rPr>
          <w:rFonts w:hint="default" w:ascii="宋体" w:hAnsi="宋体" w:eastAsia="宋体" w:cs="宋体"/>
          <w:b/>
          <w:sz w:val="32"/>
          <w:szCs w:val="22"/>
          <w:lang w:val="en-US" w:eastAsia="zh-CN"/>
        </w:rPr>
      </w:pPr>
      <w:r>
        <w:rPr>
          <w:rFonts w:hint="eastAsia" w:ascii="宋体" w:hAnsi="宋体" w:eastAsia="宋体" w:cs="宋体"/>
          <w:b/>
          <w:sz w:val="32"/>
          <w:szCs w:val="22"/>
          <w:lang w:val="en-US" w:eastAsia="zh-CN"/>
        </w:rPr>
        <w:t>2-7、项目施工及设备采购方案</w:t>
      </w:r>
    </w:p>
    <w:p w14:paraId="1F09E740">
      <w:pPr>
        <w:pStyle w:val="6"/>
        <w:rPr>
          <w:rFonts w:hint="eastAsia" w:ascii="宋体" w:hAnsi="宋体" w:eastAsia="宋体" w:cs="宋体"/>
          <w:lang w:val="en-US" w:eastAsia="zh-CN"/>
        </w:rPr>
      </w:pPr>
      <w:r>
        <w:rPr>
          <w:rFonts w:hint="eastAsia" w:ascii="宋体" w:hAnsi="宋体" w:eastAsia="宋体" w:cs="宋体"/>
          <w:lang w:val="en-US" w:eastAsia="zh-CN"/>
        </w:rPr>
        <w:t>根据评分细则编制，格式自拟</w:t>
      </w:r>
    </w:p>
    <w:p w14:paraId="381F43E4">
      <w:pPr>
        <w:snapToGrid w:val="0"/>
        <w:spacing w:line="500" w:lineRule="atLeast"/>
        <w:rPr>
          <w:rFonts w:hint="default" w:ascii="宋体" w:hAnsi="宋体" w:eastAsia="宋体" w:cs="宋体"/>
          <w:b/>
          <w:sz w:val="32"/>
          <w:szCs w:val="22"/>
          <w:lang w:val="en-US" w:eastAsia="zh-CN"/>
        </w:rPr>
      </w:pPr>
      <w:r>
        <w:rPr>
          <w:rFonts w:hint="eastAsia" w:ascii="宋体" w:hAnsi="宋体" w:eastAsia="宋体" w:cs="宋体"/>
          <w:b/>
          <w:sz w:val="32"/>
          <w:szCs w:val="22"/>
          <w:lang w:val="en-US" w:eastAsia="zh-CN"/>
        </w:rPr>
        <w:t>2-8、项目完工效果图</w:t>
      </w:r>
    </w:p>
    <w:p w14:paraId="0886EE78">
      <w:pPr>
        <w:pStyle w:val="7"/>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根据评分细则编制，格式自拟</w:t>
      </w:r>
    </w:p>
    <w:p w14:paraId="35E44A95">
      <w:pPr>
        <w:snapToGrid w:val="0"/>
        <w:spacing w:line="500" w:lineRule="atLeast"/>
        <w:rPr>
          <w:rFonts w:hint="default" w:ascii="宋体" w:hAnsi="宋体" w:eastAsia="宋体" w:cs="宋体"/>
          <w:b/>
          <w:sz w:val="32"/>
          <w:szCs w:val="22"/>
          <w:lang w:val="en-US" w:eastAsia="zh-CN"/>
        </w:rPr>
      </w:pPr>
      <w:r>
        <w:rPr>
          <w:rFonts w:hint="eastAsia" w:ascii="宋体" w:hAnsi="宋体" w:eastAsia="宋体" w:cs="宋体"/>
          <w:b/>
          <w:sz w:val="32"/>
          <w:szCs w:val="22"/>
          <w:lang w:val="en-US" w:eastAsia="zh-CN"/>
        </w:rPr>
        <w:t>2-9、投标产品参数</w:t>
      </w:r>
    </w:p>
    <w:p w14:paraId="1044F8CA">
      <w:pPr>
        <w:pStyle w:val="6"/>
        <w:rPr>
          <w:rFonts w:hint="eastAsia" w:ascii="宋体" w:hAnsi="宋体" w:eastAsia="宋体" w:cs="宋体"/>
          <w:lang w:val="en-US" w:eastAsia="zh-CN"/>
        </w:rPr>
      </w:pPr>
      <w:r>
        <w:rPr>
          <w:rFonts w:hint="eastAsia" w:ascii="宋体" w:hAnsi="宋体" w:eastAsia="宋体" w:cs="宋体"/>
          <w:lang w:val="en-US" w:eastAsia="zh-CN"/>
        </w:rPr>
        <w:t>根据评分细则编制，格式自拟</w:t>
      </w:r>
    </w:p>
    <w:p w14:paraId="41AC2752">
      <w:pPr>
        <w:snapToGrid w:val="0"/>
        <w:spacing w:line="500" w:lineRule="atLeast"/>
        <w:rPr>
          <w:rFonts w:hint="default" w:ascii="宋体" w:hAnsi="宋体" w:eastAsia="宋体" w:cs="宋体"/>
          <w:b/>
          <w:sz w:val="32"/>
          <w:szCs w:val="22"/>
          <w:lang w:val="en-US" w:eastAsia="zh-CN"/>
        </w:rPr>
      </w:pPr>
      <w:r>
        <w:rPr>
          <w:rFonts w:hint="eastAsia" w:ascii="宋体" w:hAnsi="宋体" w:eastAsia="宋体" w:cs="宋体"/>
          <w:b/>
          <w:sz w:val="32"/>
          <w:szCs w:val="22"/>
          <w:lang w:val="en-US" w:eastAsia="zh-CN"/>
        </w:rPr>
        <w:t>2-10、质量控制保证方案及措施</w:t>
      </w:r>
    </w:p>
    <w:p w14:paraId="66B3CC17">
      <w:pPr>
        <w:pStyle w:val="7"/>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根据评分细则编制，格式自拟</w:t>
      </w:r>
    </w:p>
    <w:p w14:paraId="1735D5A1">
      <w:pPr>
        <w:pStyle w:val="7"/>
        <w:ind w:left="0" w:leftChars="0" w:firstLine="0" w:firstLineChars="0"/>
        <w:rPr>
          <w:rFonts w:hint="eastAsia" w:ascii="宋体" w:hAnsi="宋体" w:eastAsia="宋体" w:cs="宋体"/>
          <w:b/>
          <w:sz w:val="32"/>
          <w:szCs w:val="22"/>
          <w:lang w:val="en-US" w:eastAsia="zh-CN"/>
        </w:rPr>
      </w:pPr>
      <w:r>
        <w:rPr>
          <w:rFonts w:hint="eastAsia" w:ascii="宋体" w:hAnsi="宋体" w:eastAsia="宋体" w:cs="宋体"/>
          <w:b/>
          <w:sz w:val="32"/>
          <w:szCs w:val="22"/>
          <w:lang w:val="en-US" w:eastAsia="zh-CN"/>
        </w:rPr>
        <w:t>2-11、安全生产及文明施工与施工降噪措施</w:t>
      </w:r>
    </w:p>
    <w:p w14:paraId="4630EFD1">
      <w:pPr>
        <w:pStyle w:val="7"/>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根据评分细则编制，格式自拟</w:t>
      </w:r>
    </w:p>
    <w:p w14:paraId="0B093511">
      <w:pPr>
        <w:snapToGrid w:val="0"/>
        <w:spacing w:line="500" w:lineRule="atLeast"/>
        <w:rPr>
          <w:rFonts w:hint="default" w:ascii="宋体" w:hAnsi="宋体" w:eastAsia="宋体" w:cs="宋体"/>
          <w:b/>
          <w:sz w:val="32"/>
          <w:szCs w:val="22"/>
          <w:lang w:val="en-US" w:eastAsia="zh-CN"/>
        </w:rPr>
      </w:pPr>
      <w:r>
        <w:rPr>
          <w:rFonts w:hint="eastAsia" w:ascii="宋体" w:hAnsi="宋体" w:eastAsia="宋体" w:cs="宋体"/>
          <w:b/>
          <w:sz w:val="32"/>
          <w:szCs w:val="22"/>
          <w:lang w:val="en-US" w:eastAsia="zh-CN"/>
        </w:rPr>
        <w:t>2-12、人员配置</w:t>
      </w:r>
    </w:p>
    <w:p w14:paraId="7101DDC5">
      <w:pPr>
        <w:pStyle w:val="6"/>
        <w:rPr>
          <w:rFonts w:hint="eastAsia" w:ascii="宋体" w:hAnsi="宋体" w:eastAsia="宋体" w:cs="宋体"/>
          <w:lang w:val="en-US" w:eastAsia="zh-CN"/>
        </w:rPr>
      </w:pPr>
      <w:r>
        <w:rPr>
          <w:rFonts w:hint="eastAsia" w:ascii="宋体" w:hAnsi="宋体" w:eastAsia="宋体" w:cs="宋体"/>
          <w:lang w:val="en-US" w:eastAsia="zh-CN"/>
        </w:rPr>
        <w:t>根据评分细则编制，格式自拟</w:t>
      </w:r>
    </w:p>
    <w:p w14:paraId="2D5B7D45">
      <w:pPr>
        <w:snapToGrid w:val="0"/>
        <w:spacing w:line="500" w:lineRule="atLeast"/>
        <w:rPr>
          <w:rFonts w:hint="default" w:ascii="宋体" w:hAnsi="宋体" w:eastAsia="宋体" w:cs="宋体"/>
          <w:b/>
          <w:sz w:val="32"/>
          <w:szCs w:val="22"/>
          <w:lang w:val="en-US" w:eastAsia="zh-CN"/>
        </w:rPr>
      </w:pPr>
      <w:r>
        <w:rPr>
          <w:rFonts w:hint="eastAsia" w:ascii="宋体" w:hAnsi="宋体" w:eastAsia="宋体" w:cs="宋体"/>
          <w:b/>
          <w:sz w:val="32"/>
          <w:szCs w:val="22"/>
          <w:lang w:val="en-US" w:eastAsia="zh-CN"/>
        </w:rPr>
        <w:t>2-13、后续维修服务方案</w:t>
      </w:r>
    </w:p>
    <w:p w14:paraId="4441B559">
      <w:pPr>
        <w:pStyle w:val="7"/>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根据评分细则编制，格式自拟</w:t>
      </w:r>
    </w:p>
    <w:p w14:paraId="2945BAE3">
      <w:pPr>
        <w:snapToGrid w:val="0"/>
        <w:spacing w:line="500" w:lineRule="atLeast"/>
        <w:rPr>
          <w:rFonts w:hint="default" w:ascii="宋体" w:hAnsi="宋体" w:eastAsia="宋体" w:cs="宋体"/>
          <w:b/>
          <w:sz w:val="32"/>
          <w:szCs w:val="22"/>
          <w:lang w:val="en-US" w:eastAsia="zh-CN"/>
        </w:rPr>
      </w:pPr>
      <w:r>
        <w:rPr>
          <w:rFonts w:hint="eastAsia" w:ascii="宋体" w:hAnsi="宋体" w:eastAsia="宋体" w:cs="宋体"/>
          <w:b/>
          <w:sz w:val="32"/>
          <w:szCs w:val="22"/>
          <w:lang w:val="en-US" w:eastAsia="zh-CN"/>
        </w:rPr>
        <w:t>2-14、其他评分内容</w:t>
      </w:r>
    </w:p>
    <w:p w14:paraId="19704BBC">
      <w:pPr>
        <w:pStyle w:val="6"/>
        <w:rPr>
          <w:rFonts w:hint="eastAsia" w:ascii="宋体" w:hAnsi="宋体" w:eastAsia="宋体" w:cs="宋体"/>
          <w:lang w:val="en-US" w:eastAsia="zh-CN"/>
        </w:rPr>
      </w:pPr>
      <w:r>
        <w:rPr>
          <w:rFonts w:hint="eastAsia" w:ascii="宋体" w:hAnsi="宋体" w:eastAsia="宋体" w:cs="宋体"/>
          <w:lang w:val="en-US" w:eastAsia="zh-CN"/>
        </w:rPr>
        <w:t>根据评分细则编制，格式自拟</w:t>
      </w:r>
    </w:p>
    <w:p w14:paraId="66803B44">
      <w:pPr>
        <w:pStyle w:val="6"/>
        <w:rPr>
          <w:rFonts w:hint="eastAsia" w:ascii="宋体" w:hAnsi="宋体" w:eastAsia="宋体" w:cs="宋体"/>
          <w:lang w:val="en-US" w:eastAsia="zh-CN"/>
        </w:rPr>
      </w:pPr>
    </w:p>
    <w:p w14:paraId="2F183D7E">
      <w:pPr>
        <w:autoSpaceDE w:val="0"/>
        <w:autoSpaceDN w:val="0"/>
        <w:adjustRightInd w:val="0"/>
        <w:snapToGrid w:val="0"/>
        <w:spacing w:line="360" w:lineRule="auto"/>
        <w:jc w:val="center"/>
        <w:textAlignment w:val="bottom"/>
        <w:rPr>
          <w:rFonts w:hint="eastAsia" w:ascii="宋体" w:hAnsi="宋体" w:eastAsia="宋体" w:cs="宋体"/>
          <w:b/>
          <w:sz w:val="32"/>
          <w:lang w:val="en-US" w:eastAsia="zh-CN"/>
        </w:rPr>
      </w:pPr>
      <w:r>
        <w:rPr>
          <w:rFonts w:hint="eastAsia" w:ascii="宋体" w:hAnsi="宋体" w:eastAsia="宋体" w:cs="宋体"/>
        </w:rPr>
        <w:br w:type="page"/>
      </w:r>
      <w:r>
        <w:rPr>
          <w:rFonts w:hint="eastAsia" w:ascii="宋体" w:hAnsi="宋体" w:eastAsia="宋体" w:cs="宋体"/>
          <w:sz w:val="36"/>
          <w:lang w:eastAsia="zh-CN"/>
        </w:rPr>
        <w:t>附件</w:t>
      </w:r>
      <w:r>
        <w:rPr>
          <w:rFonts w:hint="eastAsia" w:ascii="宋体" w:hAnsi="宋体" w:eastAsia="宋体" w:cs="宋体"/>
          <w:sz w:val="36"/>
          <w:lang w:val="en-US" w:eastAsia="zh-CN"/>
        </w:rPr>
        <w:t xml:space="preserve">3 </w:t>
      </w:r>
      <w:r>
        <w:rPr>
          <w:rFonts w:hint="eastAsia" w:ascii="宋体" w:hAnsi="宋体" w:eastAsia="宋体" w:cs="宋体"/>
          <w:color w:val="FF0000"/>
          <w:sz w:val="36"/>
          <w:lang w:val="en-US" w:eastAsia="zh-CN"/>
        </w:rPr>
        <w:t>报价文件</w:t>
      </w:r>
    </w:p>
    <w:p w14:paraId="60085F56">
      <w:pPr>
        <w:pStyle w:val="3"/>
        <w:adjustRightInd w:val="0"/>
        <w:snapToGrid w:val="0"/>
        <w:spacing w:line="360" w:lineRule="auto"/>
        <w:ind w:right="5" w:firstLine="562"/>
        <w:jc w:val="both"/>
        <w:rPr>
          <w:rFonts w:hint="eastAsia" w:ascii="宋体" w:hAnsi="宋体" w:eastAsia="宋体" w:cs="宋体"/>
          <w:sz w:val="32"/>
          <w:szCs w:val="20"/>
          <w:lang w:val="en-US" w:eastAsia="zh-CN"/>
        </w:rPr>
      </w:pPr>
      <w:r>
        <w:rPr>
          <w:rFonts w:hint="eastAsia" w:ascii="宋体" w:hAnsi="宋体" w:eastAsia="宋体" w:cs="宋体"/>
          <w:sz w:val="32"/>
          <w:szCs w:val="20"/>
          <w:lang w:val="en-US" w:eastAsia="zh-CN"/>
        </w:rPr>
        <w:t>3、报价文件封面</w:t>
      </w:r>
    </w:p>
    <w:p w14:paraId="0146AFE8">
      <w:pPr>
        <w:pStyle w:val="3"/>
        <w:adjustRightInd w:val="0"/>
        <w:snapToGrid w:val="0"/>
        <w:spacing w:line="360" w:lineRule="auto"/>
        <w:ind w:right="5" w:firstLine="562"/>
        <w:jc w:val="center"/>
        <w:rPr>
          <w:rFonts w:hint="eastAsia" w:ascii="宋体" w:hAnsi="宋体" w:eastAsia="宋体" w:cs="宋体"/>
          <w:sz w:val="56"/>
          <w:szCs w:val="36"/>
          <w:lang w:eastAsia="zh-CN"/>
        </w:rPr>
      </w:pPr>
      <w:r>
        <w:rPr>
          <w:rFonts w:hint="eastAsia" w:hAnsi="宋体" w:eastAsia="宋体" w:cs="宋体"/>
          <w:sz w:val="56"/>
          <w:szCs w:val="36"/>
          <w:lang w:eastAsia="zh-CN"/>
        </w:rPr>
        <w:t>龙港市第五中学新建教学楼二次装修及智能化工程采购项目</w:t>
      </w:r>
    </w:p>
    <w:p w14:paraId="00DDECD7">
      <w:pPr>
        <w:pStyle w:val="3"/>
        <w:adjustRightInd w:val="0"/>
        <w:snapToGrid w:val="0"/>
        <w:spacing w:line="400" w:lineRule="exact"/>
        <w:ind w:firstLine="360"/>
        <w:jc w:val="right"/>
        <w:rPr>
          <w:rFonts w:hint="eastAsia" w:ascii="宋体" w:hAnsi="宋体" w:eastAsia="宋体" w:cs="宋体"/>
          <w:sz w:val="36"/>
          <w:szCs w:val="36"/>
        </w:rPr>
      </w:pPr>
    </w:p>
    <w:p w14:paraId="2D68D012">
      <w:pPr>
        <w:pStyle w:val="3"/>
        <w:adjustRightInd w:val="0"/>
        <w:snapToGrid w:val="0"/>
        <w:spacing w:line="480" w:lineRule="auto"/>
        <w:jc w:val="center"/>
        <w:rPr>
          <w:rFonts w:hint="eastAsia" w:ascii="宋体" w:hAnsi="宋体" w:eastAsia="宋体" w:cs="宋体"/>
          <w:sz w:val="56"/>
          <w:szCs w:val="36"/>
          <w:lang w:eastAsia="zh-CN"/>
        </w:rPr>
      </w:pPr>
      <w:r>
        <w:rPr>
          <w:rFonts w:hint="eastAsia" w:ascii="宋体" w:hAnsi="宋体" w:eastAsia="宋体" w:cs="宋体"/>
          <w:sz w:val="56"/>
          <w:szCs w:val="36"/>
          <w:lang w:eastAsia="zh-CN"/>
        </w:rPr>
        <w:t>投标响应文件</w:t>
      </w:r>
    </w:p>
    <w:p w14:paraId="67CD2022">
      <w:pPr>
        <w:pStyle w:val="3"/>
        <w:adjustRightInd w:val="0"/>
        <w:snapToGrid w:val="0"/>
        <w:spacing w:line="480" w:lineRule="auto"/>
        <w:jc w:val="center"/>
        <w:rPr>
          <w:rFonts w:hint="eastAsia" w:ascii="宋体" w:hAnsi="宋体" w:eastAsia="宋体" w:cs="宋体"/>
          <w:b/>
          <w:bCs/>
          <w:color w:val="FF0000"/>
          <w:sz w:val="56"/>
          <w:szCs w:val="36"/>
        </w:rPr>
      </w:pPr>
      <w:r>
        <w:rPr>
          <w:rFonts w:hint="eastAsia" w:ascii="宋体" w:hAnsi="宋体" w:eastAsia="宋体" w:cs="宋体"/>
          <w:b/>
          <w:bCs/>
          <w:color w:val="FF0000"/>
          <w:sz w:val="36"/>
          <w:szCs w:val="36"/>
        </w:rPr>
        <w:t>（</w:t>
      </w:r>
      <w:r>
        <w:rPr>
          <w:rFonts w:hint="eastAsia" w:ascii="宋体" w:hAnsi="宋体" w:eastAsia="宋体" w:cs="宋体"/>
          <w:b/>
          <w:bCs/>
          <w:color w:val="FF0000"/>
          <w:sz w:val="36"/>
          <w:szCs w:val="36"/>
          <w:lang w:val="en-US" w:eastAsia="zh-CN"/>
        </w:rPr>
        <w:t>报价</w:t>
      </w:r>
      <w:r>
        <w:rPr>
          <w:rFonts w:hint="eastAsia" w:ascii="宋体" w:hAnsi="宋体" w:eastAsia="宋体" w:cs="宋体"/>
          <w:b/>
          <w:bCs/>
          <w:color w:val="FF0000"/>
          <w:sz w:val="36"/>
          <w:szCs w:val="36"/>
        </w:rPr>
        <w:t>文件）</w:t>
      </w:r>
    </w:p>
    <w:p w14:paraId="18875F5F">
      <w:pPr>
        <w:pStyle w:val="3"/>
        <w:adjustRightInd w:val="0"/>
        <w:snapToGrid w:val="0"/>
        <w:spacing w:line="400" w:lineRule="exact"/>
        <w:ind w:firstLine="360"/>
        <w:rPr>
          <w:rFonts w:hint="eastAsia" w:ascii="宋体" w:hAnsi="宋体" w:eastAsia="宋体" w:cs="宋体"/>
          <w:sz w:val="36"/>
          <w:szCs w:val="36"/>
        </w:rPr>
      </w:pPr>
    </w:p>
    <w:p w14:paraId="312109D6">
      <w:pPr>
        <w:pStyle w:val="3"/>
        <w:adjustRightInd w:val="0"/>
        <w:snapToGrid w:val="0"/>
        <w:spacing w:line="400" w:lineRule="exact"/>
        <w:ind w:firstLine="3420" w:firstLineChars="950"/>
        <w:rPr>
          <w:rFonts w:hint="eastAsia" w:ascii="宋体" w:hAnsi="宋体" w:eastAsia="宋体" w:cs="宋体"/>
          <w:sz w:val="36"/>
          <w:szCs w:val="36"/>
        </w:rPr>
      </w:pPr>
    </w:p>
    <w:p w14:paraId="53B79DA1">
      <w:pPr>
        <w:pStyle w:val="3"/>
        <w:adjustRightInd w:val="0"/>
        <w:snapToGrid w:val="0"/>
        <w:spacing w:line="480" w:lineRule="auto"/>
        <w:ind w:firstLine="1080" w:firstLineChars="300"/>
        <w:rPr>
          <w:rFonts w:hint="eastAsia" w:ascii="宋体" w:hAnsi="宋体" w:eastAsia="宋体" w:cs="宋体"/>
          <w:sz w:val="36"/>
          <w:szCs w:val="36"/>
          <w:u w:val="single"/>
        </w:rPr>
      </w:pPr>
      <w:r>
        <w:rPr>
          <w:rFonts w:hint="eastAsia" w:ascii="宋体" w:hAnsi="宋体" w:eastAsia="宋体" w:cs="宋体"/>
          <w:sz w:val="36"/>
          <w:szCs w:val="36"/>
        </w:rPr>
        <w:t>招标编号：</w:t>
      </w:r>
      <w:r>
        <w:rPr>
          <w:rFonts w:hint="eastAsia" w:hAnsi="宋体" w:cs="宋体"/>
          <w:sz w:val="36"/>
          <w:szCs w:val="36"/>
          <w:u w:val="single"/>
          <w:lang w:eastAsia="zh-CN"/>
        </w:rPr>
        <w:t>LGCG2024273</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p>
    <w:p w14:paraId="37E46974">
      <w:pPr>
        <w:pStyle w:val="3"/>
        <w:adjustRightInd w:val="0"/>
        <w:snapToGrid w:val="0"/>
        <w:spacing w:line="480" w:lineRule="auto"/>
        <w:ind w:firstLine="1080" w:firstLineChars="300"/>
        <w:rPr>
          <w:rFonts w:hint="eastAsia" w:ascii="宋体" w:hAnsi="宋体" w:eastAsia="宋体" w:cs="宋体"/>
          <w:sz w:val="36"/>
          <w:szCs w:val="36"/>
          <w:u w:val="single"/>
        </w:rPr>
      </w:pPr>
      <w:r>
        <w:rPr>
          <w:rFonts w:hint="eastAsia" w:ascii="宋体" w:hAnsi="宋体" w:eastAsia="宋体" w:cs="宋体"/>
          <w:sz w:val="36"/>
          <w:szCs w:val="36"/>
        </w:rPr>
        <w:t>供应商名称（盖章）：</w:t>
      </w:r>
      <w:r>
        <w:rPr>
          <w:rFonts w:hint="eastAsia" w:ascii="宋体" w:hAnsi="宋体" w:eastAsia="宋体" w:cs="宋体"/>
          <w:sz w:val="36"/>
          <w:szCs w:val="36"/>
          <w:u w:val="single"/>
        </w:rPr>
        <w:t xml:space="preserve">                      </w:t>
      </w:r>
    </w:p>
    <w:p w14:paraId="5B08B816">
      <w:pPr>
        <w:pStyle w:val="3"/>
        <w:adjustRightInd w:val="0"/>
        <w:snapToGrid w:val="0"/>
        <w:spacing w:line="480" w:lineRule="auto"/>
        <w:ind w:firstLine="1080" w:firstLineChars="300"/>
        <w:rPr>
          <w:rFonts w:hint="eastAsia" w:ascii="宋体" w:hAnsi="宋体" w:eastAsia="宋体" w:cs="宋体"/>
          <w:sz w:val="36"/>
          <w:szCs w:val="36"/>
          <w:u w:val="single"/>
        </w:rPr>
      </w:pPr>
      <w:r>
        <w:rPr>
          <w:rFonts w:hint="eastAsia" w:ascii="宋体" w:hAnsi="宋体" w:eastAsia="宋体" w:cs="宋体"/>
          <w:sz w:val="36"/>
          <w:szCs w:val="36"/>
        </w:rPr>
        <w:t>投标</w:t>
      </w:r>
      <w:r>
        <w:rPr>
          <w:rFonts w:hint="eastAsia" w:ascii="宋体" w:hAnsi="宋体" w:eastAsia="宋体" w:cs="宋体"/>
          <w:sz w:val="36"/>
          <w:szCs w:val="36"/>
          <w:lang w:val="en-US" w:eastAsia="zh-CN"/>
        </w:rPr>
        <w:t>供应商</w:t>
      </w:r>
      <w:r>
        <w:rPr>
          <w:rFonts w:hint="eastAsia" w:ascii="宋体" w:hAnsi="宋体" w:eastAsia="宋体" w:cs="宋体"/>
          <w:sz w:val="36"/>
          <w:szCs w:val="36"/>
        </w:rPr>
        <w:t>代表（</w:t>
      </w:r>
      <w:r>
        <w:rPr>
          <w:rFonts w:hint="eastAsia" w:ascii="宋体" w:hAnsi="宋体" w:eastAsia="宋体" w:cs="宋体"/>
          <w:sz w:val="36"/>
          <w:szCs w:val="36"/>
          <w:lang w:val="en-US" w:eastAsia="zh-CN"/>
        </w:rPr>
        <w:t>姓名</w:t>
      </w:r>
      <w:r>
        <w:rPr>
          <w:rFonts w:hint="eastAsia" w:ascii="宋体" w:hAnsi="宋体" w:eastAsia="宋体" w:cs="宋体"/>
          <w:sz w:val="36"/>
          <w:szCs w:val="36"/>
        </w:rPr>
        <w:t>）：</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rPr>
        <w:t xml:space="preserve">  </w:t>
      </w:r>
    </w:p>
    <w:p w14:paraId="43233063">
      <w:pPr>
        <w:pStyle w:val="3"/>
        <w:adjustRightInd w:val="0"/>
        <w:snapToGrid w:val="0"/>
        <w:spacing w:line="480" w:lineRule="auto"/>
        <w:ind w:firstLine="1080" w:firstLineChars="300"/>
        <w:rPr>
          <w:rFonts w:hint="eastAsia" w:ascii="宋体" w:hAnsi="宋体" w:eastAsia="宋体" w:cs="宋体"/>
          <w:sz w:val="36"/>
          <w:szCs w:val="36"/>
          <w:lang w:val="en-US" w:eastAsia="zh-CN"/>
        </w:rPr>
      </w:pPr>
      <w:r>
        <w:rPr>
          <w:rFonts w:hint="eastAsia" w:ascii="宋体" w:hAnsi="宋体" w:eastAsia="宋体" w:cs="宋体"/>
          <w:sz w:val="36"/>
          <w:szCs w:val="36"/>
        </w:rPr>
        <w:t>投标</w:t>
      </w:r>
      <w:r>
        <w:rPr>
          <w:rFonts w:hint="eastAsia" w:ascii="宋体" w:hAnsi="宋体" w:eastAsia="宋体" w:cs="宋体"/>
          <w:sz w:val="36"/>
          <w:szCs w:val="36"/>
          <w:lang w:val="en-US" w:eastAsia="zh-CN"/>
        </w:rPr>
        <w:t>供应商</w:t>
      </w:r>
      <w:r>
        <w:rPr>
          <w:rFonts w:hint="eastAsia" w:ascii="宋体" w:hAnsi="宋体" w:eastAsia="宋体" w:cs="宋体"/>
          <w:sz w:val="36"/>
          <w:szCs w:val="36"/>
        </w:rPr>
        <w:t>代表（</w:t>
      </w:r>
      <w:r>
        <w:rPr>
          <w:rFonts w:hint="eastAsia" w:ascii="宋体" w:hAnsi="宋体" w:eastAsia="宋体" w:cs="宋体"/>
          <w:sz w:val="36"/>
          <w:szCs w:val="36"/>
          <w:lang w:val="en-US" w:eastAsia="zh-CN"/>
        </w:rPr>
        <w:t>联系电话</w:t>
      </w:r>
      <w:r>
        <w:rPr>
          <w:rFonts w:hint="eastAsia" w:ascii="宋体" w:hAnsi="宋体" w:eastAsia="宋体" w:cs="宋体"/>
          <w:sz w:val="36"/>
          <w:szCs w:val="36"/>
        </w:rPr>
        <w:t>）</w:t>
      </w:r>
      <w:r>
        <w:rPr>
          <w:rFonts w:hint="eastAsia" w:ascii="宋体" w:hAnsi="宋体" w:eastAsia="宋体" w:cs="宋体"/>
          <w:sz w:val="36"/>
          <w:szCs w:val="36"/>
          <w:lang w:eastAsia="zh-CN"/>
        </w:rPr>
        <w:t>：</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lang w:val="en-US" w:eastAsia="zh-CN"/>
        </w:rPr>
        <w:t xml:space="preserve"> </w:t>
      </w:r>
    </w:p>
    <w:p w14:paraId="40742D76">
      <w:pPr>
        <w:pStyle w:val="3"/>
        <w:adjustRightInd w:val="0"/>
        <w:snapToGrid w:val="0"/>
        <w:spacing w:line="480" w:lineRule="auto"/>
        <w:ind w:firstLine="1080" w:firstLineChars="30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日期：        年    月     日                       </w:t>
      </w:r>
    </w:p>
    <w:p w14:paraId="79B075A6">
      <w:pPr>
        <w:pStyle w:val="4"/>
        <w:rPr>
          <w:rFonts w:hint="eastAsia" w:ascii="宋体" w:hAnsi="宋体" w:eastAsia="宋体" w:cs="宋体"/>
          <w:lang w:val="en-US" w:eastAsia="zh-CN"/>
        </w:rPr>
      </w:pPr>
    </w:p>
    <w:p w14:paraId="01D68184">
      <w:pPr>
        <w:pStyle w:val="3"/>
        <w:adjustRightInd w:val="0"/>
        <w:snapToGrid w:val="0"/>
        <w:spacing w:line="40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r>
        <w:rPr>
          <w:rFonts w:hint="eastAsia" w:ascii="宋体" w:hAnsi="宋体" w:eastAsia="宋体" w:cs="宋体"/>
          <w:sz w:val="28"/>
          <w:szCs w:val="28"/>
          <w:lang w:val="en-US" w:eastAsia="zh-CN"/>
        </w:rPr>
        <w:t>3-1、开标一览表（</w:t>
      </w:r>
      <w:r>
        <w:rPr>
          <w:rFonts w:hint="eastAsia" w:ascii="宋体" w:hAnsi="宋体" w:eastAsia="宋体" w:cs="宋体"/>
          <w:color w:val="000000"/>
          <w:kern w:val="0"/>
          <w:sz w:val="22"/>
          <w:szCs w:val="22"/>
          <w:lang w:val="en-US" w:eastAsia="zh-CN"/>
        </w:rPr>
        <w:t>第（一）轮报价一览表</w:t>
      </w:r>
      <w:r>
        <w:rPr>
          <w:rFonts w:hint="eastAsia" w:ascii="宋体" w:hAnsi="宋体" w:eastAsia="宋体" w:cs="宋体"/>
          <w:sz w:val="28"/>
          <w:szCs w:val="28"/>
          <w:lang w:val="en-US" w:eastAsia="zh-CN"/>
        </w:rPr>
        <w:t>）</w:t>
      </w:r>
    </w:p>
    <w:p w14:paraId="2A3111B4">
      <w:pPr>
        <w:pStyle w:val="3"/>
        <w:adjustRightInd w:val="0"/>
        <w:snapToGrid w:val="0"/>
        <w:spacing w:line="400" w:lineRule="exact"/>
        <w:jc w:val="center"/>
        <w:rPr>
          <w:rFonts w:hint="eastAsia" w:ascii="宋体" w:hAnsi="宋体" w:eastAsia="宋体" w:cs="宋体"/>
          <w:sz w:val="32"/>
          <w:szCs w:val="32"/>
          <w:lang w:val="zh-CN"/>
        </w:rPr>
      </w:pPr>
      <w:r>
        <w:rPr>
          <w:rFonts w:hint="eastAsia" w:ascii="宋体" w:hAnsi="宋体" w:eastAsia="宋体" w:cs="宋体"/>
          <w:sz w:val="32"/>
          <w:szCs w:val="32"/>
          <w:lang w:val="zh-CN"/>
        </w:rPr>
        <w:t>开标一览表（</w:t>
      </w:r>
      <w:r>
        <w:rPr>
          <w:rFonts w:hint="eastAsia" w:ascii="宋体" w:hAnsi="宋体" w:eastAsia="宋体" w:cs="宋体"/>
          <w:sz w:val="32"/>
          <w:szCs w:val="32"/>
          <w:lang w:val="zh-CN" w:eastAsia="zh-CN"/>
        </w:rPr>
        <w:t>第（一）轮报价一览表</w:t>
      </w:r>
      <w:r>
        <w:rPr>
          <w:rFonts w:hint="eastAsia" w:ascii="宋体" w:hAnsi="宋体" w:eastAsia="宋体" w:cs="宋体"/>
          <w:sz w:val="32"/>
          <w:szCs w:val="32"/>
          <w:lang w:val="zh-CN"/>
        </w:rPr>
        <w:t>）</w:t>
      </w:r>
    </w:p>
    <w:p w14:paraId="64ADF3C9">
      <w:pPr>
        <w:pStyle w:val="4"/>
        <w:rPr>
          <w:rFonts w:hint="eastAsia" w:ascii="宋体" w:hAnsi="宋体" w:eastAsia="宋体" w:cs="宋体"/>
        </w:rPr>
      </w:pPr>
    </w:p>
    <w:p w14:paraId="24470B07">
      <w:pPr>
        <w:autoSpaceDE w:val="0"/>
        <w:autoSpaceDN w:val="0"/>
        <w:adjustRightInd w:val="0"/>
        <w:rPr>
          <w:rFonts w:hint="eastAsia" w:ascii="宋体" w:hAnsi="宋体" w:eastAsia="宋体" w:cs="宋体"/>
          <w:b/>
          <w:sz w:val="22"/>
          <w:szCs w:val="22"/>
          <w:lang w:val="zh-CN"/>
        </w:rPr>
      </w:pPr>
      <w:bookmarkStart w:id="153" w:name="_Toc21383"/>
      <w:r>
        <w:rPr>
          <w:rFonts w:hint="eastAsia" w:ascii="宋体" w:hAnsi="宋体" w:eastAsia="宋体" w:cs="宋体"/>
          <w:b/>
          <w:sz w:val="22"/>
          <w:szCs w:val="22"/>
          <w:lang w:val="zh-CN"/>
        </w:rPr>
        <w:t>供应商名称：</w:t>
      </w:r>
    </w:p>
    <w:p w14:paraId="58C9FC36">
      <w:pPr>
        <w:autoSpaceDE w:val="0"/>
        <w:autoSpaceDN w:val="0"/>
        <w:adjustRightInd w:val="0"/>
        <w:rPr>
          <w:rFonts w:hint="eastAsia" w:ascii="宋体" w:hAnsi="宋体" w:eastAsia="宋体" w:cs="宋体"/>
          <w:b/>
          <w:sz w:val="22"/>
          <w:szCs w:val="22"/>
          <w:lang w:val="zh-CN"/>
        </w:rPr>
      </w:pPr>
      <w:r>
        <w:rPr>
          <w:rFonts w:hint="eastAsia" w:ascii="宋体" w:hAnsi="宋体" w:eastAsia="宋体" w:cs="宋体"/>
          <w:b/>
          <w:sz w:val="22"/>
          <w:szCs w:val="22"/>
        </w:rPr>
        <w:t>项目名称</w:t>
      </w:r>
      <w:r>
        <w:rPr>
          <w:rFonts w:hint="eastAsia" w:ascii="宋体" w:hAnsi="宋体" w:eastAsia="宋体" w:cs="宋体"/>
          <w:b/>
          <w:sz w:val="22"/>
          <w:szCs w:val="22"/>
          <w:lang w:eastAsia="zh-CN"/>
        </w:rPr>
        <w:t>：</w:t>
      </w:r>
      <w:r>
        <w:rPr>
          <w:rFonts w:hint="eastAsia" w:ascii="宋体" w:hAnsi="宋体" w:eastAsia="宋体" w:cs="宋体"/>
          <w:b/>
          <w:sz w:val="22"/>
          <w:szCs w:val="22"/>
          <w:lang w:val="zh-CN"/>
        </w:rPr>
        <w:t xml:space="preserve">                       </w:t>
      </w:r>
    </w:p>
    <w:p w14:paraId="1A2834FB">
      <w:pPr>
        <w:autoSpaceDE w:val="0"/>
        <w:autoSpaceDN w:val="0"/>
        <w:adjustRightInd w:val="0"/>
        <w:rPr>
          <w:rFonts w:hint="eastAsia" w:ascii="宋体" w:hAnsi="宋体" w:eastAsia="宋体" w:cs="宋体"/>
          <w:b/>
          <w:sz w:val="22"/>
          <w:szCs w:val="22"/>
          <w:lang w:val="zh-CN"/>
        </w:rPr>
      </w:pPr>
      <w:r>
        <w:rPr>
          <w:rFonts w:hint="eastAsia" w:ascii="宋体" w:hAnsi="宋体" w:eastAsia="宋体" w:cs="宋体"/>
          <w:b/>
          <w:sz w:val="22"/>
          <w:szCs w:val="22"/>
          <w:lang w:val="zh-CN"/>
        </w:rPr>
        <w:t xml:space="preserve">采购编号：                 </w:t>
      </w:r>
    </w:p>
    <w:p w14:paraId="49BBEBE3">
      <w:pPr>
        <w:autoSpaceDE w:val="0"/>
        <w:autoSpaceDN w:val="0"/>
        <w:adjustRightInd w:val="0"/>
        <w:rPr>
          <w:rFonts w:hint="eastAsia" w:ascii="宋体" w:hAnsi="宋体" w:eastAsia="宋体" w:cs="宋体"/>
          <w:b/>
          <w:sz w:val="22"/>
          <w:szCs w:val="22"/>
          <w:lang w:val="zh-CN"/>
        </w:rPr>
      </w:pPr>
      <w:r>
        <w:rPr>
          <w:rFonts w:hint="eastAsia" w:ascii="宋体" w:hAnsi="宋体" w:eastAsia="宋体" w:cs="宋体"/>
          <w:b/>
          <w:sz w:val="22"/>
          <w:szCs w:val="22"/>
          <w:lang w:val="zh-CN"/>
        </w:rPr>
        <w:t>（价格单位：元）</w:t>
      </w:r>
    </w:p>
    <w:tbl>
      <w:tblPr>
        <w:tblStyle w:val="44"/>
        <w:tblW w:w="9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4284"/>
        <w:gridCol w:w="1450"/>
        <w:gridCol w:w="1400"/>
      </w:tblGrid>
      <w:tr w14:paraId="2F46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774" w:type="dxa"/>
            <w:noWrap w:val="0"/>
            <w:vAlign w:val="center"/>
          </w:tcPr>
          <w:p w14:paraId="28185F6A">
            <w:pPr>
              <w:pStyle w:val="3"/>
              <w:jc w:val="center"/>
              <w:rPr>
                <w:rFonts w:hint="eastAsia" w:ascii="宋体" w:hAnsi="宋体" w:eastAsia="宋体" w:cs="宋体"/>
                <w:b/>
                <w:sz w:val="28"/>
                <w:szCs w:val="28"/>
              </w:rPr>
            </w:pPr>
            <w:r>
              <w:rPr>
                <w:rFonts w:hint="eastAsia" w:ascii="宋体" w:hAnsi="宋体" w:eastAsia="宋体" w:cs="宋体"/>
                <w:b/>
                <w:sz w:val="28"/>
                <w:szCs w:val="28"/>
                <w:lang w:val="en-US" w:eastAsia="zh-CN"/>
              </w:rPr>
              <w:t>标项</w:t>
            </w:r>
            <w:r>
              <w:rPr>
                <w:rFonts w:hint="eastAsia" w:ascii="宋体" w:hAnsi="宋体" w:eastAsia="宋体" w:cs="宋体"/>
                <w:b/>
                <w:sz w:val="28"/>
                <w:szCs w:val="28"/>
              </w:rPr>
              <w:t>名称</w:t>
            </w:r>
          </w:p>
        </w:tc>
        <w:tc>
          <w:tcPr>
            <w:tcW w:w="4284" w:type="dxa"/>
            <w:noWrap w:val="0"/>
            <w:vAlign w:val="center"/>
          </w:tcPr>
          <w:p w14:paraId="344F4EDC">
            <w:pPr>
              <w:pStyle w:val="3"/>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投标价</w:t>
            </w:r>
            <w:r>
              <w:rPr>
                <w:rFonts w:hint="eastAsia" w:hAnsi="宋体" w:eastAsia="宋体" w:cs="宋体"/>
                <w:b/>
                <w:sz w:val="28"/>
                <w:szCs w:val="28"/>
                <w:lang w:val="en-US" w:eastAsia="zh-CN"/>
              </w:rPr>
              <w:t>（总价）</w:t>
            </w:r>
          </w:p>
        </w:tc>
        <w:tc>
          <w:tcPr>
            <w:tcW w:w="1450" w:type="dxa"/>
            <w:noWrap w:val="0"/>
            <w:vAlign w:val="center"/>
          </w:tcPr>
          <w:p w14:paraId="386BFEC9">
            <w:pPr>
              <w:pStyle w:val="3"/>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服务期限</w:t>
            </w:r>
          </w:p>
        </w:tc>
        <w:tc>
          <w:tcPr>
            <w:tcW w:w="1400" w:type="dxa"/>
            <w:noWrap w:val="0"/>
            <w:vAlign w:val="center"/>
          </w:tcPr>
          <w:p w14:paraId="4EB6D5B4">
            <w:pPr>
              <w:pStyle w:val="3"/>
              <w:jc w:val="center"/>
              <w:rPr>
                <w:rFonts w:hint="eastAsia" w:ascii="宋体" w:hAnsi="宋体" w:eastAsia="宋体" w:cs="宋体"/>
                <w:b/>
                <w:sz w:val="28"/>
                <w:szCs w:val="28"/>
              </w:rPr>
            </w:pPr>
            <w:r>
              <w:rPr>
                <w:rFonts w:hint="eastAsia" w:ascii="宋体" w:hAnsi="宋体" w:eastAsia="宋体" w:cs="宋体"/>
                <w:b/>
                <w:sz w:val="28"/>
                <w:szCs w:val="28"/>
              </w:rPr>
              <w:t>质量标准</w:t>
            </w:r>
          </w:p>
        </w:tc>
      </w:tr>
      <w:tr w14:paraId="25CC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trPr>
        <w:tc>
          <w:tcPr>
            <w:tcW w:w="2774" w:type="dxa"/>
            <w:noWrap w:val="0"/>
            <w:vAlign w:val="center"/>
          </w:tcPr>
          <w:p w14:paraId="456FDA3E">
            <w:pPr>
              <w:spacing w:line="440" w:lineRule="exact"/>
              <w:jc w:val="center"/>
              <w:rPr>
                <w:rFonts w:hint="eastAsia" w:ascii="宋体" w:hAnsi="宋体" w:eastAsia="宋体" w:cs="宋体"/>
                <w:b/>
                <w:bCs/>
                <w:color w:val="000000"/>
                <w:sz w:val="32"/>
                <w:szCs w:val="32"/>
                <w:lang w:val="en-US" w:eastAsia="zh-CN"/>
              </w:rPr>
            </w:pPr>
            <w:r>
              <w:rPr>
                <w:rFonts w:hint="eastAsia" w:ascii="宋体" w:hAnsi="宋体" w:eastAsia="宋体" w:cs="宋体"/>
                <w:b/>
                <w:bCs/>
                <w:sz w:val="28"/>
                <w:szCs w:val="28"/>
                <w:lang w:eastAsia="zh-CN"/>
              </w:rPr>
              <w:t>龙港市第五中学新建教学楼二次装修及智能化工程采购项目</w:t>
            </w:r>
          </w:p>
        </w:tc>
        <w:tc>
          <w:tcPr>
            <w:tcW w:w="4284" w:type="dxa"/>
            <w:noWrap w:val="0"/>
            <w:vAlign w:val="center"/>
          </w:tcPr>
          <w:p w14:paraId="3A6DDED6">
            <w:pPr>
              <w:pStyle w:val="3"/>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大写：</w:t>
            </w:r>
          </w:p>
          <w:p w14:paraId="3A742826">
            <w:pPr>
              <w:pStyle w:val="4"/>
              <w:rPr>
                <w:rFonts w:hint="eastAsia" w:ascii="宋体" w:hAnsi="宋体" w:eastAsia="宋体" w:cs="宋体"/>
                <w:b/>
                <w:bCs/>
                <w:color w:val="000000"/>
                <w:sz w:val="22"/>
                <w:szCs w:val="22"/>
              </w:rPr>
            </w:pPr>
          </w:p>
          <w:p w14:paraId="27384779">
            <w:pPr>
              <w:rPr>
                <w:rFonts w:hint="eastAsia" w:ascii="宋体" w:hAnsi="宋体" w:eastAsia="宋体" w:cs="宋体"/>
              </w:rPr>
            </w:pPr>
          </w:p>
          <w:p w14:paraId="6C9E4D3D">
            <w:pPr>
              <w:pStyle w:val="3"/>
              <w:jc w:val="both"/>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小写：</w:t>
            </w:r>
          </w:p>
        </w:tc>
        <w:tc>
          <w:tcPr>
            <w:tcW w:w="1450" w:type="dxa"/>
            <w:noWrap w:val="0"/>
            <w:vAlign w:val="center"/>
          </w:tcPr>
          <w:p w14:paraId="0E063D8C">
            <w:pPr>
              <w:pStyle w:val="3"/>
              <w:jc w:val="center"/>
              <w:rPr>
                <w:rFonts w:hint="default" w:ascii="宋体" w:hAnsi="宋体" w:eastAsia="宋体" w:cs="宋体"/>
                <w:b/>
                <w:bCs/>
                <w:color w:val="000000"/>
                <w:sz w:val="22"/>
                <w:szCs w:val="22"/>
                <w:lang w:val="en-US" w:eastAsia="zh-CN"/>
              </w:rPr>
            </w:pPr>
            <w:r>
              <w:rPr>
                <w:rFonts w:hint="eastAsia" w:hAnsi="宋体" w:eastAsia="宋体" w:cs="宋体"/>
                <w:b/>
                <w:bCs/>
                <w:color w:val="000000"/>
                <w:sz w:val="22"/>
                <w:szCs w:val="22"/>
                <w:lang w:val="en-US" w:eastAsia="zh-CN"/>
              </w:rPr>
              <w:t>100日历天内完工</w:t>
            </w:r>
          </w:p>
        </w:tc>
        <w:tc>
          <w:tcPr>
            <w:tcW w:w="1400" w:type="dxa"/>
            <w:noWrap w:val="0"/>
            <w:vAlign w:val="center"/>
          </w:tcPr>
          <w:p w14:paraId="6F2705A3">
            <w:pPr>
              <w:pStyle w:val="3"/>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合格</w:t>
            </w:r>
          </w:p>
        </w:tc>
      </w:tr>
    </w:tbl>
    <w:p w14:paraId="1B4365A2">
      <w:pPr>
        <w:spacing w:line="420" w:lineRule="exact"/>
        <w:ind w:firstLine="440" w:firstLineChars="200"/>
        <w:rPr>
          <w:rFonts w:hint="eastAsia" w:ascii="宋体" w:hAnsi="宋体" w:eastAsia="宋体" w:cs="宋体"/>
          <w:b/>
          <w:bCs/>
          <w:sz w:val="22"/>
          <w:szCs w:val="22"/>
        </w:rPr>
      </w:pPr>
      <w:r>
        <w:rPr>
          <w:rFonts w:hint="eastAsia" w:ascii="宋体" w:hAnsi="宋体" w:eastAsia="宋体" w:cs="宋体"/>
          <w:sz w:val="22"/>
          <w:szCs w:val="22"/>
          <w:lang w:val="en-US" w:eastAsia="zh-CN"/>
        </w:rPr>
        <w:t>备注：投标报价是指供应商为正确地完全履行采购内容及要求的价格体现，包括</w:t>
      </w:r>
      <w:r>
        <w:rPr>
          <w:rFonts w:hint="eastAsia" w:ascii="宋体" w:hAnsi="宋体" w:eastAsia="宋体" w:cs="宋体"/>
          <w:color w:val="000000"/>
          <w:sz w:val="22"/>
          <w:szCs w:val="22"/>
        </w:rPr>
        <w:t>运输费、</w:t>
      </w:r>
      <w:r>
        <w:rPr>
          <w:rFonts w:hint="eastAsia" w:ascii="宋体" w:hAnsi="宋体" w:eastAsia="宋体" w:cs="宋体"/>
          <w:color w:val="000000"/>
          <w:sz w:val="22"/>
          <w:szCs w:val="22"/>
          <w:lang w:val="en-US" w:eastAsia="zh-CN"/>
        </w:rPr>
        <w:t>人</w:t>
      </w:r>
      <w:r>
        <w:rPr>
          <w:rFonts w:hint="eastAsia" w:ascii="宋体" w:hAnsi="宋体" w:eastAsia="宋体" w:cs="宋体"/>
          <w:color w:val="000000"/>
          <w:sz w:val="22"/>
          <w:szCs w:val="22"/>
        </w:rPr>
        <w:t>工费、硬件设备购置费、培训费、</w:t>
      </w:r>
      <w:r>
        <w:rPr>
          <w:rFonts w:hint="eastAsia" w:ascii="宋体" w:hAnsi="宋体" w:eastAsia="宋体" w:cs="宋体"/>
          <w:color w:val="000000"/>
          <w:sz w:val="22"/>
          <w:szCs w:val="22"/>
          <w:lang w:val="en-US" w:eastAsia="zh-CN"/>
        </w:rPr>
        <w:t>宣传费、</w:t>
      </w:r>
      <w:r>
        <w:rPr>
          <w:rFonts w:hint="eastAsia" w:ascii="宋体" w:hAnsi="宋体" w:eastAsia="宋体" w:cs="宋体"/>
          <w:color w:val="000000"/>
          <w:sz w:val="22"/>
          <w:szCs w:val="22"/>
        </w:rPr>
        <w:t>安装调试费、加工耗材费</w:t>
      </w:r>
      <w:r>
        <w:rPr>
          <w:rFonts w:hint="eastAsia" w:ascii="宋体" w:hAnsi="宋体" w:eastAsia="宋体" w:cs="宋体"/>
          <w:sz w:val="22"/>
          <w:szCs w:val="22"/>
          <w:lang w:val="en-US" w:eastAsia="zh-CN"/>
        </w:rPr>
        <w:t>等完成本项目所需的一切本身和不可或缺的所有工作开支、政策性文件规定及合同包含的所有风险、责任等各项全部费用。</w:t>
      </w:r>
    </w:p>
    <w:p w14:paraId="139FCAD3">
      <w:pPr>
        <w:spacing w:line="420" w:lineRule="exact"/>
        <w:ind w:firstLine="442" w:firstLineChars="200"/>
        <w:rPr>
          <w:rFonts w:hint="eastAsia" w:ascii="宋体" w:hAnsi="宋体" w:eastAsia="宋体" w:cs="宋体"/>
          <w:b/>
          <w:bCs/>
          <w:sz w:val="22"/>
          <w:szCs w:val="22"/>
        </w:rPr>
      </w:pPr>
    </w:p>
    <w:p w14:paraId="32FFC41F">
      <w:pPr>
        <w:autoSpaceDE w:val="0"/>
        <w:autoSpaceDN w:val="0"/>
        <w:adjustRightInd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14:paraId="5DC6E052">
      <w:pPr>
        <w:autoSpaceDE w:val="0"/>
        <w:autoSpaceDN w:val="0"/>
        <w:adjustRightInd w:val="0"/>
        <w:spacing w:line="460" w:lineRule="atLeast"/>
        <w:rPr>
          <w:rFonts w:hint="eastAsia" w:ascii="宋体" w:hAnsi="宋体" w:eastAsia="宋体" w:cs="宋体"/>
          <w:b/>
          <w:sz w:val="22"/>
          <w:szCs w:val="22"/>
          <w:lang w:val="zh-CN"/>
        </w:rPr>
      </w:pPr>
      <w:r>
        <w:rPr>
          <w:rFonts w:hint="eastAsia" w:ascii="宋体" w:hAnsi="宋体" w:eastAsia="宋体" w:cs="宋体"/>
          <w:b/>
          <w:sz w:val="22"/>
          <w:szCs w:val="22"/>
          <w:lang w:val="zh-CN"/>
        </w:rPr>
        <w:t>供应商全称（盖章）：</w:t>
      </w:r>
    </w:p>
    <w:p w14:paraId="2DC1CD02">
      <w:pPr>
        <w:autoSpaceDE w:val="0"/>
        <w:autoSpaceDN w:val="0"/>
        <w:adjustRightInd w:val="0"/>
        <w:spacing w:line="460" w:lineRule="atLeast"/>
        <w:rPr>
          <w:rFonts w:hint="eastAsia" w:ascii="宋体" w:hAnsi="宋体" w:eastAsia="宋体" w:cs="宋体"/>
          <w:b/>
          <w:sz w:val="22"/>
          <w:szCs w:val="22"/>
          <w:lang w:val="zh-CN"/>
        </w:rPr>
      </w:pPr>
      <w:r>
        <w:rPr>
          <w:rFonts w:hint="eastAsia" w:ascii="宋体" w:hAnsi="宋体" w:eastAsia="宋体" w:cs="宋体"/>
          <w:b/>
          <w:sz w:val="22"/>
          <w:szCs w:val="22"/>
          <w:lang w:val="zh-CN"/>
        </w:rPr>
        <w:t>日期：</w:t>
      </w:r>
    </w:p>
    <w:p w14:paraId="252D9321">
      <w:pPr>
        <w:autoSpaceDE w:val="0"/>
        <w:autoSpaceDN w:val="0"/>
        <w:adjustRightInd w:val="0"/>
        <w:rPr>
          <w:rFonts w:hint="eastAsia" w:ascii="宋体" w:hAnsi="宋体" w:eastAsia="宋体" w:cs="宋体"/>
          <w:sz w:val="22"/>
          <w:szCs w:val="22"/>
        </w:rPr>
      </w:pPr>
    </w:p>
    <w:p w14:paraId="428BAC51">
      <w:pPr>
        <w:autoSpaceDE w:val="0"/>
        <w:autoSpaceDN w:val="0"/>
        <w:adjustRightInd w:val="0"/>
        <w:rPr>
          <w:rFonts w:hint="eastAsia" w:ascii="宋体" w:hAnsi="宋体" w:eastAsia="宋体" w:cs="宋体"/>
          <w:sz w:val="22"/>
          <w:szCs w:val="22"/>
        </w:rPr>
      </w:pPr>
    </w:p>
    <w:p w14:paraId="11181521">
      <w:pPr>
        <w:pStyle w:val="6"/>
        <w:rPr>
          <w:rFonts w:hint="eastAsia" w:ascii="宋体" w:hAnsi="宋体" w:eastAsia="宋体" w:cs="宋体"/>
          <w:sz w:val="30"/>
          <w:lang w:val="en-US" w:eastAsia="zh-CN"/>
        </w:rPr>
      </w:pPr>
      <w:r>
        <w:rPr>
          <w:rFonts w:hint="eastAsia" w:ascii="宋体" w:hAnsi="宋体" w:eastAsia="宋体" w:cs="宋体"/>
          <w:sz w:val="22"/>
          <w:szCs w:val="22"/>
        </w:rPr>
        <w:br w:type="page"/>
      </w:r>
      <w:r>
        <w:rPr>
          <w:rFonts w:hint="eastAsia" w:ascii="宋体" w:hAnsi="宋体" w:eastAsia="宋体" w:cs="宋体"/>
          <w:sz w:val="30"/>
          <w:lang w:val="en-US" w:eastAsia="zh-CN"/>
        </w:rPr>
        <w:t>3-2、报价明细表</w:t>
      </w:r>
    </w:p>
    <w:p w14:paraId="21F03D15">
      <w:pPr>
        <w:pStyle w:val="3"/>
        <w:adjustRightInd w:val="0"/>
        <w:snapToGrid w:val="0"/>
        <w:spacing w:line="460" w:lineRule="atLeast"/>
        <w:jc w:val="center"/>
        <w:rPr>
          <w:rFonts w:hint="eastAsia" w:ascii="宋体" w:hAnsi="宋体" w:eastAsia="宋体" w:cs="宋体"/>
          <w:sz w:val="22"/>
          <w:szCs w:val="22"/>
        </w:rPr>
      </w:pPr>
      <w:r>
        <w:rPr>
          <w:rFonts w:hint="eastAsia" w:ascii="宋体" w:hAnsi="宋体" w:eastAsia="宋体" w:cs="宋体"/>
          <w:sz w:val="36"/>
          <w:szCs w:val="44"/>
        </w:rPr>
        <w:t>报价明细表</w:t>
      </w:r>
    </w:p>
    <w:p w14:paraId="17106533">
      <w:pPr>
        <w:rPr>
          <w:rFonts w:hint="eastAsia" w:ascii="宋体" w:hAnsi="宋体" w:eastAsia="宋体" w:cs="宋体"/>
          <w:sz w:val="22"/>
          <w:szCs w:val="22"/>
          <w:lang w:val="en-US" w:eastAsia="zh-CN"/>
        </w:rPr>
      </w:pPr>
      <w:r>
        <w:rPr>
          <w:rFonts w:hint="eastAsia" w:ascii="宋体" w:hAnsi="宋体" w:eastAsia="宋体" w:cs="宋体"/>
          <w:sz w:val="22"/>
          <w:szCs w:val="22"/>
        </w:rPr>
        <w:t xml:space="preserve">项目名称：             </w:t>
      </w:r>
      <w:r>
        <w:rPr>
          <w:rFonts w:hint="eastAsia" w:ascii="宋体" w:hAnsi="宋体" w:eastAsia="宋体" w:cs="宋体"/>
          <w:sz w:val="22"/>
          <w:szCs w:val="22"/>
          <w:lang w:val="en-US" w:eastAsia="zh-CN"/>
        </w:rPr>
        <w:t xml:space="preserve">      </w:t>
      </w:r>
    </w:p>
    <w:p w14:paraId="43AEB262">
      <w:pPr>
        <w:rPr>
          <w:rFonts w:hint="eastAsia" w:ascii="宋体" w:hAnsi="宋体" w:eastAsia="宋体" w:cs="宋体"/>
          <w:sz w:val="22"/>
          <w:szCs w:val="22"/>
        </w:rPr>
      </w:pPr>
      <w:r>
        <w:rPr>
          <w:rFonts w:hint="eastAsia" w:ascii="宋体" w:hAnsi="宋体" w:eastAsia="宋体" w:cs="宋体"/>
          <w:sz w:val="22"/>
          <w:szCs w:val="22"/>
        </w:rPr>
        <w:t xml:space="preserve">采购编号：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价格单位：人民币</w:t>
      </w:r>
      <w:r>
        <w:rPr>
          <w:rFonts w:hint="eastAsia" w:ascii="宋体" w:hAnsi="宋体" w:eastAsia="宋体" w:cs="宋体"/>
          <w:sz w:val="22"/>
          <w:szCs w:val="22"/>
          <w:lang w:val="en-US" w:eastAsia="zh-CN"/>
        </w:rPr>
        <w:t>/</w:t>
      </w:r>
      <w:r>
        <w:rPr>
          <w:rFonts w:hint="eastAsia" w:ascii="宋体" w:hAnsi="宋体" w:eastAsia="宋体" w:cs="宋体"/>
          <w:sz w:val="22"/>
          <w:szCs w:val="22"/>
        </w:rPr>
        <w:t>元</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693"/>
        <w:gridCol w:w="1740"/>
        <w:gridCol w:w="2263"/>
        <w:gridCol w:w="2263"/>
      </w:tblGrid>
      <w:tr w14:paraId="3A86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79CC8482">
            <w:pPr>
              <w:spacing w:line="38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2693" w:type="dxa"/>
            <w:noWrap w:val="0"/>
            <w:vAlign w:val="top"/>
          </w:tcPr>
          <w:p w14:paraId="4E73E965">
            <w:pPr>
              <w:spacing w:line="380" w:lineRule="exact"/>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项目</w:t>
            </w:r>
          </w:p>
        </w:tc>
        <w:tc>
          <w:tcPr>
            <w:tcW w:w="1740" w:type="dxa"/>
            <w:noWrap w:val="0"/>
            <w:vAlign w:val="top"/>
          </w:tcPr>
          <w:p w14:paraId="528EE3AC">
            <w:pPr>
              <w:spacing w:line="38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数量</w:t>
            </w:r>
          </w:p>
        </w:tc>
        <w:tc>
          <w:tcPr>
            <w:tcW w:w="2263" w:type="dxa"/>
            <w:noWrap w:val="0"/>
            <w:vAlign w:val="top"/>
          </w:tcPr>
          <w:p w14:paraId="3CECD1FB">
            <w:pPr>
              <w:spacing w:line="380" w:lineRule="exact"/>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单价（元）</w:t>
            </w:r>
          </w:p>
        </w:tc>
        <w:tc>
          <w:tcPr>
            <w:tcW w:w="2263" w:type="dxa"/>
            <w:noWrap w:val="0"/>
            <w:vAlign w:val="top"/>
          </w:tcPr>
          <w:p w14:paraId="1A75EA3F">
            <w:pPr>
              <w:spacing w:line="380" w:lineRule="exact"/>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合计（元）</w:t>
            </w:r>
          </w:p>
        </w:tc>
      </w:tr>
      <w:tr w14:paraId="5F61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43302E47">
            <w:pPr>
              <w:spacing w:line="380" w:lineRule="exact"/>
              <w:rPr>
                <w:rFonts w:hint="eastAsia" w:ascii="宋体" w:hAnsi="宋体" w:eastAsia="宋体" w:cs="宋体"/>
                <w:sz w:val="22"/>
                <w:szCs w:val="22"/>
                <w:vertAlign w:val="baseline"/>
              </w:rPr>
            </w:pPr>
          </w:p>
        </w:tc>
        <w:tc>
          <w:tcPr>
            <w:tcW w:w="2693" w:type="dxa"/>
            <w:noWrap w:val="0"/>
            <w:vAlign w:val="top"/>
          </w:tcPr>
          <w:p w14:paraId="373E7F76">
            <w:pPr>
              <w:spacing w:line="380" w:lineRule="exact"/>
              <w:rPr>
                <w:rFonts w:hint="eastAsia" w:ascii="宋体" w:hAnsi="宋体" w:eastAsia="宋体" w:cs="宋体"/>
                <w:sz w:val="22"/>
                <w:szCs w:val="22"/>
                <w:vertAlign w:val="baseline"/>
              </w:rPr>
            </w:pPr>
          </w:p>
        </w:tc>
        <w:tc>
          <w:tcPr>
            <w:tcW w:w="1740" w:type="dxa"/>
            <w:noWrap w:val="0"/>
            <w:vAlign w:val="top"/>
          </w:tcPr>
          <w:p w14:paraId="24AD3719">
            <w:pPr>
              <w:spacing w:line="380" w:lineRule="exact"/>
              <w:rPr>
                <w:rFonts w:hint="eastAsia" w:ascii="宋体" w:hAnsi="宋体" w:eastAsia="宋体" w:cs="宋体"/>
                <w:sz w:val="22"/>
                <w:szCs w:val="22"/>
                <w:vertAlign w:val="baseline"/>
              </w:rPr>
            </w:pPr>
          </w:p>
        </w:tc>
        <w:tc>
          <w:tcPr>
            <w:tcW w:w="2263" w:type="dxa"/>
            <w:noWrap w:val="0"/>
            <w:vAlign w:val="top"/>
          </w:tcPr>
          <w:p w14:paraId="0E36AF01">
            <w:pPr>
              <w:spacing w:line="380" w:lineRule="exact"/>
              <w:rPr>
                <w:rFonts w:hint="eastAsia" w:ascii="宋体" w:hAnsi="宋体" w:eastAsia="宋体" w:cs="宋体"/>
                <w:sz w:val="22"/>
                <w:szCs w:val="22"/>
                <w:vertAlign w:val="baseline"/>
              </w:rPr>
            </w:pPr>
          </w:p>
        </w:tc>
        <w:tc>
          <w:tcPr>
            <w:tcW w:w="2263" w:type="dxa"/>
            <w:noWrap w:val="0"/>
            <w:vAlign w:val="top"/>
          </w:tcPr>
          <w:p w14:paraId="771B2598">
            <w:pPr>
              <w:spacing w:line="380" w:lineRule="exact"/>
              <w:rPr>
                <w:rFonts w:hint="eastAsia" w:ascii="宋体" w:hAnsi="宋体" w:eastAsia="宋体" w:cs="宋体"/>
                <w:sz w:val="22"/>
                <w:szCs w:val="22"/>
                <w:vertAlign w:val="baseline"/>
              </w:rPr>
            </w:pPr>
          </w:p>
        </w:tc>
      </w:tr>
      <w:tr w14:paraId="244C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7599B263">
            <w:pPr>
              <w:spacing w:line="380" w:lineRule="exact"/>
              <w:rPr>
                <w:rFonts w:hint="eastAsia" w:ascii="宋体" w:hAnsi="宋体" w:eastAsia="宋体" w:cs="宋体"/>
                <w:sz w:val="22"/>
                <w:szCs w:val="22"/>
                <w:vertAlign w:val="baseline"/>
              </w:rPr>
            </w:pPr>
          </w:p>
        </w:tc>
        <w:tc>
          <w:tcPr>
            <w:tcW w:w="2693" w:type="dxa"/>
            <w:noWrap w:val="0"/>
            <w:vAlign w:val="top"/>
          </w:tcPr>
          <w:p w14:paraId="02A39CB8">
            <w:pPr>
              <w:spacing w:line="380" w:lineRule="exact"/>
              <w:rPr>
                <w:rFonts w:hint="eastAsia" w:ascii="宋体" w:hAnsi="宋体" w:eastAsia="宋体" w:cs="宋体"/>
                <w:sz w:val="22"/>
                <w:szCs w:val="22"/>
                <w:vertAlign w:val="baseline"/>
              </w:rPr>
            </w:pPr>
          </w:p>
        </w:tc>
        <w:tc>
          <w:tcPr>
            <w:tcW w:w="1740" w:type="dxa"/>
            <w:noWrap w:val="0"/>
            <w:vAlign w:val="top"/>
          </w:tcPr>
          <w:p w14:paraId="16FEBFA9">
            <w:pPr>
              <w:spacing w:line="380" w:lineRule="exact"/>
              <w:rPr>
                <w:rFonts w:hint="eastAsia" w:ascii="宋体" w:hAnsi="宋体" w:eastAsia="宋体" w:cs="宋体"/>
                <w:sz w:val="22"/>
                <w:szCs w:val="22"/>
                <w:vertAlign w:val="baseline"/>
              </w:rPr>
            </w:pPr>
          </w:p>
        </w:tc>
        <w:tc>
          <w:tcPr>
            <w:tcW w:w="2263" w:type="dxa"/>
            <w:noWrap w:val="0"/>
            <w:vAlign w:val="top"/>
          </w:tcPr>
          <w:p w14:paraId="378E450B">
            <w:pPr>
              <w:spacing w:line="380" w:lineRule="exact"/>
              <w:rPr>
                <w:rFonts w:hint="eastAsia" w:ascii="宋体" w:hAnsi="宋体" w:eastAsia="宋体" w:cs="宋体"/>
                <w:sz w:val="22"/>
                <w:szCs w:val="22"/>
                <w:vertAlign w:val="baseline"/>
              </w:rPr>
            </w:pPr>
          </w:p>
        </w:tc>
        <w:tc>
          <w:tcPr>
            <w:tcW w:w="2263" w:type="dxa"/>
            <w:noWrap w:val="0"/>
            <w:vAlign w:val="top"/>
          </w:tcPr>
          <w:p w14:paraId="61E05D0B">
            <w:pPr>
              <w:spacing w:line="380" w:lineRule="exact"/>
              <w:rPr>
                <w:rFonts w:hint="eastAsia" w:ascii="宋体" w:hAnsi="宋体" w:eastAsia="宋体" w:cs="宋体"/>
                <w:sz w:val="22"/>
                <w:szCs w:val="22"/>
                <w:vertAlign w:val="baseline"/>
              </w:rPr>
            </w:pPr>
          </w:p>
        </w:tc>
      </w:tr>
      <w:tr w14:paraId="3227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65DCABFB">
            <w:pPr>
              <w:spacing w:line="380" w:lineRule="exact"/>
              <w:rPr>
                <w:rFonts w:hint="eastAsia" w:ascii="宋体" w:hAnsi="宋体" w:eastAsia="宋体" w:cs="宋体"/>
                <w:sz w:val="22"/>
                <w:szCs w:val="22"/>
                <w:vertAlign w:val="baseline"/>
              </w:rPr>
            </w:pPr>
          </w:p>
        </w:tc>
        <w:tc>
          <w:tcPr>
            <w:tcW w:w="2693" w:type="dxa"/>
            <w:noWrap w:val="0"/>
            <w:vAlign w:val="top"/>
          </w:tcPr>
          <w:p w14:paraId="408622FE">
            <w:pPr>
              <w:spacing w:line="380" w:lineRule="exact"/>
              <w:rPr>
                <w:rFonts w:hint="eastAsia" w:ascii="宋体" w:hAnsi="宋体" w:eastAsia="宋体" w:cs="宋体"/>
                <w:sz w:val="22"/>
                <w:szCs w:val="22"/>
                <w:vertAlign w:val="baseline"/>
              </w:rPr>
            </w:pPr>
          </w:p>
        </w:tc>
        <w:tc>
          <w:tcPr>
            <w:tcW w:w="1740" w:type="dxa"/>
            <w:noWrap w:val="0"/>
            <w:vAlign w:val="top"/>
          </w:tcPr>
          <w:p w14:paraId="50EAD8FB">
            <w:pPr>
              <w:spacing w:line="380" w:lineRule="exact"/>
              <w:rPr>
                <w:rFonts w:hint="eastAsia" w:ascii="宋体" w:hAnsi="宋体" w:eastAsia="宋体" w:cs="宋体"/>
                <w:sz w:val="22"/>
                <w:szCs w:val="22"/>
                <w:vertAlign w:val="baseline"/>
              </w:rPr>
            </w:pPr>
          </w:p>
        </w:tc>
        <w:tc>
          <w:tcPr>
            <w:tcW w:w="2263" w:type="dxa"/>
            <w:noWrap w:val="0"/>
            <w:vAlign w:val="top"/>
          </w:tcPr>
          <w:p w14:paraId="2B25859C">
            <w:pPr>
              <w:spacing w:line="380" w:lineRule="exact"/>
              <w:rPr>
                <w:rFonts w:hint="eastAsia" w:ascii="宋体" w:hAnsi="宋体" w:eastAsia="宋体" w:cs="宋体"/>
                <w:sz w:val="22"/>
                <w:szCs w:val="22"/>
                <w:vertAlign w:val="baseline"/>
              </w:rPr>
            </w:pPr>
          </w:p>
        </w:tc>
        <w:tc>
          <w:tcPr>
            <w:tcW w:w="2263" w:type="dxa"/>
            <w:noWrap w:val="0"/>
            <w:vAlign w:val="top"/>
          </w:tcPr>
          <w:p w14:paraId="3CC2CB9C">
            <w:pPr>
              <w:spacing w:line="380" w:lineRule="exact"/>
              <w:rPr>
                <w:rFonts w:hint="eastAsia" w:ascii="宋体" w:hAnsi="宋体" w:eastAsia="宋体" w:cs="宋体"/>
                <w:sz w:val="22"/>
                <w:szCs w:val="22"/>
                <w:vertAlign w:val="baseline"/>
              </w:rPr>
            </w:pPr>
          </w:p>
        </w:tc>
      </w:tr>
      <w:tr w14:paraId="03F4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0944E9C1">
            <w:pPr>
              <w:spacing w:line="380" w:lineRule="exact"/>
              <w:rPr>
                <w:rFonts w:hint="eastAsia" w:ascii="宋体" w:hAnsi="宋体" w:eastAsia="宋体" w:cs="宋体"/>
                <w:sz w:val="22"/>
                <w:szCs w:val="22"/>
                <w:vertAlign w:val="baseline"/>
              </w:rPr>
            </w:pPr>
          </w:p>
        </w:tc>
        <w:tc>
          <w:tcPr>
            <w:tcW w:w="2693" w:type="dxa"/>
            <w:noWrap w:val="0"/>
            <w:vAlign w:val="top"/>
          </w:tcPr>
          <w:p w14:paraId="66EF946D">
            <w:pPr>
              <w:spacing w:line="380" w:lineRule="exact"/>
              <w:rPr>
                <w:rFonts w:hint="eastAsia" w:ascii="宋体" w:hAnsi="宋体" w:eastAsia="宋体" w:cs="宋体"/>
                <w:sz w:val="22"/>
                <w:szCs w:val="22"/>
                <w:vertAlign w:val="baseline"/>
              </w:rPr>
            </w:pPr>
          </w:p>
        </w:tc>
        <w:tc>
          <w:tcPr>
            <w:tcW w:w="1740" w:type="dxa"/>
            <w:noWrap w:val="0"/>
            <w:vAlign w:val="top"/>
          </w:tcPr>
          <w:p w14:paraId="09857F97">
            <w:pPr>
              <w:spacing w:line="380" w:lineRule="exact"/>
              <w:rPr>
                <w:rFonts w:hint="eastAsia" w:ascii="宋体" w:hAnsi="宋体" w:eastAsia="宋体" w:cs="宋体"/>
                <w:sz w:val="22"/>
                <w:szCs w:val="22"/>
                <w:vertAlign w:val="baseline"/>
              </w:rPr>
            </w:pPr>
          </w:p>
        </w:tc>
        <w:tc>
          <w:tcPr>
            <w:tcW w:w="2263" w:type="dxa"/>
            <w:noWrap w:val="0"/>
            <w:vAlign w:val="top"/>
          </w:tcPr>
          <w:p w14:paraId="15F81091">
            <w:pPr>
              <w:spacing w:line="380" w:lineRule="exact"/>
              <w:rPr>
                <w:rFonts w:hint="eastAsia" w:ascii="宋体" w:hAnsi="宋体" w:eastAsia="宋体" w:cs="宋体"/>
                <w:sz w:val="22"/>
                <w:szCs w:val="22"/>
                <w:vertAlign w:val="baseline"/>
              </w:rPr>
            </w:pPr>
          </w:p>
        </w:tc>
        <w:tc>
          <w:tcPr>
            <w:tcW w:w="2263" w:type="dxa"/>
            <w:noWrap w:val="0"/>
            <w:vAlign w:val="top"/>
          </w:tcPr>
          <w:p w14:paraId="26051F32">
            <w:pPr>
              <w:spacing w:line="380" w:lineRule="exact"/>
              <w:rPr>
                <w:rFonts w:hint="eastAsia" w:ascii="宋体" w:hAnsi="宋体" w:eastAsia="宋体" w:cs="宋体"/>
                <w:sz w:val="22"/>
                <w:szCs w:val="22"/>
                <w:vertAlign w:val="baseline"/>
              </w:rPr>
            </w:pPr>
          </w:p>
        </w:tc>
      </w:tr>
      <w:tr w14:paraId="007D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652B0F20">
            <w:pPr>
              <w:spacing w:line="380" w:lineRule="exact"/>
              <w:rPr>
                <w:rFonts w:hint="eastAsia" w:ascii="宋体" w:hAnsi="宋体" w:eastAsia="宋体" w:cs="宋体"/>
                <w:sz w:val="22"/>
                <w:szCs w:val="22"/>
                <w:vertAlign w:val="baseline"/>
              </w:rPr>
            </w:pPr>
          </w:p>
        </w:tc>
        <w:tc>
          <w:tcPr>
            <w:tcW w:w="2693" w:type="dxa"/>
            <w:noWrap w:val="0"/>
            <w:vAlign w:val="top"/>
          </w:tcPr>
          <w:p w14:paraId="631F648C">
            <w:pPr>
              <w:spacing w:line="380" w:lineRule="exact"/>
              <w:rPr>
                <w:rFonts w:hint="eastAsia" w:ascii="宋体" w:hAnsi="宋体" w:eastAsia="宋体" w:cs="宋体"/>
                <w:sz w:val="22"/>
                <w:szCs w:val="22"/>
                <w:vertAlign w:val="baseline"/>
              </w:rPr>
            </w:pPr>
          </w:p>
        </w:tc>
        <w:tc>
          <w:tcPr>
            <w:tcW w:w="1740" w:type="dxa"/>
            <w:noWrap w:val="0"/>
            <w:vAlign w:val="top"/>
          </w:tcPr>
          <w:p w14:paraId="31F3DB02">
            <w:pPr>
              <w:spacing w:line="380" w:lineRule="exact"/>
              <w:rPr>
                <w:rFonts w:hint="eastAsia" w:ascii="宋体" w:hAnsi="宋体" w:eastAsia="宋体" w:cs="宋体"/>
                <w:sz w:val="22"/>
                <w:szCs w:val="22"/>
                <w:vertAlign w:val="baseline"/>
              </w:rPr>
            </w:pPr>
          </w:p>
        </w:tc>
        <w:tc>
          <w:tcPr>
            <w:tcW w:w="2263" w:type="dxa"/>
            <w:noWrap w:val="0"/>
            <w:vAlign w:val="top"/>
          </w:tcPr>
          <w:p w14:paraId="44EA750A">
            <w:pPr>
              <w:spacing w:line="380" w:lineRule="exact"/>
              <w:rPr>
                <w:rFonts w:hint="eastAsia" w:ascii="宋体" w:hAnsi="宋体" w:eastAsia="宋体" w:cs="宋体"/>
                <w:sz w:val="22"/>
                <w:szCs w:val="22"/>
                <w:vertAlign w:val="baseline"/>
              </w:rPr>
            </w:pPr>
          </w:p>
        </w:tc>
        <w:tc>
          <w:tcPr>
            <w:tcW w:w="2263" w:type="dxa"/>
            <w:noWrap w:val="0"/>
            <w:vAlign w:val="top"/>
          </w:tcPr>
          <w:p w14:paraId="279AF0DD">
            <w:pPr>
              <w:spacing w:line="380" w:lineRule="exact"/>
              <w:rPr>
                <w:rFonts w:hint="eastAsia" w:ascii="宋体" w:hAnsi="宋体" w:eastAsia="宋体" w:cs="宋体"/>
                <w:sz w:val="22"/>
                <w:szCs w:val="22"/>
                <w:vertAlign w:val="baseline"/>
              </w:rPr>
            </w:pPr>
          </w:p>
        </w:tc>
      </w:tr>
      <w:tr w14:paraId="6C32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6F0CB5DE">
            <w:pPr>
              <w:spacing w:line="380" w:lineRule="exact"/>
              <w:rPr>
                <w:rFonts w:hint="eastAsia" w:ascii="宋体" w:hAnsi="宋体" w:eastAsia="宋体" w:cs="宋体"/>
                <w:sz w:val="22"/>
                <w:szCs w:val="22"/>
                <w:vertAlign w:val="baseline"/>
              </w:rPr>
            </w:pPr>
          </w:p>
        </w:tc>
        <w:tc>
          <w:tcPr>
            <w:tcW w:w="2693" w:type="dxa"/>
            <w:noWrap w:val="0"/>
            <w:vAlign w:val="top"/>
          </w:tcPr>
          <w:p w14:paraId="66610C0E">
            <w:pPr>
              <w:spacing w:line="380" w:lineRule="exact"/>
              <w:rPr>
                <w:rFonts w:hint="eastAsia" w:ascii="宋体" w:hAnsi="宋体" w:eastAsia="宋体" w:cs="宋体"/>
                <w:sz w:val="22"/>
                <w:szCs w:val="22"/>
                <w:vertAlign w:val="baseline"/>
              </w:rPr>
            </w:pPr>
          </w:p>
        </w:tc>
        <w:tc>
          <w:tcPr>
            <w:tcW w:w="1740" w:type="dxa"/>
            <w:noWrap w:val="0"/>
            <w:vAlign w:val="top"/>
          </w:tcPr>
          <w:p w14:paraId="5884E9EA">
            <w:pPr>
              <w:spacing w:line="380" w:lineRule="exact"/>
              <w:rPr>
                <w:rFonts w:hint="eastAsia" w:ascii="宋体" w:hAnsi="宋体" w:eastAsia="宋体" w:cs="宋体"/>
                <w:sz w:val="22"/>
                <w:szCs w:val="22"/>
                <w:vertAlign w:val="baseline"/>
              </w:rPr>
            </w:pPr>
          </w:p>
        </w:tc>
        <w:tc>
          <w:tcPr>
            <w:tcW w:w="2263" w:type="dxa"/>
            <w:noWrap w:val="0"/>
            <w:vAlign w:val="top"/>
          </w:tcPr>
          <w:p w14:paraId="148CF605">
            <w:pPr>
              <w:spacing w:line="380" w:lineRule="exact"/>
              <w:rPr>
                <w:rFonts w:hint="eastAsia" w:ascii="宋体" w:hAnsi="宋体" w:eastAsia="宋体" w:cs="宋体"/>
                <w:sz w:val="22"/>
                <w:szCs w:val="22"/>
                <w:vertAlign w:val="baseline"/>
              </w:rPr>
            </w:pPr>
          </w:p>
        </w:tc>
        <w:tc>
          <w:tcPr>
            <w:tcW w:w="2263" w:type="dxa"/>
            <w:noWrap w:val="0"/>
            <w:vAlign w:val="top"/>
          </w:tcPr>
          <w:p w14:paraId="35972F7C">
            <w:pPr>
              <w:spacing w:line="380" w:lineRule="exact"/>
              <w:rPr>
                <w:rFonts w:hint="eastAsia" w:ascii="宋体" w:hAnsi="宋体" w:eastAsia="宋体" w:cs="宋体"/>
                <w:sz w:val="22"/>
                <w:szCs w:val="22"/>
                <w:vertAlign w:val="baseline"/>
              </w:rPr>
            </w:pPr>
          </w:p>
        </w:tc>
      </w:tr>
      <w:tr w14:paraId="1CD0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6F295FE3">
            <w:pPr>
              <w:spacing w:line="380" w:lineRule="exact"/>
              <w:rPr>
                <w:rFonts w:hint="eastAsia" w:ascii="宋体" w:hAnsi="宋体" w:eastAsia="宋体" w:cs="宋体"/>
                <w:sz w:val="22"/>
                <w:szCs w:val="22"/>
                <w:vertAlign w:val="baseline"/>
              </w:rPr>
            </w:pPr>
          </w:p>
        </w:tc>
        <w:tc>
          <w:tcPr>
            <w:tcW w:w="2693" w:type="dxa"/>
            <w:noWrap w:val="0"/>
            <w:vAlign w:val="top"/>
          </w:tcPr>
          <w:p w14:paraId="0CD97121">
            <w:pPr>
              <w:spacing w:line="380" w:lineRule="exact"/>
              <w:rPr>
                <w:rFonts w:hint="eastAsia" w:ascii="宋体" w:hAnsi="宋体" w:eastAsia="宋体" w:cs="宋体"/>
                <w:sz w:val="22"/>
                <w:szCs w:val="22"/>
                <w:vertAlign w:val="baseline"/>
              </w:rPr>
            </w:pPr>
          </w:p>
        </w:tc>
        <w:tc>
          <w:tcPr>
            <w:tcW w:w="1740" w:type="dxa"/>
            <w:noWrap w:val="0"/>
            <w:vAlign w:val="top"/>
          </w:tcPr>
          <w:p w14:paraId="15E38DD8">
            <w:pPr>
              <w:spacing w:line="380" w:lineRule="exact"/>
              <w:rPr>
                <w:rFonts w:hint="eastAsia" w:ascii="宋体" w:hAnsi="宋体" w:eastAsia="宋体" w:cs="宋体"/>
                <w:sz w:val="22"/>
                <w:szCs w:val="22"/>
                <w:vertAlign w:val="baseline"/>
              </w:rPr>
            </w:pPr>
          </w:p>
        </w:tc>
        <w:tc>
          <w:tcPr>
            <w:tcW w:w="2263" w:type="dxa"/>
            <w:noWrap w:val="0"/>
            <w:vAlign w:val="top"/>
          </w:tcPr>
          <w:p w14:paraId="7225130C">
            <w:pPr>
              <w:spacing w:line="380" w:lineRule="exact"/>
              <w:rPr>
                <w:rFonts w:hint="eastAsia" w:ascii="宋体" w:hAnsi="宋体" w:eastAsia="宋体" w:cs="宋体"/>
                <w:sz w:val="22"/>
                <w:szCs w:val="22"/>
                <w:vertAlign w:val="baseline"/>
              </w:rPr>
            </w:pPr>
          </w:p>
        </w:tc>
        <w:tc>
          <w:tcPr>
            <w:tcW w:w="2263" w:type="dxa"/>
            <w:noWrap w:val="0"/>
            <w:vAlign w:val="top"/>
          </w:tcPr>
          <w:p w14:paraId="6B367587">
            <w:pPr>
              <w:spacing w:line="380" w:lineRule="exact"/>
              <w:rPr>
                <w:rFonts w:hint="eastAsia" w:ascii="宋体" w:hAnsi="宋体" w:eastAsia="宋体" w:cs="宋体"/>
                <w:sz w:val="22"/>
                <w:szCs w:val="22"/>
                <w:vertAlign w:val="baseline"/>
              </w:rPr>
            </w:pPr>
          </w:p>
        </w:tc>
      </w:tr>
      <w:tr w14:paraId="0864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7EE37A17">
            <w:pPr>
              <w:spacing w:line="380" w:lineRule="exact"/>
              <w:rPr>
                <w:rFonts w:hint="eastAsia" w:ascii="宋体" w:hAnsi="宋体" w:eastAsia="宋体" w:cs="宋体"/>
                <w:sz w:val="22"/>
                <w:szCs w:val="22"/>
                <w:vertAlign w:val="baseline"/>
              </w:rPr>
            </w:pPr>
          </w:p>
        </w:tc>
        <w:tc>
          <w:tcPr>
            <w:tcW w:w="2693" w:type="dxa"/>
            <w:noWrap w:val="0"/>
            <w:vAlign w:val="top"/>
          </w:tcPr>
          <w:p w14:paraId="2873F01B">
            <w:pPr>
              <w:spacing w:line="380" w:lineRule="exact"/>
              <w:rPr>
                <w:rFonts w:hint="eastAsia" w:ascii="宋体" w:hAnsi="宋体" w:eastAsia="宋体" w:cs="宋体"/>
                <w:sz w:val="22"/>
                <w:szCs w:val="22"/>
                <w:vertAlign w:val="baseline"/>
              </w:rPr>
            </w:pPr>
          </w:p>
        </w:tc>
        <w:tc>
          <w:tcPr>
            <w:tcW w:w="1740" w:type="dxa"/>
            <w:noWrap w:val="0"/>
            <w:vAlign w:val="top"/>
          </w:tcPr>
          <w:p w14:paraId="57079910">
            <w:pPr>
              <w:spacing w:line="380" w:lineRule="exact"/>
              <w:rPr>
                <w:rFonts w:hint="eastAsia" w:ascii="宋体" w:hAnsi="宋体" w:eastAsia="宋体" w:cs="宋体"/>
                <w:sz w:val="22"/>
                <w:szCs w:val="22"/>
                <w:vertAlign w:val="baseline"/>
              </w:rPr>
            </w:pPr>
          </w:p>
        </w:tc>
        <w:tc>
          <w:tcPr>
            <w:tcW w:w="2263" w:type="dxa"/>
            <w:noWrap w:val="0"/>
            <w:vAlign w:val="top"/>
          </w:tcPr>
          <w:p w14:paraId="7FF591B7">
            <w:pPr>
              <w:spacing w:line="380" w:lineRule="exact"/>
              <w:rPr>
                <w:rFonts w:hint="eastAsia" w:ascii="宋体" w:hAnsi="宋体" w:eastAsia="宋体" w:cs="宋体"/>
                <w:sz w:val="22"/>
                <w:szCs w:val="22"/>
                <w:vertAlign w:val="baseline"/>
              </w:rPr>
            </w:pPr>
          </w:p>
        </w:tc>
        <w:tc>
          <w:tcPr>
            <w:tcW w:w="2263" w:type="dxa"/>
            <w:noWrap w:val="0"/>
            <w:vAlign w:val="top"/>
          </w:tcPr>
          <w:p w14:paraId="630D6016">
            <w:pPr>
              <w:spacing w:line="380" w:lineRule="exact"/>
              <w:rPr>
                <w:rFonts w:hint="eastAsia" w:ascii="宋体" w:hAnsi="宋体" w:eastAsia="宋体" w:cs="宋体"/>
                <w:sz w:val="22"/>
                <w:szCs w:val="22"/>
                <w:vertAlign w:val="baseline"/>
              </w:rPr>
            </w:pPr>
          </w:p>
        </w:tc>
      </w:tr>
      <w:tr w14:paraId="3C83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5CE67CB0">
            <w:pPr>
              <w:spacing w:line="380" w:lineRule="exact"/>
              <w:rPr>
                <w:rFonts w:hint="eastAsia" w:ascii="宋体" w:hAnsi="宋体" w:eastAsia="宋体" w:cs="宋体"/>
                <w:sz w:val="22"/>
                <w:szCs w:val="22"/>
                <w:vertAlign w:val="baseline"/>
              </w:rPr>
            </w:pPr>
          </w:p>
        </w:tc>
        <w:tc>
          <w:tcPr>
            <w:tcW w:w="2693" w:type="dxa"/>
            <w:noWrap w:val="0"/>
            <w:vAlign w:val="top"/>
          </w:tcPr>
          <w:p w14:paraId="398765C3">
            <w:pPr>
              <w:spacing w:line="380" w:lineRule="exact"/>
              <w:rPr>
                <w:rFonts w:hint="eastAsia" w:ascii="宋体" w:hAnsi="宋体" w:eastAsia="宋体" w:cs="宋体"/>
                <w:sz w:val="22"/>
                <w:szCs w:val="22"/>
                <w:vertAlign w:val="baseline"/>
              </w:rPr>
            </w:pPr>
          </w:p>
        </w:tc>
        <w:tc>
          <w:tcPr>
            <w:tcW w:w="1740" w:type="dxa"/>
            <w:noWrap w:val="0"/>
            <w:vAlign w:val="top"/>
          </w:tcPr>
          <w:p w14:paraId="75FFE126">
            <w:pPr>
              <w:spacing w:line="380" w:lineRule="exact"/>
              <w:rPr>
                <w:rFonts w:hint="eastAsia" w:ascii="宋体" w:hAnsi="宋体" w:eastAsia="宋体" w:cs="宋体"/>
                <w:sz w:val="22"/>
                <w:szCs w:val="22"/>
                <w:vertAlign w:val="baseline"/>
              </w:rPr>
            </w:pPr>
          </w:p>
        </w:tc>
        <w:tc>
          <w:tcPr>
            <w:tcW w:w="2263" w:type="dxa"/>
            <w:noWrap w:val="0"/>
            <w:vAlign w:val="top"/>
          </w:tcPr>
          <w:p w14:paraId="3E39ECAF">
            <w:pPr>
              <w:spacing w:line="380" w:lineRule="exact"/>
              <w:rPr>
                <w:rFonts w:hint="eastAsia" w:ascii="宋体" w:hAnsi="宋体" w:eastAsia="宋体" w:cs="宋体"/>
                <w:sz w:val="22"/>
                <w:szCs w:val="22"/>
                <w:vertAlign w:val="baseline"/>
              </w:rPr>
            </w:pPr>
          </w:p>
        </w:tc>
        <w:tc>
          <w:tcPr>
            <w:tcW w:w="2263" w:type="dxa"/>
            <w:noWrap w:val="0"/>
            <w:vAlign w:val="top"/>
          </w:tcPr>
          <w:p w14:paraId="3B65F9B7">
            <w:pPr>
              <w:spacing w:line="380" w:lineRule="exact"/>
              <w:rPr>
                <w:rFonts w:hint="eastAsia" w:ascii="宋体" w:hAnsi="宋体" w:eastAsia="宋体" w:cs="宋体"/>
                <w:sz w:val="22"/>
                <w:szCs w:val="22"/>
                <w:vertAlign w:val="baseline"/>
              </w:rPr>
            </w:pPr>
          </w:p>
        </w:tc>
      </w:tr>
      <w:tr w14:paraId="501D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5DD22B67">
            <w:pPr>
              <w:spacing w:line="380" w:lineRule="exact"/>
              <w:rPr>
                <w:rFonts w:hint="eastAsia" w:ascii="宋体" w:hAnsi="宋体" w:eastAsia="宋体" w:cs="宋体"/>
                <w:sz w:val="22"/>
                <w:szCs w:val="22"/>
                <w:vertAlign w:val="baseline"/>
              </w:rPr>
            </w:pPr>
          </w:p>
        </w:tc>
        <w:tc>
          <w:tcPr>
            <w:tcW w:w="2693" w:type="dxa"/>
            <w:noWrap w:val="0"/>
            <w:vAlign w:val="top"/>
          </w:tcPr>
          <w:p w14:paraId="42B12CFC">
            <w:pPr>
              <w:spacing w:line="380" w:lineRule="exact"/>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w:t>
            </w:r>
          </w:p>
        </w:tc>
        <w:tc>
          <w:tcPr>
            <w:tcW w:w="1740" w:type="dxa"/>
            <w:noWrap w:val="0"/>
            <w:vAlign w:val="top"/>
          </w:tcPr>
          <w:p w14:paraId="406690AD">
            <w:pPr>
              <w:spacing w:line="380" w:lineRule="exact"/>
              <w:rPr>
                <w:rFonts w:hint="eastAsia" w:ascii="宋体" w:hAnsi="宋体" w:eastAsia="宋体" w:cs="宋体"/>
                <w:sz w:val="22"/>
                <w:szCs w:val="22"/>
                <w:vertAlign w:val="baseline"/>
              </w:rPr>
            </w:pPr>
          </w:p>
        </w:tc>
        <w:tc>
          <w:tcPr>
            <w:tcW w:w="2263" w:type="dxa"/>
            <w:noWrap w:val="0"/>
            <w:vAlign w:val="top"/>
          </w:tcPr>
          <w:p w14:paraId="3926A947">
            <w:pPr>
              <w:spacing w:line="380" w:lineRule="exact"/>
              <w:rPr>
                <w:rFonts w:hint="eastAsia" w:ascii="宋体" w:hAnsi="宋体" w:eastAsia="宋体" w:cs="宋体"/>
                <w:sz w:val="22"/>
                <w:szCs w:val="22"/>
                <w:vertAlign w:val="baseline"/>
              </w:rPr>
            </w:pPr>
          </w:p>
        </w:tc>
        <w:tc>
          <w:tcPr>
            <w:tcW w:w="2263" w:type="dxa"/>
            <w:noWrap w:val="0"/>
            <w:vAlign w:val="top"/>
          </w:tcPr>
          <w:p w14:paraId="3AC79990">
            <w:pPr>
              <w:spacing w:line="380" w:lineRule="exact"/>
              <w:rPr>
                <w:rFonts w:hint="eastAsia" w:ascii="宋体" w:hAnsi="宋体" w:eastAsia="宋体" w:cs="宋体"/>
                <w:sz w:val="22"/>
                <w:szCs w:val="22"/>
                <w:vertAlign w:val="baseline"/>
              </w:rPr>
            </w:pPr>
          </w:p>
        </w:tc>
      </w:tr>
      <w:tr w14:paraId="0C69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top"/>
          </w:tcPr>
          <w:p w14:paraId="5B399866">
            <w:pPr>
              <w:spacing w:line="380" w:lineRule="exact"/>
              <w:rPr>
                <w:rFonts w:hint="eastAsia" w:ascii="宋体" w:hAnsi="宋体" w:eastAsia="宋体" w:cs="宋体"/>
                <w:sz w:val="22"/>
                <w:szCs w:val="22"/>
                <w:vertAlign w:val="baseline"/>
              </w:rPr>
            </w:pPr>
          </w:p>
        </w:tc>
        <w:tc>
          <w:tcPr>
            <w:tcW w:w="2693" w:type="dxa"/>
            <w:noWrap w:val="0"/>
            <w:vAlign w:val="top"/>
          </w:tcPr>
          <w:p w14:paraId="233D89C7">
            <w:pPr>
              <w:spacing w:line="380" w:lineRule="exact"/>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w:t>
            </w:r>
          </w:p>
        </w:tc>
        <w:tc>
          <w:tcPr>
            <w:tcW w:w="1740" w:type="dxa"/>
            <w:noWrap w:val="0"/>
            <w:vAlign w:val="top"/>
          </w:tcPr>
          <w:p w14:paraId="4263333C">
            <w:pPr>
              <w:spacing w:line="380" w:lineRule="exact"/>
              <w:rPr>
                <w:rFonts w:hint="eastAsia" w:ascii="宋体" w:hAnsi="宋体" w:eastAsia="宋体" w:cs="宋体"/>
                <w:sz w:val="22"/>
                <w:szCs w:val="22"/>
                <w:vertAlign w:val="baseline"/>
              </w:rPr>
            </w:pPr>
          </w:p>
        </w:tc>
        <w:tc>
          <w:tcPr>
            <w:tcW w:w="2263" w:type="dxa"/>
            <w:noWrap w:val="0"/>
            <w:vAlign w:val="top"/>
          </w:tcPr>
          <w:p w14:paraId="081AFFE4">
            <w:pPr>
              <w:spacing w:line="380" w:lineRule="exact"/>
              <w:rPr>
                <w:rFonts w:hint="eastAsia" w:ascii="宋体" w:hAnsi="宋体" w:eastAsia="宋体" w:cs="宋体"/>
                <w:sz w:val="22"/>
                <w:szCs w:val="22"/>
                <w:vertAlign w:val="baseline"/>
              </w:rPr>
            </w:pPr>
          </w:p>
        </w:tc>
        <w:tc>
          <w:tcPr>
            <w:tcW w:w="2263" w:type="dxa"/>
            <w:noWrap w:val="0"/>
            <w:vAlign w:val="top"/>
          </w:tcPr>
          <w:p w14:paraId="52269448">
            <w:pPr>
              <w:spacing w:line="380" w:lineRule="exact"/>
              <w:rPr>
                <w:rFonts w:hint="eastAsia" w:ascii="宋体" w:hAnsi="宋体" w:eastAsia="宋体" w:cs="宋体"/>
                <w:sz w:val="22"/>
                <w:szCs w:val="22"/>
                <w:vertAlign w:val="baseline"/>
              </w:rPr>
            </w:pPr>
          </w:p>
        </w:tc>
      </w:tr>
      <w:tr w14:paraId="295E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851" w:type="dxa"/>
            <w:gridSpan w:val="5"/>
            <w:noWrap w:val="0"/>
            <w:vAlign w:val="top"/>
          </w:tcPr>
          <w:p w14:paraId="48D61A47">
            <w:pPr>
              <w:spacing w:line="380" w:lineRule="exact"/>
              <w:rPr>
                <w:rFonts w:hint="eastAsia" w:ascii="宋体" w:hAnsi="宋体" w:eastAsia="宋体" w:cs="宋体"/>
                <w:sz w:val="22"/>
                <w:szCs w:val="22"/>
                <w:vertAlign w:val="baseline"/>
              </w:rPr>
            </w:pPr>
          </w:p>
        </w:tc>
      </w:tr>
      <w:tr w14:paraId="3CDB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5" w:type="dxa"/>
            <w:gridSpan w:val="3"/>
            <w:noWrap w:val="0"/>
            <w:vAlign w:val="top"/>
          </w:tcPr>
          <w:p w14:paraId="0AB1A2AD">
            <w:pPr>
              <w:spacing w:line="380" w:lineRule="exact"/>
              <w:jc w:val="center"/>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总价（元）</w:t>
            </w:r>
          </w:p>
        </w:tc>
        <w:tc>
          <w:tcPr>
            <w:tcW w:w="4526" w:type="dxa"/>
            <w:gridSpan w:val="2"/>
            <w:noWrap w:val="0"/>
            <w:vAlign w:val="top"/>
          </w:tcPr>
          <w:p w14:paraId="5709FBA7">
            <w:pPr>
              <w:spacing w:line="380" w:lineRule="exact"/>
              <w:rPr>
                <w:rFonts w:hint="eastAsia" w:ascii="宋体" w:hAnsi="宋体" w:eastAsia="宋体" w:cs="宋体"/>
                <w:sz w:val="22"/>
                <w:szCs w:val="22"/>
                <w:vertAlign w:val="baseline"/>
              </w:rPr>
            </w:pPr>
          </w:p>
        </w:tc>
      </w:tr>
    </w:tbl>
    <w:p w14:paraId="1AA1DFDC">
      <w:pPr>
        <w:spacing w:line="380" w:lineRule="exact"/>
        <w:rPr>
          <w:rFonts w:hint="eastAsia" w:ascii="宋体" w:hAnsi="宋体" w:eastAsia="宋体" w:cs="宋体"/>
          <w:sz w:val="22"/>
          <w:szCs w:val="22"/>
        </w:rPr>
      </w:pPr>
    </w:p>
    <w:p w14:paraId="6F94E853">
      <w:pPr>
        <w:spacing w:line="380" w:lineRule="exact"/>
        <w:rPr>
          <w:rFonts w:hint="eastAsia" w:ascii="宋体" w:hAnsi="宋体" w:eastAsia="宋体" w:cs="宋体"/>
          <w:sz w:val="22"/>
          <w:szCs w:val="22"/>
        </w:rPr>
      </w:pPr>
    </w:p>
    <w:p w14:paraId="164C9EC2">
      <w:pPr>
        <w:spacing w:line="380" w:lineRule="exact"/>
        <w:rPr>
          <w:rFonts w:hint="eastAsia" w:ascii="宋体" w:hAnsi="宋体" w:eastAsia="宋体" w:cs="宋体"/>
          <w:sz w:val="22"/>
          <w:szCs w:val="22"/>
        </w:rPr>
      </w:pPr>
      <w:r>
        <w:rPr>
          <w:rFonts w:hint="eastAsia" w:ascii="宋体" w:hAnsi="宋体" w:eastAsia="宋体" w:cs="宋体"/>
          <w:sz w:val="22"/>
          <w:szCs w:val="22"/>
        </w:rPr>
        <w:t>表格可以延续。</w:t>
      </w:r>
    </w:p>
    <w:p w14:paraId="6466FC89">
      <w:pPr>
        <w:pStyle w:val="5"/>
        <w:rPr>
          <w:rFonts w:hint="default" w:eastAsia="新宋体"/>
          <w:lang w:val="en-US" w:eastAsia="zh-CN"/>
        </w:rPr>
      </w:pPr>
      <w:r>
        <w:rPr>
          <w:rFonts w:hint="eastAsia" w:ascii="宋体" w:hAnsi="宋体" w:eastAsia="宋体" w:cs="宋体"/>
          <w:sz w:val="22"/>
          <w:szCs w:val="22"/>
          <w:lang w:val="en-US" w:eastAsia="zh-CN"/>
        </w:rPr>
        <w:t>投标报价包含</w:t>
      </w:r>
      <w:r>
        <w:rPr>
          <w:rFonts w:hint="eastAsia" w:ascii="新宋体" w:hAnsi="新宋体" w:eastAsia="新宋体"/>
          <w:color w:val="000000"/>
          <w:sz w:val="22"/>
        </w:rPr>
        <w:t>企业管理费</w:t>
      </w:r>
      <w:r>
        <w:rPr>
          <w:rFonts w:hint="eastAsia" w:ascii="新宋体" w:hAnsi="新宋体" w:eastAsia="新宋体"/>
          <w:color w:val="000000"/>
          <w:sz w:val="22"/>
          <w:lang w:eastAsia="zh-CN"/>
        </w:rPr>
        <w:t>、</w:t>
      </w:r>
      <w:r>
        <w:rPr>
          <w:rFonts w:hint="eastAsia" w:ascii="新宋体" w:hAnsi="新宋体" w:eastAsia="新宋体"/>
          <w:color w:val="000000"/>
          <w:sz w:val="22"/>
        </w:rPr>
        <w:t>利润</w:t>
      </w:r>
      <w:r>
        <w:rPr>
          <w:rFonts w:hint="eastAsia" w:ascii="新宋体" w:hAnsi="新宋体" w:eastAsia="新宋体"/>
          <w:color w:val="000000"/>
          <w:sz w:val="22"/>
          <w:lang w:eastAsia="zh-CN"/>
        </w:rPr>
        <w:t>、</w:t>
      </w:r>
      <w:r>
        <w:rPr>
          <w:rFonts w:hint="eastAsia" w:ascii="新宋体" w:hAnsi="新宋体" w:eastAsia="新宋体"/>
          <w:color w:val="000000"/>
          <w:sz w:val="22"/>
        </w:rPr>
        <w:t>税收</w:t>
      </w:r>
      <w:r>
        <w:rPr>
          <w:rFonts w:hint="eastAsia" w:ascii="新宋体" w:hAnsi="新宋体" w:eastAsia="新宋体"/>
          <w:color w:val="000000"/>
          <w:sz w:val="22"/>
          <w:lang w:eastAsia="zh-CN"/>
        </w:rPr>
        <w:t>、</w:t>
      </w:r>
      <w:r>
        <w:rPr>
          <w:rFonts w:hint="eastAsia" w:ascii="新宋体" w:hAnsi="新宋体" w:eastAsia="新宋体"/>
          <w:color w:val="000000"/>
          <w:sz w:val="22"/>
        </w:rPr>
        <w:t>其他</w:t>
      </w:r>
      <w:r>
        <w:rPr>
          <w:rFonts w:hint="eastAsia" w:ascii="新宋体" w:hAnsi="新宋体" w:eastAsia="新宋体"/>
          <w:color w:val="000000"/>
          <w:sz w:val="22"/>
          <w:lang w:eastAsia="zh-CN"/>
        </w:rPr>
        <w:t>成本</w:t>
      </w:r>
      <w:r>
        <w:rPr>
          <w:rFonts w:hint="eastAsia" w:ascii="新宋体" w:hAnsi="新宋体" w:eastAsia="新宋体"/>
          <w:color w:val="000000"/>
          <w:sz w:val="22"/>
        </w:rPr>
        <w:t>费用</w:t>
      </w:r>
      <w:r>
        <w:rPr>
          <w:rFonts w:hint="eastAsia" w:ascii="新宋体" w:hAnsi="新宋体" w:eastAsia="新宋体"/>
          <w:color w:val="000000"/>
          <w:sz w:val="22"/>
          <w:lang w:val="en-US" w:eastAsia="zh-CN"/>
        </w:rPr>
        <w:t>等内容。</w:t>
      </w:r>
    </w:p>
    <w:p w14:paraId="31905FC8">
      <w:pPr>
        <w:spacing w:line="480" w:lineRule="auto"/>
        <w:rPr>
          <w:rFonts w:hint="eastAsia" w:ascii="宋体" w:hAnsi="宋体" w:eastAsia="宋体" w:cs="宋体"/>
          <w:sz w:val="22"/>
          <w:szCs w:val="22"/>
        </w:rPr>
      </w:pPr>
      <w:r>
        <w:rPr>
          <w:rFonts w:hint="eastAsia" w:ascii="宋体" w:hAnsi="宋体" w:eastAsia="宋体" w:cs="宋体"/>
          <w:sz w:val="22"/>
          <w:szCs w:val="22"/>
        </w:rPr>
        <w:t>供应商（公章）：</w:t>
      </w:r>
    </w:p>
    <w:p w14:paraId="710CF07E">
      <w:pPr>
        <w:pStyle w:val="5"/>
        <w:spacing w:line="480" w:lineRule="auto"/>
        <w:jc w:val="left"/>
        <w:rPr>
          <w:rFonts w:hint="eastAsia" w:ascii="宋体" w:hAnsi="宋体" w:eastAsia="宋体" w:cs="宋体"/>
          <w:kern w:val="0"/>
          <w:sz w:val="22"/>
          <w:szCs w:val="22"/>
        </w:rPr>
      </w:pPr>
      <w:r>
        <w:rPr>
          <w:rFonts w:hint="eastAsia" w:ascii="宋体" w:hAnsi="宋体" w:eastAsia="宋体" w:cs="宋体"/>
          <w:kern w:val="0"/>
          <w:sz w:val="22"/>
          <w:szCs w:val="22"/>
        </w:rPr>
        <w:t>日    期：</w:t>
      </w:r>
    </w:p>
    <w:p w14:paraId="6666AA0E">
      <w:pPr>
        <w:autoSpaceDE w:val="0"/>
        <w:autoSpaceDN w:val="0"/>
        <w:adjustRightInd w:val="0"/>
        <w:spacing w:line="440" w:lineRule="atLeast"/>
        <w:ind w:firstLine="323" w:firstLineChars="147"/>
        <w:jc w:val="center"/>
        <w:rPr>
          <w:rFonts w:hint="eastAsia" w:ascii="宋体" w:hAnsi="宋体" w:eastAsia="宋体" w:cs="宋体"/>
          <w:sz w:val="32"/>
          <w:szCs w:val="32"/>
        </w:rPr>
      </w:pPr>
      <w:r>
        <w:rPr>
          <w:rFonts w:hint="eastAsia" w:ascii="宋体" w:hAnsi="宋体" w:eastAsia="宋体" w:cs="宋体"/>
          <w:kern w:val="0"/>
          <w:sz w:val="22"/>
          <w:szCs w:val="22"/>
        </w:rPr>
        <w:br w:type="page"/>
      </w:r>
      <w:bookmarkEnd w:id="153"/>
      <w:r>
        <w:rPr>
          <w:rFonts w:hint="eastAsia" w:ascii="宋体" w:hAnsi="宋体" w:eastAsia="宋体" w:cs="宋体"/>
          <w:sz w:val="32"/>
          <w:szCs w:val="32"/>
        </w:rPr>
        <w:t>政府采购活动现场确认声明书</w:t>
      </w:r>
    </w:p>
    <w:p w14:paraId="4F13F71A">
      <w:pPr>
        <w:snapToGrid w:val="0"/>
        <w:spacing w:line="500" w:lineRule="exact"/>
        <w:rPr>
          <w:rFonts w:hint="eastAsia" w:ascii="宋体" w:hAnsi="宋体" w:eastAsia="宋体" w:cs="宋体"/>
          <w:szCs w:val="21"/>
        </w:rPr>
      </w:pPr>
      <w:r>
        <w:rPr>
          <w:rFonts w:hint="eastAsia" w:ascii="宋体" w:hAnsi="宋体" w:eastAsia="宋体" w:cs="宋体"/>
          <w:kern w:val="0"/>
          <w:szCs w:val="21"/>
          <w:lang w:eastAsia="zh-CN"/>
        </w:rPr>
        <w:t>温州立民招标代理有限公司</w:t>
      </w:r>
      <w:r>
        <w:rPr>
          <w:rFonts w:hint="eastAsia" w:ascii="宋体" w:hAnsi="宋体" w:eastAsia="宋体" w:cs="宋体"/>
          <w:kern w:val="0"/>
          <w:szCs w:val="21"/>
        </w:rPr>
        <w:t>：</w:t>
      </w:r>
    </w:p>
    <w:p w14:paraId="447722D6">
      <w:pPr>
        <w:snapToGrid w:val="0"/>
        <w:spacing w:line="500" w:lineRule="exact"/>
        <w:ind w:firstLine="420" w:firstLineChars="200"/>
        <w:rPr>
          <w:rFonts w:hint="eastAsia" w:ascii="宋体" w:hAnsi="宋体" w:eastAsia="宋体" w:cs="宋体"/>
          <w:szCs w:val="21"/>
          <w:u w:val="single"/>
        </w:rPr>
      </w:pPr>
      <w:r>
        <w:rPr>
          <w:rFonts w:hint="eastAsia" w:ascii="宋体" w:hAnsi="宋体" w:eastAsia="宋体" w:cs="宋体"/>
          <w:szCs w:val="21"/>
          <w:u w:val="none"/>
        </w:rPr>
        <w:t>本人</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（授权代表姓名），经由</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（单位）</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 xml:space="preserve">（法定代表人姓名）合法授权参加 </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龙港市第五中学新建教学楼二次装修及智能化工程采购项目</w:t>
      </w:r>
      <w:r>
        <w:rPr>
          <w:rFonts w:hint="eastAsia" w:ascii="宋体" w:hAnsi="宋体" w:eastAsia="宋体" w:cs="宋体"/>
          <w:szCs w:val="21"/>
          <w:u w:val="single"/>
        </w:rPr>
        <w:t>（编号：</w:t>
      </w:r>
      <w:r>
        <w:rPr>
          <w:rFonts w:hint="eastAsia" w:ascii="宋体" w:hAnsi="宋体" w:cs="宋体"/>
          <w:szCs w:val="21"/>
          <w:u w:val="single"/>
          <w:lang w:val="en-US" w:eastAsia="zh-CN"/>
        </w:rPr>
        <w:t>LGCG2024273</w:t>
      </w:r>
      <w:r>
        <w:rPr>
          <w:rFonts w:hint="eastAsia" w:ascii="宋体" w:hAnsi="宋体" w:eastAsia="宋体" w:cs="宋体"/>
          <w:szCs w:val="21"/>
          <w:u w:val="single"/>
        </w:rPr>
        <w:t>）</w:t>
      </w:r>
      <w:r>
        <w:rPr>
          <w:rFonts w:hint="eastAsia" w:ascii="宋体" w:hAnsi="宋体" w:eastAsia="宋体" w:cs="宋体"/>
          <w:szCs w:val="21"/>
          <w:u w:val="none"/>
        </w:rPr>
        <w:t>政府采购活动，经与本单位法人代表（负责人）联系确认，现就有关公平竞争事项郑重声明如下：</w:t>
      </w:r>
    </w:p>
    <w:p w14:paraId="1DA79CC3">
      <w:pPr>
        <w:widowControl/>
        <w:numPr>
          <w:ilvl w:val="0"/>
          <w:numId w:val="10"/>
        </w:numPr>
        <w:snapToGrid w:val="0"/>
        <w:spacing w:line="500" w:lineRule="exact"/>
        <w:ind w:firstLine="396" w:firstLineChars="189"/>
        <w:rPr>
          <w:rFonts w:hint="eastAsia" w:ascii="宋体" w:hAnsi="宋体" w:eastAsia="宋体" w:cs="宋体"/>
          <w:kern w:val="0"/>
          <w:szCs w:val="21"/>
        </w:rPr>
      </w:pPr>
      <w:r>
        <w:rPr>
          <w:rFonts w:hint="eastAsia" w:ascii="宋体" w:hAnsi="宋体" w:eastAsia="宋体" w:cs="宋体"/>
          <w:kern w:val="0"/>
          <w:szCs w:val="21"/>
        </w:rPr>
        <w:t>本单位与采购人之间 □不存在利害关系 □存在下列利害关系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32CE7EC5">
      <w:pPr>
        <w:widowControl/>
        <w:snapToGrid w:val="0"/>
        <w:spacing w:line="500" w:lineRule="exact"/>
        <w:rPr>
          <w:rFonts w:hint="eastAsia" w:ascii="宋体" w:hAnsi="宋体" w:eastAsia="宋体" w:cs="宋体"/>
          <w:kern w:val="0"/>
          <w:szCs w:val="21"/>
        </w:rPr>
      </w:pPr>
      <w:r>
        <w:rPr>
          <w:rFonts w:hint="eastAsia" w:ascii="宋体" w:hAnsi="宋体" w:eastAsia="宋体" w:cs="宋体"/>
          <w:kern w:val="0"/>
          <w:szCs w:val="21"/>
        </w:rPr>
        <w:t xml:space="preserve">  A.投资关系    B.行政隶属关系    C.业务指导关系</w:t>
      </w:r>
    </w:p>
    <w:p w14:paraId="1AAD4629">
      <w:pPr>
        <w:widowControl/>
        <w:snapToGrid w:val="0"/>
        <w:spacing w:line="500" w:lineRule="exact"/>
        <w:rPr>
          <w:rFonts w:hint="eastAsia" w:ascii="宋体" w:hAnsi="宋体" w:eastAsia="宋体" w:cs="宋体"/>
          <w:kern w:val="0"/>
          <w:szCs w:val="21"/>
        </w:rPr>
      </w:pPr>
      <w:r>
        <w:rPr>
          <w:rFonts w:hint="eastAsia" w:ascii="宋体" w:hAnsi="宋体" w:eastAsia="宋体" w:cs="宋体"/>
          <w:kern w:val="0"/>
          <w:szCs w:val="21"/>
        </w:rPr>
        <w:t xml:space="preserve">  D.其他可能</w:t>
      </w:r>
      <w:r>
        <w:rPr>
          <w:rFonts w:hint="eastAsia" w:ascii="宋体" w:hAnsi="宋体" w:eastAsia="宋体" w:cs="宋体"/>
          <w:szCs w:val="21"/>
        </w:rPr>
        <w:t>影响采购公正的</w:t>
      </w:r>
      <w:r>
        <w:rPr>
          <w:rFonts w:hint="eastAsia" w:ascii="宋体" w:hAnsi="宋体" w:eastAsia="宋体" w:cs="宋体"/>
          <w:kern w:val="0"/>
          <w:szCs w:val="21"/>
        </w:rPr>
        <w:t>利害关系</w:t>
      </w:r>
      <w:r>
        <w:rPr>
          <w:rFonts w:hint="eastAsia" w:ascii="宋体" w:hAnsi="宋体" w:eastAsia="宋体" w:cs="宋体"/>
          <w:kern w:val="0"/>
          <w:szCs w:val="21"/>
          <w:u w:val="single"/>
        </w:rPr>
        <w:t xml:space="preserve">（如有，请如实说明）                 </w:t>
      </w:r>
      <w:r>
        <w:rPr>
          <w:rFonts w:hint="eastAsia" w:ascii="宋体" w:hAnsi="宋体" w:eastAsia="宋体" w:cs="宋体"/>
          <w:kern w:val="0"/>
          <w:szCs w:val="21"/>
        </w:rPr>
        <w:t>。</w:t>
      </w:r>
    </w:p>
    <w:p w14:paraId="682B0E8C">
      <w:pPr>
        <w:widowControl/>
        <w:snapToGrid w:val="0"/>
        <w:spacing w:line="500" w:lineRule="exact"/>
        <w:rPr>
          <w:rFonts w:hint="eastAsia" w:ascii="宋体" w:hAnsi="宋体" w:eastAsia="宋体" w:cs="宋体"/>
          <w:kern w:val="0"/>
          <w:szCs w:val="21"/>
        </w:rPr>
      </w:pPr>
      <w:r>
        <w:rPr>
          <w:rFonts w:hint="eastAsia" w:ascii="宋体" w:hAnsi="宋体" w:eastAsia="宋体" w:cs="宋体"/>
          <w:szCs w:val="21"/>
        </w:rPr>
        <w:t xml:space="preserve">  二、</w:t>
      </w:r>
      <w:r>
        <w:rPr>
          <w:rFonts w:hint="eastAsia" w:ascii="宋体" w:hAnsi="宋体" w:eastAsia="宋体" w:cs="宋体"/>
          <w:kern w:val="0"/>
          <w:szCs w:val="21"/>
        </w:rPr>
        <w:t>现已清楚知道参加本项目采购活动的其他所有供应商名称，本单位 □与其他所有供应商之间均不存在利害关系 □与</w:t>
      </w:r>
      <w:r>
        <w:rPr>
          <w:rFonts w:hint="eastAsia" w:ascii="宋体" w:hAnsi="宋体" w:eastAsia="宋体" w:cs="宋体"/>
          <w:kern w:val="0"/>
          <w:szCs w:val="21"/>
          <w:u w:val="single"/>
        </w:rPr>
        <w:t xml:space="preserve">           （供应商名称）</w:t>
      </w:r>
      <w:r>
        <w:rPr>
          <w:rFonts w:hint="eastAsia" w:ascii="宋体" w:hAnsi="宋体" w:eastAsia="宋体" w:cs="宋体"/>
          <w:kern w:val="0"/>
          <w:szCs w:val="21"/>
        </w:rPr>
        <w:t>之间存在下列利害关系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0C055F39">
      <w:pPr>
        <w:snapToGrid w:val="0"/>
        <w:spacing w:line="500" w:lineRule="exact"/>
        <w:rPr>
          <w:rFonts w:hint="eastAsia" w:ascii="宋体" w:hAnsi="宋体" w:eastAsia="宋体" w:cs="宋体"/>
          <w:kern w:val="0"/>
          <w:szCs w:val="21"/>
        </w:rPr>
      </w:pPr>
      <w:r>
        <w:rPr>
          <w:rFonts w:hint="eastAsia" w:ascii="宋体" w:hAnsi="宋体" w:eastAsia="宋体" w:cs="宋体"/>
          <w:kern w:val="0"/>
          <w:szCs w:val="21"/>
        </w:rPr>
        <w:t xml:space="preserve">  A.法定代表人或负责人或实际控制人是同一人</w:t>
      </w:r>
    </w:p>
    <w:p w14:paraId="21ED9F28">
      <w:pPr>
        <w:snapToGrid w:val="0"/>
        <w:spacing w:line="500" w:lineRule="exact"/>
        <w:rPr>
          <w:rFonts w:hint="eastAsia" w:ascii="宋体" w:hAnsi="宋体" w:eastAsia="宋体" w:cs="宋体"/>
          <w:szCs w:val="21"/>
        </w:rPr>
      </w:pPr>
      <w:r>
        <w:rPr>
          <w:rFonts w:hint="eastAsia" w:ascii="宋体" w:hAnsi="宋体" w:eastAsia="宋体" w:cs="宋体"/>
          <w:kern w:val="0"/>
          <w:szCs w:val="21"/>
        </w:rPr>
        <w:t xml:space="preserve">  B.法定代表人或负责人或实际控制人是夫妻关系</w:t>
      </w:r>
    </w:p>
    <w:p w14:paraId="1AB9BC2D">
      <w:pPr>
        <w:snapToGrid w:val="0"/>
        <w:spacing w:line="500" w:lineRule="exact"/>
        <w:rPr>
          <w:rFonts w:hint="eastAsia" w:ascii="宋体" w:hAnsi="宋体" w:eastAsia="宋体" w:cs="宋体"/>
          <w:szCs w:val="21"/>
        </w:rPr>
      </w:pPr>
      <w:r>
        <w:rPr>
          <w:rFonts w:hint="eastAsia" w:ascii="宋体" w:hAnsi="宋体" w:eastAsia="宋体" w:cs="宋体"/>
          <w:kern w:val="0"/>
          <w:szCs w:val="21"/>
        </w:rPr>
        <w:t xml:space="preserve">  C.法定代表人或负责人或实际控制人是直系血亲关系</w:t>
      </w:r>
    </w:p>
    <w:p w14:paraId="0387B4A7">
      <w:pPr>
        <w:snapToGrid w:val="0"/>
        <w:spacing w:line="500" w:lineRule="exact"/>
        <w:rPr>
          <w:rFonts w:hint="eastAsia" w:ascii="宋体" w:hAnsi="宋体" w:eastAsia="宋体" w:cs="宋体"/>
          <w:szCs w:val="21"/>
        </w:rPr>
      </w:pPr>
      <w:r>
        <w:rPr>
          <w:rFonts w:hint="eastAsia" w:ascii="宋体" w:hAnsi="宋体" w:eastAsia="宋体" w:cs="宋体"/>
          <w:kern w:val="0"/>
          <w:szCs w:val="21"/>
        </w:rPr>
        <w:t xml:space="preserve">  D.法定代表人或负责人或实际控制人存在三代以内旁系血亲关系</w:t>
      </w:r>
    </w:p>
    <w:p w14:paraId="67AA9F84">
      <w:pPr>
        <w:snapToGrid w:val="0"/>
        <w:spacing w:line="500" w:lineRule="exact"/>
        <w:rPr>
          <w:rFonts w:hint="eastAsia" w:ascii="宋体" w:hAnsi="宋体" w:eastAsia="宋体" w:cs="宋体"/>
          <w:kern w:val="0"/>
          <w:szCs w:val="21"/>
        </w:rPr>
      </w:pPr>
      <w:r>
        <w:rPr>
          <w:rFonts w:hint="eastAsia" w:ascii="宋体" w:hAnsi="宋体" w:eastAsia="宋体" w:cs="宋体"/>
          <w:kern w:val="0"/>
          <w:szCs w:val="21"/>
        </w:rPr>
        <w:t xml:space="preserve">  E.法定代表人或负责人或实际控制人存在近姻亲关系</w:t>
      </w:r>
    </w:p>
    <w:p w14:paraId="4CEADFE3">
      <w:pPr>
        <w:snapToGrid w:val="0"/>
        <w:spacing w:line="500" w:lineRule="exact"/>
        <w:rPr>
          <w:rFonts w:hint="eastAsia" w:ascii="宋体" w:hAnsi="宋体" w:eastAsia="宋体" w:cs="宋体"/>
          <w:kern w:val="0"/>
          <w:szCs w:val="21"/>
        </w:rPr>
      </w:pPr>
      <w:r>
        <w:rPr>
          <w:rFonts w:hint="eastAsia" w:ascii="宋体" w:hAnsi="宋体" w:eastAsia="宋体" w:cs="宋体"/>
          <w:kern w:val="0"/>
          <w:szCs w:val="21"/>
        </w:rPr>
        <w:t xml:space="preserve">  F.法定代表人或负责人或实际控制人存在股份控制或实际控制关系</w:t>
      </w:r>
    </w:p>
    <w:p w14:paraId="7D6A972F">
      <w:pPr>
        <w:snapToGrid w:val="0"/>
        <w:spacing w:line="500" w:lineRule="exact"/>
        <w:outlineLvl w:val="0"/>
        <w:rPr>
          <w:rFonts w:hint="eastAsia" w:ascii="宋体" w:hAnsi="宋体" w:eastAsia="宋体" w:cs="宋体"/>
          <w:kern w:val="0"/>
          <w:szCs w:val="21"/>
        </w:rPr>
      </w:pPr>
      <w:r>
        <w:rPr>
          <w:rFonts w:hint="eastAsia" w:ascii="宋体" w:hAnsi="宋体" w:eastAsia="宋体" w:cs="宋体"/>
          <w:kern w:val="0"/>
          <w:szCs w:val="21"/>
        </w:rPr>
        <w:t xml:space="preserve">  </w:t>
      </w:r>
      <w:bookmarkStart w:id="154" w:name="_Toc12688"/>
      <w:bookmarkStart w:id="155" w:name="_Toc32345"/>
      <w:r>
        <w:rPr>
          <w:rFonts w:hint="eastAsia" w:ascii="宋体" w:hAnsi="宋体" w:eastAsia="宋体" w:cs="宋体"/>
          <w:kern w:val="0"/>
          <w:szCs w:val="21"/>
        </w:rPr>
        <w:t>G.存在共同直接或间接投资设立子公司、联营企业和合营企业情况</w:t>
      </w:r>
      <w:bookmarkEnd w:id="154"/>
      <w:bookmarkEnd w:id="155"/>
    </w:p>
    <w:p w14:paraId="2565A7BA">
      <w:pPr>
        <w:snapToGrid w:val="0"/>
        <w:spacing w:line="500" w:lineRule="exact"/>
        <w:rPr>
          <w:rFonts w:hint="eastAsia" w:ascii="宋体" w:hAnsi="宋体" w:eastAsia="宋体" w:cs="宋体"/>
          <w:szCs w:val="21"/>
        </w:rPr>
      </w:pPr>
      <w:r>
        <w:rPr>
          <w:rFonts w:hint="eastAsia" w:ascii="宋体" w:hAnsi="宋体" w:eastAsia="宋体" w:cs="宋体"/>
          <w:kern w:val="0"/>
          <w:szCs w:val="21"/>
        </w:rPr>
        <w:t xml:space="preserve">  H.存在分级代理或代销关系、同一生产制造商关系、</w:t>
      </w:r>
      <w:r>
        <w:rPr>
          <w:rFonts w:hint="eastAsia" w:ascii="宋体" w:hAnsi="宋体" w:eastAsia="宋体" w:cs="宋体"/>
          <w:szCs w:val="21"/>
        </w:rPr>
        <w:t>管理关系、重要业务（占主营业务收入50%以上）或重要财务往来关系（如融资）等其他实质性控制关系</w:t>
      </w:r>
    </w:p>
    <w:p w14:paraId="63BF6D8E">
      <w:pPr>
        <w:snapToGrid w:val="0"/>
        <w:spacing w:line="500" w:lineRule="exact"/>
        <w:rPr>
          <w:rFonts w:hint="eastAsia" w:ascii="宋体" w:hAnsi="宋体" w:eastAsia="宋体" w:cs="宋体"/>
          <w:szCs w:val="21"/>
        </w:rPr>
      </w:pPr>
      <w:r>
        <w:rPr>
          <w:rFonts w:hint="eastAsia" w:ascii="宋体" w:hAnsi="宋体" w:eastAsia="宋体" w:cs="宋体"/>
          <w:szCs w:val="21"/>
        </w:rPr>
        <w:t xml:space="preserve">    I</w:t>
      </w:r>
      <w:r>
        <w:rPr>
          <w:rFonts w:hint="eastAsia" w:ascii="宋体" w:hAnsi="宋体" w:eastAsia="宋体" w:cs="宋体"/>
          <w:kern w:val="0"/>
          <w:szCs w:val="21"/>
        </w:rPr>
        <w:t>.</w:t>
      </w:r>
      <w:r>
        <w:rPr>
          <w:rFonts w:hint="eastAsia" w:ascii="宋体" w:hAnsi="宋体" w:eastAsia="宋体" w:cs="宋体"/>
          <w:szCs w:val="21"/>
        </w:rPr>
        <w:t>其他利害关系情况</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17931AAC">
      <w:pPr>
        <w:widowControl/>
        <w:numPr>
          <w:ilvl w:val="0"/>
          <w:numId w:val="11"/>
        </w:numPr>
        <w:snapToGrid w:val="0"/>
        <w:spacing w:line="500" w:lineRule="exact"/>
        <w:ind w:firstLine="396" w:firstLineChars="189"/>
        <w:rPr>
          <w:rFonts w:hint="eastAsia" w:ascii="宋体" w:hAnsi="宋体" w:eastAsia="宋体" w:cs="宋体"/>
          <w:kern w:val="0"/>
          <w:szCs w:val="21"/>
        </w:rPr>
      </w:pPr>
      <w:r>
        <w:rPr>
          <w:rFonts w:hint="eastAsia" w:ascii="宋体" w:hAnsi="宋体" w:eastAsia="宋体" w:cs="宋体"/>
          <w:szCs w:val="21"/>
        </w:rPr>
        <w:t>现已清楚知道并</w:t>
      </w:r>
      <w:r>
        <w:rPr>
          <w:rFonts w:hint="eastAsia" w:ascii="宋体" w:hAnsi="宋体" w:eastAsia="宋体" w:cs="宋体"/>
          <w:kern w:val="0"/>
          <w:szCs w:val="21"/>
        </w:rPr>
        <w:t>严格遵守政府采购法律法规和现场纪律。</w:t>
      </w:r>
    </w:p>
    <w:p w14:paraId="6A651DAF">
      <w:pPr>
        <w:widowControl/>
        <w:numPr>
          <w:ilvl w:val="0"/>
          <w:numId w:val="11"/>
        </w:numPr>
        <w:snapToGrid w:val="0"/>
        <w:spacing w:line="500" w:lineRule="exact"/>
        <w:ind w:firstLine="396" w:firstLineChars="189"/>
        <w:rPr>
          <w:rFonts w:hint="eastAsia" w:ascii="宋体" w:hAnsi="宋体" w:eastAsia="宋体" w:cs="宋体"/>
          <w:kern w:val="0"/>
          <w:szCs w:val="21"/>
        </w:rPr>
      </w:pPr>
      <w:r>
        <w:rPr>
          <w:rFonts w:hint="eastAsia" w:ascii="宋体" w:hAnsi="宋体" w:eastAsia="宋体" w:cs="宋体"/>
          <w:kern w:val="0"/>
          <w:szCs w:val="21"/>
        </w:rPr>
        <w:t>我发现</w:t>
      </w:r>
      <w:r>
        <w:rPr>
          <w:rFonts w:hint="eastAsia" w:ascii="宋体" w:hAnsi="宋体" w:eastAsia="宋体" w:cs="宋体"/>
          <w:kern w:val="0"/>
          <w:szCs w:val="21"/>
          <w:u w:val="single"/>
        </w:rPr>
        <w:t xml:space="preserve">                    </w:t>
      </w:r>
      <w:r>
        <w:rPr>
          <w:rFonts w:hint="eastAsia" w:ascii="宋体" w:hAnsi="宋体" w:eastAsia="宋体" w:cs="宋体"/>
          <w:kern w:val="0"/>
          <w:szCs w:val="21"/>
        </w:rPr>
        <w:t>供应商之间存在或可能存在上述第二条第</w:t>
      </w:r>
      <w:r>
        <w:rPr>
          <w:rFonts w:hint="eastAsia" w:ascii="宋体" w:hAnsi="宋体" w:eastAsia="宋体" w:cs="宋体"/>
          <w:kern w:val="0"/>
          <w:szCs w:val="21"/>
          <w:u w:val="single"/>
        </w:rPr>
        <w:t xml:space="preserve">        </w:t>
      </w:r>
      <w:r>
        <w:rPr>
          <w:rFonts w:hint="eastAsia" w:ascii="宋体" w:hAnsi="宋体" w:eastAsia="宋体" w:cs="宋体"/>
          <w:kern w:val="0"/>
          <w:szCs w:val="21"/>
        </w:rPr>
        <w:t>项利害关系.</w:t>
      </w:r>
    </w:p>
    <w:p w14:paraId="799A036C">
      <w:pPr>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                                       （供应商代表签名）</w:t>
      </w:r>
    </w:p>
    <w:p w14:paraId="66974CA2">
      <w:pPr>
        <w:snapToGrid w:val="0"/>
        <w:spacing w:line="50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 xml:space="preserve">                                               年   月   日</w:t>
      </w:r>
    </w:p>
    <w:p w14:paraId="6395D2A0">
      <w:pPr>
        <w:pStyle w:val="5"/>
        <w:rPr>
          <w:rFonts w:hint="eastAsia"/>
        </w:rPr>
      </w:pPr>
    </w:p>
    <w:p w14:paraId="6A1EB508">
      <w:pPr>
        <w:pStyle w:val="7"/>
        <w:ind w:left="0" w:leftChars="0" w:firstLine="0" w:firstLineChars="0"/>
        <w:rPr>
          <w:rFonts w:hint="eastAsia" w:ascii="宋体" w:hAnsi="宋体" w:eastAsia="宋体" w:cs="宋体"/>
          <w:b/>
          <w:bCs/>
          <w:color w:val="FF0000"/>
          <w:u w:val="single"/>
        </w:rPr>
      </w:pPr>
      <w:r>
        <w:rPr>
          <w:rFonts w:hint="eastAsia" w:ascii="宋体" w:hAnsi="宋体" w:eastAsia="宋体" w:cs="宋体"/>
          <w:b/>
          <w:bCs/>
          <w:color w:val="FF0000"/>
          <w:szCs w:val="21"/>
          <w:u w:val="single"/>
        </w:rPr>
        <w:t>注：</w:t>
      </w:r>
      <w:r>
        <w:rPr>
          <w:rFonts w:hint="eastAsia" w:ascii="宋体" w:hAnsi="宋体" w:eastAsia="宋体" w:cs="宋体"/>
          <w:b/>
          <w:bCs/>
          <w:color w:val="FF0000"/>
          <w:szCs w:val="21"/>
          <w:u w:val="single"/>
          <w:lang w:val="en-US" w:eastAsia="zh-CN"/>
        </w:rPr>
        <w:t>投标</w:t>
      </w:r>
      <w:r>
        <w:rPr>
          <w:rFonts w:hint="eastAsia" w:ascii="宋体" w:hAnsi="宋体" w:eastAsia="宋体" w:cs="宋体"/>
          <w:b/>
          <w:bCs/>
          <w:color w:val="FF0000"/>
          <w:szCs w:val="21"/>
          <w:u w:val="single"/>
        </w:rPr>
        <w:t>响应文件解密结束后，各供应商组织签署《政府采购活动现场确认声明书》，并在</w:t>
      </w:r>
      <w:r>
        <w:rPr>
          <w:rFonts w:hint="eastAsia" w:ascii="宋体" w:hAnsi="宋体" w:eastAsia="宋体" w:cs="宋体"/>
          <w:b/>
          <w:bCs/>
          <w:color w:val="FF0000"/>
          <w:szCs w:val="21"/>
          <w:u w:val="single"/>
          <w:lang w:val="en-US" w:eastAsia="zh-CN"/>
        </w:rPr>
        <w:t>30</w:t>
      </w:r>
      <w:r>
        <w:rPr>
          <w:rFonts w:hint="eastAsia" w:ascii="宋体" w:hAnsi="宋体" w:eastAsia="宋体" w:cs="宋体"/>
          <w:b/>
          <w:bCs/>
          <w:color w:val="FF0000"/>
          <w:szCs w:val="21"/>
          <w:u w:val="single"/>
        </w:rPr>
        <w:t>分钟内以扫描件方式发送至代理机构邮箱：</w:t>
      </w:r>
      <w:r>
        <w:rPr>
          <w:rFonts w:hint="eastAsia" w:ascii="宋体" w:hAnsi="宋体" w:eastAsia="宋体" w:cs="宋体"/>
          <w:b/>
          <w:bCs/>
          <w:color w:val="FF0000"/>
          <w:szCs w:val="21"/>
          <w:u w:val="single"/>
          <w:lang w:val="en-US" w:eastAsia="zh-CN"/>
        </w:rPr>
        <w:t>18668780078@163</w:t>
      </w:r>
      <w:r>
        <w:rPr>
          <w:rFonts w:hint="eastAsia" w:ascii="宋体" w:hAnsi="宋体" w:eastAsia="宋体" w:cs="宋体"/>
          <w:b/>
          <w:bCs/>
          <w:color w:val="FF0000"/>
          <w:szCs w:val="21"/>
          <w:u w:val="single"/>
        </w:rPr>
        <w:t>.com。</w:t>
      </w:r>
    </w:p>
    <w:p w14:paraId="3E0F136C">
      <w:pPr>
        <w:rPr>
          <w:rFonts w:hint="eastAsia" w:ascii="宋体" w:hAnsi="宋体" w:eastAsia="宋体" w:cs="宋体"/>
        </w:rPr>
      </w:pPr>
    </w:p>
    <w:p w14:paraId="21A4589D">
      <w:pPr>
        <w:pStyle w:val="8"/>
        <w:spacing w:before="0" w:after="0"/>
        <w:jc w:val="center"/>
        <w:rPr>
          <w:rFonts w:hint="eastAsia" w:ascii="宋体" w:hAnsi="宋体" w:eastAsia="宋体" w:cs="宋体"/>
          <w:b/>
          <w:bCs/>
        </w:rPr>
      </w:pPr>
      <w:bookmarkStart w:id="156" w:name="_Toc13813"/>
      <w:r>
        <w:rPr>
          <w:rFonts w:hint="eastAsia" w:ascii="宋体" w:hAnsi="宋体" w:eastAsia="宋体" w:cs="宋体"/>
          <w:b/>
          <w:bCs/>
        </w:rPr>
        <w:t>第六部分   评标办法</w:t>
      </w:r>
      <w:bookmarkEnd w:id="156"/>
    </w:p>
    <w:p w14:paraId="79EB65DD">
      <w:pPr>
        <w:tabs>
          <w:tab w:val="left" w:pos="8820"/>
        </w:tabs>
        <w:adjustRightInd w:val="0"/>
        <w:snapToGrid w:val="0"/>
        <w:spacing w:line="360" w:lineRule="auto"/>
        <w:ind w:firstLine="440" w:firstLineChars="200"/>
        <w:rPr>
          <w:rFonts w:hint="eastAsia" w:ascii="宋体" w:hAnsi="宋体" w:eastAsia="宋体" w:cs="宋体"/>
          <w:sz w:val="22"/>
          <w:szCs w:val="22"/>
        </w:rPr>
      </w:pPr>
      <w:bookmarkStart w:id="157" w:name="_Toc157410904"/>
      <w:r>
        <w:rPr>
          <w:rFonts w:hint="eastAsia" w:ascii="宋体" w:hAnsi="宋体" w:eastAsia="宋体" w:cs="宋体"/>
          <w:sz w:val="22"/>
          <w:szCs w:val="22"/>
        </w:rPr>
        <w:t>根据《中华人民共和国政府采购法》等有关政府采购法规，结合本次所要采购项目的实际，按照公平、公正、科学、择优的原则选择中标单位，特制定本评标办法。</w:t>
      </w:r>
    </w:p>
    <w:p w14:paraId="5C6FF05C">
      <w:pPr>
        <w:adjustRightInd w:val="0"/>
        <w:snapToGrid w:val="0"/>
        <w:spacing w:before="162" w:beforeLines="50" w:after="50" w:line="360" w:lineRule="auto"/>
        <w:jc w:val="center"/>
        <w:outlineLvl w:val="0"/>
        <w:rPr>
          <w:rFonts w:hint="eastAsia" w:ascii="宋体" w:hAnsi="宋体" w:eastAsia="宋体" w:cs="宋体"/>
          <w:bCs/>
          <w:sz w:val="22"/>
          <w:szCs w:val="22"/>
        </w:rPr>
      </w:pPr>
      <w:bookmarkStart w:id="158" w:name="_Toc5508"/>
      <w:r>
        <w:rPr>
          <w:rFonts w:hint="eastAsia" w:ascii="宋体" w:hAnsi="宋体" w:eastAsia="宋体" w:cs="宋体"/>
          <w:bCs/>
          <w:sz w:val="22"/>
          <w:szCs w:val="22"/>
        </w:rPr>
        <w:t>一、总则</w:t>
      </w:r>
      <w:bookmarkEnd w:id="158"/>
    </w:p>
    <w:p w14:paraId="30E028E1">
      <w:pPr>
        <w:pStyle w:val="29"/>
        <w:adjustRightInd w:val="0"/>
        <w:snapToGrid w:val="0"/>
        <w:spacing w:before="100" w:after="50" w:line="360" w:lineRule="auto"/>
        <w:ind w:left="0" w:leftChars="0" w:firstLine="418" w:firstLineChars="190"/>
        <w:rPr>
          <w:rFonts w:hint="eastAsia" w:ascii="宋体" w:hAnsi="宋体" w:eastAsia="宋体" w:cs="宋体"/>
          <w:sz w:val="22"/>
          <w:szCs w:val="22"/>
        </w:rPr>
      </w:pPr>
      <w:r>
        <w:rPr>
          <w:rFonts w:hint="eastAsia" w:ascii="宋体" w:hAnsi="宋体" w:eastAsia="宋体" w:cs="宋体"/>
          <w:sz w:val="22"/>
          <w:szCs w:val="22"/>
        </w:rPr>
        <w:t>评标工作遵循公平、公正、民主、科学的原则和诚实、信誉、效率的服务原则。本着科学、严谨的态度，认真进行评标。择优选定</w:t>
      </w:r>
      <w:r>
        <w:rPr>
          <w:rFonts w:hint="eastAsia" w:ascii="宋体" w:hAnsi="宋体" w:eastAsia="宋体" w:cs="宋体"/>
          <w:sz w:val="22"/>
          <w:szCs w:val="22"/>
          <w:lang w:val="en-US" w:eastAsia="zh-CN"/>
        </w:rPr>
        <w:t>服务</w:t>
      </w:r>
      <w:r>
        <w:rPr>
          <w:rFonts w:hint="eastAsia" w:ascii="宋体" w:hAnsi="宋体" w:eastAsia="宋体" w:cs="宋体"/>
          <w:sz w:val="22"/>
          <w:szCs w:val="22"/>
        </w:rPr>
        <w:t>的供应商，确保</w:t>
      </w:r>
      <w:r>
        <w:rPr>
          <w:rFonts w:hint="eastAsia" w:ascii="宋体" w:hAnsi="宋体" w:eastAsia="宋体" w:cs="宋体"/>
          <w:sz w:val="22"/>
          <w:szCs w:val="22"/>
          <w:lang w:val="en-US" w:eastAsia="zh-CN"/>
        </w:rPr>
        <w:t>服务</w:t>
      </w:r>
      <w:r>
        <w:rPr>
          <w:rFonts w:hint="eastAsia" w:ascii="宋体" w:hAnsi="宋体" w:eastAsia="宋体" w:cs="宋体"/>
          <w:sz w:val="22"/>
          <w:szCs w:val="22"/>
        </w:rPr>
        <w:t>质量、</w:t>
      </w:r>
      <w:r>
        <w:rPr>
          <w:rFonts w:hint="eastAsia" w:ascii="宋体" w:hAnsi="宋体" w:eastAsia="宋体" w:cs="宋体"/>
          <w:sz w:val="22"/>
          <w:szCs w:val="22"/>
          <w:lang w:val="en-US" w:eastAsia="zh-CN"/>
        </w:rPr>
        <w:t>履约期限</w:t>
      </w:r>
      <w:r>
        <w:rPr>
          <w:rFonts w:hint="eastAsia" w:ascii="宋体" w:hAnsi="宋体" w:eastAsia="宋体" w:cs="宋体"/>
          <w:sz w:val="22"/>
          <w:szCs w:val="22"/>
        </w:rPr>
        <w:t>，节约投资，最大限度的保护当事人权益，严格按照采购文件的商务、技术要求，对</w:t>
      </w:r>
      <w:r>
        <w:rPr>
          <w:rFonts w:hint="eastAsia" w:ascii="宋体" w:hAnsi="宋体" w:eastAsia="宋体" w:cs="宋体"/>
          <w:sz w:val="22"/>
          <w:szCs w:val="22"/>
          <w:lang w:eastAsia="zh-CN"/>
        </w:rPr>
        <w:t>投标响应文件</w:t>
      </w:r>
      <w:r>
        <w:rPr>
          <w:rFonts w:hint="eastAsia" w:ascii="宋体" w:hAnsi="宋体" w:eastAsia="宋体" w:cs="宋体"/>
          <w:sz w:val="22"/>
          <w:szCs w:val="22"/>
        </w:rPr>
        <w:t>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w:t>
      </w:r>
      <w:r>
        <w:rPr>
          <w:rFonts w:hint="eastAsia" w:ascii="宋体" w:hAnsi="宋体" w:eastAsia="宋体" w:cs="宋体"/>
          <w:sz w:val="22"/>
          <w:szCs w:val="22"/>
          <w:lang w:eastAsia="zh-CN"/>
        </w:rPr>
        <w:t>投标响应文件</w:t>
      </w:r>
      <w:r>
        <w:rPr>
          <w:rFonts w:hint="eastAsia" w:ascii="宋体" w:hAnsi="宋体" w:eastAsia="宋体" w:cs="宋体"/>
          <w:sz w:val="22"/>
          <w:szCs w:val="22"/>
        </w:rPr>
        <w:t>将被拒绝。</w:t>
      </w:r>
    </w:p>
    <w:p w14:paraId="2523A583">
      <w:pPr>
        <w:adjustRightInd w:val="0"/>
        <w:snapToGrid w:val="0"/>
        <w:spacing w:before="162" w:beforeLines="50" w:after="50" w:line="360" w:lineRule="auto"/>
        <w:jc w:val="center"/>
        <w:outlineLvl w:val="0"/>
        <w:rPr>
          <w:rFonts w:hint="eastAsia" w:ascii="宋体" w:hAnsi="宋体" w:eastAsia="宋体" w:cs="宋体"/>
          <w:bCs/>
          <w:sz w:val="22"/>
          <w:szCs w:val="22"/>
        </w:rPr>
      </w:pPr>
      <w:bookmarkStart w:id="159" w:name="_Toc31118"/>
      <w:r>
        <w:rPr>
          <w:rFonts w:hint="eastAsia" w:ascii="宋体" w:hAnsi="宋体" w:eastAsia="宋体" w:cs="宋体"/>
          <w:bCs/>
          <w:sz w:val="22"/>
          <w:szCs w:val="22"/>
        </w:rPr>
        <w:t>二</w:t>
      </w:r>
      <w:r>
        <w:rPr>
          <w:rFonts w:hint="eastAsia" w:ascii="宋体" w:hAnsi="宋体" w:eastAsia="宋体" w:cs="宋体"/>
          <w:bCs/>
          <w:sz w:val="22"/>
          <w:szCs w:val="22"/>
          <w:lang w:eastAsia="zh-CN"/>
        </w:rPr>
        <w:t>、</w:t>
      </w:r>
      <w:r>
        <w:rPr>
          <w:rFonts w:hint="eastAsia" w:ascii="宋体" w:hAnsi="宋体" w:eastAsia="宋体" w:cs="宋体"/>
          <w:bCs/>
          <w:sz w:val="22"/>
          <w:szCs w:val="22"/>
        </w:rPr>
        <w:t>评标组织</w:t>
      </w:r>
      <w:bookmarkEnd w:id="159"/>
    </w:p>
    <w:p w14:paraId="6A07E4C2">
      <w:pPr>
        <w:pStyle w:val="29"/>
        <w:adjustRightInd w:val="0"/>
        <w:snapToGrid w:val="0"/>
        <w:spacing w:before="100" w:after="50" w:line="360" w:lineRule="auto"/>
        <w:ind w:left="0" w:leftChars="0" w:firstLine="415" w:firstLineChars="189"/>
        <w:rPr>
          <w:rFonts w:hint="eastAsia" w:ascii="宋体" w:hAnsi="宋体" w:eastAsia="宋体" w:cs="宋体"/>
          <w:sz w:val="22"/>
          <w:szCs w:val="22"/>
        </w:rPr>
      </w:pPr>
      <w:r>
        <w:rPr>
          <w:rFonts w:hint="eastAsia" w:ascii="宋体" w:hAnsi="宋体" w:eastAsia="宋体" w:cs="宋体"/>
          <w:sz w:val="22"/>
          <w:szCs w:val="22"/>
        </w:rPr>
        <w:t>参见本采购文件第三部分：“供应商须知” 中的相关内容。</w:t>
      </w:r>
    </w:p>
    <w:p w14:paraId="1F9EFE3E">
      <w:pPr>
        <w:pStyle w:val="145"/>
        <w:widowControl w:val="0"/>
        <w:pBdr>
          <w:left w:val="none" w:color="auto" w:sz="0" w:space="0"/>
          <w:bottom w:val="none" w:color="auto" w:sz="0" w:space="0"/>
          <w:right w:val="none" w:color="auto" w:sz="0" w:space="0"/>
        </w:pBdr>
        <w:adjustRightInd w:val="0"/>
        <w:snapToGrid w:val="0"/>
        <w:spacing w:before="162" w:beforeLines="50" w:beforeAutospacing="0" w:after="50" w:afterAutospacing="0" w:line="360" w:lineRule="auto"/>
        <w:textAlignment w:val="auto"/>
        <w:outlineLvl w:val="0"/>
        <w:rPr>
          <w:rFonts w:hint="eastAsia" w:ascii="宋体" w:hAnsi="宋体" w:eastAsia="宋体" w:cs="宋体"/>
          <w:b w:val="0"/>
          <w:kern w:val="2"/>
          <w:sz w:val="22"/>
          <w:szCs w:val="22"/>
        </w:rPr>
      </w:pPr>
      <w:bookmarkStart w:id="160" w:name="_Toc10875"/>
      <w:r>
        <w:rPr>
          <w:rFonts w:hint="eastAsia" w:ascii="宋体" w:hAnsi="宋体" w:eastAsia="宋体" w:cs="宋体"/>
          <w:b w:val="0"/>
          <w:kern w:val="2"/>
          <w:sz w:val="22"/>
          <w:szCs w:val="22"/>
        </w:rPr>
        <w:t>三、评标程序</w:t>
      </w:r>
      <w:bookmarkEnd w:id="160"/>
    </w:p>
    <w:p w14:paraId="73DCF232">
      <w:pPr>
        <w:adjustRightInd w:val="0"/>
        <w:snapToGrid w:val="0"/>
        <w:spacing w:before="100" w:after="50" w:line="360" w:lineRule="auto"/>
        <w:ind w:firstLine="442" w:firstLineChars="200"/>
        <w:rPr>
          <w:rFonts w:hint="eastAsia" w:ascii="宋体" w:hAnsi="宋体" w:eastAsia="宋体" w:cs="宋体"/>
          <w:b/>
          <w:bCs/>
          <w:sz w:val="22"/>
          <w:szCs w:val="22"/>
          <w:u w:val="single"/>
        </w:rPr>
      </w:pPr>
      <w:r>
        <w:rPr>
          <w:rFonts w:hint="eastAsia" w:ascii="宋体" w:hAnsi="宋体" w:eastAsia="宋体" w:cs="宋体"/>
          <w:b/>
          <w:bCs/>
          <w:sz w:val="22"/>
          <w:szCs w:val="22"/>
          <w:u w:val="single"/>
        </w:rPr>
        <w:t>参见本采购文件第三部分：“供应商须知” 中的相关内容。</w:t>
      </w:r>
    </w:p>
    <w:p w14:paraId="41E1A2E2">
      <w:pPr>
        <w:pStyle w:val="37"/>
        <w:snapToGrid w:val="0"/>
        <w:spacing w:line="360" w:lineRule="auto"/>
        <w:ind w:firstLine="440"/>
        <w:rPr>
          <w:rFonts w:hint="eastAsia" w:ascii="宋体" w:hAnsi="宋体" w:eastAsia="宋体" w:cs="宋体"/>
          <w:color w:val="auto"/>
          <w:sz w:val="22"/>
          <w:szCs w:val="22"/>
        </w:rPr>
      </w:pPr>
      <w:r>
        <w:rPr>
          <w:rFonts w:hint="eastAsia" w:ascii="宋体" w:hAnsi="宋体" w:eastAsia="宋体" w:cs="宋体"/>
          <w:color w:val="auto"/>
          <w:sz w:val="22"/>
          <w:szCs w:val="22"/>
        </w:rPr>
        <w:t>中标供应商放弃中标，或者因不可抗力提出不能履行合同，采购人可以取消其中标资格。并按有关规定重新组织采购。</w:t>
      </w:r>
    </w:p>
    <w:p w14:paraId="2B868230">
      <w:pPr>
        <w:adjustRightInd w:val="0"/>
        <w:snapToGrid w:val="0"/>
        <w:spacing w:before="100" w:after="50" w:line="360" w:lineRule="auto"/>
        <w:ind w:firstLine="420"/>
        <w:rPr>
          <w:rFonts w:hint="eastAsia" w:ascii="宋体" w:hAnsi="宋体" w:eastAsia="宋体" w:cs="宋体"/>
          <w:sz w:val="22"/>
          <w:szCs w:val="22"/>
        </w:rPr>
      </w:pPr>
      <w:r>
        <w:rPr>
          <w:rFonts w:hint="eastAsia" w:ascii="宋体" w:hAnsi="宋体" w:eastAsia="宋体" w:cs="宋体"/>
          <w:sz w:val="22"/>
          <w:szCs w:val="22"/>
        </w:rPr>
        <w:t>供应商不得进行影响产品质量或者诚信履约的恶意报价。供应商在项目评审前准备好报价核算、报价明细、报价说明等材料，以备评审专家核查。</w:t>
      </w:r>
      <w:r>
        <w:rPr>
          <w:rFonts w:hint="eastAsia" w:ascii="宋体" w:hAnsi="宋体" w:eastAsia="宋体" w:cs="宋体"/>
          <w:sz w:val="22"/>
          <w:szCs w:val="22"/>
          <w:lang w:val="en-US" w:eastAsia="zh-CN"/>
        </w:rPr>
        <w:t>采购文件</w:t>
      </w:r>
      <w:r>
        <w:rPr>
          <w:rFonts w:hint="eastAsia" w:ascii="宋体" w:hAnsi="宋体" w:eastAsia="宋体" w:cs="宋体"/>
          <w:sz w:val="22"/>
          <w:szCs w:val="22"/>
        </w:rPr>
        <w:t>约定，供应商报价低于项目预算50%的，应当在报价文件中详细阐述不影响产品质量或者诚信履约的具体原因。</w:t>
      </w:r>
    </w:p>
    <w:p w14:paraId="4961222E">
      <w:pPr>
        <w:adjustRightInd w:val="0"/>
        <w:snapToGrid w:val="0"/>
        <w:spacing w:before="100" w:after="50" w:line="360" w:lineRule="auto"/>
        <w:ind w:firstLine="420"/>
        <w:rPr>
          <w:rFonts w:hint="eastAsia" w:ascii="宋体" w:hAnsi="宋体" w:eastAsia="宋体" w:cs="宋体"/>
        </w:rPr>
      </w:pPr>
      <w:r>
        <w:rPr>
          <w:rFonts w:hint="eastAsia" w:ascii="宋体" w:hAnsi="宋体" w:eastAsia="宋体" w:cs="宋体"/>
          <w:sz w:val="22"/>
          <w:szCs w:val="22"/>
        </w:rPr>
        <w:t>如果无侯选供应商，或者侯选供应商因前款规定的同样原因不能签订合同的，本次采购失败，重新组织采购。</w:t>
      </w:r>
    </w:p>
    <w:p w14:paraId="67E1F539">
      <w:pPr>
        <w:autoSpaceDE w:val="0"/>
        <w:autoSpaceDN w:val="0"/>
        <w:snapToGrid w:val="0"/>
        <w:spacing w:line="460" w:lineRule="atLeast"/>
        <w:jc w:val="center"/>
        <w:textAlignment w:val="bottom"/>
        <w:rPr>
          <w:rFonts w:hint="eastAsia" w:ascii="宋体" w:hAnsi="宋体" w:eastAsia="宋体" w:cs="宋体"/>
          <w:bCs/>
          <w:sz w:val="28"/>
          <w:szCs w:val="28"/>
        </w:rPr>
      </w:pPr>
      <w:r>
        <w:rPr>
          <w:rFonts w:hint="eastAsia" w:ascii="宋体" w:hAnsi="宋体" w:eastAsia="宋体" w:cs="宋体"/>
          <w:bCs/>
          <w:sz w:val="28"/>
          <w:szCs w:val="28"/>
        </w:rPr>
        <w:t>评审细则</w:t>
      </w:r>
    </w:p>
    <w:bookmarkEnd w:id="157"/>
    <w:p w14:paraId="30243949">
      <w:pPr>
        <w:adjustRightInd w:val="0"/>
        <w:spacing w:before="100" w:after="50" w:line="460" w:lineRule="atLeast"/>
        <w:ind w:firstLine="420"/>
        <w:rPr>
          <w:rFonts w:hint="eastAsia" w:ascii="宋体" w:hAnsi="宋体" w:eastAsia="宋体" w:cs="宋体"/>
          <w:bCs/>
          <w:sz w:val="22"/>
          <w:szCs w:val="22"/>
        </w:rPr>
      </w:pPr>
      <w:r>
        <w:rPr>
          <w:rFonts w:hint="eastAsia" w:ascii="宋体" w:hAnsi="宋体" w:eastAsia="宋体" w:cs="宋体"/>
          <w:bCs/>
          <w:sz w:val="24"/>
        </w:rPr>
        <w:t>一</w:t>
      </w:r>
      <w:r>
        <w:rPr>
          <w:rFonts w:hint="eastAsia" w:ascii="宋体" w:hAnsi="宋体" w:eastAsia="宋体" w:cs="宋体"/>
          <w:bCs/>
          <w:sz w:val="22"/>
          <w:szCs w:val="22"/>
        </w:rPr>
        <w:t>、报价评分</w:t>
      </w:r>
      <w:r>
        <w:rPr>
          <w:rFonts w:hint="eastAsia" w:ascii="宋体" w:hAnsi="宋体" w:eastAsia="宋体" w:cs="宋体"/>
          <w:bCs/>
          <w:sz w:val="22"/>
          <w:szCs w:val="22"/>
          <w:lang w:val="en-US" w:eastAsia="zh-CN"/>
        </w:rPr>
        <w:t>30</w:t>
      </w:r>
      <w:r>
        <w:rPr>
          <w:rFonts w:hint="eastAsia" w:ascii="宋体" w:hAnsi="宋体" w:eastAsia="宋体" w:cs="宋体"/>
          <w:bCs/>
          <w:sz w:val="22"/>
          <w:szCs w:val="22"/>
        </w:rPr>
        <w:t>分</w:t>
      </w:r>
    </w:p>
    <w:p w14:paraId="4B99D77D">
      <w:pPr>
        <w:adjustRightInd w:val="0"/>
        <w:spacing w:before="100" w:after="50" w:line="460" w:lineRule="atLeast"/>
        <w:ind w:firstLine="420"/>
        <w:rPr>
          <w:rFonts w:hint="eastAsia" w:ascii="宋体" w:hAnsi="宋体" w:eastAsia="宋体" w:cs="宋体"/>
          <w:bCs/>
          <w:sz w:val="22"/>
          <w:szCs w:val="22"/>
          <w:u w:val="single"/>
        </w:rPr>
      </w:pPr>
      <w:r>
        <w:rPr>
          <w:rFonts w:hint="eastAsia" w:ascii="宋体" w:hAnsi="宋体" w:eastAsia="宋体" w:cs="宋体"/>
          <w:bCs/>
          <w:sz w:val="22"/>
          <w:szCs w:val="22"/>
        </w:rPr>
        <w:t>1、以供应商有效投标价中的最低价为评标基准价，得满分</w:t>
      </w:r>
      <w:r>
        <w:rPr>
          <w:rFonts w:hint="eastAsia" w:ascii="宋体" w:hAnsi="宋体" w:eastAsia="宋体" w:cs="宋体"/>
          <w:bCs/>
          <w:sz w:val="22"/>
          <w:szCs w:val="22"/>
          <w:lang w:val="en-US" w:eastAsia="zh-CN"/>
        </w:rPr>
        <w:t>30</w:t>
      </w:r>
      <w:r>
        <w:rPr>
          <w:rFonts w:hint="eastAsia" w:ascii="宋体" w:hAnsi="宋体" w:eastAsia="宋体" w:cs="宋体"/>
          <w:bCs/>
          <w:sz w:val="22"/>
          <w:szCs w:val="22"/>
        </w:rPr>
        <w:t>分。报价评分结算公式为:投标报价得分</w:t>
      </w:r>
      <w:r>
        <w:rPr>
          <w:rFonts w:hint="eastAsia" w:ascii="宋体" w:hAnsi="宋体" w:eastAsia="宋体" w:cs="宋体"/>
          <w:bCs/>
          <w:sz w:val="22"/>
          <w:szCs w:val="22"/>
          <w:u w:val="single"/>
        </w:rPr>
        <w:t>=(评标基准价／投标报价)×</w:t>
      </w:r>
      <w:r>
        <w:rPr>
          <w:rFonts w:hint="eastAsia" w:ascii="宋体" w:hAnsi="宋体" w:eastAsia="宋体" w:cs="宋体"/>
          <w:bCs/>
          <w:sz w:val="22"/>
          <w:szCs w:val="22"/>
          <w:u w:val="single"/>
          <w:lang w:val="en-US" w:eastAsia="zh-CN"/>
        </w:rPr>
        <w:t>30</w:t>
      </w:r>
      <w:r>
        <w:rPr>
          <w:rFonts w:hint="eastAsia" w:ascii="宋体" w:hAnsi="宋体" w:eastAsia="宋体" w:cs="宋体"/>
          <w:bCs/>
          <w:sz w:val="22"/>
          <w:szCs w:val="22"/>
          <w:u w:val="single"/>
        </w:rPr>
        <w:t>%×100。</w:t>
      </w:r>
    </w:p>
    <w:p w14:paraId="32FF5BC8">
      <w:pPr>
        <w:pStyle w:val="3"/>
        <w:spacing w:line="360" w:lineRule="auto"/>
        <w:ind w:firstLine="442" w:firstLineChars="200"/>
        <w:rPr>
          <w:rFonts w:hint="eastAsia" w:ascii="宋体" w:hAnsi="宋体" w:eastAsia="宋体" w:cs="宋体"/>
          <w:b/>
          <w:sz w:val="22"/>
          <w:szCs w:val="22"/>
        </w:rPr>
      </w:pPr>
      <w:r>
        <w:rPr>
          <w:rFonts w:hint="eastAsia" w:ascii="宋体" w:hAnsi="宋体" w:eastAsia="宋体" w:cs="宋体"/>
          <w:b/>
          <w:sz w:val="22"/>
          <w:szCs w:val="22"/>
        </w:rPr>
        <w:t>2、根据《关于政府采购支持监狱企业发展有关问题的通知》（财库[2014]68号）的规定，</w:t>
      </w:r>
      <w:r>
        <w:rPr>
          <w:rFonts w:hint="eastAsia" w:ascii="宋体" w:hAnsi="宋体" w:eastAsia="宋体" w:cs="宋体"/>
          <w:b/>
          <w:sz w:val="22"/>
          <w:szCs w:val="22"/>
          <w:lang w:val="en-US" w:eastAsia="zh-CN"/>
        </w:rPr>
        <w:t>供应商</w:t>
      </w:r>
      <w:r>
        <w:rPr>
          <w:rFonts w:hint="eastAsia" w:ascii="宋体" w:hAnsi="宋体" w:eastAsia="宋体" w:cs="宋体"/>
          <w:b/>
          <w:sz w:val="22"/>
          <w:szCs w:val="22"/>
        </w:rPr>
        <w:t>如为监狱企业并提交相关证明材料的，视同小型、微型企业，享受预留份额</w:t>
      </w:r>
      <w:r>
        <w:rPr>
          <w:rFonts w:hint="eastAsia" w:ascii="宋体" w:hAnsi="宋体" w:eastAsia="宋体" w:cs="宋体"/>
          <w:b/>
          <w:sz w:val="22"/>
          <w:szCs w:val="22"/>
          <w:lang w:val="en-US" w:eastAsia="zh-CN"/>
        </w:rPr>
        <w:t>的政府采购政策</w:t>
      </w:r>
      <w:r>
        <w:rPr>
          <w:rFonts w:hint="eastAsia" w:ascii="宋体" w:hAnsi="宋体" w:eastAsia="宋体" w:cs="宋体"/>
          <w:b/>
          <w:sz w:val="22"/>
          <w:szCs w:val="22"/>
        </w:rPr>
        <w:t>；</w:t>
      </w:r>
    </w:p>
    <w:p w14:paraId="70A3D1A1">
      <w:pPr>
        <w:pStyle w:val="3"/>
        <w:spacing w:line="360" w:lineRule="auto"/>
        <w:ind w:firstLine="442" w:firstLineChars="200"/>
        <w:rPr>
          <w:rFonts w:hint="eastAsia" w:ascii="宋体" w:hAnsi="宋体" w:eastAsia="宋体" w:cs="宋体"/>
          <w:b/>
          <w:sz w:val="22"/>
          <w:szCs w:val="22"/>
        </w:rPr>
      </w:pPr>
      <w:r>
        <w:rPr>
          <w:rFonts w:hint="eastAsia" w:ascii="宋体" w:hAnsi="宋体" w:eastAsia="宋体" w:cs="宋体"/>
          <w:b/>
          <w:sz w:val="22"/>
          <w:szCs w:val="22"/>
        </w:rPr>
        <w:t>根据《关于促进残疾人就业政府采购政策的通知》（财库[2017]141号）的规定，</w:t>
      </w:r>
      <w:r>
        <w:rPr>
          <w:rFonts w:hint="eastAsia" w:ascii="宋体" w:hAnsi="宋体" w:eastAsia="宋体" w:cs="宋体"/>
          <w:b/>
          <w:sz w:val="22"/>
          <w:szCs w:val="22"/>
          <w:lang w:val="en-US" w:eastAsia="zh-CN"/>
        </w:rPr>
        <w:t>供应商</w:t>
      </w:r>
      <w:r>
        <w:rPr>
          <w:rFonts w:hint="eastAsia" w:ascii="宋体" w:hAnsi="宋体" w:eastAsia="宋体" w:cs="宋体"/>
          <w:b/>
          <w:sz w:val="22"/>
          <w:szCs w:val="22"/>
        </w:rPr>
        <w:t>如为残疾人福利性单位并提交《残疾人福利性单位声明函》的，视同小型、微型企业，享受预留份额</w:t>
      </w:r>
      <w:r>
        <w:rPr>
          <w:rFonts w:hint="eastAsia" w:ascii="宋体" w:hAnsi="宋体" w:eastAsia="宋体" w:cs="宋体"/>
          <w:b/>
          <w:sz w:val="22"/>
          <w:szCs w:val="22"/>
          <w:lang w:val="en-US" w:eastAsia="zh-CN"/>
        </w:rPr>
        <w:t>的政府采购政策</w:t>
      </w:r>
      <w:r>
        <w:rPr>
          <w:rFonts w:hint="eastAsia" w:ascii="宋体" w:hAnsi="宋体" w:eastAsia="宋体" w:cs="宋体"/>
          <w:b/>
          <w:sz w:val="22"/>
          <w:szCs w:val="22"/>
        </w:rPr>
        <w:t>；残疾人福利性单位属于小型、微型企业的，不重复享受政策。</w:t>
      </w:r>
    </w:p>
    <w:p w14:paraId="3EF23E95">
      <w:pPr>
        <w:pStyle w:val="3"/>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享受预留份额、评审中价格扣除等促进中小企业发展的政府采购政策。</w:t>
      </w:r>
    </w:p>
    <w:p w14:paraId="55BA8168">
      <w:pPr>
        <w:pStyle w:val="3"/>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备注：（1）监狱企业证明文件：省级或以上监狱管理局、戒毒管理局（含新疆生产建设兵团）出具的属于监狱企业的证明文件。（2）如果提供其他监狱企业制造的货物，还须同时提供该企业为监狱企业的证明文件。</w:t>
      </w:r>
    </w:p>
    <w:p w14:paraId="63BE7E96">
      <w:pPr>
        <w:pStyle w:val="3"/>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享受预留份额、评审中价格扣除等促进中小企业发展的政府采购政策。</w:t>
      </w:r>
    </w:p>
    <w:p w14:paraId="6FD52C2E">
      <w:pPr>
        <w:pStyle w:val="3"/>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备注：（1）残疾人福利性单位证明材料：残疾人福利性单位声明函。（2）如提供其他残疾人福利性单位制造的货物，还须同时提供该企业的残疾人福利性单位声明函。</w:t>
      </w:r>
    </w:p>
    <w:p w14:paraId="1233DDC3">
      <w:pPr>
        <w:pStyle w:val="3"/>
        <w:spacing w:line="360" w:lineRule="auto"/>
        <w:ind w:firstLine="440" w:firstLineChars="200"/>
        <w:rPr>
          <w:rFonts w:hint="eastAsia" w:ascii="宋体" w:hAnsi="宋体" w:eastAsia="宋体" w:cs="宋体"/>
          <w:bCs/>
        </w:rPr>
      </w:pPr>
      <w:r>
        <w:rPr>
          <w:rFonts w:hint="eastAsia" w:ascii="宋体" w:hAnsi="宋体" w:eastAsia="宋体" w:cs="宋体"/>
          <w:sz w:val="22"/>
          <w:szCs w:val="22"/>
          <w:lang w:val="en-US" w:eastAsia="zh-CN"/>
        </w:rPr>
        <w:t>5、</w:t>
      </w:r>
      <w:r>
        <w:rPr>
          <w:rFonts w:hint="eastAsia" w:ascii="宋体" w:hAnsi="宋体" w:eastAsia="宋体" w:cs="宋体"/>
          <w:sz w:val="22"/>
          <w:szCs w:val="22"/>
        </w:rPr>
        <w:t>本次采购预算为</w:t>
      </w:r>
      <w:r>
        <w:rPr>
          <w:rFonts w:hint="eastAsia" w:ascii="宋体" w:hAnsi="宋体" w:eastAsia="宋体" w:cs="宋体"/>
          <w:color w:val="FF0000"/>
          <w:sz w:val="22"/>
          <w:szCs w:val="22"/>
          <w:u w:val="single"/>
          <w:lang w:val="en-US" w:eastAsia="zh-CN"/>
        </w:rPr>
        <w:t xml:space="preserve"> </w:t>
      </w:r>
      <w:r>
        <w:rPr>
          <w:rFonts w:hint="eastAsia" w:hAnsi="宋体" w:eastAsia="宋体" w:cs="宋体"/>
          <w:color w:val="FF0000"/>
          <w:sz w:val="22"/>
          <w:szCs w:val="22"/>
          <w:u w:val="single"/>
          <w:lang w:val="en-US" w:eastAsia="zh-CN"/>
        </w:rPr>
        <w:t>2400027</w:t>
      </w:r>
      <w:r>
        <w:rPr>
          <w:rFonts w:hint="eastAsia" w:ascii="宋体" w:hAnsi="宋体" w:eastAsia="宋体" w:cs="宋体"/>
          <w:b/>
          <w:color w:val="FF0000"/>
          <w:sz w:val="22"/>
          <w:szCs w:val="22"/>
          <w:u w:val="single"/>
          <w:lang w:val="en-US" w:eastAsia="zh-CN"/>
        </w:rPr>
        <w:t>元</w:t>
      </w:r>
      <w:r>
        <w:rPr>
          <w:rFonts w:hint="eastAsia" w:ascii="宋体" w:hAnsi="宋体" w:eastAsia="宋体" w:cs="宋体"/>
          <w:color w:val="FF0000"/>
          <w:sz w:val="22"/>
          <w:szCs w:val="22"/>
          <w:u w:val="single"/>
        </w:rPr>
        <w:t xml:space="preserve"> </w:t>
      </w:r>
      <w:r>
        <w:rPr>
          <w:rFonts w:hint="eastAsia" w:ascii="宋体" w:hAnsi="宋体" w:eastAsia="宋体" w:cs="宋体"/>
          <w:sz w:val="22"/>
          <w:szCs w:val="22"/>
        </w:rPr>
        <w:t>，如果供应商的报价均超出采购预算且采购人确认不能支付的情况，</w:t>
      </w:r>
      <w:r>
        <w:rPr>
          <w:rFonts w:hint="eastAsia" w:hAnsi="宋体" w:eastAsia="宋体" w:cs="宋体"/>
          <w:sz w:val="22"/>
          <w:szCs w:val="22"/>
          <w:lang w:val="en-US" w:eastAsia="zh-CN"/>
        </w:rPr>
        <w:t>本项目</w:t>
      </w:r>
      <w:r>
        <w:rPr>
          <w:rFonts w:hint="eastAsia" w:ascii="宋体" w:hAnsi="宋体" w:eastAsia="宋体" w:cs="宋体"/>
          <w:sz w:val="22"/>
          <w:szCs w:val="22"/>
        </w:rPr>
        <w:t>做流（废）标处理。如果仅仅某些（个）供应商</w:t>
      </w:r>
      <w:r>
        <w:rPr>
          <w:rFonts w:hint="eastAsia" w:hAnsi="宋体" w:eastAsia="宋体" w:cs="宋体"/>
          <w:sz w:val="22"/>
          <w:szCs w:val="22"/>
          <w:lang w:val="en-US" w:eastAsia="zh-CN"/>
        </w:rPr>
        <w:t>的</w:t>
      </w:r>
      <w:r>
        <w:rPr>
          <w:rFonts w:hint="eastAsia" w:ascii="宋体" w:hAnsi="宋体" w:eastAsia="宋体" w:cs="宋体"/>
          <w:sz w:val="22"/>
          <w:szCs w:val="22"/>
        </w:rPr>
        <w:t>报价超出采购预算的，则拒绝接受其投标报价，该供应商投标按无效投标处理。</w:t>
      </w:r>
    </w:p>
    <w:p w14:paraId="62CEA2E8">
      <w:pPr>
        <w:pStyle w:val="3"/>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6、支持创新发展</w:t>
      </w:r>
    </w:p>
    <w:p w14:paraId="78F8173B">
      <w:pPr>
        <w:pStyle w:val="3"/>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  </w:t>
      </w:r>
    </w:p>
    <w:p w14:paraId="6C33E51A">
      <w:pPr>
        <w:pStyle w:val="3"/>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7、平等对待内外资企业和符合条件的破产重整企业</w:t>
      </w:r>
    </w:p>
    <w:p w14:paraId="2CD6EE25">
      <w:pPr>
        <w:pStyle w:val="3"/>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平等对待内外资企业和符合条件的破产重整企业，切实保障企业公平竞争，平等维护企业的合法利益。</w:t>
      </w:r>
    </w:p>
    <w:p w14:paraId="52A930C3">
      <w:pPr>
        <w:pStyle w:val="3"/>
        <w:numPr>
          <w:ilvl w:val="0"/>
          <w:numId w:val="0"/>
        </w:numPr>
        <w:adjustRightInd w:val="0"/>
        <w:snapToGrid w:val="0"/>
        <w:spacing w:line="460" w:lineRule="atLeast"/>
        <w:rPr>
          <w:rFonts w:hint="eastAsia" w:hAnsi="宋体"/>
          <w:sz w:val="30"/>
          <w:szCs w:val="30"/>
        </w:rPr>
      </w:pPr>
      <w:r>
        <w:rPr>
          <w:rFonts w:hint="eastAsia" w:hAnsi="宋体"/>
          <w:sz w:val="30"/>
          <w:szCs w:val="30"/>
        </w:rPr>
        <w:br w:type="page"/>
      </w:r>
      <w:r>
        <w:rPr>
          <w:rFonts w:hint="eastAsia" w:hAnsi="宋体"/>
          <w:sz w:val="22"/>
          <w:szCs w:val="22"/>
          <w:lang w:eastAsia="zh-CN"/>
        </w:rPr>
        <w:t>二、</w:t>
      </w:r>
      <w:r>
        <w:rPr>
          <w:rFonts w:hint="eastAsia" w:hAnsi="宋体"/>
          <w:sz w:val="22"/>
          <w:szCs w:val="22"/>
          <w:u w:val="single"/>
          <w:lang w:eastAsia="zh-CN"/>
        </w:rPr>
        <w:t>商务技术</w:t>
      </w:r>
      <w:r>
        <w:rPr>
          <w:rFonts w:hint="eastAsia" w:hAnsi="宋体"/>
          <w:sz w:val="22"/>
          <w:szCs w:val="22"/>
          <w:u w:val="single"/>
        </w:rPr>
        <w:t>综合评分</w:t>
      </w:r>
      <w:r>
        <w:rPr>
          <w:rFonts w:hint="eastAsia" w:hAnsi="宋体"/>
          <w:sz w:val="22"/>
          <w:szCs w:val="22"/>
        </w:rPr>
        <w:t xml:space="preserve">   </w:t>
      </w:r>
      <w:r>
        <w:rPr>
          <w:rFonts w:hint="eastAsia" w:hAnsi="宋体"/>
          <w:sz w:val="22"/>
          <w:szCs w:val="22"/>
          <w:lang w:val="en-US" w:eastAsia="zh-CN"/>
        </w:rPr>
        <w:t>70</w:t>
      </w:r>
      <w:r>
        <w:rPr>
          <w:rFonts w:hint="eastAsia" w:hAnsi="宋体"/>
          <w:sz w:val="22"/>
          <w:szCs w:val="22"/>
        </w:rPr>
        <w:t>分</w:t>
      </w:r>
    </w:p>
    <w:p w14:paraId="31ED9655">
      <w:pPr>
        <w:pStyle w:val="3"/>
        <w:adjustRightInd w:val="0"/>
        <w:snapToGrid w:val="0"/>
        <w:spacing w:line="460" w:lineRule="atLeast"/>
        <w:jc w:val="center"/>
        <w:rPr>
          <w:rFonts w:hint="default"/>
          <w:lang w:val="en-US" w:eastAsia="zh-CN"/>
        </w:rPr>
      </w:pPr>
      <w:r>
        <w:rPr>
          <w:rFonts w:hint="default" w:hAnsi="宋体" w:eastAsia="宋体"/>
          <w:sz w:val="30"/>
          <w:szCs w:val="30"/>
          <w:lang w:val="en-US" w:eastAsia="zh-CN"/>
        </w:rPr>
        <w:t>评</w:t>
      </w:r>
      <w:r>
        <w:rPr>
          <w:rFonts w:hint="eastAsia" w:hAnsi="宋体"/>
          <w:sz w:val="30"/>
          <w:szCs w:val="30"/>
          <w:lang w:val="en-US" w:eastAsia="zh-CN"/>
        </w:rPr>
        <w:t>分</w:t>
      </w:r>
      <w:r>
        <w:rPr>
          <w:rFonts w:hint="default" w:hAnsi="宋体" w:eastAsia="宋体"/>
          <w:sz w:val="30"/>
          <w:szCs w:val="30"/>
          <w:lang w:val="en-US" w:eastAsia="zh-CN"/>
        </w:rPr>
        <w:t>细则</w:t>
      </w:r>
    </w:p>
    <w:tbl>
      <w:tblPr>
        <w:tblStyle w:val="44"/>
        <w:tblW w:w="10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539"/>
        <w:gridCol w:w="6216"/>
        <w:gridCol w:w="922"/>
        <w:gridCol w:w="922"/>
      </w:tblGrid>
      <w:tr w14:paraId="262B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2" w:type="dxa"/>
            <w:noWrap w:val="0"/>
            <w:vAlign w:val="center"/>
          </w:tcPr>
          <w:p w14:paraId="197B3103">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539" w:type="dxa"/>
            <w:noWrap w:val="0"/>
            <w:vAlign w:val="center"/>
          </w:tcPr>
          <w:p w14:paraId="46A0B6A6">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项目</w:t>
            </w:r>
          </w:p>
        </w:tc>
        <w:tc>
          <w:tcPr>
            <w:tcW w:w="6216" w:type="dxa"/>
            <w:noWrap w:val="0"/>
            <w:vAlign w:val="center"/>
          </w:tcPr>
          <w:p w14:paraId="72B036F3">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评标标准</w:t>
            </w:r>
          </w:p>
        </w:tc>
        <w:tc>
          <w:tcPr>
            <w:tcW w:w="922" w:type="dxa"/>
            <w:noWrap w:val="0"/>
            <w:vAlign w:val="center"/>
          </w:tcPr>
          <w:p w14:paraId="58E660B8">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分值</w:t>
            </w:r>
          </w:p>
        </w:tc>
        <w:tc>
          <w:tcPr>
            <w:tcW w:w="922" w:type="dxa"/>
            <w:noWrap w:val="0"/>
            <w:vAlign w:val="center"/>
          </w:tcPr>
          <w:p w14:paraId="675F71CE">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25DA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2" w:type="dxa"/>
            <w:vMerge w:val="restart"/>
            <w:noWrap w:val="0"/>
            <w:vAlign w:val="center"/>
          </w:tcPr>
          <w:p w14:paraId="5AA678A6">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39" w:type="dxa"/>
            <w:vMerge w:val="restart"/>
            <w:noWrap w:val="0"/>
            <w:vAlign w:val="center"/>
          </w:tcPr>
          <w:p w14:paraId="58880ABC">
            <w:pPr>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投标人综合情况</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sz w:val="21"/>
                <w:szCs w:val="21"/>
                <w:highlight w:val="none"/>
                <w:lang w:eastAsia="zh-CN"/>
              </w:rPr>
              <w:t>）</w:t>
            </w:r>
          </w:p>
        </w:tc>
        <w:tc>
          <w:tcPr>
            <w:tcW w:w="6216" w:type="dxa"/>
            <w:noWrap w:val="0"/>
            <w:vAlign w:val="center"/>
          </w:tcPr>
          <w:p w14:paraId="7911C37F">
            <w:pPr>
              <w:spacing w:line="240" w:lineRule="auto"/>
              <w:jc w:val="both"/>
              <w:rPr>
                <w:rFonts w:hint="default" w:ascii="宋体" w:hAnsi="宋体" w:eastAsia="宋体" w:cs="宋体"/>
                <w:sz w:val="21"/>
                <w:szCs w:val="21"/>
                <w:lang w:val="en-US" w:eastAsia="zh-CN"/>
              </w:rPr>
            </w:pPr>
            <w:r>
              <w:rPr>
                <w:rFonts w:hint="eastAsia" w:ascii="宋体" w:hAnsi="宋体" w:eastAsia="宋体" w:cs="宋体"/>
                <w:color w:val="auto"/>
                <w:sz w:val="22"/>
                <w:szCs w:val="22"/>
                <w:highlight w:val="none"/>
                <w:lang w:val="en-US" w:eastAsia="zh-CN"/>
              </w:rPr>
              <w:t>根据投标人的经营状况、获得荣誉、企业资信等总体情况综合打分：满足项目需求的（</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分）；部分满足的（</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-0分）。</w:t>
            </w:r>
          </w:p>
        </w:tc>
        <w:tc>
          <w:tcPr>
            <w:tcW w:w="922" w:type="dxa"/>
            <w:noWrap w:val="0"/>
            <w:vAlign w:val="center"/>
          </w:tcPr>
          <w:p w14:paraId="62671831">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c>
          <w:tcPr>
            <w:tcW w:w="922" w:type="dxa"/>
            <w:noWrap w:val="0"/>
            <w:vAlign w:val="center"/>
          </w:tcPr>
          <w:p w14:paraId="4257A531">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主观分</w:t>
            </w:r>
          </w:p>
        </w:tc>
      </w:tr>
      <w:tr w14:paraId="597D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dxa"/>
            <w:vMerge w:val="continue"/>
            <w:noWrap w:val="0"/>
            <w:vAlign w:val="center"/>
          </w:tcPr>
          <w:p w14:paraId="32789C52">
            <w:pPr>
              <w:spacing w:line="400" w:lineRule="exact"/>
              <w:jc w:val="center"/>
              <w:rPr>
                <w:rFonts w:hint="eastAsia" w:ascii="宋体" w:hAnsi="宋体" w:eastAsia="宋体" w:cs="宋体"/>
                <w:sz w:val="21"/>
                <w:szCs w:val="21"/>
                <w:lang w:val="en-US" w:eastAsia="zh-CN"/>
              </w:rPr>
            </w:pPr>
          </w:p>
        </w:tc>
        <w:tc>
          <w:tcPr>
            <w:tcW w:w="1539" w:type="dxa"/>
            <w:vMerge w:val="continue"/>
            <w:noWrap w:val="0"/>
            <w:vAlign w:val="center"/>
          </w:tcPr>
          <w:p w14:paraId="330E81E2">
            <w:pPr>
              <w:spacing w:line="240" w:lineRule="auto"/>
              <w:jc w:val="center"/>
              <w:rPr>
                <w:rFonts w:hint="eastAsia" w:ascii="宋体" w:hAnsi="宋体" w:eastAsia="宋体" w:cs="宋体"/>
                <w:b w:val="0"/>
                <w:bCs w:val="0"/>
                <w:sz w:val="21"/>
                <w:szCs w:val="21"/>
                <w:highlight w:val="none"/>
              </w:rPr>
            </w:pPr>
          </w:p>
        </w:tc>
        <w:tc>
          <w:tcPr>
            <w:tcW w:w="6216" w:type="dxa"/>
            <w:noWrap w:val="0"/>
            <w:vAlign w:val="center"/>
          </w:tcPr>
          <w:p w14:paraId="1510E1D2">
            <w:pPr>
              <w:keepNext w:val="0"/>
              <w:keepLines w:val="0"/>
              <w:pageBreakBefore w:val="0"/>
              <w:widowControl w:val="0"/>
              <w:kinsoku/>
              <w:wordWrap/>
              <w:overflowPunct/>
              <w:topLinePunct w:val="0"/>
              <w:autoSpaceDE/>
              <w:autoSpaceDN/>
              <w:bidi w:val="0"/>
              <w:adjustRightInd/>
              <w:snapToGrid/>
              <w:spacing w:line="240" w:lineRule="auto"/>
              <w:ind w:left="-5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体系认证：投标人具有有效的质量管理体系、环境管理体系、职业健康安全管理体系。每具有一个得2分，最高得6分。</w:t>
            </w:r>
          </w:p>
          <w:p w14:paraId="13E9F560">
            <w:pPr>
              <w:spacing w:line="240" w:lineRule="auto"/>
              <w:rPr>
                <w:rFonts w:hint="eastAsia" w:ascii="宋体" w:hAnsi="宋体" w:eastAsia="宋体" w:cs="宋体"/>
                <w:b w:val="0"/>
                <w:bCs w:val="0"/>
                <w:sz w:val="21"/>
                <w:szCs w:val="21"/>
                <w:highlight w:val="none"/>
                <w:lang w:eastAsia="zh-CN"/>
              </w:rPr>
            </w:pPr>
            <w:r>
              <w:rPr>
                <w:rFonts w:hint="eastAsia" w:ascii="宋体" w:hAnsi="宋体" w:eastAsia="宋体" w:cs="宋体"/>
                <w:color w:val="auto"/>
                <w:sz w:val="22"/>
                <w:szCs w:val="22"/>
                <w:highlight w:val="none"/>
                <w:lang w:val="en-US" w:eastAsia="zh-CN"/>
              </w:rPr>
              <w:t>注：须同时提供相关证书扫描件及中国国家认证认可监督管理委员会</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HYPERLINK "http://www.cnca.gov.cn/网站切图为准（认证内容包含园林绿化设备），未提供不得分。"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查询结果截图并加盖投标人公章，否则不得分。</w:t>
            </w:r>
            <w:r>
              <w:rPr>
                <w:rFonts w:hint="eastAsia" w:ascii="宋体" w:hAnsi="宋体" w:eastAsia="宋体" w:cs="宋体"/>
                <w:color w:val="auto"/>
                <w:sz w:val="22"/>
                <w:szCs w:val="22"/>
                <w:highlight w:val="none"/>
                <w:lang w:val="en-US" w:eastAsia="zh-CN"/>
              </w:rPr>
              <w:fldChar w:fldCharType="end"/>
            </w:r>
          </w:p>
        </w:tc>
        <w:tc>
          <w:tcPr>
            <w:tcW w:w="922" w:type="dxa"/>
            <w:noWrap w:val="0"/>
            <w:vAlign w:val="center"/>
          </w:tcPr>
          <w:p w14:paraId="49AD561F">
            <w:pPr>
              <w:spacing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0-6</w:t>
            </w:r>
            <w:r>
              <w:rPr>
                <w:rFonts w:hint="eastAsia" w:ascii="宋体" w:hAnsi="宋体" w:eastAsia="宋体" w:cs="宋体"/>
                <w:b w:val="0"/>
                <w:bCs w:val="0"/>
                <w:sz w:val="21"/>
                <w:szCs w:val="21"/>
                <w:highlight w:val="none"/>
              </w:rPr>
              <w:t>分</w:t>
            </w:r>
          </w:p>
        </w:tc>
        <w:tc>
          <w:tcPr>
            <w:tcW w:w="922" w:type="dxa"/>
            <w:noWrap w:val="0"/>
            <w:vAlign w:val="center"/>
          </w:tcPr>
          <w:p w14:paraId="03CF15EE">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客观分</w:t>
            </w:r>
          </w:p>
        </w:tc>
      </w:tr>
      <w:tr w14:paraId="5BA1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dxa"/>
            <w:noWrap w:val="0"/>
            <w:vAlign w:val="center"/>
          </w:tcPr>
          <w:p w14:paraId="206C1473">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39" w:type="dxa"/>
            <w:noWrap w:val="0"/>
            <w:vAlign w:val="center"/>
          </w:tcPr>
          <w:p w14:paraId="377DB661">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项目业绩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eastAsia="zh-CN"/>
              </w:rPr>
              <w:t>）</w:t>
            </w:r>
          </w:p>
        </w:tc>
        <w:tc>
          <w:tcPr>
            <w:tcW w:w="6216" w:type="dxa"/>
            <w:noWrap w:val="0"/>
            <w:vAlign w:val="center"/>
          </w:tcPr>
          <w:p w14:paraId="00435962">
            <w:pPr>
              <w:pageBreakBefore w:val="0"/>
              <w:kinsoku/>
              <w:wordWrap/>
              <w:overflowPunct/>
              <w:topLinePunct w:val="0"/>
              <w:autoSpaceDE/>
              <w:autoSpaceDN/>
              <w:bidi w:val="0"/>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snapToGrid w:val="0"/>
                <w:sz w:val="21"/>
                <w:szCs w:val="21"/>
              </w:rPr>
              <w:t>投标人</w:t>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年1月1日以来的</w:t>
            </w:r>
            <w:r>
              <w:rPr>
                <w:rFonts w:hint="eastAsia" w:ascii="宋体" w:hAnsi="宋体" w:eastAsia="宋体" w:cs="宋体"/>
                <w:b w:val="0"/>
                <w:bCs w:val="0"/>
                <w:color w:val="auto"/>
                <w:sz w:val="21"/>
                <w:szCs w:val="21"/>
                <w:highlight w:val="none"/>
                <w:lang w:val="en-US" w:eastAsia="zh-CN"/>
              </w:rPr>
              <w:t>类似</w:t>
            </w:r>
            <w:r>
              <w:rPr>
                <w:rFonts w:hint="eastAsia" w:ascii="宋体" w:hAnsi="宋体" w:eastAsia="宋体" w:cs="宋体"/>
                <w:b w:val="0"/>
                <w:bCs w:val="0"/>
                <w:color w:val="auto"/>
                <w:sz w:val="21"/>
                <w:szCs w:val="21"/>
                <w:highlight w:val="none"/>
              </w:rPr>
              <w:t>项目业绩：每提供1个业绩得</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0492C14A">
            <w:pPr>
              <w:spacing w:line="240" w:lineRule="auto"/>
              <w:rPr>
                <w:rFonts w:hint="eastAsia" w:ascii="宋体" w:hAnsi="宋体" w:eastAsia="宋体" w:cs="宋体"/>
                <w:b w:val="0"/>
                <w:bCs w:val="0"/>
                <w:snapToGrid w:val="0"/>
                <w:sz w:val="21"/>
                <w:szCs w:val="21"/>
                <w:lang w:val="en-US" w:eastAsia="zh-CN"/>
              </w:rPr>
            </w:pPr>
            <w:bookmarkStart w:id="161" w:name="_Toc28188"/>
            <w:bookmarkStart w:id="162" w:name="_Toc24166"/>
            <w:bookmarkStart w:id="163" w:name="_Toc12232"/>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val="zh-CN"/>
              </w:rPr>
              <w:t>1、以合同签订时间为准；2、提供合同扫描件加盖电子签章</w:t>
            </w:r>
            <w:bookmarkEnd w:id="161"/>
            <w:bookmarkEnd w:id="162"/>
            <w:bookmarkEnd w:id="163"/>
            <w:r>
              <w:rPr>
                <w:rFonts w:hint="eastAsia" w:ascii="宋体" w:hAnsi="宋体" w:eastAsia="宋体" w:cs="宋体"/>
                <w:b w:val="0"/>
                <w:bCs w:val="0"/>
                <w:color w:val="auto"/>
                <w:sz w:val="21"/>
                <w:szCs w:val="21"/>
                <w:highlight w:val="none"/>
                <w:lang w:val="zh-CN"/>
              </w:rPr>
              <w:t>。</w:t>
            </w:r>
          </w:p>
        </w:tc>
        <w:tc>
          <w:tcPr>
            <w:tcW w:w="922" w:type="dxa"/>
            <w:noWrap w:val="0"/>
            <w:vAlign w:val="center"/>
          </w:tcPr>
          <w:p w14:paraId="1A7F95C7">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0-1分</w:t>
            </w:r>
          </w:p>
        </w:tc>
        <w:tc>
          <w:tcPr>
            <w:tcW w:w="922" w:type="dxa"/>
            <w:noWrap w:val="0"/>
            <w:vAlign w:val="center"/>
          </w:tcPr>
          <w:p w14:paraId="2F44F74B">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客观分</w:t>
            </w:r>
          </w:p>
        </w:tc>
      </w:tr>
      <w:tr w14:paraId="62F3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dxa"/>
            <w:noWrap w:val="0"/>
            <w:vAlign w:val="center"/>
          </w:tcPr>
          <w:p w14:paraId="4359F43F">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39" w:type="dxa"/>
            <w:noWrap w:val="0"/>
            <w:vAlign w:val="center"/>
          </w:tcPr>
          <w:p w14:paraId="0AF3829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2"/>
                <w:szCs w:val="22"/>
                <w:highlight w:val="none"/>
                <w:lang w:val="en-US" w:eastAsia="zh-CN"/>
              </w:rPr>
              <w:t>项目施工及</w:t>
            </w:r>
            <w:r>
              <w:rPr>
                <w:rFonts w:hint="eastAsia" w:ascii="宋体" w:hAnsi="宋体" w:cs="宋体"/>
                <w:color w:val="auto"/>
                <w:sz w:val="22"/>
                <w:szCs w:val="22"/>
                <w:highlight w:val="none"/>
                <w:lang w:val="en-US" w:eastAsia="zh-CN"/>
              </w:rPr>
              <w:t>设备</w:t>
            </w:r>
            <w:r>
              <w:rPr>
                <w:rFonts w:hint="eastAsia" w:ascii="宋体" w:hAnsi="宋体" w:eastAsia="宋体" w:cs="宋体"/>
                <w:color w:val="auto"/>
                <w:sz w:val="22"/>
                <w:szCs w:val="22"/>
                <w:highlight w:val="none"/>
                <w:lang w:val="en-US" w:eastAsia="zh-CN"/>
              </w:rPr>
              <w:t>采购方案</w:t>
            </w:r>
            <w:r>
              <w:rPr>
                <w:rFonts w:hint="eastAsia" w:ascii="宋体" w:hAnsi="宋体" w:eastAsia="宋体" w:cs="宋体"/>
                <w:color w:val="auto"/>
                <w:sz w:val="21"/>
                <w:szCs w:val="21"/>
                <w:highlight w:val="none"/>
                <w:lang w:val="en-US" w:eastAsia="zh-CN"/>
              </w:rPr>
              <w:t>（12分）</w:t>
            </w:r>
          </w:p>
        </w:tc>
        <w:tc>
          <w:tcPr>
            <w:tcW w:w="6216" w:type="dxa"/>
            <w:noWrap w:val="0"/>
            <w:vAlign w:val="center"/>
          </w:tcPr>
          <w:p w14:paraId="23284B5A">
            <w:pPr>
              <w:keepNext w:val="0"/>
              <w:keepLines w:val="0"/>
              <w:pageBreakBefore w:val="0"/>
              <w:widowControl w:val="0"/>
              <w:kinsoku/>
              <w:wordWrap/>
              <w:overflowPunct/>
              <w:topLinePunct w:val="0"/>
              <w:autoSpaceDE/>
              <w:autoSpaceDN/>
              <w:bidi w:val="0"/>
              <w:adjustRightInd/>
              <w:snapToGrid/>
              <w:spacing w:line="240" w:lineRule="auto"/>
              <w:ind w:left="-5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根据投标人针对本项目的施工内容及特点，编制的施工及设备采购方案，由专家进行综合评分。</w:t>
            </w:r>
          </w:p>
          <w:p w14:paraId="29EE4868">
            <w:pPr>
              <w:keepNext w:val="0"/>
              <w:keepLines w:val="0"/>
              <w:pageBreakBefore w:val="0"/>
              <w:widowControl w:val="0"/>
              <w:numPr>
                <w:ilvl w:val="0"/>
                <w:numId w:val="12"/>
              </w:numPr>
              <w:kinsoku/>
              <w:wordWrap/>
              <w:overflowPunct/>
              <w:topLinePunct w:val="0"/>
              <w:autoSpaceDE/>
              <w:autoSpaceDN/>
              <w:bidi w:val="0"/>
              <w:adjustRightInd/>
              <w:snapToGrid/>
              <w:spacing w:before="0" w:beforeAutospacing="0" w:after="0" w:afterAutospacing="0" w:line="24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highlight w:val="none"/>
                <w:lang w:val="en-US" w:eastAsia="zh-CN"/>
              </w:rPr>
              <w:t>项目施工方案</w:t>
            </w:r>
            <w:r>
              <w:rPr>
                <w:rFonts w:hint="eastAsia" w:ascii="宋体" w:hAnsi="宋体" w:cs="宋体"/>
                <w:color w:val="auto"/>
                <w:sz w:val="22"/>
                <w:szCs w:val="22"/>
                <w:highlight w:val="none"/>
                <w:lang w:val="en-US" w:eastAsia="zh-CN"/>
              </w:rPr>
              <w:t>（内容及措施完善且到位的得6-5分；内容及措施基本完善的得4-3分；内容及措施部分不完善的得2-0分）。</w:t>
            </w:r>
          </w:p>
          <w:p w14:paraId="51A85E53">
            <w:pPr>
              <w:keepNext w:val="0"/>
              <w:keepLines w:val="0"/>
              <w:pageBreakBefore w:val="0"/>
              <w:widowControl w:val="0"/>
              <w:numPr>
                <w:ilvl w:val="0"/>
                <w:numId w:val="12"/>
              </w:numPr>
              <w:kinsoku/>
              <w:wordWrap/>
              <w:overflowPunct/>
              <w:topLinePunct w:val="0"/>
              <w:autoSpaceDE/>
              <w:autoSpaceDN/>
              <w:bidi w:val="0"/>
              <w:adjustRightInd/>
              <w:snapToGrid/>
              <w:spacing w:before="0" w:beforeAutospacing="0" w:after="0" w:afterAutospacing="0" w:line="240" w:lineRule="auto"/>
              <w:jc w:val="both"/>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2"/>
                <w:szCs w:val="22"/>
                <w:highlight w:val="none"/>
                <w:lang w:val="en-US" w:eastAsia="zh-CN"/>
              </w:rPr>
              <w:t>项目采购方案</w:t>
            </w:r>
            <w:r>
              <w:rPr>
                <w:rFonts w:hint="eastAsia" w:ascii="宋体" w:hAnsi="宋体" w:cs="宋体"/>
                <w:color w:val="auto"/>
                <w:sz w:val="22"/>
                <w:szCs w:val="22"/>
                <w:highlight w:val="none"/>
                <w:lang w:val="en-US" w:eastAsia="zh-CN"/>
              </w:rPr>
              <w:t>（内容及措施完善且到位的得6-5分；内容及措施基本完善的得4-3分；内容及措施部分不完善的得2-0分）。</w:t>
            </w:r>
          </w:p>
        </w:tc>
        <w:tc>
          <w:tcPr>
            <w:tcW w:w="922" w:type="dxa"/>
            <w:noWrap w:val="0"/>
            <w:vAlign w:val="center"/>
          </w:tcPr>
          <w:p w14:paraId="4FC4592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pacing w:line="32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0-12分</w:t>
            </w:r>
          </w:p>
        </w:tc>
        <w:tc>
          <w:tcPr>
            <w:tcW w:w="922" w:type="dxa"/>
            <w:noWrap w:val="0"/>
            <w:vAlign w:val="center"/>
          </w:tcPr>
          <w:p w14:paraId="05D9940F">
            <w:pPr>
              <w:spacing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主观分</w:t>
            </w:r>
          </w:p>
        </w:tc>
      </w:tr>
      <w:tr w14:paraId="1251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dxa"/>
            <w:noWrap w:val="0"/>
            <w:vAlign w:val="center"/>
          </w:tcPr>
          <w:p w14:paraId="590039EC">
            <w:pPr>
              <w:spacing w:line="400" w:lineRule="exact"/>
              <w:jc w:val="center"/>
              <w:rPr>
                <w:rFonts w:hint="default"/>
                <w:lang w:val="en-US" w:eastAsia="zh-CN"/>
              </w:rPr>
            </w:pPr>
            <w:r>
              <w:rPr>
                <w:rFonts w:hint="eastAsia" w:ascii="宋体" w:hAnsi="宋体" w:eastAsia="宋体" w:cs="宋体"/>
                <w:sz w:val="21"/>
                <w:szCs w:val="21"/>
                <w:lang w:val="en-US" w:eastAsia="zh-CN"/>
              </w:rPr>
              <w:t>4</w:t>
            </w:r>
          </w:p>
        </w:tc>
        <w:tc>
          <w:tcPr>
            <w:tcW w:w="1539" w:type="dxa"/>
            <w:noWrap w:val="0"/>
            <w:vAlign w:val="center"/>
          </w:tcPr>
          <w:p w14:paraId="739D24D6">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项目完工效果图（12分）</w:t>
            </w:r>
          </w:p>
        </w:tc>
        <w:tc>
          <w:tcPr>
            <w:tcW w:w="6216" w:type="dxa"/>
            <w:noWrap w:val="0"/>
            <w:vAlign w:val="center"/>
          </w:tcPr>
          <w:p w14:paraId="5DAC96D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根据投标人针对本项目的施工内容及特点，提供本项目室内完工效果图（提供3个室内不同功能房间效果图各2张，如教室、办公室、会议室）6张，由评委对效果图的设计符合性进行打分：</w:t>
            </w:r>
          </w:p>
          <w:p w14:paraId="10E057C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baseline"/>
              <w:rPr>
                <w:rFonts w:hint="eastAsia"/>
                <w:lang w:val="en-US" w:eastAsia="zh-CN"/>
              </w:rPr>
            </w:pPr>
            <w:r>
              <w:rPr>
                <w:rFonts w:hint="eastAsia" w:ascii="宋体" w:hAnsi="宋体" w:eastAsia="宋体" w:cs="宋体"/>
                <w:color w:val="auto"/>
                <w:sz w:val="22"/>
                <w:szCs w:val="22"/>
                <w:highlight w:val="none"/>
                <w:lang w:val="en-US" w:eastAsia="zh-CN"/>
              </w:rPr>
              <w:t>每提供一张效果图且效果图和本项目相吻合得2分，否则不得分，最高得12 分。</w:t>
            </w:r>
          </w:p>
        </w:tc>
        <w:tc>
          <w:tcPr>
            <w:tcW w:w="922" w:type="dxa"/>
            <w:noWrap w:val="0"/>
            <w:vAlign w:val="center"/>
          </w:tcPr>
          <w:p w14:paraId="76114E4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0-12分</w:t>
            </w:r>
          </w:p>
        </w:tc>
        <w:tc>
          <w:tcPr>
            <w:tcW w:w="922" w:type="dxa"/>
            <w:noWrap w:val="0"/>
            <w:vAlign w:val="center"/>
          </w:tcPr>
          <w:p w14:paraId="444052CB">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主观分</w:t>
            </w:r>
          </w:p>
        </w:tc>
      </w:tr>
      <w:tr w14:paraId="0152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dxa"/>
            <w:noWrap w:val="0"/>
            <w:vAlign w:val="center"/>
          </w:tcPr>
          <w:p w14:paraId="5BF3617B">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39" w:type="dxa"/>
            <w:noWrap w:val="0"/>
            <w:vAlign w:val="center"/>
          </w:tcPr>
          <w:p w14:paraId="38EB1A9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投标产品参数（16分）</w:t>
            </w:r>
          </w:p>
        </w:tc>
        <w:tc>
          <w:tcPr>
            <w:tcW w:w="6216" w:type="dxa"/>
            <w:noWrap w:val="0"/>
            <w:vAlign w:val="center"/>
          </w:tcPr>
          <w:p w14:paraId="2A2F3462">
            <w:pPr>
              <w:pStyle w:val="188"/>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val="en-US" w:eastAsia="zh-CN"/>
              </w:rPr>
              <w:t>投标产品</w:t>
            </w:r>
            <w:r>
              <w:rPr>
                <w:rFonts w:hint="eastAsia" w:ascii="宋体" w:hAnsi="宋体" w:eastAsia="宋体" w:cs="宋体"/>
                <w:color w:val="auto"/>
                <w:sz w:val="21"/>
                <w:szCs w:val="21"/>
                <w:highlight w:val="none"/>
              </w:rPr>
              <w:t>技术参数指标</w:t>
            </w:r>
            <w:r>
              <w:rPr>
                <w:rFonts w:hint="eastAsia" w:ascii="宋体" w:hAnsi="宋体" w:eastAsia="宋体" w:cs="宋体"/>
                <w:color w:val="auto"/>
                <w:sz w:val="21"/>
                <w:szCs w:val="21"/>
                <w:highlight w:val="none"/>
                <w:lang w:val="en-US" w:eastAsia="zh-CN"/>
              </w:rPr>
              <w:t>偏离情况</w:t>
            </w:r>
            <w:r>
              <w:rPr>
                <w:rFonts w:hint="eastAsia" w:ascii="宋体" w:hAnsi="宋体" w:eastAsia="宋体" w:cs="宋体"/>
                <w:color w:val="auto"/>
                <w:sz w:val="21"/>
                <w:szCs w:val="21"/>
                <w:highlight w:val="none"/>
              </w:rPr>
              <w:t>评审，满分1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带“★”重要性指标每负偏离或缺漏项一项扣2分，不</w:t>
            </w:r>
            <w:r>
              <w:rPr>
                <w:rFonts w:hint="eastAsia" w:ascii="宋体" w:hAnsi="宋体" w:eastAsia="宋体" w:cs="宋体"/>
                <w:color w:val="auto"/>
                <w:sz w:val="21"/>
                <w:szCs w:val="21"/>
                <w:highlight w:val="none"/>
                <w:lang w:val="en-US" w:eastAsia="zh-CN"/>
              </w:rPr>
              <w:t>带</w:t>
            </w:r>
            <w:r>
              <w:rPr>
                <w:rFonts w:hint="eastAsia" w:ascii="宋体" w:hAnsi="宋体" w:eastAsia="宋体" w:cs="宋体"/>
                <w:color w:val="auto"/>
                <w:sz w:val="21"/>
                <w:szCs w:val="21"/>
                <w:highlight w:val="none"/>
              </w:rPr>
              <w:t>“★”每负偏离或缺漏项一项扣1分，扣完为止。</w:t>
            </w:r>
          </w:p>
          <w:p w14:paraId="4E10E415">
            <w:pPr>
              <w:pStyle w:val="188"/>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rPr>
              <w:t>注：须提供证明材料需提供复印件加盖</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公章，不提供不得分。</w:t>
            </w:r>
          </w:p>
        </w:tc>
        <w:tc>
          <w:tcPr>
            <w:tcW w:w="922" w:type="dxa"/>
            <w:noWrap w:val="0"/>
            <w:vAlign w:val="center"/>
          </w:tcPr>
          <w:p w14:paraId="51112A9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0-16分</w:t>
            </w:r>
          </w:p>
        </w:tc>
        <w:tc>
          <w:tcPr>
            <w:tcW w:w="922" w:type="dxa"/>
            <w:noWrap w:val="0"/>
            <w:vAlign w:val="center"/>
          </w:tcPr>
          <w:p w14:paraId="1E94C347">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客观分</w:t>
            </w:r>
          </w:p>
        </w:tc>
      </w:tr>
      <w:tr w14:paraId="6D00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dxa"/>
            <w:noWrap w:val="0"/>
            <w:vAlign w:val="center"/>
          </w:tcPr>
          <w:p w14:paraId="626A7269">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39" w:type="dxa"/>
            <w:noWrap w:val="0"/>
            <w:vAlign w:val="center"/>
          </w:tcPr>
          <w:p w14:paraId="4F3C7EE6">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2"/>
                <w:szCs w:val="22"/>
                <w:highlight w:val="none"/>
                <w:lang w:val="en-US" w:eastAsia="zh-CN"/>
              </w:rPr>
              <w:t>质量控制保证方案及措施（6分）</w:t>
            </w:r>
          </w:p>
        </w:tc>
        <w:tc>
          <w:tcPr>
            <w:tcW w:w="6216" w:type="dxa"/>
            <w:noWrap w:val="0"/>
            <w:vAlign w:val="center"/>
          </w:tcPr>
          <w:p w14:paraId="726BEBFD">
            <w:pPr>
              <w:keepNext w:val="0"/>
              <w:keepLines w:val="0"/>
              <w:pageBreakBefore w:val="0"/>
              <w:widowControl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lang w:val="en-US" w:eastAsia="zh-CN"/>
              </w:rPr>
              <w:t>根据投标人提供的质量控制方案、</w:t>
            </w:r>
            <w:r>
              <w:rPr>
                <w:rFonts w:hint="eastAsia" w:ascii="宋体" w:hAnsi="宋体" w:eastAsia="宋体" w:cs="宋体"/>
                <w:color w:val="auto"/>
                <w:sz w:val="22"/>
                <w:szCs w:val="22"/>
                <w:highlight w:val="none"/>
              </w:rPr>
              <w:t>质量</w:t>
            </w:r>
            <w:r>
              <w:rPr>
                <w:rFonts w:hint="eastAsia" w:ascii="宋体" w:hAnsi="宋体" w:eastAsia="宋体" w:cs="宋体"/>
                <w:color w:val="auto"/>
                <w:sz w:val="22"/>
                <w:szCs w:val="22"/>
                <w:highlight w:val="none"/>
                <w:lang w:val="en-US" w:eastAsia="zh-CN"/>
              </w:rPr>
              <w:t>控制及</w:t>
            </w:r>
            <w:r>
              <w:rPr>
                <w:rFonts w:hint="eastAsia" w:ascii="宋体" w:hAnsi="宋体" w:eastAsia="宋体" w:cs="宋体"/>
                <w:color w:val="auto"/>
                <w:sz w:val="22"/>
                <w:szCs w:val="22"/>
                <w:highlight w:val="none"/>
              </w:rPr>
              <w:t>保障措施可靠</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可行性进行打分：</w:t>
            </w:r>
            <w:r>
              <w:rPr>
                <w:rFonts w:hint="eastAsia" w:ascii="宋体" w:hAnsi="宋体" w:eastAsia="宋体" w:cs="宋体"/>
                <w:color w:val="auto"/>
                <w:sz w:val="21"/>
                <w:szCs w:val="21"/>
                <w:highlight w:val="none"/>
                <w:lang w:val="en-US" w:eastAsia="zh-CN"/>
              </w:rPr>
              <w:t>内容及措施完善且到位的得6-5分，内容及措施基本完善的得4-3分，内容及措施部分不完善的得2-0分。</w:t>
            </w:r>
          </w:p>
        </w:tc>
        <w:tc>
          <w:tcPr>
            <w:tcW w:w="922" w:type="dxa"/>
            <w:noWrap w:val="0"/>
            <w:vAlign w:val="center"/>
          </w:tcPr>
          <w:p w14:paraId="40119D5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0-6分</w:t>
            </w:r>
          </w:p>
        </w:tc>
        <w:tc>
          <w:tcPr>
            <w:tcW w:w="922" w:type="dxa"/>
            <w:noWrap w:val="0"/>
            <w:vAlign w:val="center"/>
          </w:tcPr>
          <w:p w14:paraId="502F425D">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主观分</w:t>
            </w:r>
          </w:p>
        </w:tc>
      </w:tr>
      <w:tr w14:paraId="06AE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dxa"/>
            <w:noWrap w:val="0"/>
            <w:vAlign w:val="center"/>
          </w:tcPr>
          <w:p w14:paraId="762C511F">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39" w:type="dxa"/>
            <w:noWrap w:val="0"/>
            <w:vAlign w:val="center"/>
          </w:tcPr>
          <w:p w14:paraId="5C9357D6">
            <w:pPr>
              <w:keepNext w:val="0"/>
              <w:keepLines w:val="0"/>
              <w:pageBreakBefore w:val="0"/>
              <w:widowControl w:val="0"/>
              <w:kinsoku/>
              <w:wordWrap/>
              <w:overflowPunct/>
              <w:topLinePunct w:val="0"/>
              <w:autoSpaceDE/>
              <w:autoSpaceDN/>
              <w:bidi w:val="0"/>
              <w:adjustRightInd/>
              <w:snapToGrid/>
              <w:spacing w:after="0"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安全生产及文明施工与施工降噪措施（6分）</w:t>
            </w:r>
          </w:p>
        </w:tc>
        <w:tc>
          <w:tcPr>
            <w:tcW w:w="6216" w:type="dxa"/>
            <w:noWrap w:val="0"/>
            <w:vAlign w:val="center"/>
          </w:tcPr>
          <w:p w14:paraId="23E3EE0D">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val="0"/>
                <w:bCs w:val="0"/>
                <w:color w:val="auto"/>
                <w:sz w:val="22"/>
                <w:szCs w:val="22"/>
                <w:highlight w:val="none"/>
                <w:lang w:val="en-US" w:eastAsia="zh-CN"/>
              </w:rPr>
              <w:t>根据</w:t>
            </w:r>
            <w:r>
              <w:rPr>
                <w:rFonts w:hint="eastAsia" w:ascii="宋体" w:hAnsi="宋体" w:eastAsia="宋体" w:cs="宋体"/>
                <w:b w:val="0"/>
                <w:bCs w:val="0"/>
                <w:color w:val="auto"/>
                <w:sz w:val="22"/>
                <w:szCs w:val="22"/>
                <w:highlight w:val="none"/>
              </w:rPr>
              <w:t>投标人安全生产、文明施工与</w:t>
            </w:r>
            <w:r>
              <w:rPr>
                <w:rFonts w:hint="eastAsia" w:ascii="宋体" w:hAnsi="宋体" w:eastAsia="宋体" w:cs="宋体"/>
                <w:b w:val="0"/>
                <w:bCs w:val="0"/>
                <w:color w:val="auto"/>
                <w:sz w:val="22"/>
                <w:szCs w:val="22"/>
                <w:highlight w:val="none"/>
                <w:lang w:val="en-US" w:eastAsia="zh-CN"/>
              </w:rPr>
              <w:t>施工降噪</w:t>
            </w:r>
            <w:r>
              <w:rPr>
                <w:rFonts w:hint="eastAsia" w:ascii="宋体" w:hAnsi="宋体" w:eastAsia="宋体" w:cs="宋体"/>
                <w:b w:val="0"/>
                <w:bCs w:val="0"/>
                <w:color w:val="auto"/>
                <w:sz w:val="22"/>
                <w:szCs w:val="22"/>
                <w:highlight w:val="none"/>
              </w:rPr>
              <w:t>措施的针对性、完整性和合理性</w:t>
            </w:r>
            <w:r>
              <w:rPr>
                <w:rFonts w:hint="eastAsia" w:ascii="宋体" w:hAnsi="宋体" w:eastAsia="宋体" w:cs="宋体"/>
                <w:color w:val="auto"/>
                <w:sz w:val="22"/>
                <w:szCs w:val="22"/>
                <w:highlight w:val="none"/>
                <w:lang w:val="en-US" w:eastAsia="zh-CN"/>
              </w:rPr>
              <w:t>进行打分：</w:t>
            </w:r>
            <w:r>
              <w:rPr>
                <w:rFonts w:hint="eastAsia" w:ascii="宋体" w:hAnsi="宋体" w:eastAsia="宋体" w:cs="宋体"/>
                <w:color w:val="auto"/>
                <w:sz w:val="21"/>
                <w:szCs w:val="21"/>
                <w:highlight w:val="none"/>
                <w:lang w:val="en-US" w:eastAsia="zh-CN"/>
              </w:rPr>
              <w:t>内容及措施完善且到位的得6-5分，内容及措施基本完善的得4-3分，内容及措施部分不完善的得2-0分。</w:t>
            </w:r>
          </w:p>
        </w:tc>
        <w:tc>
          <w:tcPr>
            <w:tcW w:w="922" w:type="dxa"/>
            <w:noWrap w:val="0"/>
            <w:vAlign w:val="center"/>
          </w:tcPr>
          <w:p w14:paraId="39576710">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0-6分</w:t>
            </w:r>
          </w:p>
        </w:tc>
        <w:tc>
          <w:tcPr>
            <w:tcW w:w="922" w:type="dxa"/>
            <w:noWrap w:val="0"/>
            <w:vAlign w:val="center"/>
          </w:tcPr>
          <w:p w14:paraId="6E2FA800">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主观分</w:t>
            </w:r>
          </w:p>
        </w:tc>
      </w:tr>
      <w:tr w14:paraId="2D3A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dxa"/>
            <w:noWrap w:val="0"/>
            <w:vAlign w:val="center"/>
          </w:tcPr>
          <w:p w14:paraId="00FA75F1">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39" w:type="dxa"/>
            <w:noWrap w:val="0"/>
            <w:vAlign w:val="center"/>
          </w:tcPr>
          <w:p w14:paraId="4CF7AFEB">
            <w:pPr>
              <w:keepNext w:val="0"/>
              <w:keepLines w:val="0"/>
              <w:pageBreakBefore w:val="0"/>
              <w:widowControl w:val="0"/>
              <w:kinsoku/>
              <w:wordWrap/>
              <w:overflowPunct/>
              <w:topLinePunct w:val="0"/>
              <w:autoSpaceDE/>
              <w:autoSpaceDN/>
              <w:bidi w:val="0"/>
              <w:adjustRightInd/>
              <w:snapToGrid/>
              <w:spacing w:after="0"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人员配置（</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c>
          <w:tcPr>
            <w:tcW w:w="6216" w:type="dxa"/>
            <w:noWrap w:val="0"/>
            <w:vAlign w:val="center"/>
          </w:tcPr>
          <w:p w14:paraId="4BB22D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1、拟派项目负责人同时具有建筑工程（或机电工程）二级及以上注册建造师和安全生产考核合格证书的得2分，本项最高得2分。</w:t>
            </w:r>
          </w:p>
          <w:p w14:paraId="58217D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2、拟派项目技术负责人具有人社部门颁发工程类中级工程师及以上职称的得1分，本项最高得1分。</w:t>
            </w:r>
          </w:p>
          <w:p w14:paraId="5F97BA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3、拟派项目其他班组成员具有施工员、质量员（质检员）、安全生产考核C类证书的，每具有一项证书得1分，最高得3分。</w:t>
            </w:r>
          </w:p>
          <w:p w14:paraId="7DD82C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lang w:val="en-US" w:eastAsia="zh-CN"/>
              </w:rPr>
              <w:t>注：以上人员均不得兼任，提供相关人员证书扫描件和最近一个月社保证明并加盖投标人单位公章，否则不得分。</w:t>
            </w:r>
          </w:p>
        </w:tc>
        <w:tc>
          <w:tcPr>
            <w:tcW w:w="922" w:type="dxa"/>
            <w:noWrap w:val="0"/>
            <w:vAlign w:val="center"/>
          </w:tcPr>
          <w:p w14:paraId="7CCE417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tc>
        <w:tc>
          <w:tcPr>
            <w:tcW w:w="922" w:type="dxa"/>
            <w:noWrap w:val="0"/>
            <w:vAlign w:val="center"/>
          </w:tcPr>
          <w:p w14:paraId="40D05E00">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客观分</w:t>
            </w:r>
          </w:p>
        </w:tc>
      </w:tr>
      <w:tr w14:paraId="0EF4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dxa"/>
            <w:noWrap w:val="0"/>
            <w:vAlign w:val="center"/>
          </w:tcPr>
          <w:p w14:paraId="64219AA0">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539" w:type="dxa"/>
            <w:noWrap w:val="0"/>
            <w:vAlign w:val="center"/>
          </w:tcPr>
          <w:p w14:paraId="76584DEA">
            <w:pPr>
              <w:keepNext w:val="0"/>
              <w:keepLines w:val="0"/>
              <w:pageBreakBefore w:val="0"/>
              <w:widowControl w:val="0"/>
              <w:kinsoku/>
              <w:wordWrap/>
              <w:overflowPunct/>
              <w:topLinePunct w:val="0"/>
              <w:autoSpaceDE/>
              <w:autoSpaceDN/>
              <w:bidi w:val="0"/>
              <w:adjustRightInd/>
              <w:snapToGrid/>
              <w:spacing w:after="0"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后续维修服务方案（3分）</w:t>
            </w:r>
          </w:p>
        </w:tc>
        <w:tc>
          <w:tcPr>
            <w:tcW w:w="6216" w:type="dxa"/>
            <w:noWrap w:val="0"/>
            <w:vAlign w:val="center"/>
          </w:tcPr>
          <w:p w14:paraId="57051695">
            <w:pPr>
              <w:pStyle w:val="24"/>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pacing w:val="0"/>
                <w:sz w:val="22"/>
                <w:szCs w:val="22"/>
                <w:highlight w:val="none"/>
              </w:rPr>
              <w:t>根据</w:t>
            </w:r>
            <w:r>
              <w:rPr>
                <w:rFonts w:hint="eastAsia" w:ascii="宋体" w:hAnsi="宋体" w:eastAsia="宋体" w:cs="宋体"/>
                <w:color w:val="auto"/>
                <w:spacing w:val="0"/>
                <w:sz w:val="22"/>
                <w:szCs w:val="22"/>
                <w:highlight w:val="none"/>
                <w:lang w:val="en-US" w:eastAsia="zh-CN"/>
              </w:rPr>
              <w:t>投标人后续维修</w:t>
            </w:r>
            <w:r>
              <w:rPr>
                <w:rFonts w:hint="eastAsia" w:ascii="宋体" w:hAnsi="宋体" w:eastAsia="宋体" w:cs="宋体"/>
                <w:color w:val="auto"/>
                <w:spacing w:val="0"/>
                <w:sz w:val="22"/>
                <w:szCs w:val="22"/>
                <w:highlight w:val="none"/>
              </w:rPr>
              <w:t>服务承诺的响应时间、</w:t>
            </w:r>
            <w:r>
              <w:rPr>
                <w:rFonts w:hint="eastAsia" w:ascii="宋体" w:hAnsi="宋体" w:eastAsia="宋体" w:cs="宋体"/>
                <w:color w:val="auto"/>
                <w:spacing w:val="0"/>
                <w:sz w:val="22"/>
                <w:szCs w:val="22"/>
                <w:highlight w:val="none"/>
                <w:lang w:val="en-US" w:eastAsia="zh-CN"/>
              </w:rPr>
              <w:t>后续维修</w:t>
            </w:r>
            <w:r>
              <w:rPr>
                <w:rFonts w:hint="eastAsia" w:ascii="宋体" w:hAnsi="宋体" w:eastAsia="宋体" w:cs="宋体"/>
                <w:color w:val="auto"/>
                <w:spacing w:val="0"/>
                <w:sz w:val="22"/>
                <w:szCs w:val="22"/>
                <w:highlight w:val="none"/>
              </w:rPr>
              <w:t>服务承诺内容、</w:t>
            </w:r>
            <w:r>
              <w:rPr>
                <w:rFonts w:hint="eastAsia" w:ascii="宋体" w:hAnsi="宋体" w:eastAsia="宋体" w:cs="宋体"/>
                <w:color w:val="auto"/>
                <w:spacing w:val="0"/>
                <w:sz w:val="22"/>
                <w:szCs w:val="22"/>
                <w:highlight w:val="none"/>
                <w:lang w:val="en-US" w:eastAsia="zh-CN"/>
              </w:rPr>
              <w:t>后续维修</w:t>
            </w:r>
            <w:r>
              <w:rPr>
                <w:rFonts w:hint="eastAsia" w:ascii="宋体" w:hAnsi="宋体" w:eastAsia="宋体" w:cs="宋体"/>
                <w:color w:val="auto"/>
                <w:spacing w:val="0"/>
                <w:sz w:val="22"/>
                <w:szCs w:val="22"/>
                <w:highlight w:val="none"/>
              </w:rPr>
              <w:t>服务人员配备情况</w:t>
            </w:r>
            <w:r>
              <w:rPr>
                <w:rFonts w:hint="eastAsia" w:ascii="宋体" w:hAnsi="宋体" w:eastAsia="宋体" w:cs="宋体"/>
                <w:color w:val="auto"/>
                <w:sz w:val="22"/>
                <w:szCs w:val="22"/>
                <w:highlight w:val="none"/>
                <w:lang w:val="en-US" w:eastAsia="zh-CN"/>
              </w:rPr>
              <w:t>进行打分：</w:t>
            </w:r>
            <w:r>
              <w:rPr>
                <w:rFonts w:hint="eastAsia" w:ascii="宋体" w:hAnsi="宋体" w:eastAsia="宋体" w:cs="宋体"/>
                <w:color w:val="auto"/>
                <w:sz w:val="21"/>
                <w:szCs w:val="21"/>
                <w:highlight w:val="none"/>
                <w:lang w:val="en-US" w:eastAsia="zh-CN"/>
              </w:rPr>
              <w:t>内容及措施完善且到位的得3分，内容及措施基本完善的得2分，内容及措施部分不完善的得1-0分。</w:t>
            </w:r>
          </w:p>
        </w:tc>
        <w:tc>
          <w:tcPr>
            <w:tcW w:w="922" w:type="dxa"/>
            <w:noWrap w:val="0"/>
            <w:vAlign w:val="center"/>
          </w:tcPr>
          <w:p w14:paraId="3B69472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pacing w:line="32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0-3分</w:t>
            </w:r>
          </w:p>
        </w:tc>
        <w:tc>
          <w:tcPr>
            <w:tcW w:w="922" w:type="dxa"/>
            <w:noWrap w:val="0"/>
            <w:vAlign w:val="center"/>
          </w:tcPr>
          <w:p w14:paraId="2E047B8B">
            <w:pPr>
              <w:spacing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主观分</w:t>
            </w:r>
          </w:p>
        </w:tc>
      </w:tr>
    </w:tbl>
    <w:p w14:paraId="4781A326">
      <w:pPr>
        <w:pStyle w:val="3"/>
        <w:adjustRightInd w:val="0"/>
        <w:snapToGrid w:val="0"/>
        <w:spacing w:line="460" w:lineRule="atLeast"/>
        <w:ind w:firstLine="422" w:firstLineChars="200"/>
        <w:rPr>
          <w:rFonts w:hint="eastAsia" w:hAnsi="宋体"/>
          <w:b/>
          <w:bCs/>
          <w:sz w:val="22"/>
          <w:szCs w:val="22"/>
          <w:lang w:val="en-US" w:eastAsia="zh-CN"/>
        </w:rPr>
      </w:pPr>
      <w:r>
        <w:rPr>
          <w:rFonts w:hint="eastAsia" w:hAnsi="宋体"/>
          <w:b/>
          <w:bCs/>
          <w:sz w:val="21"/>
          <w:szCs w:val="21"/>
          <w:lang w:val="en-US" w:eastAsia="zh-CN"/>
        </w:rPr>
        <w:t>注：如供应商缺项或者内容与项</w:t>
      </w:r>
      <w:r>
        <w:rPr>
          <w:rFonts w:hint="eastAsia" w:hAnsi="宋体"/>
          <w:b/>
          <w:bCs/>
          <w:sz w:val="22"/>
          <w:szCs w:val="22"/>
          <w:lang w:val="en-US" w:eastAsia="zh-CN"/>
        </w:rPr>
        <w:t>目无关，评审专家该项可以按0分计。</w:t>
      </w:r>
    </w:p>
    <w:p w14:paraId="0EA9043C">
      <w:pPr>
        <w:pStyle w:val="3"/>
        <w:adjustRightInd w:val="0"/>
        <w:snapToGrid w:val="0"/>
        <w:spacing w:line="46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三、说明</w:t>
      </w:r>
    </w:p>
    <w:p w14:paraId="31B75119">
      <w:pPr>
        <w:adjustRightInd w:val="0"/>
        <w:spacing w:line="400" w:lineRule="atLeast"/>
        <w:ind w:firstLine="420"/>
        <w:rPr>
          <w:rFonts w:hint="eastAsia" w:ascii="宋体" w:hAnsi="宋体" w:eastAsia="宋体" w:cs="宋体"/>
          <w:sz w:val="22"/>
          <w:szCs w:val="22"/>
        </w:rPr>
      </w:pPr>
      <w:r>
        <w:rPr>
          <w:rFonts w:hint="eastAsia" w:ascii="宋体" w:hAnsi="宋体" w:eastAsia="宋体" w:cs="宋体"/>
          <w:sz w:val="22"/>
          <w:szCs w:val="22"/>
          <w:lang w:val="en-US" w:eastAsia="zh-CN"/>
        </w:rPr>
        <w:t>1、本项目</w:t>
      </w:r>
      <w:r>
        <w:rPr>
          <w:rFonts w:hint="eastAsia" w:ascii="宋体" w:hAnsi="宋体" w:eastAsia="宋体" w:cs="宋体"/>
          <w:sz w:val="22"/>
          <w:szCs w:val="22"/>
        </w:rPr>
        <w:t>每个</w:t>
      </w:r>
      <w:r>
        <w:rPr>
          <w:rFonts w:hint="eastAsia" w:ascii="宋体" w:hAnsi="宋体" w:eastAsia="宋体" w:cs="宋体"/>
          <w:sz w:val="22"/>
          <w:szCs w:val="22"/>
          <w:lang w:val="en-US" w:eastAsia="zh-CN"/>
        </w:rPr>
        <w:t>供应商</w:t>
      </w:r>
      <w:r>
        <w:rPr>
          <w:rFonts w:hint="eastAsia" w:ascii="宋体" w:hAnsi="宋体" w:eastAsia="宋体" w:cs="宋体"/>
          <w:sz w:val="22"/>
          <w:szCs w:val="22"/>
        </w:rPr>
        <w:t>最终得分=商务技术部分分值（所有评标委员会成员打分的算术平均值）＋报价部分分值。</w:t>
      </w:r>
    </w:p>
    <w:p w14:paraId="1CAF808B">
      <w:pPr>
        <w:adjustRightInd w:val="0"/>
        <w:spacing w:line="400" w:lineRule="atLeast"/>
        <w:ind w:firstLine="42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所有分值计算保留小数点后二位，小数点后三位四舍五入。</w:t>
      </w:r>
    </w:p>
    <w:p w14:paraId="42D9D67E">
      <w:pPr>
        <w:adjustRightInd w:val="0"/>
        <w:spacing w:line="400" w:lineRule="atLeast"/>
        <w:ind w:firstLine="42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开评标过程中遇到特殊情况，由评标委员会遵循公开、公正原则，采取投票方式按照少数服从多数原则决定。</w:t>
      </w:r>
    </w:p>
    <w:p w14:paraId="48FECEC1">
      <w:pPr>
        <w:adjustRightInd w:val="0"/>
        <w:spacing w:line="400" w:lineRule="atLeast"/>
        <w:ind w:firstLine="420"/>
        <w:rPr>
          <w:rFonts w:hint="eastAsia" w:ascii="宋体" w:hAnsi="宋体" w:eastAsia="宋体" w:cs="宋体"/>
          <w:sz w:val="22"/>
          <w:szCs w:val="22"/>
        </w:rPr>
      </w:pPr>
      <w:r>
        <w:rPr>
          <w:rFonts w:hint="eastAsia" w:ascii="宋体" w:hAnsi="宋体" w:eastAsia="宋体" w:cs="宋体"/>
          <w:sz w:val="22"/>
          <w:szCs w:val="22"/>
        </w:rPr>
        <w:t>参见本采购文件第三部分：“供应商须知”中的相关内容，未尽事宜按有关法律规定处理。</w:t>
      </w:r>
    </w:p>
    <w:p w14:paraId="06859FBB">
      <w:pPr>
        <w:adjustRightInd w:val="0"/>
        <w:spacing w:line="360" w:lineRule="auto"/>
        <w:ind w:firstLine="420"/>
        <w:rPr>
          <w:rFonts w:hint="eastAsia" w:ascii="宋体" w:hAnsi="宋体" w:eastAsia="宋体" w:cs="宋体"/>
          <w:sz w:val="22"/>
          <w:szCs w:val="22"/>
        </w:rPr>
      </w:pPr>
    </w:p>
    <w:p w14:paraId="521ADF0A">
      <w:pPr>
        <w:adjustRightInd w:val="0"/>
        <w:spacing w:before="100" w:after="50" w:line="440" w:lineRule="atLeast"/>
        <w:rPr>
          <w:rFonts w:hint="eastAsia" w:ascii="宋体" w:hAnsi="宋体" w:cs="宋体"/>
          <w:sz w:val="22"/>
          <w:szCs w:val="22"/>
        </w:rPr>
      </w:pPr>
    </w:p>
    <w:sectPr>
      <w:footerReference r:id="rId12" w:type="default"/>
      <w:pgSz w:w="11906" w:h="16838"/>
      <w:pgMar w:top="1134" w:right="1134" w:bottom="1004" w:left="1134" w:header="851" w:footer="680" w:gutter="0"/>
      <w:pgBorders>
        <w:top w:val="none" w:sz="0" w:space="0"/>
        <w:left w:val="none" w:sz="0" w:space="0"/>
        <w:bottom w:val="none" w:sz="0" w:space="0"/>
        <w:right w:val="none" w:sz="0" w:space="0"/>
      </w:pgBorders>
      <w:pgNumType w:fmt="numberInDash"/>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长城仿宋">
    <w:altName w:val="宋体"/>
    <w:panose1 w:val="0201060900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Plotter">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7DD2">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97C7D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97C7D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BBFC">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29057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729057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11F6">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E5963">
                          <w:pPr>
                            <w:pStyle w:val="31"/>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14:paraId="405E5963">
                    <w:pPr>
                      <w:pStyle w:val="31"/>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1D3D">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BF729">
                          <w:pPr>
                            <w:snapToGrid w:val="0"/>
                            <w:rPr>
                              <w:rFonts w:hint="eastAsia"/>
                              <w:sz w:val="18"/>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rPr>
                            <w:t>2</w:t>
                          </w:r>
                          <w:r>
                            <w:rPr>
                              <w:rFonts w:hint="eastAsia" w:ascii="宋体" w:hAnsi="宋体" w:eastAsia="宋体" w:cs="宋体"/>
                              <w:sz w:val="20"/>
                              <w:szCs w:val="20"/>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708BF729">
                    <w:pPr>
                      <w:snapToGrid w:val="0"/>
                      <w:rPr>
                        <w:rFonts w:hint="eastAsia"/>
                        <w:sz w:val="18"/>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rPr>
                      <w:t>2</w:t>
                    </w:r>
                    <w:r>
                      <w:rPr>
                        <w:rFonts w:hint="eastAsia" w:ascii="宋体" w:hAnsi="宋体" w:eastAsia="宋体" w:cs="宋体"/>
                        <w:sz w:val="20"/>
                        <w:szCs w:val="2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5E5A5">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4732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14:paraId="7830DB2D">
                          <w:pPr>
                            <w:pStyle w:val="31"/>
                            <w:rPr>
                              <w:rFonts w:hint="eastAsia" w:eastAsia="宋体"/>
                              <w:lang w:eastAsia="zh-CN"/>
                            </w:rPr>
                          </w:pPr>
                          <w:r>
                            <w:rPr>
                              <w:rFonts w:hint="eastAsia" w:ascii="宋体" w:hAnsi="宋体" w:eastAsia="宋体" w:cs="宋体"/>
                              <w:sz w:val="20"/>
                              <w:szCs w:val="20"/>
                              <w:lang w:eastAsia="zh-CN"/>
                            </w:rPr>
                            <w:fldChar w:fldCharType="begin"/>
                          </w:r>
                          <w:r>
                            <w:rPr>
                              <w:rFonts w:hint="eastAsia" w:ascii="宋体" w:hAnsi="宋体" w:eastAsia="宋体" w:cs="宋体"/>
                              <w:sz w:val="20"/>
                              <w:szCs w:val="20"/>
                              <w:lang w:eastAsia="zh-CN"/>
                            </w:rPr>
                            <w:instrText xml:space="preserve"> PAGE  \* MERGEFORMAT </w:instrText>
                          </w:r>
                          <w:r>
                            <w:rPr>
                              <w:rFonts w:hint="eastAsia" w:ascii="宋体" w:hAnsi="宋体" w:eastAsia="宋体" w:cs="宋体"/>
                              <w:sz w:val="20"/>
                              <w:szCs w:val="20"/>
                              <w:lang w:eastAsia="zh-CN"/>
                            </w:rPr>
                            <w:fldChar w:fldCharType="separate"/>
                          </w:r>
                          <w:r>
                            <w:rPr>
                              <w:rFonts w:hint="eastAsia" w:ascii="宋体" w:hAnsi="宋体" w:eastAsia="宋体" w:cs="宋体"/>
                              <w:sz w:val="20"/>
                              <w:szCs w:val="20"/>
                              <w:lang w:eastAsia="zh-CN"/>
                            </w:rPr>
                            <w:t>- 1 -</w:t>
                          </w:r>
                          <w:r>
                            <w:rPr>
                              <w:rFonts w:hint="eastAsia" w:ascii="宋体" w:hAnsi="宋体" w:eastAsia="宋体" w:cs="宋体"/>
                              <w:sz w:val="20"/>
                              <w:szCs w:val="20"/>
                              <w:lang w:eastAsia="zh-CN"/>
                            </w:rPr>
                            <w:fldChar w:fldCharType="end"/>
                          </w:r>
                        </w:p>
                      </w:txbxContent>
                    </wps:txbx>
                    <wps:bodyPr vert="horz" wrap="none" lIns="0" tIns="0" rIns="0" bIns="0" anchor="t" anchorCtr="0" upright="0"/>
                  </wps:wsp>
                </a:graphicData>
              </a:graphic>
            </wp:anchor>
          </w:drawing>
        </mc:Choice>
        <mc:Fallback>
          <w:pict>
            <v:shape id="文本框 6" o:spid="_x0000_s1026" o:spt="202" type="#_x0000_t202" style="position:absolute;left:0pt;margin-top:0pt;height:11.6pt;width:144pt;mso-position-horizontal:center;mso-position-horizontal-relative:margin;mso-wrap-style:none;z-index:251663360;mso-width-relative:page;mso-height-relative:page;" filled="f" stroked="f" coordsize="21600,21600" o:gfxdata="UEsDBAoAAAAAAIdO4kAAAAAAAAAAAAAAAAAEAAAAZHJzL1BLAwQUAAAACACHTuJAxnrqqNEAAAAE&#10;AQAADwAAAGRycy9kb3ducmV2LnhtbE2PMU/DMBCFdyT+g3VIbNROkFCUxulQlZFKLSxsTnxN0sbn&#10;yHba8O85WGA53dM7vftetVncKK4Y4uBJQ7ZSIJBabwfqNHy8vz4VIGIyZM3oCTV8YYRNfX9XmdL6&#10;Gx3wekyd4BCKpdHQpzSVUsa2R2fiyk9I7J18cCaxDJ20wdw43I0yV+pFOjMQf+jNhNse28txdhpO&#10;b/vLeTcf1LlTBX5mAZcm22v9+JCpNYiES/o7hh98RoeamRo/k41i1MBF0u9kLy8Klg0vzznIupL/&#10;4etvUEsDBBQAAAAIAIdO4kAe3m9V2AEAAKMDAAAOAAAAZHJzL2Uyb0RvYy54bWytU8GO0zAQvSPx&#10;D5bvNGmBpYqargTVIiQESAsf4DpOY8n2WGO3SfkA+ANOXLjzXf2OHTtNF5bLHrgk45nxzLw3z6vr&#10;wRp2UBg0uJrPZyVnyklotNvV/Mvnm2dLzkIUrhEGnKr5UQV+vX76ZNX7Si2gA9MoZFTEhar3Ne9i&#10;9FVRBNkpK8IMvHIUbAGtiHTEXdGg6Km6NcWiLK+KHrDxCFKFQN7NGOTniviYgtC2WqoNyL1VLo5V&#10;URkRCVLotA98nadtWyXjx7YNKjJTc0Ia85eakL1N32K9EtUOhe+0PI8gHjPCA0xWaEdNL6U2Igq2&#10;R/1PKaslQoA2ziTYYgSSGSEU8/IBN7ed8CpjIaqDv5Ae/l9Z+eHwCZluav6SMycsLfz04/vp5+/T&#10;r2/sKtHT+1BR1q2nvDi8hoFEM/kDORPqoUWb/oSHUZzIPV7IVUNkMl1aLpbLkkKSYvMXr54vMvvF&#10;/W2PIb5VYFkyao60vMypOLwPkSah1CklNXNwo43JCzTuLwclJk+RRh9HTFYctsMZzxaaI8GhV0B9&#10;OsCvnPWkgZo7kjxn5p0jipNcJgMnYzsZwkm6WPPI2Wi+iaOs9h71rstCSzOnzrS7PP1ZZ0kcf55z&#10;1v3bW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nrqqNEAAAAEAQAADwAAAAAAAAABACAAAAAi&#10;AAAAZHJzL2Rvd25yZXYueG1sUEsBAhQAFAAAAAgAh07iQB7eb1XYAQAAowMAAA4AAAAAAAAAAQAg&#10;AAAAIAEAAGRycy9lMm9Eb2MueG1sUEsFBgAAAAAGAAYAWQEAAGoFAAAAAA==&#10;">
              <v:fill on="f" focussize="0,0"/>
              <v:stroke on="f"/>
              <v:imagedata o:title=""/>
              <o:lock v:ext="edit" aspectratio="f"/>
              <v:textbox inset="0mm,0mm,0mm,0mm">
                <w:txbxContent>
                  <w:p w14:paraId="7830DB2D">
                    <w:pPr>
                      <w:pStyle w:val="31"/>
                      <w:rPr>
                        <w:rFonts w:hint="eastAsia" w:eastAsia="宋体"/>
                        <w:lang w:eastAsia="zh-CN"/>
                      </w:rPr>
                    </w:pPr>
                    <w:r>
                      <w:rPr>
                        <w:rFonts w:hint="eastAsia" w:ascii="宋体" w:hAnsi="宋体" w:eastAsia="宋体" w:cs="宋体"/>
                        <w:sz w:val="20"/>
                        <w:szCs w:val="20"/>
                        <w:lang w:eastAsia="zh-CN"/>
                      </w:rPr>
                      <w:fldChar w:fldCharType="begin"/>
                    </w:r>
                    <w:r>
                      <w:rPr>
                        <w:rFonts w:hint="eastAsia" w:ascii="宋体" w:hAnsi="宋体" w:eastAsia="宋体" w:cs="宋体"/>
                        <w:sz w:val="20"/>
                        <w:szCs w:val="20"/>
                        <w:lang w:eastAsia="zh-CN"/>
                      </w:rPr>
                      <w:instrText xml:space="preserve"> PAGE  \* MERGEFORMAT </w:instrText>
                    </w:r>
                    <w:r>
                      <w:rPr>
                        <w:rFonts w:hint="eastAsia" w:ascii="宋体" w:hAnsi="宋体" w:eastAsia="宋体" w:cs="宋体"/>
                        <w:sz w:val="20"/>
                        <w:szCs w:val="20"/>
                        <w:lang w:eastAsia="zh-CN"/>
                      </w:rPr>
                      <w:fldChar w:fldCharType="separate"/>
                    </w:r>
                    <w:r>
                      <w:rPr>
                        <w:rFonts w:hint="eastAsia" w:ascii="宋体" w:hAnsi="宋体" w:eastAsia="宋体" w:cs="宋体"/>
                        <w:sz w:val="20"/>
                        <w:szCs w:val="20"/>
                        <w:lang w:eastAsia="zh-CN"/>
                      </w:rPr>
                      <w:t>- 1 -</w:t>
                    </w:r>
                    <w:r>
                      <w:rPr>
                        <w:rFonts w:hint="eastAsia" w:ascii="宋体" w:hAnsi="宋体" w:eastAsia="宋体" w:cs="宋体"/>
                        <w:sz w:val="20"/>
                        <w:szCs w:val="20"/>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EB88">
    <w:pPr>
      <w:pStyle w:val="3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CAACC">
                          <w:pPr>
                            <w:pStyle w:val="31"/>
                            <w:jc w:val="center"/>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lang w:val="zh-CN"/>
                            </w:rPr>
                            <w:t>44</w:t>
                          </w:r>
                          <w:r>
                            <w:rPr>
                              <w:rFonts w:hint="eastAsia" w:ascii="宋体" w:hAnsi="宋体" w:eastAsia="宋体" w:cs="宋体"/>
                              <w:sz w:val="20"/>
                              <w:szCs w:val="20"/>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XDTKt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b/mzAlLAz9//3b+8ev88yt7&#10;m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1w0yrdAQAAvgMAAA4AAAAAAAAA&#10;AQAgAAAAHgEAAGRycy9lMm9Eb2MueG1sUEsFBgAAAAAGAAYAWQEAAG0FAAAAAA==&#10;">
              <v:fill on="f" focussize="0,0"/>
              <v:stroke on="f"/>
              <v:imagedata o:title=""/>
              <o:lock v:ext="edit" aspectratio="f"/>
              <v:textbox inset="0mm,0mm,0mm,0mm" style="mso-fit-shape-to-text:t;">
                <w:txbxContent>
                  <w:p w14:paraId="15ECAACC">
                    <w:pPr>
                      <w:pStyle w:val="31"/>
                      <w:jc w:val="center"/>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lang w:val="zh-CN"/>
                      </w:rPr>
                      <w:t>44</w:t>
                    </w:r>
                    <w:r>
                      <w:rPr>
                        <w:rFonts w:hint="eastAsia" w:ascii="宋体" w:hAnsi="宋体" w:eastAsia="宋体" w:cs="宋体"/>
                        <w:sz w:val="20"/>
                        <w:szCs w:val="2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E2C97">
    <w:pPr>
      <w:pStyle w:val="3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0EA097">
                          <w:pPr>
                            <w:pStyle w:val="31"/>
                            <w:rPr>
                              <w:rFonts w:hint="eastAsia" w:eastAsia="宋体"/>
                              <w:sz w:val="20"/>
                              <w:szCs w:val="20"/>
                              <w:lang w:eastAsia="zh-CN"/>
                            </w:rPr>
                          </w:pPr>
                          <w:r>
                            <w:rPr>
                              <w:rFonts w:hint="eastAsia" w:ascii="宋体" w:hAnsi="宋体" w:eastAsia="宋体" w:cs="宋体"/>
                              <w:sz w:val="20"/>
                              <w:szCs w:val="20"/>
                              <w:lang w:eastAsia="zh-CN"/>
                            </w:rPr>
                            <w:fldChar w:fldCharType="begin"/>
                          </w:r>
                          <w:r>
                            <w:rPr>
                              <w:rFonts w:hint="eastAsia" w:ascii="宋体" w:hAnsi="宋体" w:eastAsia="宋体" w:cs="宋体"/>
                              <w:sz w:val="20"/>
                              <w:szCs w:val="20"/>
                              <w:lang w:eastAsia="zh-CN"/>
                            </w:rPr>
                            <w:instrText xml:space="preserve"> PAGE  \* MERGEFORMAT </w:instrText>
                          </w:r>
                          <w:r>
                            <w:rPr>
                              <w:rFonts w:hint="eastAsia" w:ascii="宋体" w:hAnsi="宋体" w:eastAsia="宋体" w:cs="宋体"/>
                              <w:sz w:val="20"/>
                              <w:szCs w:val="20"/>
                              <w:lang w:eastAsia="zh-CN"/>
                            </w:rPr>
                            <w:fldChar w:fldCharType="separate"/>
                          </w:r>
                          <w:r>
                            <w:rPr>
                              <w:rFonts w:hint="eastAsia" w:ascii="宋体" w:hAnsi="宋体" w:eastAsia="宋体" w:cs="宋体"/>
                              <w:sz w:val="20"/>
                              <w:szCs w:val="20"/>
                              <w:lang w:eastAsia="zh-CN"/>
                            </w:rPr>
                            <w:t>- 49 -</w:t>
                          </w:r>
                          <w:r>
                            <w:rPr>
                              <w:rFonts w:hint="eastAsia" w:ascii="宋体" w:hAnsi="宋体" w:eastAsia="宋体" w:cs="宋体"/>
                              <w:sz w:val="20"/>
                              <w:szCs w:val="20"/>
                              <w:lang w:eastAsia="zh-CN"/>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tIxt4BAAC/AwAADgAAAGRycy9lMm9Eb2MueG1srVNNrtMwEN4jcQfL&#10;e5q0SKiKmj4B1UNICJAeHMB1nMaS/zTjNikHgBuwYsOec/UcjJ2kDx6bt2CTjGfG38z3zXhzM1jD&#10;TgpQe1fz5aLkTDnpG+0ONf/86fbZmjOMwjXCeKdqflbIb7ZPn2z6UKmV77xpFDACcVj1oeZdjKEq&#10;CpSdsgIXPihHwdaDFZGOcCgaED2hW1OsyvJF0XtoAnipEMm7G4N8QoTHAPq21VLtvDxa5eKICsqI&#10;SJSw0wH5NnfbtkrGD22LKjJTc2Ia85eKkL1P32K7EdUBROi0nFoQj2nhAScrtKOiV6idiIIdQf8D&#10;ZbUEj76NC+ltMRLJihCLZflAm7tOBJW5kNQYrqLj/4OV708fgemm5jR2JywN/PL92+XHr8vPr2z5&#10;POnTB6wo7S5QYhxe+YG2ZvYjORPtoQWb/kSIUZzUPV/VVUNkMl1ar9brkkKSYvOB8Iv76wEwvlHe&#10;smTUHGh8WVVxeodxTJ1TUjXnb7UxeYTG/eUgzOQpUu9jj8mKw36YCO19cyY+9A6oTufhC2c9bUHN&#10;HS09Z+atI5HTwswGzMZ+NoSTdLHmkbPRfB3HxToG0Icur1pqCsPLY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S0jG3gEAAL8DAAAOAAAAAAAA&#10;AAEAIAAAAB4BAABkcnMvZTJvRG9jLnhtbFBLBQYAAAAABgAGAFkBAABuBQAAAAA=&#10;">
              <v:fill on="f" focussize="0,0"/>
              <v:stroke on="f"/>
              <v:imagedata o:title=""/>
              <o:lock v:ext="edit" aspectratio="f"/>
              <v:textbox inset="0mm,0mm,0mm,0mm" style="mso-fit-shape-to-text:t;">
                <w:txbxContent>
                  <w:p w14:paraId="560EA097">
                    <w:pPr>
                      <w:pStyle w:val="31"/>
                      <w:rPr>
                        <w:rFonts w:hint="eastAsia" w:eastAsia="宋体"/>
                        <w:sz w:val="20"/>
                        <w:szCs w:val="20"/>
                        <w:lang w:eastAsia="zh-CN"/>
                      </w:rPr>
                    </w:pPr>
                    <w:r>
                      <w:rPr>
                        <w:rFonts w:hint="eastAsia" w:ascii="宋体" w:hAnsi="宋体" w:eastAsia="宋体" w:cs="宋体"/>
                        <w:sz w:val="20"/>
                        <w:szCs w:val="20"/>
                        <w:lang w:eastAsia="zh-CN"/>
                      </w:rPr>
                      <w:fldChar w:fldCharType="begin"/>
                    </w:r>
                    <w:r>
                      <w:rPr>
                        <w:rFonts w:hint="eastAsia" w:ascii="宋体" w:hAnsi="宋体" w:eastAsia="宋体" w:cs="宋体"/>
                        <w:sz w:val="20"/>
                        <w:szCs w:val="20"/>
                        <w:lang w:eastAsia="zh-CN"/>
                      </w:rPr>
                      <w:instrText xml:space="preserve"> PAGE  \* MERGEFORMAT </w:instrText>
                    </w:r>
                    <w:r>
                      <w:rPr>
                        <w:rFonts w:hint="eastAsia" w:ascii="宋体" w:hAnsi="宋体" w:eastAsia="宋体" w:cs="宋体"/>
                        <w:sz w:val="20"/>
                        <w:szCs w:val="20"/>
                        <w:lang w:eastAsia="zh-CN"/>
                      </w:rPr>
                      <w:fldChar w:fldCharType="separate"/>
                    </w:r>
                    <w:r>
                      <w:rPr>
                        <w:rFonts w:hint="eastAsia" w:ascii="宋体" w:hAnsi="宋体" w:eastAsia="宋体" w:cs="宋体"/>
                        <w:sz w:val="20"/>
                        <w:szCs w:val="20"/>
                        <w:lang w:eastAsia="zh-CN"/>
                      </w:rPr>
                      <w:t>- 49 -</w:t>
                    </w:r>
                    <w:r>
                      <w:rPr>
                        <w:rFonts w:hint="eastAsia" w:ascii="宋体" w:hAnsi="宋体" w:eastAsia="宋体" w:cs="宋体"/>
                        <w:sz w:val="20"/>
                        <w:szCs w:val="20"/>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FF86">
    <w:pPr>
      <w:pStyle w:val="3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9D0C22">
                          <w:pPr>
                            <w:pStyle w:val="31"/>
                            <w:jc w:val="center"/>
                            <w:rPr>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lang w:val="zh-CN"/>
                            </w:rPr>
                            <w:t>44</w:t>
                          </w:r>
                          <w:r>
                            <w:rPr>
                              <w:rFonts w:hint="eastAsia" w:ascii="宋体" w:hAnsi="宋体" w:eastAsia="宋体" w:cs="宋体"/>
                              <w:sz w:val="20"/>
                              <w:szCs w:val="20"/>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3D9D0C22">
                    <w:pPr>
                      <w:pStyle w:val="31"/>
                      <w:jc w:val="center"/>
                      <w:rPr>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lang w:val="zh-CN"/>
                      </w:rPr>
                      <w:t>44</w:t>
                    </w:r>
                    <w:r>
                      <w:rPr>
                        <w:rFonts w:hint="eastAsia" w:ascii="宋体" w:hAnsi="宋体" w:eastAsia="宋体" w:cs="宋体"/>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2F5D">
    <w:pPr>
      <w:pStyle w:val="32"/>
      <w:jc w:val="right"/>
      <w:rPr>
        <w:rFonts w:ascii="Cambria" w:hAnsi="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4C85">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8576A"/>
    <w:multiLevelType w:val="singleLevel"/>
    <w:tmpl w:val="AD88576A"/>
    <w:lvl w:ilvl="0" w:tentative="0">
      <w:start w:val="1"/>
      <w:numFmt w:val="decimal"/>
      <w:suff w:val="nothing"/>
      <w:lvlText w:val="%1)"/>
      <w:lvlJc w:val="left"/>
      <w:pPr>
        <w:ind w:left="0" w:firstLine="0"/>
      </w:pPr>
      <w:rPr>
        <w:rFonts w:hint="default"/>
      </w:rPr>
    </w:lvl>
  </w:abstractNum>
  <w:abstractNum w:abstractNumId="1">
    <w:nsid w:val="BF1C59CB"/>
    <w:multiLevelType w:val="singleLevel"/>
    <w:tmpl w:val="BF1C59CB"/>
    <w:lvl w:ilvl="0" w:tentative="0">
      <w:start w:val="1"/>
      <w:numFmt w:val="decimal"/>
      <w:lvlText w:val="%1."/>
      <w:lvlJc w:val="left"/>
      <w:pPr>
        <w:tabs>
          <w:tab w:val="left" w:pos="312"/>
        </w:tabs>
      </w:pPr>
    </w:lvl>
  </w:abstractNum>
  <w:abstractNum w:abstractNumId="2">
    <w:nsid w:val="CA3F7907"/>
    <w:multiLevelType w:val="singleLevel"/>
    <w:tmpl w:val="CA3F7907"/>
    <w:lvl w:ilvl="0" w:tentative="0">
      <w:start w:val="1"/>
      <w:numFmt w:val="decimal"/>
      <w:suff w:val="nothing"/>
      <w:lvlText w:val="%1、"/>
      <w:lvlJc w:val="left"/>
    </w:lvl>
  </w:abstractNum>
  <w:abstractNum w:abstractNumId="3">
    <w:nsid w:val="CC228B87"/>
    <w:multiLevelType w:val="singleLevel"/>
    <w:tmpl w:val="CC228B87"/>
    <w:lvl w:ilvl="0" w:tentative="0">
      <w:start w:val="13"/>
      <w:numFmt w:val="chineseCounting"/>
      <w:suff w:val="nothing"/>
      <w:lvlText w:val="（%1）"/>
      <w:lvlJc w:val="left"/>
      <w:rPr>
        <w:rFonts w:hint="eastAsia"/>
      </w:rPr>
    </w:lvl>
  </w:abstractNum>
  <w:abstractNum w:abstractNumId="4">
    <w:nsid w:val="E221749F"/>
    <w:multiLevelType w:val="singleLevel"/>
    <w:tmpl w:val="E221749F"/>
    <w:lvl w:ilvl="0" w:tentative="0">
      <w:start w:val="1"/>
      <w:numFmt w:val="decimal"/>
      <w:lvlText w:val="%1)"/>
      <w:lvlJc w:val="left"/>
      <w:pPr>
        <w:ind w:left="425" w:hanging="425"/>
      </w:pPr>
      <w:rPr>
        <w:rFonts w:hint="default"/>
      </w:rPr>
    </w:lvl>
  </w:abstractNum>
  <w:abstractNum w:abstractNumId="5">
    <w:nsid w:val="EB4BBFF7"/>
    <w:multiLevelType w:val="singleLevel"/>
    <w:tmpl w:val="EB4BBFF7"/>
    <w:lvl w:ilvl="0" w:tentative="0">
      <w:start w:val="5"/>
      <w:numFmt w:val="chineseCounting"/>
      <w:suff w:val="nothing"/>
      <w:lvlText w:val="%1、"/>
      <w:lvlJc w:val="left"/>
      <w:rPr>
        <w:rFonts w:hint="eastAsia"/>
      </w:rPr>
    </w:lvl>
  </w:abstractNum>
  <w:abstractNum w:abstractNumId="6">
    <w:nsid w:val="1EDE14A5"/>
    <w:multiLevelType w:val="singleLevel"/>
    <w:tmpl w:val="1EDE14A5"/>
    <w:lvl w:ilvl="0" w:tentative="0">
      <w:start w:val="5"/>
      <w:numFmt w:val="chineseCounting"/>
      <w:suff w:val="nothing"/>
      <w:lvlText w:val="%1、"/>
      <w:lvlJc w:val="left"/>
      <w:rPr>
        <w:rFonts w:hint="eastAsia"/>
      </w:rPr>
    </w:lvl>
  </w:abstractNum>
  <w:abstractNum w:abstractNumId="7">
    <w:nsid w:val="2361773E"/>
    <w:multiLevelType w:val="singleLevel"/>
    <w:tmpl w:val="2361773E"/>
    <w:lvl w:ilvl="0" w:tentative="0">
      <w:start w:val="1"/>
      <w:numFmt w:val="decimal"/>
      <w:suff w:val="nothing"/>
      <w:lvlText w:val="%1）"/>
      <w:lvlJc w:val="left"/>
      <w:pPr>
        <w:ind w:left="0" w:firstLine="0"/>
      </w:pPr>
      <w:rPr>
        <w:rFonts w:hint="default"/>
      </w:rPr>
    </w:lvl>
  </w:abstractNum>
  <w:abstractNum w:abstractNumId="8">
    <w:nsid w:val="299ED022"/>
    <w:multiLevelType w:val="singleLevel"/>
    <w:tmpl w:val="299ED022"/>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936326D"/>
    <w:multiLevelType w:val="singleLevel"/>
    <w:tmpl w:val="5936326D"/>
    <w:lvl w:ilvl="0" w:tentative="0">
      <w:start w:val="1"/>
      <w:numFmt w:val="decimal"/>
      <w:pStyle w:val="19"/>
      <w:lvlText w:val="%1."/>
      <w:lvlJc w:val="left"/>
      <w:pPr>
        <w:tabs>
          <w:tab w:val="left" w:pos="780"/>
        </w:tabs>
        <w:ind w:left="780" w:hanging="360"/>
      </w:pPr>
    </w:lvl>
  </w:abstractNum>
  <w:num w:numId="1">
    <w:abstractNumId w:val="11"/>
  </w:num>
  <w:num w:numId="2">
    <w:abstractNumId w:val="6"/>
  </w:num>
  <w:num w:numId="3">
    <w:abstractNumId w:val="8"/>
  </w:num>
  <w:num w:numId="4">
    <w:abstractNumId w:val="1"/>
  </w:num>
  <w:num w:numId="5">
    <w:abstractNumId w:val="0"/>
  </w:num>
  <w:num w:numId="6">
    <w:abstractNumId w:val="4"/>
  </w:num>
  <w:num w:numId="7">
    <w:abstractNumId w:val="7"/>
  </w:num>
  <w:num w:numId="8">
    <w:abstractNumId w:val="5"/>
  </w:num>
  <w:num w:numId="9">
    <w:abstractNumId w:val="3"/>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N2RhNDQyNjYzOThhYmQwODU2Mjc5YTdlNGIyNmYifQ=="/>
  </w:docVars>
  <w:rsids>
    <w:rsidRoot w:val="009B2FD1"/>
    <w:rsid w:val="0000630A"/>
    <w:rsid w:val="000149CF"/>
    <w:rsid w:val="00022BF6"/>
    <w:rsid w:val="000234AB"/>
    <w:rsid w:val="00023511"/>
    <w:rsid w:val="0003726D"/>
    <w:rsid w:val="000438AD"/>
    <w:rsid w:val="00046DF9"/>
    <w:rsid w:val="000509CC"/>
    <w:rsid w:val="00057EC0"/>
    <w:rsid w:val="0006736F"/>
    <w:rsid w:val="000734FC"/>
    <w:rsid w:val="000852C4"/>
    <w:rsid w:val="00087DBC"/>
    <w:rsid w:val="00092339"/>
    <w:rsid w:val="000A2886"/>
    <w:rsid w:val="000A3C41"/>
    <w:rsid w:val="000C61D7"/>
    <w:rsid w:val="000D08B9"/>
    <w:rsid w:val="000F7E06"/>
    <w:rsid w:val="00104E74"/>
    <w:rsid w:val="00115884"/>
    <w:rsid w:val="00115A07"/>
    <w:rsid w:val="00117260"/>
    <w:rsid w:val="00120160"/>
    <w:rsid w:val="00124106"/>
    <w:rsid w:val="00126235"/>
    <w:rsid w:val="0013042C"/>
    <w:rsid w:val="001420BC"/>
    <w:rsid w:val="00143933"/>
    <w:rsid w:val="00147169"/>
    <w:rsid w:val="00165FD0"/>
    <w:rsid w:val="0016718B"/>
    <w:rsid w:val="00172DF7"/>
    <w:rsid w:val="001731F0"/>
    <w:rsid w:val="00182539"/>
    <w:rsid w:val="00183570"/>
    <w:rsid w:val="00186686"/>
    <w:rsid w:val="0019010D"/>
    <w:rsid w:val="001B5D53"/>
    <w:rsid w:val="001C46D2"/>
    <w:rsid w:val="001C4C83"/>
    <w:rsid w:val="001E0A39"/>
    <w:rsid w:val="001E407D"/>
    <w:rsid w:val="001E78A7"/>
    <w:rsid w:val="001E7DE9"/>
    <w:rsid w:val="001F5BD9"/>
    <w:rsid w:val="00203502"/>
    <w:rsid w:val="00206303"/>
    <w:rsid w:val="00206B71"/>
    <w:rsid w:val="00213D36"/>
    <w:rsid w:val="00215FF3"/>
    <w:rsid w:val="00225A24"/>
    <w:rsid w:val="00234E0C"/>
    <w:rsid w:val="00237F32"/>
    <w:rsid w:val="00253748"/>
    <w:rsid w:val="00257686"/>
    <w:rsid w:val="00272218"/>
    <w:rsid w:val="00272C88"/>
    <w:rsid w:val="0028149B"/>
    <w:rsid w:val="00281CDF"/>
    <w:rsid w:val="00281D9B"/>
    <w:rsid w:val="0029576A"/>
    <w:rsid w:val="002A353E"/>
    <w:rsid w:val="002A5F9D"/>
    <w:rsid w:val="002A7513"/>
    <w:rsid w:val="002B26BE"/>
    <w:rsid w:val="002B520D"/>
    <w:rsid w:val="002B6DF6"/>
    <w:rsid w:val="002B71CF"/>
    <w:rsid w:val="002B7C7B"/>
    <w:rsid w:val="002C2F4B"/>
    <w:rsid w:val="002C39BC"/>
    <w:rsid w:val="002D5BB5"/>
    <w:rsid w:val="002E581E"/>
    <w:rsid w:val="0030011F"/>
    <w:rsid w:val="00300E5B"/>
    <w:rsid w:val="00300EAE"/>
    <w:rsid w:val="003057BF"/>
    <w:rsid w:val="003115F4"/>
    <w:rsid w:val="0031294B"/>
    <w:rsid w:val="00314887"/>
    <w:rsid w:val="00320400"/>
    <w:rsid w:val="00321142"/>
    <w:rsid w:val="00322479"/>
    <w:rsid w:val="00327693"/>
    <w:rsid w:val="003334E8"/>
    <w:rsid w:val="00347881"/>
    <w:rsid w:val="00350F8B"/>
    <w:rsid w:val="0035447D"/>
    <w:rsid w:val="00355FDF"/>
    <w:rsid w:val="00360FF9"/>
    <w:rsid w:val="00363D30"/>
    <w:rsid w:val="003663E8"/>
    <w:rsid w:val="0037461A"/>
    <w:rsid w:val="00380083"/>
    <w:rsid w:val="00390C7D"/>
    <w:rsid w:val="003D3CBA"/>
    <w:rsid w:val="003D5615"/>
    <w:rsid w:val="003E53A8"/>
    <w:rsid w:val="003E6D9E"/>
    <w:rsid w:val="003E773D"/>
    <w:rsid w:val="003F4A24"/>
    <w:rsid w:val="00400D91"/>
    <w:rsid w:val="00404F6A"/>
    <w:rsid w:val="00405113"/>
    <w:rsid w:val="00411968"/>
    <w:rsid w:val="0041341E"/>
    <w:rsid w:val="004147B7"/>
    <w:rsid w:val="00422884"/>
    <w:rsid w:val="00424085"/>
    <w:rsid w:val="00436A53"/>
    <w:rsid w:val="00446A55"/>
    <w:rsid w:val="00480BF2"/>
    <w:rsid w:val="00492406"/>
    <w:rsid w:val="00497407"/>
    <w:rsid w:val="004B0124"/>
    <w:rsid w:val="004C505A"/>
    <w:rsid w:val="004D5FAC"/>
    <w:rsid w:val="004D67DD"/>
    <w:rsid w:val="004D6911"/>
    <w:rsid w:val="004E7D12"/>
    <w:rsid w:val="004F718B"/>
    <w:rsid w:val="00511D0A"/>
    <w:rsid w:val="00520443"/>
    <w:rsid w:val="00520B42"/>
    <w:rsid w:val="005240A3"/>
    <w:rsid w:val="00541368"/>
    <w:rsid w:val="00553097"/>
    <w:rsid w:val="00557930"/>
    <w:rsid w:val="00563974"/>
    <w:rsid w:val="0056551F"/>
    <w:rsid w:val="00567403"/>
    <w:rsid w:val="00570823"/>
    <w:rsid w:val="00571710"/>
    <w:rsid w:val="005745EF"/>
    <w:rsid w:val="00580B4B"/>
    <w:rsid w:val="00584885"/>
    <w:rsid w:val="005929C9"/>
    <w:rsid w:val="005A7215"/>
    <w:rsid w:val="005B46C6"/>
    <w:rsid w:val="005B6D5A"/>
    <w:rsid w:val="005B76BD"/>
    <w:rsid w:val="005C1F10"/>
    <w:rsid w:val="005D7CB1"/>
    <w:rsid w:val="005E0B52"/>
    <w:rsid w:val="005E1367"/>
    <w:rsid w:val="005E42BF"/>
    <w:rsid w:val="005E65F7"/>
    <w:rsid w:val="005E7FC1"/>
    <w:rsid w:val="00601013"/>
    <w:rsid w:val="006014C9"/>
    <w:rsid w:val="00603384"/>
    <w:rsid w:val="0061202F"/>
    <w:rsid w:val="00625BC3"/>
    <w:rsid w:val="0063258D"/>
    <w:rsid w:val="006325DD"/>
    <w:rsid w:val="006334EA"/>
    <w:rsid w:val="00634913"/>
    <w:rsid w:val="00634AE8"/>
    <w:rsid w:val="00634FB3"/>
    <w:rsid w:val="00636D30"/>
    <w:rsid w:val="006477D1"/>
    <w:rsid w:val="00656BB0"/>
    <w:rsid w:val="00662390"/>
    <w:rsid w:val="006778C5"/>
    <w:rsid w:val="00685647"/>
    <w:rsid w:val="0068672C"/>
    <w:rsid w:val="006908A0"/>
    <w:rsid w:val="006A23F4"/>
    <w:rsid w:val="006A54B4"/>
    <w:rsid w:val="006B38AB"/>
    <w:rsid w:val="006C392C"/>
    <w:rsid w:val="006C41AF"/>
    <w:rsid w:val="006D312A"/>
    <w:rsid w:val="006D3567"/>
    <w:rsid w:val="006D7614"/>
    <w:rsid w:val="006D7D46"/>
    <w:rsid w:val="006F3B8B"/>
    <w:rsid w:val="006F3D64"/>
    <w:rsid w:val="00707339"/>
    <w:rsid w:val="007109FC"/>
    <w:rsid w:val="0072556C"/>
    <w:rsid w:val="00726B9C"/>
    <w:rsid w:val="007322F0"/>
    <w:rsid w:val="0073231B"/>
    <w:rsid w:val="00734D92"/>
    <w:rsid w:val="00737B0F"/>
    <w:rsid w:val="00762289"/>
    <w:rsid w:val="0076400F"/>
    <w:rsid w:val="00764B84"/>
    <w:rsid w:val="00766EE8"/>
    <w:rsid w:val="00785414"/>
    <w:rsid w:val="00787831"/>
    <w:rsid w:val="00791DAE"/>
    <w:rsid w:val="007A3D88"/>
    <w:rsid w:val="007B04C9"/>
    <w:rsid w:val="007B266C"/>
    <w:rsid w:val="007C0400"/>
    <w:rsid w:val="007C6E89"/>
    <w:rsid w:val="007E170A"/>
    <w:rsid w:val="007E4425"/>
    <w:rsid w:val="007E7BC7"/>
    <w:rsid w:val="007F3E53"/>
    <w:rsid w:val="007F50DF"/>
    <w:rsid w:val="007F576D"/>
    <w:rsid w:val="007F7B72"/>
    <w:rsid w:val="00803423"/>
    <w:rsid w:val="00806255"/>
    <w:rsid w:val="00814B94"/>
    <w:rsid w:val="0081580B"/>
    <w:rsid w:val="00820848"/>
    <w:rsid w:val="00825CDE"/>
    <w:rsid w:val="00831361"/>
    <w:rsid w:val="0083472F"/>
    <w:rsid w:val="008348F3"/>
    <w:rsid w:val="00836B0A"/>
    <w:rsid w:val="008410C6"/>
    <w:rsid w:val="0084361F"/>
    <w:rsid w:val="0085436C"/>
    <w:rsid w:val="00857D8C"/>
    <w:rsid w:val="00860B88"/>
    <w:rsid w:val="00865A00"/>
    <w:rsid w:val="00870DF0"/>
    <w:rsid w:val="00876C02"/>
    <w:rsid w:val="00892246"/>
    <w:rsid w:val="008938DE"/>
    <w:rsid w:val="00894CDC"/>
    <w:rsid w:val="008A0B2A"/>
    <w:rsid w:val="008A6DD7"/>
    <w:rsid w:val="008C0B2A"/>
    <w:rsid w:val="008C48BB"/>
    <w:rsid w:val="008F2E95"/>
    <w:rsid w:val="008F46EC"/>
    <w:rsid w:val="00905F05"/>
    <w:rsid w:val="00911C14"/>
    <w:rsid w:val="00927656"/>
    <w:rsid w:val="00932F01"/>
    <w:rsid w:val="00944510"/>
    <w:rsid w:val="00947D5C"/>
    <w:rsid w:val="00952375"/>
    <w:rsid w:val="00953106"/>
    <w:rsid w:val="009602C8"/>
    <w:rsid w:val="009616F8"/>
    <w:rsid w:val="00962617"/>
    <w:rsid w:val="009639F6"/>
    <w:rsid w:val="00973119"/>
    <w:rsid w:val="00991653"/>
    <w:rsid w:val="00991BC5"/>
    <w:rsid w:val="0099587D"/>
    <w:rsid w:val="009A0835"/>
    <w:rsid w:val="009A5456"/>
    <w:rsid w:val="009A5BC8"/>
    <w:rsid w:val="009A7E6F"/>
    <w:rsid w:val="009B2FD1"/>
    <w:rsid w:val="009B5D49"/>
    <w:rsid w:val="009B6EC1"/>
    <w:rsid w:val="009B79F8"/>
    <w:rsid w:val="009C07C5"/>
    <w:rsid w:val="009D308E"/>
    <w:rsid w:val="009E3722"/>
    <w:rsid w:val="009E3CD3"/>
    <w:rsid w:val="009E7E82"/>
    <w:rsid w:val="00A10308"/>
    <w:rsid w:val="00A1196F"/>
    <w:rsid w:val="00A1334E"/>
    <w:rsid w:val="00A17097"/>
    <w:rsid w:val="00A325B1"/>
    <w:rsid w:val="00A33AFF"/>
    <w:rsid w:val="00A35456"/>
    <w:rsid w:val="00A41FC3"/>
    <w:rsid w:val="00A55CC5"/>
    <w:rsid w:val="00A55E96"/>
    <w:rsid w:val="00A66D72"/>
    <w:rsid w:val="00A7643F"/>
    <w:rsid w:val="00A76D16"/>
    <w:rsid w:val="00A77087"/>
    <w:rsid w:val="00A91DDF"/>
    <w:rsid w:val="00AA3AD2"/>
    <w:rsid w:val="00AB7C07"/>
    <w:rsid w:val="00AC5896"/>
    <w:rsid w:val="00AC75D0"/>
    <w:rsid w:val="00AD788E"/>
    <w:rsid w:val="00AE05B2"/>
    <w:rsid w:val="00AF395F"/>
    <w:rsid w:val="00AF7B47"/>
    <w:rsid w:val="00B00C8E"/>
    <w:rsid w:val="00B16FDC"/>
    <w:rsid w:val="00B17631"/>
    <w:rsid w:val="00B17763"/>
    <w:rsid w:val="00B32F16"/>
    <w:rsid w:val="00B35B4D"/>
    <w:rsid w:val="00B35EC2"/>
    <w:rsid w:val="00B36516"/>
    <w:rsid w:val="00B42BEC"/>
    <w:rsid w:val="00B468F0"/>
    <w:rsid w:val="00B46909"/>
    <w:rsid w:val="00B540D6"/>
    <w:rsid w:val="00B753BB"/>
    <w:rsid w:val="00B76522"/>
    <w:rsid w:val="00B77488"/>
    <w:rsid w:val="00B80EEF"/>
    <w:rsid w:val="00B8408B"/>
    <w:rsid w:val="00B94E0F"/>
    <w:rsid w:val="00BA4BDF"/>
    <w:rsid w:val="00BC2A08"/>
    <w:rsid w:val="00BC5C6C"/>
    <w:rsid w:val="00BC7788"/>
    <w:rsid w:val="00BD56D9"/>
    <w:rsid w:val="00BF5B0D"/>
    <w:rsid w:val="00BF61F9"/>
    <w:rsid w:val="00BF6ADC"/>
    <w:rsid w:val="00C02D3A"/>
    <w:rsid w:val="00C03F51"/>
    <w:rsid w:val="00C0787A"/>
    <w:rsid w:val="00C07A52"/>
    <w:rsid w:val="00C12B3C"/>
    <w:rsid w:val="00C12F22"/>
    <w:rsid w:val="00C25157"/>
    <w:rsid w:val="00C2587F"/>
    <w:rsid w:val="00C27E12"/>
    <w:rsid w:val="00C30604"/>
    <w:rsid w:val="00C333B3"/>
    <w:rsid w:val="00C45B59"/>
    <w:rsid w:val="00C467F6"/>
    <w:rsid w:val="00C51C57"/>
    <w:rsid w:val="00C56827"/>
    <w:rsid w:val="00C578D8"/>
    <w:rsid w:val="00C61AFE"/>
    <w:rsid w:val="00C71BB3"/>
    <w:rsid w:val="00C74997"/>
    <w:rsid w:val="00C80C3E"/>
    <w:rsid w:val="00C8133C"/>
    <w:rsid w:val="00C86894"/>
    <w:rsid w:val="00C92DCB"/>
    <w:rsid w:val="00CA4E7B"/>
    <w:rsid w:val="00CA537E"/>
    <w:rsid w:val="00CA56DF"/>
    <w:rsid w:val="00CB6BB3"/>
    <w:rsid w:val="00CC2C43"/>
    <w:rsid w:val="00CC3D0A"/>
    <w:rsid w:val="00CC7FCB"/>
    <w:rsid w:val="00CD6AE1"/>
    <w:rsid w:val="00CE57B0"/>
    <w:rsid w:val="00CF01B2"/>
    <w:rsid w:val="00CF2ED4"/>
    <w:rsid w:val="00CF5E0E"/>
    <w:rsid w:val="00D05745"/>
    <w:rsid w:val="00D109BA"/>
    <w:rsid w:val="00D2335E"/>
    <w:rsid w:val="00D27350"/>
    <w:rsid w:val="00D377D7"/>
    <w:rsid w:val="00D40881"/>
    <w:rsid w:val="00D41B6A"/>
    <w:rsid w:val="00D44F02"/>
    <w:rsid w:val="00D47165"/>
    <w:rsid w:val="00D6313F"/>
    <w:rsid w:val="00D655C5"/>
    <w:rsid w:val="00D67485"/>
    <w:rsid w:val="00D72379"/>
    <w:rsid w:val="00D727D0"/>
    <w:rsid w:val="00D74242"/>
    <w:rsid w:val="00D75450"/>
    <w:rsid w:val="00D80A2D"/>
    <w:rsid w:val="00D82A00"/>
    <w:rsid w:val="00D87C21"/>
    <w:rsid w:val="00D95E3C"/>
    <w:rsid w:val="00DA4FFE"/>
    <w:rsid w:val="00DA55C9"/>
    <w:rsid w:val="00DB6386"/>
    <w:rsid w:val="00DD2C59"/>
    <w:rsid w:val="00DD2E2B"/>
    <w:rsid w:val="00DD4B2B"/>
    <w:rsid w:val="00DE07D1"/>
    <w:rsid w:val="00E045F5"/>
    <w:rsid w:val="00E10E9E"/>
    <w:rsid w:val="00E12FE9"/>
    <w:rsid w:val="00E15F79"/>
    <w:rsid w:val="00E2286B"/>
    <w:rsid w:val="00E24516"/>
    <w:rsid w:val="00E35E80"/>
    <w:rsid w:val="00E40A2E"/>
    <w:rsid w:val="00E6544C"/>
    <w:rsid w:val="00E66068"/>
    <w:rsid w:val="00E820BC"/>
    <w:rsid w:val="00E979C6"/>
    <w:rsid w:val="00EA3535"/>
    <w:rsid w:val="00EC013B"/>
    <w:rsid w:val="00EC12C6"/>
    <w:rsid w:val="00EC5ABD"/>
    <w:rsid w:val="00EC61D4"/>
    <w:rsid w:val="00ED0B82"/>
    <w:rsid w:val="00EE1D31"/>
    <w:rsid w:val="00EE609A"/>
    <w:rsid w:val="00EF2EF9"/>
    <w:rsid w:val="00EF4834"/>
    <w:rsid w:val="00F01293"/>
    <w:rsid w:val="00F06413"/>
    <w:rsid w:val="00F067B7"/>
    <w:rsid w:val="00F16AF7"/>
    <w:rsid w:val="00F23C44"/>
    <w:rsid w:val="00F30D84"/>
    <w:rsid w:val="00F32739"/>
    <w:rsid w:val="00F374A8"/>
    <w:rsid w:val="00F4492F"/>
    <w:rsid w:val="00F62820"/>
    <w:rsid w:val="00F6665C"/>
    <w:rsid w:val="00F66990"/>
    <w:rsid w:val="00F66E3E"/>
    <w:rsid w:val="00F70FC0"/>
    <w:rsid w:val="00F730A7"/>
    <w:rsid w:val="00F85518"/>
    <w:rsid w:val="00F91ADF"/>
    <w:rsid w:val="00F94E86"/>
    <w:rsid w:val="00FA03C1"/>
    <w:rsid w:val="00FA2CEE"/>
    <w:rsid w:val="00FA4576"/>
    <w:rsid w:val="00FB0236"/>
    <w:rsid w:val="00FB2100"/>
    <w:rsid w:val="00FB2DC2"/>
    <w:rsid w:val="00FB5B2B"/>
    <w:rsid w:val="00FC0C7F"/>
    <w:rsid w:val="00FC13B5"/>
    <w:rsid w:val="00FC632B"/>
    <w:rsid w:val="00FD0007"/>
    <w:rsid w:val="00FE1B76"/>
    <w:rsid w:val="00FE7221"/>
    <w:rsid w:val="016B028A"/>
    <w:rsid w:val="019F504B"/>
    <w:rsid w:val="01B44563"/>
    <w:rsid w:val="01F8013A"/>
    <w:rsid w:val="020276B3"/>
    <w:rsid w:val="02132E29"/>
    <w:rsid w:val="021E31EF"/>
    <w:rsid w:val="023C613F"/>
    <w:rsid w:val="02675051"/>
    <w:rsid w:val="027200E4"/>
    <w:rsid w:val="02AA5B5B"/>
    <w:rsid w:val="02BC5FA8"/>
    <w:rsid w:val="02C02942"/>
    <w:rsid w:val="035A674C"/>
    <w:rsid w:val="03676D5E"/>
    <w:rsid w:val="038B7C42"/>
    <w:rsid w:val="045808C4"/>
    <w:rsid w:val="04812584"/>
    <w:rsid w:val="04B02BAB"/>
    <w:rsid w:val="05036675"/>
    <w:rsid w:val="05570F87"/>
    <w:rsid w:val="059C4631"/>
    <w:rsid w:val="05BB7AED"/>
    <w:rsid w:val="05D35692"/>
    <w:rsid w:val="06E22E4F"/>
    <w:rsid w:val="075D5FCD"/>
    <w:rsid w:val="07752148"/>
    <w:rsid w:val="079241D0"/>
    <w:rsid w:val="083125D5"/>
    <w:rsid w:val="084F7D2E"/>
    <w:rsid w:val="088F1E72"/>
    <w:rsid w:val="08AF1E5E"/>
    <w:rsid w:val="08B17BE1"/>
    <w:rsid w:val="09213EF8"/>
    <w:rsid w:val="092E6247"/>
    <w:rsid w:val="093421ED"/>
    <w:rsid w:val="093C394F"/>
    <w:rsid w:val="09652515"/>
    <w:rsid w:val="099459D3"/>
    <w:rsid w:val="09A6526C"/>
    <w:rsid w:val="09DC6722"/>
    <w:rsid w:val="09E50D33"/>
    <w:rsid w:val="0A0D300D"/>
    <w:rsid w:val="0A1A6D9E"/>
    <w:rsid w:val="0A4229E2"/>
    <w:rsid w:val="0A5A23F1"/>
    <w:rsid w:val="0AD07B64"/>
    <w:rsid w:val="0AD73E46"/>
    <w:rsid w:val="0AE337B0"/>
    <w:rsid w:val="0BBD596A"/>
    <w:rsid w:val="0BCB312B"/>
    <w:rsid w:val="0BF53859"/>
    <w:rsid w:val="0C251DD1"/>
    <w:rsid w:val="0C4B67B8"/>
    <w:rsid w:val="0C736058"/>
    <w:rsid w:val="0CC73B09"/>
    <w:rsid w:val="0D7A18C8"/>
    <w:rsid w:val="0D895141"/>
    <w:rsid w:val="0DAD15D4"/>
    <w:rsid w:val="0DBA7C84"/>
    <w:rsid w:val="0DCA11DB"/>
    <w:rsid w:val="0DD472C1"/>
    <w:rsid w:val="0DDD7427"/>
    <w:rsid w:val="0DED6FC6"/>
    <w:rsid w:val="0E450D67"/>
    <w:rsid w:val="0E576912"/>
    <w:rsid w:val="0E660D83"/>
    <w:rsid w:val="0EA275E0"/>
    <w:rsid w:val="0EF45C94"/>
    <w:rsid w:val="0F2904D1"/>
    <w:rsid w:val="0F301EBB"/>
    <w:rsid w:val="0F475A58"/>
    <w:rsid w:val="0FA247D7"/>
    <w:rsid w:val="101B30D5"/>
    <w:rsid w:val="102278DA"/>
    <w:rsid w:val="102E3A4B"/>
    <w:rsid w:val="1037627A"/>
    <w:rsid w:val="10BC2801"/>
    <w:rsid w:val="10BE3B1B"/>
    <w:rsid w:val="10EA0017"/>
    <w:rsid w:val="10F07EA3"/>
    <w:rsid w:val="10F56F57"/>
    <w:rsid w:val="1127060C"/>
    <w:rsid w:val="11593659"/>
    <w:rsid w:val="116B169E"/>
    <w:rsid w:val="118234A7"/>
    <w:rsid w:val="11B87C79"/>
    <w:rsid w:val="122D652B"/>
    <w:rsid w:val="124B461D"/>
    <w:rsid w:val="127E0645"/>
    <w:rsid w:val="12935895"/>
    <w:rsid w:val="12AD1942"/>
    <w:rsid w:val="12AD1F38"/>
    <w:rsid w:val="12AD2758"/>
    <w:rsid w:val="12E64376"/>
    <w:rsid w:val="136D6B5F"/>
    <w:rsid w:val="13C73ABF"/>
    <w:rsid w:val="143D2883"/>
    <w:rsid w:val="145433F2"/>
    <w:rsid w:val="15715ED4"/>
    <w:rsid w:val="15AB7EAE"/>
    <w:rsid w:val="15CF4134"/>
    <w:rsid w:val="15F420F4"/>
    <w:rsid w:val="161D22FA"/>
    <w:rsid w:val="162B554C"/>
    <w:rsid w:val="164134C1"/>
    <w:rsid w:val="16525025"/>
    <w:rsid w:val="166D24D6"/>
    <w:rsid w:val="168B120E"/>
    <w:rsid w:val="16C8677F"/>
    <w:rsid w:val="16F837E0"/>
    <w:rsid w:val="17085388"/>
    <w:rsid w:val="17271DC9"/>
    <w:rsid w:val="1744092D"/>
    <w:rsid w:val="17573694"/>
    <w:rsid w:val="17603273"/>
    <w:rsid w:val="17782188"/>
    <w:rsid w:val="17B52DCE"/>
    <w:rsid w:val="185865A9"/>
    <w:rsid w:val="18961D9E"/>
    <w:rsid w:val="18AE2D1B"/>
    <w:rsid w:val="18EB436F"/>
    <w:rsid w:val="19497CB5"/>
    <w:rsid w:val="19507F7C"/>
    <w:rsid w:val="1951541B"/>
    <w:rsid w:val="19733DFF"/>
    <w:rsid w:val="1A065F4C"/>
    <w:rsid w:val="1A237AD7"/>
    <w:rsid w:val="1A260048"/>
    <w:rsid w:val="1A2C756F"/>
    <w:rsid w:val="1A4911AC"/>
    <w:rsid w:val="1A5B6D83"/>
    <w:rsid w:val="1A6155E2"/>
    <w:rsid w:val="1A8A506F"/>
    <w:rsid w:val="1A9E4B82"/>
    <w:rsid w:val="1AA70868"/>
    <w:rsid w:val="1AF27E7F"/>
    <w:rsid w:val="1B0518B7"/>
    <w:rsid w:val="1B4F6747"/>
    <w:rsid w:val="1B614641"/>
    <w:rsid w:val="1B9049E7"/>
    <w:rsid w:val="1BDB5F0F"/>
    <w:rsid w:val="1C170EAE"/>
    <w:rsid w:val="1C3C146B"/>
    <w:rsid w:val="1C703B03"/>
    <w:rsid w:val="1C7E7635"/>
    <w:rsid w:val="1D4576F2"/>
    <w:rsid w:val="1D477216"/>
    <w:rsid w:val="1DC03CBD"/>
    <w:rsid w:val="1E403DA8"/>
    <w:rsid w:val="1E923403"/>
    <w:rsid w:val="1E956AF1"/>
    <w:rsid w:val="1EB83FF3"/>
    <w:rsid w:val="1EE76302"/>
    <w:rsid w:val="1F04732E"/>
    <w:rsid w:val="1F0B50D6"/>
    <w:rsid w:val="1FE02EB8"/>
    <w:rsid w:val="1FE35792"/>
    <w:rsid w:val="1FE90FBA"/>
    <w:rsid w:val="201773A1"/>
    <w:rsid w:val="20856270"/>
    <w:rsid w:val="208C0358"/>
    <w:rsid w:val="20B90EBB"/>
    <w:rsid w:val="21143BB6"/>
    <w:rsid w:val="21493B06"/>
    <w:rsid w:val="216D3D0B"/>
    <w:rsid w:val="218E3929"/>
    <w:rsid w:val="21A14F3F"/>
    <w:rsid w:val="21E9500B"/>
    <w:rsid w:val="221E5185"/>
    <w:rsid w:val="22435C5D"/>
    <w:rsid w:val="229328E9"/>
    <w:rsid w:val="22AC11DB"/>
    <w:rsid w:val="22B660C8"/>
    <w:rsid w:val="22E8786C"/>
    <w:rsid w:val="23153539"/>
    <w:rsid w:val="231655BE"/>
    <w:rsid w:val="237967D6"/>
    <w:rsid w:val="2394030B"/>
    <w:rsid w:val="23E017A3"/>
    <w:rsid w:val="23FB2FB1"/>
    <w:rsid w:val="24127EF7"/>
    <w:rsid w:val="24CA4F47"/>
    <w:rsid w:val="25107DA6"/>
    <w:rsid w:val="253F667F"/>
    <w:rsid w:val="254B2064"/>
    <w:rsid w:val="25805AF8"/>
    <w:rsid w:val="25CC12FF"/>
    <w:rsid w:val="25E16AC8"/>
    <w:rsid w:val="26352571"/>
    <w:rsid w:val="267C6279"/>
    <w:rsid w:val="269D29DA"/>
    <w:rsid w:val="26A225AB"/>
    <w:rsid w:val="26D8626B"/>
    <w:rsid w:val="2717585D"/>
    <w:rsid w:val="276329B0"/>
    <w:rsid w:val="27693D59"/>
    <w:rsid w:val="2787363E"/>
    <w:rsid w:val="27A02A09"/>
    <w:rsid w:val="27A550CB"/>
    <w:rsid w:val="27E41B7B"/>
    <w:rsid w:val="282F247A"/>
    <w:rsid w:val="284B5E50"/>
    <w:rsid w:val="28594296"/>
    <w:rsid w:val="28815A1F"/>
    <w:rsid w:val="289542F3"/>
    <w:rsid w:val="28DA2879"/>
    <w:rsid w:val="299C6393"/>
    <w:rsid w:val="29C3475E"/>
    <w:rsid w:val="29DD613A"/>
    <w:rsid w:val="2A520064"/>
    <w:rsid w:val="2A5672AC"/>
    <w:rsid w:val="2A6D05C7"/>
    <w:rsid w:val="2A924768"/>
    <w:rsid w:val="2B3E6082"/>
    <w:rsid w:val="2B781378"/>
    <w:rsid w:val="2B7B7B24"/>
    <w:rsid w:val="2B884FB4"/>
    <w:rsid w:val="2B9068BD"/>
    <w:rsid w:val="2BE51E7D"/>
    <w:rsid w:val="2C233BF1"/>
    <w:rsid w:val="2C3409C4"/>
    <w:rsid w:val="2C564C00"/>
    <w:rsid w:val="2C690AD0"/>
    <w:rsid w:val="2C933AD8"/>
    <w:rsid w:val="2C946B38"/>
    <w:rsid w:val="2CB2582C"/>
    <w:rsid w:val="2CBB1CB8"/>
    <w:rsid w:val="2CE309F5"/>
    <w:rsid w:val="2CEA4111"/>
    <w:rsid w:val="2D0F18B2"/>
    <w:rsid w:val="2D2D2B11"/>
    <w:rsid w:val="2D305254"/>
    <w:rsid w:val="2D666547"/>
    <w:rsid w:val="2D676FFD"/>
    <w:rsid w:val="2D7D056F"/>
    <w:rsid w:val="2DD9477B"/>
    <w:rsid w:val="2E253040"/>
    <w:rsid w:val="2E6E2496"/>
    <w:rsid w:val="2E790D31"/>
    <w:rsid w:val="2E9E7F38"/>
    <w:rsid w:val="2F1F3B88"/>
    <w:rsid w:val="2F2A3E0C"/>
    <w:rsid w:val="2F41745E"/>
    <w:rsid w:val="2FB03F14"/>
    <w:rsid w:val="2FB40DCC"/>
    <w:rsid w:val="30361585"/>
    <w:rsid w:val="30E1237E"/>
    <w:rsid w:val="3108156A"/>
    <w:rsid w:val="3109357F"/>
    <w:rsid w:val="312520C2"/>
    <w:rsid w:val="31447533"/>
    <w:rsid w:val="315269AB"/>
    <w:rsid w:val="31606124"/>
    <w:rsid w:val="316A1A56"/>
    <w:rsid w:val="317340FA"/>
    <w:rsid w:val="32253B75"/>
    <w:rsid w:val="32547773"/>
    <w:rsid w:val="32715ACA"/>
    <w:rsid w:val="32885BC9"/>
    <w:rsid w:val="32EE7A09"/>
    <w:rsid w:val="330B657B"/>
    <w:rsid w:val="33BB5532"/>
    <w:rsid w:val="342E75F1"/>
    <w:rsid w:val="34675B58"/>
    <w:rsid w:val="34891BD3"/>
    <w:rsid w:val="34E0616E"/>
    <w:rsid w:val="35153B67"/>
    <w:rsid w:val="356B5DB2"/>
    <w:rsid w:val="35723572"/>
    <w:rsid w:val="358C2831"/>
    <w:rsid w:val="35F77146"/>
    <w:rsid w:val="36FC6348"/>
    <w:rsid w:val="3705112C"/>
    <w:rsid w:val="370803D5"/>
    <w:rsid w:val="373E5A12"/>
    <w:rsid w:val="37BC7008"/>
    <w:rsid w:val="38301F1E"/>
    <w:rsid w:val="383C2E1F"/>
    <w:rsid w:val="38527337"/>
    <w:rsid w:val="385F4190"/>
    <w:rsid w:val="38A81A60"/>
    <w:rsid w:val="39355348"/>
    <w:rsid w:val="39925C62"/>
    <w:rsid w:val="3A0C175D"/>
    <w:rsid w:val="3A0C575A"/>
    <w:rsid w:val="3A3441B3"/>
    <w:rsid w:val="3AAD7844"/>
    <w:rsid w:val="3B127F06"/>
    <w:rsid w:val="3B3571D2"/>
    <w:rsid w:val="3B7836AD"/>
    <w:rsid w:val="3BAA77AF"/>
    <w:rsid w:val="3BAF6602"/>
    <w:rsid w:val="3BB82C11"/>
    <w:rsid w:val="3C2E05D3"/>
    <w:rsid w:val="3C325EE5"/>
    <w:rsid w:val="3CBF66C8"/>
    <w:rsid w:val="3CF81018"/>
    <w:rsid w:val="3D0C177C"/>
    <w:rsid w:val="3D993E1E"/>
    <w:rsid w:val="3DC761CE"/>
    <w:rsid w:val="3DC81D66"/>
    <w:rsid w:val="3DCA2965"/>
    <w:rsid w:val="3EF3052E"/>
    <w:rsid w:val="3EFF3906"/>
    <w:rsid w:val="3F3119C6"/>
    <w:rsid w:val="3F893D72"/>
    <w:rsid w:val="3F9115F7"/>
    <w:rsid w:val="3FD37055"/>
    <w:rsid w:val="3FDA1D0E"/>
    <w:rsid w:val="40421796"/>
    <w:rsid w:val="407211D2"/>
    <w:rsid w:val="40C04498"/>
    <w:rsid w:val="40F42A00"/>
    <w:rsid w:val="41340443"/>
    <w:rsid w:val="41673DF4"/>
    <w:rsid w:val="417D5732"/>
    <w:rsid w:val="41C32DB9"/>
    <w:rsid w:val="41E3791E"/>
    <w:rsid w:val="41F34C52"/>
    <w:rsid w:val="42075DFA"/>
    <w:rsid w:val="42115025"/>
    <w:rsid w:val="42190100"/>
    <w:rsid w:val="426730F5"/>
    <w:rsid w:val="42C96A18"/>
    <w:rsid w:val="42DD0153"/>
    <w:rsid w:val="42E66B40"/>
    <w:rsid w:val="437A35B5"/>
    <w:rsid w:val="444F1F8B"/>
    <w:rsid w:val="44757352"/>
    <w:rsid w:val="4484141A"/>
    <w:rsid w:val="44890631"/>
    <w:rsid w:val="44E75AEE"/>
    <w:rsid w:val="45014E35"/>
    <w:rsid w:val="450C22E6"/>
    <w:rsid w:val="45450E9A"/>
    <w:rsid w:val="456F3008"/>
    <w:rsid w:val="45B96473"/>
    <w:rsid w:val="46267BE1"/>
    <w:rsid w:val="462A3A83"/>
    <w:rsid w:val="46344894"/>
    <w:rsid w:val="464004CF"/>
    <w:rsid w:val="46AC6D21"/>
    <w:rsid w:val="46B64FFD"/>
    <w:rsid w:val="46BF0324"/>
    <w:rsid w:val="46C9196D"/>
    <w:rsid w:val="46F603F4"/>
    <w:rsid w:val="47535DF7"/>
    <w:rsid w:val="476705ED"/>
    <w:rsid w:val="47D023E2"/>
    <w:rsid w:val="47E02E14"/>
    <w:rsid w:val="48125CF1"/>
    <w:rsid w:val="481B2527"/>
    <w:rsid w:val="48226D9A"/>
    <w:rsid w:val="48523287"/>
    <w:rsid w:val="486444E9"/>
    <w:rsid w:val="48780B59"/>
    <w:rsid w:val="48854A86"/>
    <w:rsid w:val="48970FEC"/>
    <w:rsid w:val="489D1C53"/>
    <w:rsid w:val="48B7397E"/>
    <w:rsid w:val="48D527B5"/>
    <w:rsid w:val="49081479"/>
    <w:rsid w:val="49646CC4"/>
    <w:rsid w:val="49704BA7"/>
    <w:rsid w:val="49952A61"/>
    <w:rsid w:val="49CC3D2D"/>
    <w:rsid w:val="49F85447"/>
    <w:rsid w:val="4A2B0AF9"/>
    <w:rsid w:val="4A5243A5"/>
    <w:rsid w:val="4AC7446E"/>
    <w:rsid w:val="4AEA726E"/>
    <w:rsid w:val="4AFE64EF"/>
    <w:rsid w:val="4B2C4525"/>
    <w:rsid w:val="4B3C1238"/>
    <w:rsid w:val="4B6E21B0"/>
    <w:rsid w:val="4B85467D"/>
    <w:rsid w:val="4BED21C1"/>
    <w:rsid w:val="4C1B59BF"/>
    <w:rsid w:val="4C2E146D"/>
    <w:rsid w:val="4C5F19D1"/>
    <w:rsid w:val="4CA379DC"/>
    <w:rsid w:val="4CAC4358"/>
    <w:rsid w:val="4D450E5B"/>
    <w:rsid w:val="4D482C1F"/>
    <w:rsid w:val="4D69414E"/>
    <w:rsid w:val="4D745187"/>
    <w:rsid w:val="4D982E73"/>
    <w:rsid w:val="4E5844A7"/>
    <w:rsid w:val="4E941389"/>
    <w:rsid w:val="4EA802F1"/>
    <w:rsid w:val="4EEE36E4"/>
    <w:rsid w:val="4EF30A5A"/>
    <w:rsid w:val="4F105AFA"/>
    <w:rsid w:val="4F2C30EB"/>
    <w:rsid w:val="4F4D1C7A"/>
    <w:rsid w:val="4F5306F3"/>
    <w:rsid w:val="4F882399"/>
    <w:rsid w:val="4F9F571C"/>
    <w:rsid w:val="4FE955D0"/>
    <w:rsid w:val="500B4C86"/>
    <w:rsid w:val="500B6280"/>
    <w:rsid w:val="50460712"/>
    <w:rsid w:val="5048562C"/>
    <w:rsid w:val="504B48A9"/>
    <w:rsid w:val="50CF4D2D"/>
    <w:rsid w:val="5104713D"/>
    <w:rsid w:val="51207647"/>
    <w:rsid w:val="513A7DD7"/>
    <w:rsid w:val="515947B7"/>
    <w:rsid w:val="51B45C8B"/>
    <w:rsid w:val="51BD1E8F"/>
    <w:rsid w:val="51DE23CF"/>
    <w:rsid w:val="524278E5"/>
    <w:rsid w:val="528F4F80"/>
    <w:rsid w:val="52973834"/>
    <w:rsid w:val="52D26392"/>
    <w:rsid w:val="52F249DC"/>
    <w:rsid w:val="5404374E"/>
    <w:rsid w:val="544A6C4D"/>
    <w:rsid w:val="54A91961"/>
    <w:rsid w:val="54CE6ED5"/>
    <w:rsid w:val="54D378D2"/>
    <w:rsid w:val="54EC3D00"/>
    <w:rsid w:val="54F83D18"/>
    <w:rsid w:val="550A3B7A"/>
    <w:rsid w:val="554D4FDF"/>
    <w:rsid w:val="556C741B"/>
    <w:rsid w:val="558B516A"/>
    <w:rsid w:val="55AD748D"/>
    <w:rsid w:val="55FE7BC7"/>
    <w:rsid w:val="56422404"/>
    <w:rsid w:val="565C1620"/>
    <w:rsid w:val="568752D9"/>
    <w:rsid w:val="56C546C8"/>
    <w:rsid w:val="56E14486"/>
    <w:rsid w:val="56ED63B2"/>
    <w:rsid w:val="570B5093"/>
    <w:rsid w:val="57A34C02"/>
    <w:rsid w:val="57BE755C"/>
    <w:rsid w:val="57E534DC"/>
    <w:rsid w:val="581D1CFC"/>
    <w:rsid w:val="583C191E"/>
    <w:rsid w:val="58F41A72"/>
    <w:rsid w:val="59124CF4"/>
    <w:rsid w:val="594F3165"/>
    <w:rsid w:val="5971094F"/>
    <w:rsid w:val="599E53B1"/>
    <w:rsid w:val="59A845FB"/>
    <w:rsid w:val="59EC1BA1"/>
    <w:rsid w:val="5A091D6C"/>
    <w:rsid w:val="5A1A4BB3"/>
    <w:rsid w:val="5A232D80"/>
    <w:rsid w:val="5A374803"/>
    <w:rsid w:val="5A4C4B5A"/>
    <w:rsid w:val="5A5A1FAF"/>
    <w:rsid w:val="5A6F200F"/>
    <w:rsid w:val="5AFE36A5"/>
    <w:rsid w:val="5B256AD7"/>
    <w:rsid w:val="5B326FAE"/>
    <w:rsid w:val="5C1E6D0E"/>
    <w:rsid w:val="5C3B2738"/>
    <w:rsid w:val="5C42557E"/>
    <w:rsid w:val="5C5B1D31"/>
    <w:rsid w:val="5C6326ED"/>
    <w:rsid w:val="5C9A0DDB"/>
    <w:rsid w:val="5CAD1B44"/>
    <w:rsid w:val="5CE335FA"/>
    <w:rsid w:val="5D0556D2"/>
    <w:rsid w:val="5D3E4B5B"/>
    <w:rsid w:val="5D402C84"/>
    <w:rsid w:val="5D5E177C"/>
    <w:rsid w:val="5D6B41E3"/>
    <w:rsid w:val="5D9D5EE9"/>
    <w:rsid w:val="5DBE58CF"/>
    <w:rsid w:val="5E385EB3"/>
    <w:rsid w:val="5EA1135D"/>
    <w:rsid w:val="5ED85CAD"/>
    <w:rsid w:val="5FB52C88"/>
    <w:rsid w:val="600E7DE9"/>
    <w:rsid w:val="600F7EC2"/>
    <w:rsid w:val="602F4F35"/>
    <w:rsid w:val="60601D56"/>
    <w:rsid w:val="608C5C35"/>
    <w:rsid w:val="60A93B04"/>
    <w:rsid w:val="60F057CB"/>
    <w:rsid w:val="61480190"/>
    <w:rsid w:val="617F5DF7"/>
    <w:rsid w:val="619E09FC"/>
    <w:rsid w:val="61DD5EF3"/>
    <w:rsid w:val="625A31F8"/>
    <w:rsid w:val="6269352D"/>
    <w:rsid w:val="626A5E7B"/>
    <w:rsid w:val="628D32F5"/>
    <w:rsid w:val="62984F6E"/>
    <w:rsid w:val="62CD720B"/>
    <w:rsid w:val="630E4C6D"/>
    <w:rsid w:val="63284D3B"/>
    <w:rsid w:val="63402468"/>
    <w:rsid w:val="642355C8"/>
    <w:rsid w:val="64A367B3"/>
    <w:rsid w:val="64AF4FF3"/>
    <w:rsid w:val="64FC6BBE"/>
    <w:rsid w:val="65005A6A"/>
    <w:rsid w:val="6517261E"/>
    <w:rsid w:val="65493F91"/>
    <w:rsid w:val="6598611B"/>
    <w:rsid w:val="663D02BB"/>
    <w:rsid w:val="66D23ED2"/>
    <w:rsid w:val="66DF6A25"/>
    <w:rsid w:val="67561453"/>
    <w:rsid w:val="67E42883"/>
    <w:rsid w:val="68384F68"/>
    <w:rsid w:val="68CD6294"/>
    <w:rsid w:val="68E4343A"/>
    <w:rsid w:val="6906279E"/>
    <w:rsid w:val="69164BA0"/>
    <w:rsid w:val="692C54B3"/>
    <w:rsid w:val="692F1A87"/>
    <w:rsid w:val="693242CA"/>
    <w:rsid w:val="695E7EED"/>
    <w:rsid w:val="69962082"/>
    <w:rsid w:val="69AE0148"/>
    <w:rsid w:val="69C4773B"/>
    <w:rsid w:val="6A472B97"/>
    <w:rsid w:val="6A621215"/>
    <w:rsid w:val="6A8B2724"/>
    <w:rsid w:val="6AAB232C"/>
    <w:rsid w:val="6B0C6FB6"/>
    <w:rsid w:val="6B561BC7"/>
    <w:rsid w:val="6B595CE8"/>
    <w:rsid w:val="6B5A7B76"/>
    <w:rsid w:val="6B8D4B8C"/>
    <w:rsid w:val="6B943FFB"/>
    <w:rsid w:val="6B997C64"/>
    <w:rsid w:val="6BE72162"/>
    <w:rsid w:val="6C096FF5"/>
    <w:rsid w:val="6C355AC8"/>
    <w:rsid w:val="6C3D27F7"/>
    <w:rsid w:val="6CC035D5"/>
    <w:rsid w:val="6D175A27"/>
    <w:rsid w:val="6D20170A"/>
    <w:rsid w:val="6D2A6F98"/>
    <w:rsid w:val="6D8C01AD"/>
    <w:rsid w:val="6D8C69E9"/>
    <w:rsid w:val="6D8D6E30"/>
    <w:rsid w:val="6DA2562B"/>
    <w:rsid w:val="6DFD3D7E"/>
    <w:rsid w:val="6E0B7D8F"/>
    <w:rsid w:val="6E196B34"/>
    <w:rsid w:val="6E336BFA"/>
    <w:rsid w:val="6E541EDD"/>
    <w:rsid w:val="6E734EFF"/>
    <w:rsid w:val="6ED24B01"/>
    <w:rsid w:val="6EFA0C8B"/>
    <w:rsid w:val="6F333994"/>
    <w:rsid w:val="6F3A2CEC"/>
    <w:rsid w:val="6F4E2F48"/>
    <w:rsid w:val="6F9E6B04"/>
    <w:rsid w:val="6FC668D4"/>
    <w:rsid w:val="6FE9759F"/>
    <w:rsid w:val="702E7787"/>
    <w:rsid w:val="703147B5"/>
    <w:rsid w:val="70E96252"/>
    <w:rsid w:val="71155F89"/>
    <w:rsid w:val="712240C5"/>
    <w:rsid w:val="716E74B7"/>
    <w:rsid w:val="717405C5"/>
    <w:rsid w:val="719F1888"/>
    <w:rsid w:val="72100641"/>
    <w:rsid w:val="72185F20"/>
    <w:rsid w:val="724A7926"/>
    <w:rsid w:val="72657CCB"/>
    <w:rsid w:val="72C97498"/>
    <w:rsid w:val="72D92BC4"/>
    <w:rsid w:val="72F472A7"/>
    <w:rsid w:val="737D7E8A"/>
    <w:rsid w:val="73841DC3"/>
    <w:rsid w:val="73FF0E50"/>
    <w:rsid w:val="742F451F"/>
    <w:rsid w:val="74CC4605"/>
    <w:rsid w:val="74DA4B7B"/>
    <w:rsid w:val="74DC5187"/>
    <w:rsid w:val="75137077"/>
    <w:rsid w:val="754727A1"/>
    <w:rsid w:val="756878CC"/>
    <w:rsid w:val="75BB2522"/>
    <w:rsid w:val="75D022E4"/>
    <w:rsid w:val="75DA6B4D"/>
    <w:rsid w:val="762C5EFA"/>
    <w:rsid w:val="765A735D"/>
    <w:rsid w:val="76CB2780"/>
    <w:rsid w:val="76EE3C92"/>
    <w:rsid w:val="779B1720"/>
    <w:rsid w:val="77E25EF8"/>
    <w:rsid w:val="785F50AC"/>
    <w:rsid w:val="788C1FB6"/>
    <w:rsid w:val="791D7679"/>
    <w:rsid w:val="794D650B"/>
    <w:rsid w:val="79735986"/>
    <w:rsid w:val="79CB09E5"/>
    <w:rsid w:val="79ED0D29"/>
    <w:rsid w:val="79F226B7"/>
    <w:rsid w:val="79FF2D85"/>
    <w:rsid w:val="7A4D4DA1"/>
    <w:rsid w:val="7AA91FD4"/>
    <w:rsid w:val="7ADA3780"/>
    <w:rsid w:val="7ADE03AD"/>
    <w:rsid w:val="7B683234"/>
    <w:rsid w:val="7B935D14"/>
    <w:rsid w:val="7BA57C84"/>
    <w:rsid w:val="7BA57D32"/>
    <w:rsid w:val="7BCF243E"/>
    <w:rsid w:val="7BE5418D"/>
    <w:rsid w:val="7BEA0509"/>
    <w:rsid w:val="7C2719E5"/>
    <w:rsid w:val="7CA55B25"/>
    <w:rsid w:val="7D2C2A7C"/>
    <w:rsid w:val="7D9D0CA3"/>
    <w:rsid w:val="7DB55128"/>
    <w:rsid w:val="7DB84EC2"/>
    <w:rsid w:val="7E4A58D1"/>
    <w:rsid w:val="7ED77479"/>
    <w:rsid w:val="7F4D6C02"/>
    <w:rsid w:val="7FA12034"/>
    <w:rsid w:val="7FC5752F"/>
    <w:rsid w:val="7FE54091"/>
    <w:rsid w:val="7FE97547"/>
    <w:rsid w:val="7FEC16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link w:val="56"/>
    <w:qFormat/>
    <w:uiPriority w:val="0"/>
    <w:pPr>
      <w:keepNext/>
      <w:keepLines/>
      <w:tabs>
        <w:tab w:val="left" w:pos="432"/>
      </w:tabs>
      <w:spacing w:before="360" w:after="360" w:line="360" w:lineRule="auto"/>
      <w:jc w:val="left"/>
      <w:outlineLvl w:val="0"/>
    </w:pPr>
    <w:rPr>
      <w:rFonts w:ascii="黑体" w:eastAsia="黑体"/>
      <w:spacing w:val="24"/>
      <w:kern w:val="44"/>
      <w:sz w:val="32"/>
    </w:rPr>
  </w:style>
  <w:style w:type="paragraph" w:styleId="9">
    <w:name w:val="heading 2"/>
    <w:basedOn w:val="1"/>
    <w:next w:val="1"/>
    <w:link w:val="57"/>
    <w:qFormat/>
    <w:uiPriority w:val="0"/>
    <w:pPr>
      <w:keepNext/>
      <w:keepLines/>
      <w:widowControl/>
      <w:tabs>
        <w:tab w:val="left" w:pos="576"/>
      </w:tabs>
      <w:spacing w:before="240" w:after="240" w:line="360" w:lineRule="auto"/>
      <w:jc w:val="left"/>
      <w:outlineLvl w:val="1"/>
    </w:pPr>
    <w:rPr>
      <w:rFonts w:eastAsia="黑体"/>
      <w:kern w:val="0"/>
      <w:sz w:val="30"/>
    </w:rPr>
  </w:style>
  <w:style w:type="paragraph" w:styleId="10">
    <w:name w:val="heading 3"/>
    <w:basedOn w:val="1"/>
    <w:next w:val="1"/>
    <w:link w:val="58"/>
    <w:qFormat/>
    <w:uiPriority w:val="0"/>
    <w:pPr>
      <w:keepNext/>
      <w:keepLines/>
      <w:tabs>
        <w:tab w:val="left" w:pos="3600"/>
      </w:tabs>
      <w:spacing w:before="240" w:after="240" w:line="360" w:lineRule="auto"/>
      <w:jc w:val="left"/>
      <w:outlineLvl w:val="2"/>
    </w:pPr>
    <w:rPr>
      <w:rFonts w:eastAsia="黑体"/>
      <w:sz w:val="28"/>
    </w:rPr>
  </w:style>
  <w:style w:type="paragraph" w:styleId="11">
    <w:name w:val="heading 4"/>
    <w:basedOn w:val="1"/>
    <w:next w:val="12"/>
    <w:link w:val="59"/>
    <w:qFormat/>
    <w:uiPriority w:val="0"/>
    <w:pPr>
      <w:keepNext/>
      <w:keepLines/>
      <w:tabs>
        <w:tab w:val="left" w:pos="864"/>
      </w:tabs>
      <w:spacing w:before="120" w:after="120" w:line="360" w:lineRule="auto"/>
      <w:outlineLvl w:val="3"/>
    </w:pPr>
    <w:rPr>
      <w:rFonts w:ascii="Arial" w:hAnsi="Arial" w:eastAsia="黑体"/>
      <w:sz w:val="24"/>
    </w:rPr>
  </w:style>
  <w:style w:type="paragraph" w:styleId="13">
    <w:name w:val="heading 5"/>
    <w:basedOn w:val="1"/>
    <w:next w:val="12"/>
    <w:link w:val="61"/>
    <w:qFormat/>
    <w:uiPriority w:val="9"/>
    <w:pPr>
      <w:keepNext/>
      <w:keepLines/>
      <w:tabs>
        <w:tab w:val="left" w:pos="1008"/>
      </w:tabs>
      <w:spacing w:before="120" w:after="120" w:line="360" w:lineRule="auto"/>
      <w:outlineLvl w:val="4"/>
    </w:pPr>
    <w:rPr>
      <w:i/>
      <w:sz w:val="24"/>
    </w:rPr>
  </w:style>
  <w:style w:type="paragraph" w:styleId="14">
    <w:name w:val="heading 6"/>
    <w:basedOn w:val="1"/>
    <w:next w:val="1"/>
    <w:link w:val="62"/>
    <w:qFormat/>
    <w:uiPriority w:val="9"/>
    <w:pPr>
      <w:keepNext/>
      <w:keepLines/>
      <w:tabs>
        <w:tab w:val="left" w:pos="1152"/>
      </w:tabs>
      <w:spacing w:before="240" w:after="64" w:line="319" w:lineRule="auto"/>
      <w:outlineLvl w:val="5"/>
    </w:pPr>
    <w:rPr>
      <w:rFonts w:ascii="Arial" w:hAnsi="Arial" w:eastAsia="黑体"/>
      <w:b/>
      <w:sz w:val="24"/>
    </w:rPr>
  </w:style>
  <w:style w:type="paragraph" w:styleId="15">
    <w:name w:val="heading 7"/>
    <w:basedOn w:val="1"/>
    <w:next w:val="1"/>
    <w:link w:val="63"/>
    <w:qFormat/>
    <w:uiPriority w:val="0"/>
    <w:pPr>
      <w:keepNext/>
      <w:keepLines/>
      <w:tabs>
        <w:tab w:val="left" w:pos="1296"/>
      </w:tabs>
      <w:spacing w:before="240" w:after="64" w:line="319" w:lineRule="auto"/>
      <w:outlineLvl w:val="6"/>
    </w:pPr>
    <w:rPr>
      <w:b/>
      <w:sz w:val="24"/>
    </w:rPr>
  </w:style>
  <w:style w:type="paragraph" w:styleId="16">
    <w:name w:val="heading 8"/>
    <w:basedOn w:val="1"/>
    <w:next w:val="1"/>
    <w:link w:val="64"/>
    <w:qFormat/>
    <w:uiPriority w:val="0"/>
    <w:pPr>
      <w:keepNext/>
      <w:keepLines/>
      <w:tabs>
        <w:tab w:val="left" w:pos="1440"/>
      </w:tabs>
      <w:spacing w:before="240" w:after="64" w:line="319" w:lineRule="auto"/>
      <w:outlineLvl w:val="7"/>
    </w:pPr>
    <w:rPr>
      <w:rFonts w:ascii="Arial" w:hAnsi="Arial" w:eastAsia="黑体"/>
      <w:sz w:val="24"/>
    </w:rPr>
  </w:style>
  <w:style w:type="paragraph" w:styleId="17">
    <w:name w:val="heading 9"/>
    <w:basedOn w:val="1"/>
    <w:next w:val="1"/>
    <w:link w:val="65"/>
    <w:qFormat/>
    <w:uiPriority w:val="0"/>
    <w:pPr>
      <w:keepNext/>
      <w:keepLines/>
      <w:tabs>
        <w:tab w:val="left" w:pos="1584"/>
      </w:tabs>
      <w:spacing w:before="240" w:after="64" w:line="319" w:lineRule="auto"/>
      <w:outlineLvl w:val="8"/>
    </w:pPr>
    <w:rPr>
      <w:rFonts w:ascii="Arial" w:hAnsi="Arial" w:eastAsia="黑体"/>
      <w:sz w:val="24"/>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kern w:val="0"/>
    </w:rPr>
  </w:style>
  <w:style w:type="paragraph" w:styleId="3">
    <w:name w:val="Plain Text"/>
    <w:basedOn w:val="1"/>
    <w:next w:val="4"/>
    <w:link w:val="53"/>
    <w:qFormat/>
    <w:uiPriority w:val="0"/>
    <w:rPr>
      <w:rFonts w:ascii="宋体" w:hAnsi="Courier New"/>
    </w:rPr>
  </w:style>
  <w:style w:type="paragraph" w:styleId="4">
    <w:name w:val="toc 2"/>
    <w:basedOn w:val="1"/>
    <w:next w:val="1"/>
    <w:semiHidden/>
    <w:qFormat/>
    <w:uiPriority w:val="0"/>
    <w:pPr>
      <w:ind w:left="210"/>
      <w:jc w:val="left"/>
    </w:pPr>
    <w:rPr>
      <w:smallCaps/>
      <w:sz w:val="20"/>
    </w:rPr>
  </w:style>
  <w:style w:type="paragraph" w:styleId="5">
    <w:name w:val="Body Text"/>
    <w:basedOn w:val="1"/>
    <w:next w:val="6"/>
    <w:link w:val="54"/>
    <w:unhideWhenUsed/>
    <w:qFormat/>
    <w:uiPriority w:val="0"/>
    <w:pPr>
      <w:spacing w:after="120"/>
    </w:pPr>
  </w:style>
  <w:style w:type="paragraph" w:styleId="6">
    <w:name w:val="Body Text First Indent"/>
    <w:basedOn w:val="5"/>
    <w:next w:val="7"/>
    <w:link w:val="55"/>
    <w:qFormat/>
    <w:uiPriority w:val="0"/>
    <w:pPr>
      <w:ind w:firstLine="420" w:firstLineChars="100"/>
    </w:pPr>
    <w:rPr>
      <w:szCs w:val="24"/>
    </w:rPr>
  </w:style>
  <w:style w:type="paragraph" w:styleId="7">
    <w:name w:val="toc 6"/>
    <w:basedOn w:val="1"/>
    <w:next w:val="1"/>
    <w:semiHidden/>
    <w:qFormat/>
    <w:uiPriority w:val="0"/>
    <w:pPr>
      <w:ind w:left="1050"/>
      <w:jc w:val="left"/>
    </w:pPr>
    <w:rPr>
      <w:sz w:val="18"/>
      <w:szCs w:val="18"/>
    </w:rPr>
  </w:style>
  <w:style w:type="paragraph" w:styleId="12">
    <w:name w:val="Normal Indent"/>
    <w:basedOn w:val="1"/>
    <w:link w:val="60"/>
    <w:unhideWhenUsed/>
    <w:qFormat/>
    <w:uiPriority w:val="0"/>
    <w:pPr>
      <w:ind w:firstLine="420" w:firstLineChars="200"/>
    </w:pPr>
  </w:style>
  <w:style w:type="paragraph" w:styleId="18">
    <w:name w:val="toc 7"/>
    <w:basedOn w:val="1"/>
    <w:next w:val="1"/>
    <w:semiHidden/>
    <w:qFormat/>
    <w:uiPriority w:val="0"/>
    <w:pPr>
      <w:ind w:left="1260"/>
      <w:jc w:val="left"/>
    </w:pPr>
    <w:rPr>
      <w:sz w:val="18"/>
      <w:szCs w:val="18"/>
    </w:rPr>
  </w:style>
  <w:style w:type="paragraph" w:styleId="19">
    <w:name w:val="List Number 2"/>
    <w:basedOn w:val="1"/>
    <w:unhideWhenUsed/>
    <w:qFormat/>
    <w:uiPriority w:val="99"/>
    <w:pPr>
      <w:numPr>
        <w:ilvl w:val="0"/>
        <w:numId w:val="1"/>
      </w:numPr>
    </w:pPr>
  </w:style>
  <w:style w:type="paragraph" w:styleId="20">
    <w:name w:val="caption"/>
    <w:basedOn w:val="1"/>
    <w:next w:val="1"/>
    <w:qFormat/>
    <w:uiPriority w:val="0"/>
    <w:pPr>
      <w:widowControl/>
      <w:spacing w:before="120" w:after="120"/>
      <w:jc w:val="left"/>
    </w:pPr>
    <w:rPr>
      <w:b/>
      <w:bCs/>
      <w:kern w:val="0"/>
      <w:sz w:val="20"/>
    </w:rPr>
  </w:style>
  <w:style w:type="paragraph" w:styleId="21">
    <w:name w:val="Document Map"/>
    <w:basedOn w:val="1"/>
    <w:link w:val="66"/>
    <w:unhideWhenUsed/>
    <w:qFormat/>
    <w:uiPriority w:val="0"/>
    <w:pPr>
      <w:widowControl/>
      <w:adjustRightInd w:val="0"/>
      <w:snapToGrid w:val="0"/>
      <w:spacing w:after="200"/>
      <w:jc w:val="left"/>
    </w:pPr>
    <w:rPr>
      <w:rFonts w:ascii="宋体" w:hAnsi="Tahoma"/>
      <w:kern w:val="0"/>
      <w:sz w:val="18"/>
      <w:szCs w:val="18"/>
    </w:rPr>
  </w:style>
  <w:style w:type="paragraph" w:styleId="22">
    <w:name w:val="toa heading"/>
    <w:basedOn w:val="1"/>
    <w:next w:val="1"/>
    <w:qFormat/>
    <w:uiPriority w:val="0"/>
    <w:pPr>
      <w:spacing w:before="120"/>
    </w:pPr>
    <w:rPr>
      <w:rFonts w:ascii="Arial" w:hAnsi="Arial"/>
      <w:sz w:val="24"/>
    </w:rPr>
  </w:style>
  <w:style w:type="paragraph" w:styleId="23">
    <w:name w:val="annotation text"/>
    <w:basedOn w:val="1"/>
    <w:link w:val="67"/>
    <w:unhideWhenUsed/>
    <w:qFormat/>
    <w:uiPriority w:val="0"/>
    <w:pPr>
      <w:widowControl/>
      <w:adjustRightInd w:val="0"/>
      <w:snapToGrid w:val="0"/>
      <w:spacing w:after="200"/>
      <w:jc w:val="left"/>
    </w:pPr>
    <w:rPr>
      <w:rFonts w:ascii="Tahoma" w:hAnsi="Tahoma" w:eastAsia="微软雅黑"/>
      <w:kern w:val="0"/>
      <w:sz w:val="22"/>
      <w:szCs w:val="22"/>
    </w:rPr>
  </w:style>
  <w:style w:type="paragraph" w:styleId="24">
    <w:name w:val="Body Text Indent"/>
    <w:basedOn w:val="1"/>
    <w:next w:val="1"/>
    <w:link w:val="68"/>
    <w:qFormat/>
    <w:uiPriority w:val="0"/>
    <w:pPr>
      <w:ind w:left="480" w:hanging="480" w:hangingChars="200"/>
    </w:pPr>
    <w:rPr>
      <w:sz w:val="24"/>
      <w:szCs w:val="24"/>
    </w:rPr>
  </w:style>
  <w:style w:type="paragraph" w:styleId="25">
    <w:name w:val="toc 5"/>
    <w:basedOn w:val="1"/>
    <w:next w:val="1"/>
    <w:semiHidden/>
    <w:qFormat/>
    <w:uiPriority w:val="0"/>
    <w:pPr>
      <w:ind w:left="840"/>
      <w:jc w:val="left"/>
    </w:pPr>
    <w:rPr>
      <w:sz w:val="18"/>
      <w:szCs w:val="18"/>
    </w:rPr>
  </w:style>
  <w:style w:type="paragraph" w:styleId="26">
    <w:name w:val="toc 3"/>
    <w:basedOn w:val="1"/>
    <w:next w:val="1"/>
    <w:semiHidden/>
    <w:qFormat/>
    <w:uiPriority w:val="0"/>
    <w:pPr>
      <w:ind w:left="420"/>
      <w:jc w:val="left"/>
    </w:pPr>
    <w:rPr>
      <w:i/>
      <w:iCs/>
      <w:sz w:val="20"/>
    </w:rPr>
  </w:style>
  <w:style w:type="paragraph" w:styleId="27">
    <w:name w:val="toc 8"/>
    <w:basedOn w:val="1"/>
    <w:next w:val="1"/>
    <w:semiHidden/>
    <w:uiPriority w:val="0"/>
    <w:pPr>
      <w:ind w:left="1470"/>
      <w:jc w:val="left"/>
    </w:pPr>
    <w:rPr>
      <w:sz w:val="18"/>
      <w:szCs w:val="18"/>
    </w:rPr>
  </w:style>
  <w:style w:type="paragraph" w:styleId="28">
    <w:name w:val="Date"/>
    <w:basedOn w:val="1"/>
    <w:next w:val="1"/>
    <w:link w:val="69"/>
    <w:qFormat/>
    <w:uiPriority w:val="0"/>
    <w:pPr>
      <w:ind w:left="100" w:leftChars="2500"/>
    </w:pPr>
    <w:rPr>
      <w:color w:val="000000"/>
      <w:sz w:val="24"/>
      <w:szCs w:val="24"/>
    </w:rPr>
  </w:style>
  <w:style w:type="paragraph" w:styleId="29">
    <w:name w:val="Body Text Indent 2"/>
    <w:basedOn w:val="1"/>
    <w:link w:val="70"/>
    <w:qFormat/>
    <w:uiPriority w:val="0"/>
    <w:pPr>
      <w:spacing w:after="120" w:line="480" w:lineRule="auto"/>
      <w:ind w:left="420" w:leftChars="200"/>
    </w:pPr>
  </w:style>
  <w:style w:type="paragraph" w:styleId="30">
    <w:name w:val="Balloon Text"/>
    <w:basedOn w:val="1"/>
    <w:link w:val="71"/>
    <w:semiHidden/>
    <w:qFormat/>
    <w:uiPriority w:val="0"/>
    <w:rPr>
      <w:sz w:val="18"/>
      <w:szCs w:val="18"/>
    </w:rPr>
  </w:style>
  <w:style w:type="paragraph" w:styleId="31">
    <w:name w:val="footer"/>
    <w:basedOn w:val="1"/>
    <w:link w:val="72"/>
    <w:unhideWhenUsed/>
    <w:qFormat/>
    <w:uiPriority w:val="0"/>
    <w:pPr>
      <w:tabs>
        <w:tab w:val="center" w:pos="4153"/>
        <w:tab w:val="right" w:pos="8306"/>
      </w:tabs>
      <w:snapToGrid w:val="0"/>
      <w:jc w:val="left"/>
    </w:pPr>
    <w:rPr>
      <w:sz w:val="18"/>
      <w:szCs w:val="18"/>
    </w:rPr>
  </w:style>
  <w:style w:type="paragraph" w:styleId="32">
    <w:name w:val="header"/>
    <w:basedOn w:val="1"/>
    <w:link w:val="73"/>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spacing w:before="120" w:after="120"/>
      <w:jc w:val="left"/>
    </w:pPr>
    <w:rPr>
      <w:b/>
      <w:bCs/>
      <w:caps/>
      <w:sz w:val="20"/>
    </w:rPr>
  </w:style>
  <w:style w:type="paragraph" w:styleId="34">
    <w:name w:val="toc 4"/>
    <w:basedOn w:val="1"/>
    <w:next w:val="1"/>
    <w:semiHidden/>
    <w:qFormat/>
    <w:uiPriority w:val="0"/>
    <w:pPr>
      <w:ind w:left="630"/>
      <w:jc w:val="left"/>
    </w:pPr>
    <w:rPr>
      <w:sz w:val="18"/>
      <w:szCs w:val="18"/>
    </w:rPr>
  </w:style>
  <w:style w:type="paragraph" w:styleId="35">
    <w:name w:val="Subtitle"/>
    <w:basedOn w:val="1"/>
    <w:next w:val="1"/>
    <w:link w:val="74"/>
    <w:qFormat/>
    <w:uiPriority w:val="11"/>
    <w:pPr>
      <w:widowControl/>
      <w:adjustRightInd w:val="0"/>
      <w:snapToGrid w:val="0"/>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420" w:hanging="420"/>
    </w:pPr>
  </w:style>
  <w:style w:type="paragraph" w:styleId="37">
    <w:name w:val="Body Text Indent 3"/>
    <w:basedOn w:val="1"/>
    <w:link w:val="75"/>
    <w:qFormat/>
    <w:uiPriority w:val="0"/>
    <w:pPr>
      <w:autoSpaceDE w:val="0"/>
      <w:autoSpaceDN w:val="0"/>
      <w:spacing w:line="400" w:lineRule="atLeast"/>
      <w:ind w:firstLine="443" w:firstLineChars="200"/>
      <w:textAlignment w:val="bottom"/>
    </w:pPr>
    <w:rPr>
      <w:rFonts w:eastAsia="黑体"/>
      <w:color w:val="000000"/>
      <w:sz w:val="24"/>
    </w:rPr>
  </w:style>
  <w:style w:type="paragraph" w:styleId="38">
    <w:name w:val="toc 9"/>
    <w:basedOn w:val="1"/>
    <w:next w:val="1"/>
    <w:semiHidden/>
    <w:qFormat/>
    <w:uiPriority w:val="0"/>
    <w:pPr>
      <w:ind w:left="1680"/>
      <w:jc w:val="left"/>
    </w:pPr>
    <w:rPr>
      <w:sz w:val="18"/>
      <w:szCs w:val="18"/>
    </w:rPr>
  </w:style>
  <w:style w:type="paragraph" w:styleId="3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0">
    <w:name w:val="Normal (Web)"/>
    <w:basedOn w:val="1"/>
    <w:unhideWhenUsed/>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41">
    <w:name w:val="Title"/>
    <w:basedOn w:val="1"/>
    <w:next w:val="1"/>
    <w:link w:val="76"/>
    <w:qFormat/>
    <w:uiPriority w:val="0"/>
    <w:pPr>
      <w:keepNext/>
      <w:keepLines/>
      <w:widowControl/>
      <w:tabs>
        <w:tab w:val="center" w:pos="540"/>
      </w:tabs>
      <w:spacing w:line="360" w:lineRule="auto"/>
      <w:outlineLvl w:val="0"/>
    </w:pPr>
    <w:rPr>
      <w:rFonts w:ascii="Arial" w:hAnsi="Arial" w:cs="Arial"/>
      <w:b/>
      <w:bCs/>
      <w:sz w:val="28"/>
      <w:szCs w:val="32"/>
    </w:rPr>
  </w:style>
  <w:style w:type="paragraph" w:styleId="42">
    <w:name w:val="annotation subject"/>
    <w:basedOn w:val="23"/>
    <w:next w:val="23"/>
    <w:link w:val="77"/>
    <w:semiHidden/>
    <w:qFormat/>
    <w:uiPriority w:val="0"/>
    <w:pPr>
      <w:widowControl w:val="0"/>
      <w:adjustRightInd/>
      <w:snapToGrid/>
      <w:spacing w:after="0"/>
    </w:pPr>
    <w:rPr>
      <w:rFonts w:ascii="Times New Roman" w:hAnsi="Times New Roman" w:eastAsia="宋体"/>
      <w:b/>
      <w:bCs/>
      <w:kern w:val="2"/>
      <w:sz w:val="21"/>
      <w:szCs w:val="24"/>
    </w:rPr>
  </w:style>
  <w:style w:type="paragraph" w:styleId="43">
    <w:name w:val="Body Text First Indent 2"/>
    <w:basedOn w:val="24"/>
    <w:qFormat/>
    <w:uiPriority w:val="0"/>
    <w:pPr>
      <w:ind w:firstLine="420"/>
    </w:pPr>
    <w:rPr>
      <w:rFonts w:cs="宋体"/>
      <w:szCs w:val="21"/>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rFonts w:eastAsia="宋体"/>
      <w:b/>
      <w:bCs/>
      <w:kern w:val="2"/>
      <w:sz w:val="21"/>
      <w:szCs w:val="24"/>
      <w:lang w:val="en-US" w:eastAsia="zh-CN" w:bidi="ar-SA"/>
    </w:rPr>
  </w:style>
  <w:style w:type="character" w:styleId="48">
    <w:name w:val="page number"/>
    <w:basedOn w:val="46"/>
    <w:qFormat/>
    <w:uiPriority w:val="0"/>
  </w:style>
  <w:style w:type="character" w:styleId="49">
    <w:name w:val="FollowedHyperlink"/>
    <w:unhideWhenUsed/>
    <w:qFormat/>
    <w:uiPriority w:val="99"/>
    <w:rPr>
      <w:color w:val="4A4A4A"/>
      <w:u w:val="none"/>
    </w:rPr>
  </w:style>
  <w:style w:type="character" w:styleId="50">
    <w:name w:val="Emphasis"/>
    <w:qFormat/>
    <w:uiPriority w:val="0"/>
    <w:rPr>
      <w:rFonts w:eastAsia="宋体"/>
      <w:kern w:val="2"/>
      <w:sz w:val="21"/>
      <w:szCs w:val="24"/>
      <w:lang w:val="en-US" w:eastAsia="zh-CN" w:bidi="ar-SA"/>
    </w:rPr>
  </w:style>
  <w:style w:type="character" w:styleId="51">
    <w:name w:val="Hyperlink"/>
    <w:qFormat/>
    <w:uiPriority w:val="0"/>
    <w:rPr>
      <w:color w:val="4A4A4A"/>
      <w:u w:val="none"/>
    </w:rPr>
  </w:style>
  <w:style w:type="character" w:styleId="52">
    <w:name w:val="annotation reference"/>
    <w:unhideWhenUsed/>
    <w:qFormat/>
    <w:uiPriority w:val="0"/>
    <w:rPr>
      <w:sz w:val="21"/>
      <w:szCs w:val="21"/>
    </w:rPr>
  </w:style>
  <w:style w:type="character" w:customStyle="1" w:styleId="53">
    <w:name w:val="纯文本 Char"/>
    <w:link w:val="3"/>
    <w:qFormat/>
    <w:uiPriority w:val="0"/>
    <w:rPr>
      <w:rFonts w:ascii="宋体" w:hAnsi="Courier New"/>
      <w:kern w:val="2"/>
      <w:sz w:val="21"/>
    </w:rPr>
  </w:style>
  <w:style w:type="character" w:customStyle="1" w:styleId="54">
    <w:name w:val="正文文本 Char"/>
    <w:link w:val="5"/>
    <w:qFormat/>
    <w:uiPriority w:val="0"/>
    <w:rPr>
      <w:kern w:val="2"/>
      <w:sz w:val="21"/>
    </w:rPr>
  </w:style>
  <w:style w:type="character" w:customStyle="1" w:styleId="55">
    <w:name w:val="正文首行缩进 Char"/>
    <w:link w:val="6"/>
    <w:qFormat/>
    <w:uiPriority w:val="0"/>
    <w:rPr>
      <w:kern w:val="2"/>
      <w:sz w:val="21"/>
      <w:szCs w:val="24"/>
    </w:rPr>
  </w:style>
  <w:style w:type="character" w:customStyle="1" w:styleId="56">
    <w:name w:val="标题 1 Char"/>
    <w:link w:val="8"/>
    <w:qFormat/>
    <w:uiPriority w:val="0"/>
    <w:rPr>
      <w:rFonts w:ascii="黑体" w:eastAsia="黑体"/>
      <w:spacing w:val="24"/>
      <w:kern w:val="44"/>
      <w:sz w:val="32"/>
      <w:lang w:val="en-US" w:eastAsia="zh-CN"/>
    </w:rPr>
  </w:style>
  <w:style w:type="character" w:customStyle="1" w:styleId="57">
    <w:name w:val="标题 2 Char"/>
    <w:link w:val="9"/>
    <w:qFormat/>
    <w:uiPriority w:val="0"/>
    <w:rPr>
      <w:rFonts w:eastAsia="黑体"/>
      <w:sz w:val="30"/>
      <w:lang w:val="en-US" w:eastAsia="zh-CN" w:bidi="ar-SA"/>
    </w:rPr>
  </w:style>
  <w:style w:type="character" w:customStyle="1" w:styleId="58">
    <w:name w:val="标题 3 Char"/>
    <w:link w:val="10"/>
    <w:qFormat/>
    <w:uiPriority w:val="0"/>
    <w:rPr>
      <w:rFonts w:eastAsia="黑体"/>
      <w:kern w:val="2"/>
      <w:sz w:val="28"/>
      <w:lang w:val="en-US" w:eastAsia="zh-CN" w:bidi="ar-SA"/>
    </w:rPr>
  </w:style>
  <w:style w:type="character" w:customStyle="1" w:styleId="59">
    <w:name w:val="标题 4 Char"/>
    <w:link w:val="11"/>
    <w:qFormat/>
    <w:uiPriority w:val="0"/>
    <w:rPr>
      <w:rFonts w:ascii="Arial" w:hAnsi="Arial" w:eastAsia="黑体"/>
      <w:kern w:val="2"/>
      <w:sz w:val="24"/>
    </w:rPr>
  </w:style>
  <w:style w:type="character" w:customStyle="1" w:styleId="60">
    <w:name w:val="正文缩进 Char"/>
    <w:link w:val="12"/>
    <w:uiPriority w:val="0"/>
    <w:rPr>
      <w:kern w:val="2"/>
      <w:sz w:val="21"/>
    </w:rPr>
  </w:style>
  <w:style w:type="character" w:customStyle="1" w:styleId="61">
    <w:name w:val="标题 5 Char"/>
    <w:link w:val="13"/>
    <w:qFormat/>
    <w:uiPriority w:val="9"/>
    <w:rPr>
      <w:i/>
      <w:kern w:val="2"/>
      <w:sz w:val="24"/>
    </w:rPr>
  </w:style>
  <w:style w:type="character" w:customStyle="1" w:styleId="62">
    <w:name w:val="标题 6 Char"/>
    <w:link w:val="14"/>
    <w:qFormat/>
    <w:uiPriority w:val="9"/>
    <w:rPr>
      <w:rFonts w:ascii="Arial" w:hAnsi="Arial" w:eastAsia="黑体"/>
      <w:b/>
      <w:kern w:val="2"/>
      <w:sz w:val="24"/>
    </w:rPr>
  </w:style>
  <w:style w:type="character" w:customStyle="1" w:styleId="63">
    <w:name w:val="标题 7 Char"/>
    <w:link w:val="15"/>
    <w:qFormat/>
    <w:uiPriority w:val="0"/>
    <w:rPr>
      <w:b/>
      <w:kern w:val="2"/>
      <w:sz w:val="24"/>
    </w:rPr>
  </w:style>
  <w:style w:type="character" w:customStyle="1" w:styleId="64">
    <w:name w:val="标题 8 Char"/>
    <w:link w:val="16"/>
    <w:qFormat/>
    <w:uiPriority w:val="0"/>
    <w:rPr>
      <w:rFonts w:ascii="Arial" w:hAnsi="Arial" w:eastAsia="黑体"/>
      <w:kern w:val="2"/>
      <w:sz w:val="24"/>
    </w:rPr>
  </w:style>
  <w:style w:type="character" w:customStyle="1" w:styleId="65">
    <w:name w:val="标题 9 Char"/>
    <w:link w:val="17"/>
    <w:qFormat/>
    <w:uiPriority w:val="0"/>
    <w:rPr>
      <w:rFonts w:ascii="Arial" w:hAnsi="Arial" w:eastAsia="黑体"/>
      <w:kern w:val="2"/>
      <w:sz w:val="24"/>
    </w:rPr>
  </w:style>
  <w:style w:type="character" w:customStyle="1" w:styleId="66">
    <w:name w:val="文档结构图 Char"/>
    <w:link w:val="21"/>
    <w:semiHidden/>
    <w:qFormat/>
    <w:uiPriority w:val="0"/>
    <w:rPr>
      <w:rFonts w:ascii="宋体" w:hAnsi="Tahoma"/>
      <w:sz w:val="18"/>
      <w:szCs w:val="18"/>
    </w:rPr>
  </w:style>
  <w:style w:type="character" w:customStyle="1" w:styleId="67">
    <w:name w:val="批注文字 Char1"/>
    <w:link w:val="23"/>
    <w:qFormat/>
    <w:uiPriority w:val="0"/>
    <w:rPr>
      <w:rFonts w:ascii="Tahoma" w:hAnsi="Tahoma" w:eastAsia="微软雅黑"/>
      <w:sz w:val="22"/>
      <w:szCs w:val="22"/>
    </w:rPr>
  </w:style>
  <w:style w:type="character" w:customStyle="1" w:styleId="68">
    <w:name w:val="正文文本缩进 Char"/>
    <w:link w:val="24"/>
    <w:qFormat/>
    <w:uiPriority w:val="0"/>
    <w:rPr>
      <w:kern w:val="2"/>
      <w:sz w:val="24"/>
      <w:szCs w:val="24"/>
    </w:rPr>
  </w:style>
  <w:style w:type="character" w:customStyle="1" w:styleId="69">
    <w:name w:val="日期 Char"/>
    <w:link w:val="28"/>
    <w:qFormat/>
    <w:uiPriority w:val="0"/>
    <w:rPr>
      <w:color w:val="000000"/>
      <w:kern w:val="2"/>
      <w:sz w:val="24"/>
      <w:szCs w:val="24"/>
    </w:rPr>
  </w:style>
  <w:style w:type="character" w:customStyle="1" w:styleId="70">
    <w:name w:val="正文文本缩进 2 Char"/>
    <w:link w:val="29"/>
    <w:qFormat/>
    <w:uiPriority w:val="0"/>
    <w:rPr>
      <w:kern w:val="2"/>
      <w:sz w:val="21"/>
    </w:rPr>
  </w:style>
  <w:style w:type="character" w:customStyle="1" w:styleId="71">
    <w:name w:val="批注框文本 Char"/>
    <w:link w:val="30"/>
    <w:semiHidden/>
    <w:qFormat/>
    <w:uiPriority w:val="0"/>
    <w:rPr>
      <w:kern w:val="2"/>
      <w:sz w:val="18"/>
      <w:szCs w:val="18"/>
    </w:rPr>
  </w:style>
  <w:style w:type="character" w:customStyle="1" w:styleId="72">
    <w:name w:val="页脚 Char"/>
    <w:link w:val="31"/>
    <w:qFormat/>
    <w:uiPriority w:val="0"/>
    <w:rPr>
      <w:kern w:val="2"/>
      <w:sz w:val="18"/>
      <w:szCs w:val="18"/>
    </w:rPr>
  </w:style>
  <w:style w:type="character" w:customStyle="1" w:styleId="73">
    <w:name w:val="页眉 Char"/>
    <w:link w:val="32"/>
    <w:qFormat/>
    <w:uiPriority w:val="0"/>
    <w:rPr>
      <w:kern w:val="2"/>
      <w:sz w:val="18"/>
      <w:szCs w:val="18"/>
    </w:rPr>
  </w:style>
  <w:style w:type="character" w:customStyle="1" w:styleId="74">
    <w:name w:val="副标题 Char"/>
    <w:link w:val="35"/>
    <w:qFormat/>
    <w:uiPriority w:val="11"/>
    <w:rPr>
      <w:rFonts w:ascii="Cambria" w:hAnsi="Cambria"/>
      <w:b/>
      <w:bCs/>
      <w:kern w:val="28"/>
      <w:sz w:val="32"/>
      <w:szCs w:val="32"/>
    </w:rPr>
  </w:style>
  <w:style w:type="character" w:customStyle="1" w:styleId="75">
    <w:name w:val="正文文本缩进 3 Char"/>
    <w:link w:val="37"/>
    <w:qFormat/>
    <w:uiPriority w:val="0"/>
    <w:rPr>
      <w:rFonts w:eastAsia="黑体"/>
      <w:color w:val="000000"/>
      <w:kern w:val="2"/>
      <w:sz w:val="24"/>
    </w:rPr>
  </w:style>
  <w:style w:type="character" w:customStyle="1" w:styleId="76">
    <w:name w:val="标题 Char"/>
    <w:link w:val="41"/>
    <w:qFormat/>
    <w:uiPriority w:val="0"/>
    <w:rPr>
      <w:rFonts w:ascii="Arial" w:hAnsi="Arial" w:eastAsia="宋体" w:cs="Arial"/>
      <w:b/>
      <w:bCs/>
      <w:kern w:val="2"/>
      <w:sz w:val="28"/>
      <w:szCs w:val="32"/>
      <w:lang w:val="en-US" w:eastAsia="zh-CN" w:bidi="ar-SA"/>
    </w:rPr>
  </w:style>
  <w:style w:type="character" w:customStyle="1" w:styleId="77">
    <w:name w:val="批注主题 Char"/>
    <w:link w:val="42"/>
    <w:semiHidden/>
    <w:qFormat/>
    <w:uiPriority w:val="0"/>
    <w:rPr>
      <w:b/>
      <w:bCs/>
      <w:kern w:val="2"/>
      <w:sz w:val="21"/>
      <w:szCs w:val="24"/>
    </w:rPr>
  </w:style>
  <w:style w:type="paragraph" w:customStyle="1" w:styleId="78">
    <w:name w:val="正文空2字"/>
    <w:basedOn w:val="7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9">
    <w:name w:val="左对齐正文"/>
    <w:qFormat/>
    <w:uiPriority w:val="99"/>
    <w:rPr>
      <w:rFonts w:ascii="Calibri" w:hAnsi="Calibri" w:eastAsia="仿宋_GB2312" w:cs="Calibri"/>
      <w:kern w:val="2"/>
      <w:sz w:val="32"/>
      <w:szCs w:val="32"/>
      <w:lang w:val="en-US" w:eastAsia="zh-CN" w:bidi="ar-SA"/>
    </w:rPr>
  </w:style>
  <w:style w:type="character" w:customStyle="1" w:styleId="80">
    <w:name w:val="正文首行缩进 Char2"/>
    <w:basedOn w:val="81"/>
    <w:semiHidden/>
    <w:qFormat/>
    <w:uiPriority w:val="99"/>
  </w:style>
  <w:style w:type="character" w:customStyle="1" w:styleId="81">
    <w:name w:val="正文文本 Char1"/>
    <w:semiHidden/>
    <w:qFormat/>
    <w:uiPriority w:val="99"/>
    <w:rPr>
      <w:kern w:val="2"/>
      <w:sz w:val="21"/>
      <w:szCs w:val="22"/>
    </w:rPr>
  </w:style>
  <w:style w:type="character" w:customStyle="1" w:styleId="82">
    <w:name w:val="redfilenumber"/>
    <w:basedOn w:val="46"/>
    <w:qFormat/>
    <w:uiPriority w:val="0"/>
    <w:rPr>
      <w:color w:val="BA2636"/>
      <w:sz w:val="18"/>
      <w:szCs w:val="18"/>
    </w:rPr>
  </w:style>
  <w:style w:type="character" w:customStyle="1" w:styleId="83">
    <w:name w:val="title1"/>
    <w:qFormat/>
    <w:uiPriority w:val="0"/>
    <w:rPr>
      <w:rFonts w:hint="eastAsia" w:ascii="宋体" w:hAnsi="宋体" w:eastAsia="宋体"/>
      <w:b/>
      <w:bCs/>
      <w:sz w:val="22"/>
      <w:szCs w:val="22"/>
    </w:rPr>
  </w:style>
  <w:style w:type="character" w:customStyle="1" w:styleId="84">
    <w:name w:val="prev2"/>
    <w:basedOn w:val="46"/>
    <w:qFormat/>
    <w:uiPriority w:val="0"/>
    <w:rPr>
      <w:rFonts w:ascii="微软雅黑" w:hAnsi="微软雅黑" w:eastAsia="微软雅黑" w:cs="微软雅黑"/>
      <w:sz w:val="21"/>
      <w:szCs w:val="21"/>
    </w:rPr>
  </w:style>
  <w:style w:type="character" w:customStyle="1" w:styleId="85">
    <w:name w:val="style21"/>
    <w:qFormat/>
    <w:uiPriority w:val="0"/>
    <w:rPr>
      <w:sz w:val="15"/>
      <w:szCs w:val="15"/>
    </w:rPr>
  </w:style>
  <w:style w:type="character" w:customStyle="1" w:styleId="86">
    <w:name w:val="f16b1"/>
    <w:uiPriority w:val="0"/>
    <w:rPr>
      <w:b/>
      <w:bCs/>
      <w:color w:val="333333"/>
      <w:sz w:val="22"/>
      <w:szCs w:val="22"/>
    </w:rPr>
  </w:style>
  <w:style w:type="character" w:customStyle="1" w:styleId="87">
    <w:name w:val="prev1"/>
    <w:basedOn w:val="46"/>
    <w:qFormat/>
    <w:uiPriority w:val="0"/>
    <w:rPr>
      <w:color w:val="888888"/>
    </w:rPr>
  </w:style>
  <w:style w:type="character" w:customStyle="1" w:styleId="88">
    <w:name w:val="style13"/>
    <w:qFormat/>
    <w:uiPriority w:val="0"/>
  </w:style>
  <w:style w:type="character" w:customStyle="1" w:styleId="89">
    <w:name w:val="font51"/>
    <w:qFormat/>
    <w:uiPriority w:val="0"/>
    <w:rPr>
      <w:rFonts w:hint="default" w:ascii="Arial" w:hAnsi="Arial" w:cs="Arial"/>
      <w:color w:val="000000"/>
      <w:sz w:val="22"/>
      <w:szCs w:val="22"/>
      <w:u w:val="none"/>
    </w:rPr>
  </w:style>
  <w:style w:type="character" w:customStyle="1" w:styleId="90">
    <w:name w:val="redfilefwwh"/>
    <w:basedOn w:val="46"/>
    <w:qFormat/>
    <w:uiPriority w:val="0"/>
    <w:rPr>
      <w:color w:val="BA2636"/>
      <w:sz w:val="18"/>
      <w:szCs w:val="18"/>
    </w:rPr>
  </w:style>
  <w:style w:type="character" w:customStyle="1" w:styleId="91">
    <w:name w:val="font11"/>
    <w:qFormat/>
    <w:uiPriority w:val="0"/>
    <w:rPr>
      <w:rFonts w:hint="eastAsia" w:ascii="宋体" w:hAnsi="宋体" w:eastAsia="宋体" w:cs="宋体"/>
      <w:color w:val="000000"/>
      <w:sz w:val="20"/>
      <w:szCs w:val="20"/>
      <w:u w:val="none"/>
    </w:rPr>
  </w:style>
  <w:style w:type="character" w:customStyle="1" w:styleId="92">
    <w:name w:val="font91"/>
    <w:qFormat/>
    <w:uiPriority w:val="0"/>
    <w:rPr>
      <w:rFonts w:hint="eastAsia" w:ascii="宋体" w:hAnsi="宋体" w:eastAsia="宋体" w:cs="宋体"/>
      <w:color w:val="000000"/>
      <w:sz w:val="22"/>
      <w:szCs w:val="22"/>
      <w:u w:val="none"/>
    </w:rPr>
  </w:style>
  <w:style w:type="character" w:customStyle="1" w:styleId="93">
    <w:name w:val="next"/>
    <w:basedOn w:val="46"/>
    <w:qFormat/>
    <w:uiPriority w:val="0"/>
    <w:rPr>
      <w:rFonts w:ascii="微软雅黑" w:hAnsi="微软雅黑" w:eastAsia="微软雅黑" w:cs="微软雅黑"/>
      <w:sz w:val="21"/>
      <w:szCs w:val="21"/>
    </w:rPr>
  </w:style>
  <w:style w:type="character" w:customStyle="1" w:styleId="94">
    <w:name w:val="next1"/>
    <w:basedOn w:val="46"/>
    <w:qFormat/>
    <w:uiPriority w:val="0"/>
    <w:rPr>
      <w:color w:val="888888"/>
    </w:rPr>
  </w:style>
  <w:style w:type="character" w:customStyle="1" w:styleId="95">
    <w:name w:val="cfdate"/>
    <w:basedOn w:val="46"/>
    <w:qFormat/>
    <w:uiPriority w:val="0"/>
    <w:rPr>
      <w:color w:val="333333"/>
      <w:sz w:val="18"/>
      <w:szCs w:val="18"/>
    </w:rPr>
  </w:style>
  <w:style w:type="character" w:customStyle="1" w:styleId="96">
    <w:name w:val="正文首行缩进 Char3"/>
    <w:basedOn w:val="54"/>
    <w:semiHidden/>
    <w:qFormat/>
    <w:uiPriority w:val="99"/>
  </w:style>
  <w:style w:type="character" w:customStyle="1" w:styleId="97">
    <w:name w:val="正文首行缩进 Char1"/>
    <w:qFormat/>
    <w:uiPriority w:val="0"/>
  </w:style>
  <w:style w:type="character" w:customStyle="1" w:styleId="98">
    <w:name w:val="font01"/>
    <w:qFormat/>
    <w:uiPriority w:val="0"/>
    <w:rPr>
      <w:rFonts w:hint="default" w:ascii="Arial" w:hAnsi="Arial" w:cs="Arial"/>
      <w:color w:val="000000"/>
      <w:sz w:val="22"/>
      <w:szCs w:val="22"/>
      <w:u w:val="none"/>
      <w:vertAlign w:val="superscript"/>
    </w:rPr>
  </w:style>
  <w:style w:type="character" w:customStyle="1" w:styleId="99">
    <w:name w:val="正文文本缩进 2 Char1"/>
    <w:semiHidden/>
    <w:qFormat/>
    <w:uiPriority w:val="99"/>
    <w:rPr>
      <w:kern w:val="2"/>
      <w:sz w:val="21"/>
    </w:rPr>
  </w:style>
  <w:style w:type="character" w:customStyle="1" w:styleId="100">
    <w:name w:val="批注文字 Char"/>
    <w:semiHidden/>
    <w:qFormat/>
    <w:uiPriority w:val="0"/>
    <w:rPr>
      <w:rFonts w:ascii="Times New Roman" w:hAnsi="Times New Roman"/>
      <w:kern w:val="2"/>
      <w:sz w:val="21"/>
      <w:szCs w:val="24"/>
    </w:rPr>
  </w:style>
  <w:style w:type="character" w:customStyle="1" w:styleId="101">
    <w:name w:val="displayarti"/>
    <w:basedOn w:val="46"/>
    <w:qFormat/>
    <w:uiPriority w:val="0"/>
    <w:rPr>
      <w:color w:val="FFFFFF"/>
      <w:shd w:val="clear" w:color="auto" w:fill="A00000"/>
    </w:rPr>
  </w:style>
  <w:style w:type="character" w:customStyle="1" w:styleId="102">
    <w:name w:val="font81"/>
    <w:qFormat/>
    <w:uiPriority w:val="0"/>
    <w:rPr>
      <w:rFonts w:hint="eastAsia" w:ascii="宋体" w:hAnsi="宋体" w:eastAsia="宋体" w:cs="宋体"/>
      <w:color w:val="000000"/>
      <w:sz w:val="20"/>
      <w:szCs w:val="20"/>
      <w:u w:val="none"/>
    </w:rPr>
  </w:style>
  <w:style w:type="character" w:customStyle="1" w:styleId="103">
    <w:name w:val="font61"/>
    <w:qFormat/>
    <w:uiPriority w:val="0"/>
    <w:rPr>
      <w:rFonts w:hint="eastAsia" w:ascii="宋体" w:hAnsi="宋体" w:eastAsia="宋体" w:cs="宋体"/>
      <w:color w:val="000000"/>
      <w:sz w:val="18"/>
      <w:szCs w:val="18"/>
      <w:u w:val="none"/>
    </w:rPr>
  </w:style>
  <w:style w:type="character" w:customStyle="1" w:styleId="104">
    <w:name w:val="next2"/>
    <w:basedOn w:val="46"/>
    <w:qFormat/>
    <w:uiPriority w:val="0"/>
    <w:rPr>
      <w:rFonts w:ascii="微软雅黑" w:hAnsi="微软雅黑" w:eastAsia="微软雅黑" w:cs="微软雅黑"/>
      <w:sz w:val="21"/>
      <w:szCs w:val="21"/>
    </w:rPr>
  </w:style>
  <w:style w:type="character" w:customStyle="1" w:styleId="105">
    <w:name w:val="批注主题 Char1"/>
    <w:basedOn w:val="67"/>
    <w:qFormat/>
    <w:uiPriority w:val="0"/>
  </w:style>
  <w:style w:type="character" w:customStyle="1" w:styleId="106">
    <w:name w:val="gjfg"/>
    <w:basedOn w:val="46"/>
    <w:qFormat/>
    <w:uiPriority w:val="0"/>
  </w:style>
  <w:style w:type="character" w:customStyle="1" w:styleId="107">
    <w:name w:val="next3"/>
    <w:basedOn w:val="46"/>
    <w:qFormat/>
    <w:uiPriority w:val="0"/>
    <w:rPr>
      <w:color w:val="888888"/>
    </w:rPr>
  </w:style>
  <w:style w:type="character" w:customStyle="1" w:styleId="108">
    <w:name w:val="Char Char Char"/>
    <w:qFormat/>
    <w:uiPriority w:val="0"/>
    <w:rPr>
      <w:rFonts w:ascii="宋体" w:hAnsi="Courier New" w:eastAsia="宋体"/>
      <w:sz w:val="21"/>
      <w:szCs w:val="21"/>
      <w:lang w:val="en-US" w:eastAsia="zh-CN" w:bidi="ar-SA"/>
    </w:rPr>
  </w:style>
  <w:style w:type="character" w:customStyle="1" w:styleId="109">
    <w:name w:val="正文文本缩进 Char1"/>
    <w:semiHidden/>
    <w:qFormat/>
    <w:uiPriority w:val="99"/>
    <w:rPr>
      <w:kern w:val="2"/>
      <w:sz w:val="21"/>
    </w:rPr>
  </w:style>
  <w:style w:type="character" w:customStyle="1" w:styleId="110">
    <w:name w:val="font41"/>
    <w:qFormat/>
    <w:uiPriority w:val="0"/>
    <w:rPr>
      <w:rFonts w:hint="eastAsia" w:ascii="宋体" w:hAnsi="宋体" w:eastAsia="宋体" w:cs="宋体"/>
      <w:color w:val="000000"/>
      <w:sz w:val="22"/>
      <w:szCs w:val="22"/>
      <w:u w:val="none"/>
    </w:rPr>
  </w:style>
  <w:style w:type="character" w:customStyle="1" w:styleId="111">
    <w:name w:val="纯文本 Char1"/>
    <w:semiHidden/>
    <w:qFormat/>
    <w:uiPriority w:val="99"/>
    <w:rPr>
      <w:rFonts w:ascii="宋体" w:hAnsi="Courier New" w:cs="Courier New"/>
      <w:kern w:val="2"/>
      <w:sz w:val="21"/>
      <w:szCs w:val="21"/>
    </w:rPr>
  </w:style>
  <w:style w:type="character" w:customStyle="1" w:styleId="112">
    <w:name w:val="font21"/>
    <w:qFormat/>
    <w:uiPriority w:val="0"/>
    <w:rPr>
      <w:rFonts w:hint="default" w:ascii="Arial" w:hAnsi="Arial" w:cs="Arial"/>
      <w:color w:val="000000"/>
      <w:sz w:val="20"/>
      <w:szCs w:val="20"/>
      <w:u w:val="none"/>
    </w:rPr>
  </w:style>
  <w:style w:type="character" w:customStyle="1" w:styleId="113">
    <w:name w:val="ca-6"/>
    <w:qFormat/>
    <w:uiPriority w:val="0"/>
    <w:rPr>
      <w:rFonts w:cs="Times New Roman"/>
    </w:rPr>
  </w:style>
  <w:style w:type="character" w:customStyle="1" w:styleId="114">
    <w:name w:val=" Char Char Char"/>
    <w:qFormat/>
    <w:uiPriority w:val="0"/>
    <w:rPr>
      <w:rFonts w:ascii="宋体" w:hAnsi="Courier New" w:eastAsia="宋体"/>
      <w:sz w:val="21"/>
      <w:szCs w:val="21"/>
      <w:lang w:val="en-US" w:eastAsia="zh-CN" w:bidi="ar-SA"/>
    </w:rPr>
  </w:style>
  <w:style w:type="character" w:customStyle="1" w:styleId="115">
    <w:name w:val="prev"/>
    <w:basedOn w:val="46"/>
    <w:qFormat/>
    <w:uiPriority w:val="0"/>
    <w:rPr>
      <w:rFonts w:hint="eastAsia" w:ascii="微软雅黑" w:hAnsi="微软雅黑" w:eastAsia="微软雅黑" w:cs="微软雅黑"/>
      <w:sz w:val="21"/>
      <w:szCs w:val="21"/>
    </w:rPr>
  </w:style>
  <w:style w:type="character" w:customStyle="1" w:styleId="116">
    <w:name w:val=" Char Char"/>
    <w:qFormat/>
    <w:uiPriority w:val="0"/>
    <w:rPr>
      <w:rFonts w:ascii="宋体" w:hAnsi="Courier New" w:eastAsia="宋体"/>
      <w:sz w:val="21"/>
      <w:szCs w:val="21"/>
      <w:lang w:val="en-US" w:eastAsia="zh-CN" w:bidi="ar-SA"/>
    </w:rPr>
  </w:style>
  <w:style w:type="character" w:customStyle="1" w:styleId="117">
    <w:name w:val="Texte Char Char"/>
    <w:qFormat/>
    <w:uiPriority w:val="0"/>
    <w:rPr>
      <w:rFonts w:ascii="宋体" w:hAnsi="Courier New" w:eastAsia="宋体"/>
      <w:sz w:val="21"/>
      <w:szCs w:val="21"/>
      <w:lang w:val="en-US" w:eastAsia="zh-CN" w:bidi="ar-SA"/>
    </w:rPr>
  </w:style>
  <w:style w:type="character" w:customStyle="1" w:styleId="118">
    <w:name w:val="font71"/>
    <w:qFormat/>
    <w:uiPriority w:val="0"/>
    <w:rPr>
      <w:rFonts w:hint="default" w:ascii="Arial" w:hAnsi="Arial" w:cs="Arial"/>
      <w:color w:val="000000"/>
      <w:sz w:val="22"/>
      <w:szCs w:val="22"/>
      <w:u w:val="none"/>
    </w:rPr>
  </w:style>
  <w:style w:type="character" w:customStyle="1" w:styleId="119">
    <w:name w:val="font31"/>
    <w:qFormat/>
    <w:uiPriority w:val="0"/>
    <w:rPr>
      <w:rFonts w:hint="eastAsia" w:ascii="宋体" w:hAnsi="宋体" w:eastAsia="宋体" w:cs="宋体"/>
      <w:color w:val="000000"/>
      <w:sz w:val="22"/>
      <w:szCs w:val="22"/>
      <w:u w:val="none"/>
    </w:rPr>
  </w:style>
  <w:style w:type="character" w:customStyle="1" w:styleId="120">
    <w:name w:val="列出段落 Char"/>
    <w:link w:val="121"/>
    <w:qFormat/>
    <w:uiPriority w:val="0"/>
    <w:rPr>
      <w:rFonts w:ascii="Calibri" w:hAnsi="Calibri"/>
      <w:kern w:val="2"/>
      <w:sz w:val="21"/>
      <w:szCs w:val="22"/>
    </w:rPr>
  </w:style>
  <w:style w:type="paragraph" w:styleId="121">
    <w:name w:val="List Paragraph"/>
    <w:basedOn w:val="1"/>
    <w:link w:val="120"/>
    <w:qFormat/>
    <w:uiPriority w:val="0"/>
    <w:pPr>
      <w:ind w:firstLine="420" w:firstLineChars="200"/>
    </w:pPr>
    <w:rPr>
      <w:rFonts w:ascii="Calibri" w:hAnsi="Calibri"/>
      <w:szCs w:val="22"/>
    </w:rPr>
  </w:style>
  <w:style w:type="character" w:customStyle="1" w:styleId="122">
    <w:name w:val="prev3"/>
    <w:basedOn w:val="46"/>
    <w:qFormat/>
    <w:uiPriority w:val="0"/>
    <w:rPr>
      <w:rFonts w:ascii="微软雅黑" w:hAnsi="微软雅黑" w:eastAsia="微软雅黑" w:cs="微软雅黑"/>
      <w:sz w:val="21"/>
      <w:szCs w:val="21"/>
    </w:rPr>
  </w:style>
  <w:style w:type="character" w:customStyle="1" w:styleId="123">
    <w:name w:val="px141"/>
    <w:qFormat/>
    <w:uiPriority w:val="0"/>
    <w:rPr>
      <w:sz w:val="21"/>
      <w:szCs w:val="21"/>
    </w:rPr>
  </w:style>
  <w:style w:type="character" w:customStyle="1" w:styleId="124">
    <w:name w:val="qxdate"/>
    <w:basedOn w:val="46"/>
    <w:qFormat/>
    <w:uiPriority w:val="0"/>
    <w:rPr>
      <w:color w:val="333333"/>
      <w:sz w:val="18"/>
      <w:szCs w:val="18"/>
    </w:rPr>
  </w:style>
  <w:style w:type="character" w:customStyle="1" w:styleId="125">
    <w:name w:val="b2"/>
    <w:qFormat/>
    <w:uiPriority w:val="0"/>
  </w:style>
  <w:style w:type="character" w:customStyle="1" w:styleId="126">
    <w:name w:val="font101"/>
    <w:qFormat/>
    <w:uiPriority w:val="0"/>
    <w:rPr>
      <w:rFonts w:hint="eastAsia" w:ascii="宋体" w:hAnsi="宋体" w:eastAsia="宋体" w:cs="宋体"/>
      <w:color w:val="000000"/>
      <w:sz w:val="22"/>
      <w:szCs w:val="22"/>
      <w:u w:val="none"/>
    </w:rPr>
  </w:style>
  <w:style w:type="paragraph" w:customStyle="1" w:styleId="12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128">
    <w:name w:val="实施方案3"/>
    <w:basedOn w:val="1"/>
    <w:qFormat/>
    <w:uiPriority w:val="0"/>
    <w:pPr>
      <w:keepNext/>
      <w:keepLines/>
      <w:spacing w:before="100" w:after="100" w:line="600" w:lineRule="exact"/>
      <w:ind w:left="-560" w:leftChars="-200" w:firstLine="602"/>
      <w:contextualSpacing/>
      <w:outlineLvl w:val="2"/>
    </w:pPr>
    <w:rPr>
      <w:rFonts w:ascii="Times New Roman" w:hAnsi="Times New Roman" w:eastAsia="黑体" w:cs="Times New Roman"/>
      <w:b/>
      <w:sz w:val="30"/>
      <w:szCs w:val="20"/>
    </w:rPr>
  </w:style>
  <w:style w:type="paragraph" w:customStyle="1" w:styleId="129">
    <w:name w:val="默认段落字体 Para Char Char Char Char Char Char Char"/>
    <w:basedOn w:val="1"/>
    <w:qFormat/>
    <w:uiPriority w:val="0"/>
    <w:pPr>
      <w:adjustRightInd w:val="0"/>
      <w:spacing w:line="360" w:lineRule="auto"/>
    </w:pPr>
    <w:rPr>
      <w:rFonts w:ascii="Tahoma" w:hAnsi="Tahoma"/>
      <w:kern w:val="0"/>
      <w:sz w:val="24"/>
    </w:rPr>
  </w:style>
  <w:style w:type="paragraph" w:customStyle="1" w:styleId="130">
    <w:name w:val="样式 表内正文 + 五号 行距: 单倍行距"/>
    <w:basedOn w:val="1"/>
    <w:qFormat/>
    <w:uiPriority w:val="0"/>
    <w:pPr>
      <w:adjustRightInd w:val="0"/>
      <w:snapToGrid w:val="0"/>
    </w:pPr>
    <w:rPr>
      <w:rFonts w:ascii="Arial" w:hAnsi="Arial" w:cs="宋体"/>
    </w:rPr>
  </w:style>
  <w:style w:type="paragraph" w:customStyle="1" w:styleId="131">
    <w:name w:val="tabletext"/>
    <w:basedOn w:val="1"/>
    <w:qFormat/>
    <w:uiPriority w:val="0"/>
    <w:pPr>
      <w:widowControl/>
      <w:snapToGrid w:val="0"/>
      <w:spacing w:before="80" w:after="80"/>
      <w:jc w:val="left"/>
    </w:pPr>
    <w:rPr>
      <w:rFonts w:ascii="Arial" w:hAnsi="Arial" w:cs="Arial"/>
      <w:kern w:val="0"/>
      <w:sz w:val="18"/>
      <w:szCs w:val="18"/>
    </w:rPr>
  </w:style>
  <w:style w:type="paragraph" w:customStyle="1" w:styleId="132">
    <w:name w:val=" Char Char4"/>
    <w:basedOn w:val="1"/>
    <w:qFormat/>
    <w:uiPriority w:val="0"/>
  </w:style>
  <w:style w:type="paragraph" w:customStyle="1" w:styleId="133">
    <w:name w:val="正文 A"/>
    <w:qFormat/>
    <w:uiPriority w:val="0"/>
    <w:rPr>
      <w:rFonts w:hint="eastAsia" w:ascii="Arial Unicode MS" w:hAnsi="Arial Unicode MS" w:eastAsia="Arial Unicode MS" w:cs="Arial Unicode MS"/>
      <w:color w:val="000000"/>
      <w:sz w:val="22"/>
      <w:szCs w:val="22"/>
      <w:u w:val="none" w:color="000000"/>
      <w:lang w:val="zh-TW" w:eastAsia="zh-TW" w:bidi="ar-SA"/>
    </w:rPr>
  </w:style>
  <w:style w:type="paragraph" w:customStyle="1" w:styleId="134">
    <w:name w:val="Char Char"/>
    <w:basedOn w:val="1"/>
    <w:qFormat/>
    <w:uiPriority w:val="0"/>
    <w:rPr>
      <w:rFonts w:ascii="仿宋_GB2312" w:eastAsia="仿宋_GB2312"/>
      <w:b/>
      <w:sz w:val="32"/>
      <w:szCs w:val="32"/>
    </w:rPr>
  </w:style>
  <w:style w:type="paragraph" w:customStyle="1" w:styleId="135">
    <w:name w:val="正文－恩普"/>
    <w:basedOn w:val="12"/>
    <w:qFormat/>
    <w:uiPriority w:val="0"/>
    <w:pPr>
      <w:widowControl/>
      <w:spacing w:before="100" w:beforeAutospacing="1" w:after="100" w:afterLines="50" w:afterAutospacing="1" w:line="360" w:lineRule="auto"/>
      <w:ind w:firstLine="480"/>
      <w:jc w:val="left"/>
    </w:pPr>
    <w:rPr>
      <w:rFonts w:ascii="仿宋_GB2312" w:hAnsi="宋体" w:eastAsia="仿宋_GB2312" w:cs="宋体"/>
      <w:b/>
      <w:bCs/>
      <w:color w:val="000000"/>
      <w:kern w:val="0"/>
      <w:sz w:val="24"/>
    </w:rPr>
  </w:style>
  <w:style w:type="paragraph" w:customStyle="1" w:styleId="136">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7">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8">
    <w:name w:val="保留正文"/>
    <w:basedOn w:val="5"/>
    <w:qFormat/>
    <w:uiPriority w:val="0"/>
    <w:pPr>
      <w:keepNext/>
      <w:spacing w:after="160"/>
    </w:pPr>
    <w:rPr>
      <w:lang w:val="en-US" w:eastAsia="zh-CN"/>
    </w:rPr>
  </w:style>
  <w:style w:type="paragraph" w:customStyle="1" w:styleId="139">
    <w:name w:val="List Paragraph1"/>
    <w:basedOn w:val="1"/>
    <w:qFormat/>
    <w:uiPriority w:val="0"/>
    <w:pPr>
      <w:ind w:firstLine="420" w:firstLineChars="200"/>
    </w:pPr>
  </w:style>
  <w:style w:type="paragraph" w:customStyle="1" w:styleId="140">
    <w:name w:val="BodyText1I2"/>
    <w:basedOn w:val="141"/>
    <w:qFormat/>
    <w:uiPriority w:val="0"/>
    <w:pPr>
      <w:spacing w:after="120" w:line="240" w:lineRule="auto"/>
      <w:ind w:left="420" w:leftChars="200" w:firstLine="420" w:firstLineChars="200"/>
      <w:jc w:val="both"/>
      <w:textAlignment w:val="baseline"/>
    </w:pPr>
  </w:style>
  <w:style w:type="paragraph" w:customStyle="1" w:styleId="141">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142">
    <w:name w:val="Char Char5"/>
    <w:basedOn w:val="1"/>
    <w:qFormat/>
    <w:uiPriority w:val="0"/>
  </w:style>
  <w:style w:type="paragraph" w:customStyle="1" w:styleId="143">
    <w:name w:val="简单回函地址"/>
    <w:basedOn w:val="1"/>
    <w:qFormat/>
    <w:uiPriority w:val="0"/>
    <w:rPr>
      <w:szCs w:val="24"/>
    </w:rPr>
  </w:style>
  <w:style w:type="paragraph" w:customStyle="1" w:styleId="144">
    <w:name w:val="文档正文"/>
    <w:basedOn w:val="1"/>
    <w:qFormat/>
    <w:uiPriority w:val="0"/>
    <w:pPr>
      <w:adjustRightInd w:val="0"/>
      <w:spacing w:line="312" w:lineRule="atLeast"/>
      <w:ind w:firstLine="567"/>
      <w:textAlignment w:val="baseline"/>
    </w:pPr>
    <w:rPr>
      <w:rFonts w:ascii="长城仿宋" w:eastAsia="长城仿宋"/>
      <w:b/>
      <w:kern w:val="0"/>
      <w:sz w:val="28"/>
      <w:szCs w:val="24"/>
    </w:rPr>
  </w:style>
  <w:style w:type="paragraph" w:customStyle="1" w:styleId="14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146">
    <w:name w:val="列表内容"/>
    <w:next w:val="1"/>
    <w:qFormat/>
    <w:uiPriority w:val="0"/>
    <w:pPr>
      <w:tabs>
        <w:tab w:val="left" w:pos="360"/>
      </w:tabs>
    </w:pPr>
    <w:rPr>
      <w:rFonts w:ascii="Times New Roman" w:hAnsi="Times New Roman" w:eastAsia="Arial Unicode MS" w:cs="Arial Unicode MS"/>
      <w:color w:val="000000"/>
      <w:sz w:val="18"/>
      <w:szCs w:val="18"/>
      <w:u w:val="none" w:color="000000"/>
      <w:lang w:val="en-US" w:eastAsia="zh-CN" w:bidi="ar-SA"/>
    </w:rPr>
  </w:style>
  <w:style w:type="paragraph" w:customStyle="1" w:styleId="147">
    <w:name w:val="Char Char Char Char Char Char Char Char Char1 Char"/>
    <w:basedOn w:val="1"/>
    <w:qFormat/>
    <w:uiPriority w:val="0"/>
  </w:style>
  <w:style w:type="paragraph" w:customStyle="1" w:styleId="148">
    <w:name w:val=" Char Char Char Char Char Char Char Char Char Char Char Char Char"/>
    <w:basedOn w:val="1"/>
    <w:qFormat/>
    <w:uiPriority w:val="0"/>
    <w:rPr>
      <w:rFonts w:ascii="Tahoma" w:hAnsi="Tahoma"/>
      <w:sz w:val="24"/>
    </w:rPr>
  </w:style>
  <w:style w:type="paragraph" w:customStyle="1" w:styleId="149">
    <w:name w:val="Char Char51"/>
    <w:basedOn w:val="1"/>
    <w:qFormat/>
    <w:uiPriority w:val="0"/>
  </w:style>
  <w:style w:type="paragraph" w:customStyle="1" w:styleId="150">
    <w:name w:val="样式35"/>
    <w:qFormat/>
    <w:uiPriority w:val="0"/>
    <w:pPr>
      <w:keepNext/>
      <w:keepLines/>
      <w:pageBreakBefore/>
      <w:widowControl w:val="0"/>
      <w:spacing w:before="340" w:after="330" w:line="360" w:lineRule="auto"/>
      <w:ind w:left="431" w:hanging="431"/>
      <w:jc w:val="both"/>
      <w:outlineLvl w:val="0"/>
    </w:pPr>
    <w:rPr>
      <w:rFonts w:ascii="微软雅黑" w:hAnsi="微软雅黑" w:eastAsia="微软雅黑" w:cs="微软雅黑"/>
      <w:color w:val="000000"/>
      <w:kern w:val="44"/>
      <w:sz w:val="30"/>
      <w:szCs w:val="30"/>
      <w:u w:val="none" w:color="000000"/>
      <w:lang w:val="en-US" w:eastAsia="zh-CN" w:bidi="ar-SA"/>
    </w:rPr>
  </w:style>
  <w:style w:type="paragraph" w:customStyle="1" w:styleId="151">
    <w:name w:val="_Style 1"/>
    <w:basedOn w:val="1"/>
    <w:qFormat/>
    <w:uiPriority w:val="34"/>
    <w:pPr>
      <w:ind w:firstLine="420" w:firstLineChars="200"/>
    </w:pPr>
    <w:rPr>
      <w:szCs w:val="22"/>
    </w:rPr>
  </w:style>
  <w:style w:type="paragraph" w:customStyle="1" w:styleId="152">
    <w:name w:val="列出段落1"/>
    <w:basedOn w:val="1"/>
    <w:qFormat/>
    <w:uiPriority w:val="0"/>
    <w:pPr>
      <w:spacing w:line="360" w:lineRule="auto"/>
      <w:ind w:firstLine="420" w:firstLineChars="200"/>
    </w:pPr>
    <w:rPr>
      <w:rFonts w:eastAsia="幼圆"/>
      <w:sz w:val="24"/>
    </w:rPr>
  </w:style>
  <w:style w:type="paragraph" w:customStyle="1" w:styleId="153">
    <w:name w:val=" Char Char Char Char Char Char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15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55">
    <w:name w:val="Char Char Char Char Char Char Char"/>
    <w:basedOn w:val="1"/>
    <w:qFormat/>
    <w:uiPriority w:val="0"/>
    <w:rPr>
      <w:rFonts w:ascii="仿宋_GB2312" w:eastAsia="仿宋_GB2312"/>
      <w:b/>
      <w:sz w:val="32"/>
      <w:szCs w:val="32"/>
    </w:rPr>
  </w:style>
  <w:style w:type="paragraph" w:customStyle="1" w:styleId="156">
    <w:name w:val=" Char Char Char Char"/>
    <w:basedOn w:val="21"/>
    <w:qFormat/>
    <w:uiPriority w:val="0"/>
    <w:pPr>
      <w:widowControl w:val="0"/>
      <w:shd w:val="clear" w:color="auto" w:fill="000080"/>
      <w:adjustRightInd/>
      <w:snapToGrid/>
      <w:spacing w:after="0"/>
      <w:jc w:val="both"/>
    </w:pPr>
    <w:rPr>
      <w:rFonts w:ascii="Tahoma"/>
      <w:kern w:val="2"/>
      <w:sz w:val="24"/>
      <w:szCs w:val="24"/>
      <w:lang w:val="en-US" w:eastAsia="zh-CN"/>
    </w:rPr>
  </w:style>
  <w:style w:type="paragraph" w:customStyle="1" w:styleId="157">
    <w:name w:val="Char Char Char Char Char Char Char Char Char1 Char1"/>
    <w:basedOn w:val="1"/>
    <w:qFormat/>
    <w:uiPriority w:val="0"/>
  </w:style>
  <w:style w:type="paragraph" w:customStyle="1" w:styleId="158">
    <w:name w:val="Char Char Char Char Char Char Char Char Char Char Char Char Char"/>
    <w:basedOn w:val="1"/>
    <w:qFormat/>
    <w:uiPriority w:val="0"/>
    <w:rPr>
      <w:rFonts w:ascii="Tahoma" w:hAnsi="Tahoma"/>
      <w:sz w:val="24"/>
    </w:rPr>
  </w:style>
  <w:style w:type="paragraph" w:customStyle="1" w:styleId="159">
    <w:name w:val="样式 正文文本缩进 + 左  0 字符"/>
    <w:basedOn w:val="24"/>
    <w:qFormat/>
    <w:uiPriority w:val="0"/>
    <w:pPr>
      <w:spacing w:after="0"/>
      <w:ind w:left="0" w:leftChars="0" w:firstLine="250" w:firstLineChars="250"/>
    </w:pPr>
    <w:rPr>
      <w:rFonts w:ascii="仿宋_GB2312" w:hAnsi="Times New Roman" w:eastAsia="仿宋_GB2312" w:cs="宋体"/>
      <w:sz w:val="30"/>
      <w:szCs w:val="20"/>
    </w:rPr>
  </w:style>
  <w:style w:type="paragraph" w:customStyle="1" w:styleId="160">
    <w:name w:val="样式1"/>
    <w:basedOn w:val="1"/>
    <w:qFormat/>
    <w:uiPriority w:val="0"/>
    <w:rPr>
      <w:szCs w:val="21"/>
    </w:rPr>
  </w:style>
  <w:style w:type="paragraph" w:customStyle="1" w:styleId="16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62">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3">
    <w:name w:val="图表"/>
    <w:basedOn w:val="1"/>
    <w:qFormat/>
    <w:uiPriority w:val="0"/>
    <w:pPr>
      <w:spacing w:line="360" w:lineRule="auto"/>
      <w:ind w:firstLine="0" w:firstLineChars="0"/>
      <w:jc w:val="center"/>
    </w:pPr>
    <w:rPr>
      <w:rFonts w:ascii="宋体" w:hAnsi="宋体" w:cs="黑体"/>
      <w:b/>
      <w:sz w:val="24"/>
      <w:szCs w:val="21"/>
    </w:rPr>
  </w:style>
  <w:style w:type="paragraph" w:customStyle="1" w:styleId="164">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65">
    <w:name w:val="Table Description"/>
    <w:basedOn w:val="1"/>
    <w:qFormat/>
    <w:uiPriority w:val="0"/>
    <w:pPr>
      <w:ind w:left="1701"/>
    </w:pPr>
  </w:style>
  <w:style w:type="paragraph" w:customStyle="1" w:styleId="166">
    <w:name w:val=" Char Char Char Char Char Char Char"/>
    <w:basedOn w:val="1"/>
    <w:qFormat/>
    <w:uiPriority w:val="0"/>
    <w:rPr>
      <w:rFonts w:ascii="仿宋_GB2312" w:eastAsia="仿宋_GB2312"/>
      <w:b/>
      <w:sz w:val="32"/>
      <w:szCs w:val="32"/>
    </w:rPr>
  </w:style>
  <w:style w:type="paragraph" w:customStyle="1" w:styleId="167">
    <w:name w:val="_Style 9"/>
    <w:basedOn w:val="1"/>
    <w:qFormat/>
    <w:uiPriority w:val="0"/>
  </w:style>
  <w:style w:type="paragraph" w:customStyle="1" w:styleId="168">
    <w:name w:val="[Normal]"/>
    <w:qFormat/>
    <w:uiPriority w:val="0"/>
    <w:rPr>
      <w:rFonts w:ascii="宋体" w:hAnsi="宋体" w:eastAsia="Calibri" w:cs="Times New Roman"/>
      <w:sz w:val="24"/>
      <w:lang w:val="en-US" w:eastAsia="en-US" w:bidi="ar-SA"/>
    </w:rPr>
  </w:style>
  <w:style w:type="paragraph" w:customStyle="1" w:styleId="169">
    <w:name w:val="DB4CB73DC6DE4D1C91CC9795A5C1FE49"/>
    <w:qFormat/>
    <w:uiPriority w:val="0"/>
    <w:pPr>
      <w:spacing w:after="200" w:line="276" w:lineRule="auto"/>
    </w:pPr>
    <w:rPr>
      <w:rFonts w:ascii="Times New Roman" w:hAnsi="Times New Roman" w:eastAsia="宋体" w:cs="Times New Roman"/>
      <w:sz w:val="22"/>
      <w:szCs w:val="22"/>
      <w:lang w:val="en-US" w:eastAsia="en-US" w:bidi="ar-SA"/>
    </w:rPr>
  </w:style>
  <w:style w:type="paragraph" w:customStyle="1" w:styleId="170">
    <w:name w:val="Table Paragraph"/>
    <w:basedOn w:val="1"/>
    <w:qFormat/>
    <w:uiPriority w:val="1"/>
    <w:rPr>
      <w:rFonts w:ascii="宋体" w:hAnsi="宋体" w:eastAsia="宋体" w:cs="宋体"/>
      <w:lang w:val="zh-CN" w:eastAsia="zh-CN" w:bidi="zh-CN"/>
    </w:rPr>
  </w:style>
  <w:style w:type="paragraph" w:customStyle="1" w:styleId="171">
    <w:name w:val=" Char3"/>
    <w:basedOn w:val="21"/>
    <w:qFormat/>
    <w:uiPriority w:val="0"/>
    <w:pPr>
      <w:widowControl w:val="0"/>
      <w:shd w:val="clear" w:color="auto" w:fill="000080"/>
      <w:adjustRightInd/>
      <w:snapToGrid/>
      <w:spacing w:after="0"/>
      <w:jc w:val="both"/>
    </w:pPr>
    <w:rPr>
      <w:rFonts w:ascii="Times New Roman" w:hAnsi="Times New Roman"/>
      <w:kern w:val="2"/>
      <w:sz w:val="21"/>
      <w:szCs w:val="24"/>
      <w:lang w:val="en-US" w:eastAsia="zh-CN"/>
    </w:rPr>
  </w:style>
  <w:style w:type="paragraph" w:customStyle="1" w:styleId="172">
    <w:name w:val=" Char Char Char Char Char Char Char Char Char1 Char"/>
    <w:basedOn w:val="1"/>
    <w:qFormat/>
    <w:uiPriority w:val="0"/>
  </w:style>
  <w:style w:type="paragraph" w:customStyle="1" w:styleId="173">
    <w:name w:val="一般文字"/>
    <w:basedOn w:val="1"/>
    <w:qFormat/>
    <w:uiPriority w:val="0"/>
    <w:pPr>
      <w:tabs>
        <w:tab w:val="left" w:pos="463"/>
      </w:tabs>
    </w:pPr>
    <w:rPr>
      <w:rFonts w:hAnsi="Plotter" w:cs="Plotter"/>
      <w:bCs/>
      <w:kern w:val="2"/>
      <w:sz w:val="24"/>
      <w:szCs w:val="24"/>
    </w:rPr>
  </w:style>
  <w:style w:type="paragraph" w:customStyle="1" w:styleId="17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175">
    <w:name w:val="正文 A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76">
    <w:name w:val="首行缩进"/>
    <w:basedOn w:val="1"/>
    <w:qFormat/>
    <w:uiPriority w:val="0"/>
    <w:pPr>
      <w:spacing w:line="360" w:lineRule="auto"/>
      <w:ind w:firstLine="480" w:firstLineChars="200"/>
    </w:pPr>
    <w:rPr>
      <w:sz w:val="24"/>
      <w:lang w:val="zh-CN"/>
    </w:rPr>
  </w:style>
  <w:style w:type="paragraph" w:customStyle="1" w:styleId="177">
    <w:name w:val="缺省文本"/>
    <w:basedOn w:val="1"/>
    <w:qFormat/>
    <w:uiPriority w:val="0"/>
    <w:pPr>
      <w:autoSpaceDE w:val="0"/>
      <w:autoSpaceDN w:val="0"/>
      <w:adjustRightInd w:val="0"/>
      <w:jc w:val="left"/>
    </w:pPr>
    <w:rPr>
      <w:kern w:val="0"/>
      <w:sz w:val="24"/>
    </w:rPr>
  </w:style>
  <w:style w:type="paragraph" w:customStyle="1" w:styleId="178">
    <w:name w:val="table_1stline"/>
    <w:basedOn w:val="1"/>
    <w:qFormat/>
    <w:uiPriority w:val="0"/>
    <w:pPr>
      <w:widowControl/>
      <w:spacing w:before="120"/>
      <w:jc w:val="left"/>
    </w:pPr>
    <w:rPr>
      <w:bCs/>
      <w:kern w:val="0"/>
      <w:sz w:val="20"/>
      <w:lang w:val="de-DE" w:eastAsia="de-DE"/>
    </w:rPr>
  </w:style>
  <w:style w:type="paragraph" w:customStyle="1" w:styleId="179">
    <w:name w:val=" Char3 Char Char Char Char Char Char"/>
    <w:basedOn w:val="1"/>
    <w:qFormat/>
    <w:uiPriority w:val="0"/>
    <w:rPr>
      <w:rFonts w:ascii="仿宋_GB2312" w:hAnsi="宋体" w:eastAsia="仿宋_GB2312" w:cs="宋体"/>
      <w:b/>
      <w:bCs/>
      <w:color w:val="000000"/>
      <w:kern w:val="0"/>
      <w:szCs w:val="21"/>
    </w:rPr>
  </w:style>
  <w:style w:type="paragraph" w:customStyle="1" w:styleId="180">
    <w:name w:val="Default"/>
    <w:next w:val="136"/>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1">
    <w:name w:val=" Char1"/>
    <w:basedOn w:val="1"/>
    <w:qFormat/>
    <w:uiPriority w:val="0"/>
    <w:rPr>
      <w:rFonts w:ascii="仿宋_GB2312" w:eastAsia="仿宋_GB2312"/>
      <w:b/>
      <w:sz w:val="32"/>
      <w:szCs w:val="32"/>
    </w:rPr>
  </w:style>
  <w:style w:type="paragraph" w:customStyle="1" w:styleId="182">
    <w:name w:val="Figure Description"/>
    <w:basedOn w:val="1"/>
    <w:qFormat/>
    <w:uiPriority w:val="0"/>
    <w:pPr>
      <w:ind w:left="1701"/>
    </w:pPr>
  </w:style>
  <w:style w:type="paragraph" w:customStyle="1" w:styleId="183">
    <w:name w:val="普通(网站)11"/>
    <w:basedOn w:val="1"/>
    <w:qFormat/>
    <w:uiPriority w:val="0"/>
    <w:pPr>
      <w:widowControl/>
      <w:spacing w:beforeAutospacing="1" w:afterAutospacing="1"/>
      <w:jc w:val="left"/>
    </w:pPr>
    <w:rPr>
      <w:rFonts w:ascii="宋体" w:hAnsi="宋体"/>
      <w:kern w:val="0"/>
      <w:sz w:val="24"/>
      <w:szCs w:val="24"/>
    </w:rPr>
  </w:style>
  <w:style w:type="table" w:customStyle="1" w:styleId="184">
    <w:name w:val="Table Normal"/>
    <w:qFormat/>
    <w:uiPriority w:val="0"/>
    <w:rPr>
      <w:lang w:val="en-US" w:eastAsia="zh-CN" w:bidi="ar-SA"/>
    </w:rPr>
    <w:tblPr>
      <w:tblCellMar>
        <w:top w:w="0" w:type="dxa"/>
        <w:left w:w="0" w:type="dxa"/>
        <w:bottom w:w="0" w:type="dxa"/>
        <w:right w:w="0" w:type="dxa"/>
      </w:tblCellMar>
    </w:tblPr>
  </w:style>
  <w:style w:type="character" w:customStyle="1" w:styleId="185">
    <w:name w:val="font112"/>
    <w:basedOn w:val="46"/>
    <w:qFormat/>
    <w:uiPriority w:val="0"/>
    <w:rPr>
      <w:rFonts w:hint="default" w:ascii="Times New Roman" w:hAnsi="Times New Roman" w:cs="Times New Roman"/>
      <w:color w:val="000000"/>
      <w:sz w:val="20"/>
      <w:szCs w:val="20"/>
      <w:u w:val="none"/>
      <w:vertAlign w:val="superscript"/>
    </w:rPr>
  </w:style>
  <w:style w:type="character" w:customStyle="1" w:styleId="186">
    <w:name w:val="font121"/>
    <w:basedOn w:val="46"/>
    <w:qFormat/>
    <w:uiPriority w:val="0"/>
    <w:rPr>
      <w:rFonts w:hint="default" w:ascii="Times New Roman" w:hAnsi="Times New Roman" w:cs="Times New Roman"/>
      <w:color w:val="000000"/>
      <w:sz w:val="24"/>
      <w:szCs w:val="24"/>
      <w:u w:val="none"/>
      <w:vertAlign w:val="superscript"/>
    </w:rPr>
  </w:style>
  <w:style w:type="paragraph" w:customStyle="1" w:styleId="187">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88">
    <w:name w:val="列出段落2"/>
    <w:basedOn w:val="1"/>
    <w:qFormat/>
    <w:uiPriority w:val="0"/>
    <w:pPr>
      <w:widowControl/>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LM</Company>
  <Pages>99</Pages>
  <Words>19065</Words>
  <Characters>22237</Characters>
  <Lines>345</Lines>
  <Paragraphs>97</Paragraphs>
  <TotalTime>6</TotalTime>
  <ScaleCrop>false</ScaleCrop>
  <LinksUpToDate>false</LinksUpToDate>
  <CharactersWithSpaces>23157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2017-06-09T01:39:00Z</dcterms:created>
  <dc:creator>Windows 用户</dc:creator>
  <cp:keywords>龙港市校园工程</cp:keywords>
  <cp:lastModifiedBy>秋水意</cp:lastModifiedBy>
  <cp:lastPrinted>2020-10-29T11:48:00Z</cp:lastPrinted>
  <dcterms:modified xsi:type="dcterms:W3CDTF">2024-10-30T07:00:07Z</dcterms:modified>
  <dc:subject>竞争性磋商</dc:subject>
  <dc:title>龙港市政府采购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046A9CE2CCE748C2B56197CE647BDACE_13</vt:lpwstr>
  </property>
</Properties>
</file>