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6"/>
        <w:tblW w:w="97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6"/>
      </w:tblGrid>
      <w:tr w14:paraId="33D6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2" w:hRule="atLeast"/>
        </w:trPr>
        <w:tc>
          <w:tcPr>
            <w:tcW w:w="9736" w:type="dxa"/>
          </w:tcPr>
          <w:p w14:paraId="43E74260">
            <w:pPr>
              <w:keepNext w:val="0"/>
              <w:keepLines w:val="0"/>
              <w:suppressLineNumbers w:val="0"/>
              <w:spacing w:before="0" w:beforeAutospacing="0" w:after="0" w:afterAutospacing="0"/>
              <w:ind w:left="0" w:right="0"/>
              <w:jc w:val="center"/>
              <w:rPr>
                <w:rFonts w:hint="default" w:ascii="宋体" w:hAnsi="Calibri" w:cs="宋体"/>
                <w:b/>
                <w:bCs/>
                <w:color w:val="auto"/>
                <w:sz w:val="52"/>
                <w:szCs w:val="52"/>
                <w:highlight w:val="none"/>
              </w:rPr>
            </w:pPr>
          </w:p>
          <w:p w14:paraId="72BE3E99">
            <w:pPr>
              <w:keepNext w:val="0"/>
              <w:keepLines w:val="0"/>
              <w:suppressLineNumbers w:val="0"/>
              <w:spacing w:before="0" w:beforeAutospacing="0" w:after="0" w:afterAutospacing="0"/>
              <w:ind w:left="0" w:right="0"/>
              <w:jc w:val="center"/>
              <w:rPr>
                <w:rFonts w:hint="default" w:ascii="宋体" w:hAnsi="Calibri" w:cs="宋体"/>
                <w:b/>
                <w:bCs/>
                <w:color w:val="auto"/>
                <w:sz w:val="52"/>
                <w:szCs w:val="52"/>
                <w:highlight w:val="none"/>
              </w:rPr>
            </w:pPr>
          </w:p>
          <w:p w14:paraId="1B4305C0">
            <w:pPr>
              <w:keepNext w:val="0"/>
              <w:keepLines w:val="0"/>
              <w:suppressLineNumbers w:val="0"/>
              <w:spacing w:before="0" w:beforeAutospacing="0" w:after="0" w:afterAutospacing="0"/>
              <w:ind w:left="0" w:right="0"/>
              <w:jc w:val="center"/>
              <w:rPr>
                <w:rFonts w:hint="default" w:ascii="宋体" w:hAnsi="Calibri" w:cs="宋体"/>
                <w:b/>
                <w:bCs/>
                <w:color w:val="auto"/>
                <w:sz w:val="52"/>
                <w:szCs w:val="52"/>
                <w:highlight w:val="none"/>
              </w:rPr>
            </w:pPr>
          </w:p>
          <w:p w14:paraId="32FAED38">
            <w:pPr>
              <w:keepNext w:val="0"/>
              <w:keepLines w:val="0"/>
              <w:suppressLineNumbers w:val="0"/>
              <w:spacing w:before="0" w:beforeAutospacing="0" w:after="0" w:afterAutospacing="0"/>
              <w:ind w:left="0" w:right="0"/>
              <w:jc w:val="center"/>
              <w:rPr>
                <w:rFonts w:hint="default" w:ascii="宋体" w:hAnsi="宋体"/>
                <w:b/>
                <w:color w:val="auto"/>
                <w:kern w:val="0"/>
                <w:sz w:val="52"/>
                <w:szCs w:val="52"/>
                <w:highlight w:val="none"/>
              </w:rPr>
            </w:pPr>
            <w:r>
              <w:rPr>
                <w:rFonts w:hint="eastAsia" w:ascii="宋体" w:hAnsi="宋体"/>
                <w:b/>
                <w:color w:val="auto"/>
                <w:kern w:val="0"/>
                <w:sz w:val="52"/>
                <w:szCs w:val="52"/>
                <w:highlight w:val="none"/>
              </w:rPr>
              <w:t>温州市洞头区政府采购</w:t>
            </w:r>
          </w:p>
          <w:p w14:paraId="1AB168F6">
            <w:pPr>
              <w:keepNext w:val="0"/>
              <w:keepLines w:val="0"/>
              <w:suppressLineNumbers w:val="0"/>
              <w:spacing w:before="0" w:beforeAutospacing="0" w:after="0" w:afterAutospacing="0" w:line="460" w:lineRule="atLeast"/>
              <w:ind w:left="0" w:right="0"/>
              <w:jc w:val="center"/>
              <w:rPr>
                <w:rFonts w:hint="default" w:ascii="宋体" w:hAnsi="宋体"/>
                <w:b/>
                <w:color w:val="auto"/>
                <w:kern w:val="0"/>
                <w:sz w:val="52"/>
                <w:szCs w:val="52"/>
                <w:highlight w:val="none"/>
              </w:rPr>
            </w:pPr>
            <w:r>
              <w:rPr>
                <w:rFonts w:hint="eastAsia" w:ascii="宋体" w:hAnsi="宋体"/>
                <w:b/>
                <w:color w:val="auto"/>
                <w:kern w:val="0"/>
                <w:sz w:val="52"/>
                <w:szCs w:val="52"/>
                <w:highlight w:val="none"/>
              </w:rPr>
              <w:t>竞争性磋商文件</w:t>
            </w:r>
          </w:p>
          <w:p w14:paraId="32B096D1">
            <w:pPr>
              <w:keepNext w:val="0"/>
              <w:keepLines w:val="0"/>
              <w:suppressLineNumbers w:val="0"/>
              <w:spacing w:before="0" w:beforeAutospacing="0" w:after="0" w:afterAutospacing="0"/>
              <w:ind w:left="0" w:right="0"/>
              <w:jc w:val="center"/>
              <w:rPr>
                <w:rFonts w:hint="default" w:ascii="宋体" w:hAnsi="宋体"/>
                <w:b/>
                <w:color w:val="auto"/>
                <w:kern w:val="0"/>
                <w:sz w:val="44"/>
                <w:szCs w:val="44"/>
                <w:highlight w:val="none"/>
              </w:rPr>
            </w:pPr>
            <w:r>
              <w:rPr>
                <w:rFonts w:hint="eastAsia" w:ascii="宋体" w:hAnsi="宋体"/>
                <w:b/>
                <w:color w:val="auto"/>
                <w:kern w:val="0"/>
                <w:sz w:val="44"/>
                <w:szCs w:val="44"/>
                <w:highlight w:val="none"/>
              </w:rPr>
              <w:t>（线上电子招投标）</w:t>
            </w:r>
          </w:p>
          <w:p w14:paraId="1AA7058D">
            <w:pPr>
              <w:keepNext w:val="0"/>
              <w:keepLines w:val="0"/>
              <w:suppressLineNumbers w:val="0"/>
              <w:spacing w:before="0" w:beforeAutospacing="0" w:after="0" w:afterAutospacing="0" w:line="460" w:lineRule="atLeast"/>
              <w:ind w:left="0" w:right="0"/>
              <w:jc w:val="center"/>
              <w:rPr>
                <w:rFonts w:hint="default" w:ascii="宋体" w:hAnsi="宋体"/>
                <w:b/>
                <w:color w:val="auto"/>
                <w:sz w:val="28"/>
                <w:szCs w:val="30"/>
                <w:highlight w:val="none"/>
              </w:rPr>
            </w:pPr>
          </w:p>
          <w:p w14:paraId="767CE491">
            <w:pPr>
              <w:keepNext w:val="0"/>
              <w:keepLines w:val="0"/>
              <w:suppressLineNumbers w:val="0"/>
              <w:spacing w:before="0" w:beforeAutospacing="0" w:after="0" w:afterAutospacing="0" w:line="460" w:lineRule="atLeast"/>
              <w:ind w:left="0" w:right="0"/>
              <w:jc w:val="center"/>
              <w:rPr>
                <w:rFonts w:hint="default" w:ascii="宋体" w:hAnsi="宋体"/>
                <w:b/>
                <w:color w:val="auto"/>
                <w:sz w:val="28"/>
                <w:szCs w:val="30"/>
                <w:highlight w:val="none"/>
              </w:rPr>
            </w:pPr>
          </w:p>
          <w:p w14:paraId="628C949C">
            <w:pPr>
              <w:keepNext w:val="0"/>
              <w:keepLines w:val="0"/>
              <w:suppressLineNumbers w:val="0"/>
              <w:spacing w:before="0" w:beforeAutospacing="0" w:after="0" w:afterAutospacing="0" w:line="460" w:lineRule="atLeast"/>
              <w:ind w:left="0" w:right="0"/>
              <w:jc w:val="center"/>
              <w:rPr>
                <w:rFonts w:hint="default" w:ascii="宋体" w:hAnsi="宋体"/>
                <w:b/>
                <w:color w:val="auto"/>
                <w:sz w:val="28"/>
                <w:szCs w:val="30"/>
                <w:highlight w:val="none"/>
              </w:rPr>
            </w:pPr>
          </w:p>
          <w:p w14:paraId="3B4C305E">
            <w:pPr>
              <w:keepNext w:val="0"/>
              <w:keepLines w:val="0"/>
              <w:suppressLineNumbers w:val="0"/>
              <w:spacing w:before="0" w:beforeAutospacing="0" w:after="0" w:afterAutospacing="0" w:line="460" w:lineRule="atLeast"/>
              <w:ind w:left="0" w:right="0"/>
              <w:jc w:val="center"/>
              <w:rPr>
                <w:rFonts w:hint="default" w:ascii="宋体" w:hAnsi="宋体"/>
                <w:b/>
                <w:color w:val="auto"/>
                <w:sz w:val="28"/>
                <w:szCs w:val="30"/>
                <w:highlight w:val="none"/>
              </w:rPr>
            </w:pPr>
          </w:p>
          <w:p w14:paraId="79FFDE49">
            <w:pPr>
              <w:keepNext w:val="0"/>
              <w:keepLines w:val="0"/>
              <w:suppressLineNumbers w:val="0"/>
              <w:spacing w:before="0" w:beforeAutospacing="0" w:after="0" w:afterAutospacing="0" w:line="460" w:lineRule="atLeast"/>
              <w:ind w:left="4389" w:leftChars="1373" w:right="0" w:hanging="1506" w:hangingChars="500"/>
              <w:rPr>
                <w:rFonts w:hint="default" w:ascii="宋体" w:hAnsi="Calibri" w:cs="宋体"/>
                <w:b/>
                <w:bCs/>
                <w:color w:val="auto"/>
                <w:sz w:val="30"/>
                <w:szCs w:val="30"/>
                <w:highlight w:val="none"/>
              </w:rPr>
            </w:pPr>
            <w:r>
              <w:rPr>
                <w:rFonts w:hint="eastAsia" w:ascii="宋体" w:hAnsi="Calibri" w:cs="宋体"/>
                <w:b/>
                <w:bCs/>
                <w:color w:val="auto"/>
                <w:sz w:val="30"/>
                <w:szCs w:val="30"/>
                <w:highlight w:val="none"/>
              </w:rPr>
              <w:t>项目名称：洞头区政务云平台租赁</w:t>
            </w:r>
          </w:p>
          <w:p w14:paraId="49472973">
            <w:pPr>
              <w:keepNext w:val="0"/>
              <w:keepLines w:val="0"/>
              <w:suppressLineNumbers w:val="0"/>
              <w:spacing w:before="0" w:beforeAutospacing="0" w:after="0" w:afterAutospacing="0" w:line="460" w:lineRule="atLeast"/>
              <w:ind w:left="3787" w:leftChars="1373" w:right="0" w:hanging="904" w:hangingChars="300"/>
              <w:rPr>
                <w:rFonts w:hint="default" w:ascii="宋体" w:hAnsi="Calibri" w:cs="宋体"/>
                <w:b/>
                <w:bCs/>
                <w:color w:val="auto"/>
                <w:sz w:val="30"/>
                <w:szCs w:val="30"/>
                <w:highlight w:val="none"/>
              </w:rPr>
            </w:pPr>
            <w:r>
              <w:rPr>
                <w:rFonts w:hint="eastAsia" w:ascii="宋体" w:hAnsi="Calibri" w:cs="宋体"/>
                <w:b/>
                <w:bCs/>
                <w:color w:val="auto"/>
                <w:sz w:val="30"/>
                <w:szCs w:val="30"/>
                <w:highlight w:val="none"/>
              </w:rPr>
              <w:t>采购编号：DTCG20240</w:t>
            </w:r>
            <w:r>
              <w:rPr>
                <w:rFonts w:hint="eastAsia" w:ascii="宋体" w:hAnsi="Calibri" w:cs="宋体"/>
                <w:b/>
                <w:bCs/>
                <w:color w:val="auto"/>
                <w:sz w:val="30"/>
                <w:szCs w:val="30"/>
                <w:highlight w:val="none"/>
                <w:lang w:val="en-US" w:eastAsia="zh-CN"/>
              </w:rPr>
              <w:t>918114</w:t>
            </w:r>
          </w:p>
          <w:p w14:paraId="3E86D209">
            <w:pPr>
              <w:keepNext w:val="0"/>
              <w:keepLines w:val="0"/>
              <w:suppressLineNumbers w:val="0"/>
              <w:spacing w:before="0" w:beforeAutospacing="0" w:after="0" w:afterAutospacing="0" w:line="460" w:lineRule="atLeast"/>
              <w:ind w:left="4389" w:leftChars="1373" w:right="0" w:hanging="1506" w:hangingChars="500"/>
              <w:rPr>
                <w:rFonts w:hint="default" w:ascii="宋体" w:hAnsi="Calibri" w:cs="宋体"/>
                <w:b/>
                <w:bCs/>
                <w:color w:val="auto"/>
                <w:sz w:val="30"/>
                <w:szCs w:val="30"/>
                <w:highlight w:val="none"/>
              </w:rPr>
            </w:pPr>
          </w:p>
          <w:p w14:paraId="44315E13">
            <w:pPr>
              <w:keepNext w:val="0"/>
              <w:keepLines w:val="0"/>
              <w:suppressLineNumbers w:val="0"/>
              <w:spacing w:before="0" w:beforeAutospacing="0" w:after="0" w:afterAutospacing="0" w:line="460" w:lineRule="atLeast"/>
              <w:ind w:left="4389" w:leftChars="1373" w:right="0" w:hanging="1506" w:hangingChars="500"/>
              <w:rPr>
                <w:rFonts w:hint="default" w:ascii="宋体" w:hAnsi="Calibri" w:cs="宋体"/>
                <w:b/>
                <w:bCs/>
                <w:color w:val="auto"/>
                <w:sz w:val="30"/>
                <w:szCs w:val="30"/>
                <w:highlight w:val="none"/>
              </w:rPr>
            </w:pPr>
          </w:p>
          <w:p w14:paraId="447F5423">
            <w:pPr>
              <w:keepNext w:val="0"/>
              <w:keepLines w:val="0"/>
              <w:suppressLineNumbers w:val="0"/>
              <w:spacing w:before="0" w:beforeAutospacing="0" w:after="0" w:afterAutospacing="0" w:line="460" w:lineRule="atLeast"/>
              <w:ind w:left="4389" w:leftChars="1373" w:right="0" w:hanging="1506" w:hangingChars="500"/>
              <w:rPr>
                <w:rFonts w:hint="default" w:ascii="宋体" w:hAnsi="Calibri" w:cs="宋体"/>
                <w:b/>
                <w:bCs/>
                <w:color w:val="auto"/>
                <w:sz w:val="30"/>
                <w:szCs w:val="30"/>
                <w:highlight w:val="none"/>
              </w:rPr>
            </w:pPr>
          </w:p>
          <w:p w14:paraId="7A6648FA">
            <w:pPr>
              <w:keepNext w:val="0"/>
              <w:keepLines w:val="0"/>
              <w:suppressLineNumbers w:val="0"/>
              <w:spacing w:before="0" w:beforeAutospacing="0" w:after="0" w:afterAutospacing="0" w:line="460" w:lineRule="atLeast"/>
              <w:ind w:left="4389" w:leftChars="1373" w:right="0" w:hanging="1506" w:hangingChars="500"/>
              <w:rPr>
                <w:rFonts w:hint="default" w:ascii="宋体" w:hAnsi="Calibri" w:cs="宋体"/>
                <w:b/>
                <w:bCs/>
                <w:color w:val="auto"/>
                <w:sz w:val="30"/>
                <w:szCs w:val="30"/>
                <w:highlight w:val="none"/>
              </w:rPr>
            </w:pPr>
          </w:p>
          <w:p w14:paraId="39229D95">
            <w:pPr>
              <w:keepNext w:val="0"/>
              <w:keepLines w:val="0"/>
              <w:suppressLineNumbers w:val="0"/>
              <w:spacing w:before="0" w:beforeAutospacing="0" w:after="0" w:afterAutospacing="0" w:line="460" w:lineRule="atLeast"/>
              <w:ind w:left="4389" w:leftChars="1373" w:right="0" w:hanging="1506" w:hangingChars="500"/>
              <w:rPr>
                <w:rFonts w:hint="default" w:ascii="宋体" w:hAnsi="Calibri" w:cs="宋体"/>
                <w:b/>
                <w:bCs/>
                <w:color w:val="auto"/>
                <w:sz w:val="30"/>
                <w:szCs w:val="30"/>
                <w:highlight w:val="none"/>
              </w:rPr>
            </w:pPr>
            <w:r>
              <w:rPr>
                <w:rFonts w:hint="eastAsia" w:ascii="宋体" w:hAnsi="Calibri" w:cs="宋体"/>
                <w:b/>
                <w:bCs/>
                <w:color w:val="auto"/>
                <w:sz w:val="30"/>
                <w:szCs w:val="30"/>
                <w:highlight w:val="none"/>
              </w:rPr>
              <w:t xml:space="preserve">采购人：温州市洞头区大数据管理中心 </w:t>
            </w:r>
          </w:p>
          <w:p w14:paraId="1AEFA2CE">
            <w:pPr>
              <w:keepNext w:val="0"/>
              <w:keepLines w:val="0"/>
              <w:suppressLineNumbers w:val="0"/>
              <w:spacing w:before="0" w:beforeAutospacing="0" w:after="0" w:afterAutospacing="0" w:line="460" w:lineRule="atLeast"/>
              <w:ind w:left="4389" w:leftChars="1373" w:right="0" w:hanging="1506" w:hangingChars="500"/>
              <w:rPr>
                <w:rFonts w:hint="default" w:ascii="宋体" w:hAnsi="Calibri" w:cs="宋体"/>
                <w:b/>
                <w:bCs/>
                <w:color w:val="auto"/>
                <w:sz w:val="30"/>
                <w:szCs w:val="30"/>
                <w:highlight w:val="none"/>
              </w:rPr>
            </w:pPr>
            <w:r>
              <w:rPr>
                <w:rFonts w:hint="eastAsia" w:ascii="宋体" w:hAnsi="Calibri" w:cs="宋体"/>
                <w:b/>
                <w:bCs/>
                <w:color w:val="auto"/>
                <w:sz w:val="30"/>
                <w:szCs w:val="30"/>
                <w:highlight w:val="none"/>
              </w:rPr>
              <w:t>采购代理机构：温州华晟招标代理有限公司</w:t>
            </w:r>
          </w:p>
          <w:p w14:paraId="7BC2868A">
            <w:pPr>
              <w:keepNext w:val="0"/>
              <w:keepLines w:val="0"/>
              <w:suppressLineNumbers w:val="0"/>
              <w:spacing w:before="0" w:beforeAutospacing="0" w:after="0" w:afterAutospacing="0" w:line="460" w:lineRule="atLeast"/>
              <w:ind w:left="0" w:right="0"/>
              <w:jc w:val="center"/>
              <w:rPr>
                <w:rFonts w:hint="default" w:ascii="宋体" w:hAnsi="Calibri" w:cs="宋体"/>
                <w:b/>
                <w:bCs/>
                <w:color w:val="auto"/>
                <w:sz w:val="30"/>
                <w:szCs w:val="30"/>
                <w:highlight w:val="none"/>
              </w:rPr>
            </w:pPr>
          </w:p>
          <w:p w14:paraId="55C0A371">
            <w:pPr>
              <w:keepNext w:val="0"/>
              <w:keepLines w:val="0"/>
              <w:suppressLineNumbers w:val="0"/>
              <w:spacing w:before="0" w:beforeAutospacing="0" w:after="0" w:afterAutospacing="0" w:line="460" w:lineRule="atLeast"/>
              <w:ind w:left="0" w:right="0"/>
              <w:jc w:val="center"/>
              <w:rPr>
                <w:rFonts w:hint="default" w:ascii="宋体" w:hAnsi="Calibri" w:cs="宋体"/>
                <w:b/>
                <w:bCs/>
                <w:color w:val="auto"/>
                <w:sz w:val="30"/>
                <w:szCs w:val="30"/>
                <w:highlight w:val="none"/>
              </w:rPr>
            </w:pPr>
          </w:p>
          <w:p w14:paraId="213C1FAD">
            <w:pPr>
              <w:keepNext w:val="0"/>
              <w:keepLines w:val="0"/>
              <w:suppressLineNumbers w:val="0"/>
              <w:spacing w:before="0" w:beforeAutospacing="0" w:after="0" w:afterAutospacing="0" w:line="460" w:lineRule="atLeast"/>
              <w:ind w:left="0" w:right="0"/>
              <w:jc w:val="center"/>
              <w:rPr>
                <w:rFonts w:hint="default" w:ascii="宋体" w:hAnsi="Calibri" w:cs="宋体"/>
                <w:b/>
                <w:bCs/>
                <w:color w:val="auto"/>
                <w:sz w:val="30"/>
                <w:szCs w:val="30"/>
                <w:highlight w:val="none"/>
              </w:rPr>
            </w:pPr>
          </w:p>
          <w:p w14:paraId="1D35E681">
            <w:pPr>
              <w:keepNext w:val="0"/>
              <w:keepLines w:val="0"/>
              <w:suppressLineNumbers w:val="0"/>
              <w:spacing w:before="0" w:beforeAutospacing="0" w:after="0" w:afterAutospacing="0" w:line="460" w:lineRule="atLeast"/>
              <w:ind w:left="0" w:right="0"/>
              <w:jc w:val="center"/>
              <w:rPr>
                <w:rFonts w:hint="default" w:ascii="宋体" w:hAnsi="Calibri" w:cs="宋体"/>
                <w:b/>
                <w:bCs/>
                <w:color w:val="auto"/>
                <w:sz w:val="30"/>
                <w:szCs w:val="30"/>
                <w:highlight w:val="none"/>
              </w:rPr>
            </w:pPr>
          </w:p>
          <w:p w14:paraId="6C773FD4">
            <w:pPr>
              <w:pStyle w:val="27"/>
              <w:keepNext w:val="0"/>
              <w:keepLines w:val="0"/>
              <w:suppressLineNumbers w:val="0"/>
              <w:spacing w:before="0" w:beforeAutospacing="0" w:after="0" w:afterAutospacing="0" w:line="460" w:lineRule="atLeast"/>
              <w:ind w:left="0" w:leftChars="0" w:right="0"/>
              <w:jc w:val="center"/>
              <w:rPr>
                <w:rFonts w:hint="default" w:ascii="宋体" w:hAnsi="宋体"/>
                <w:b/>
                <w:color w:val="auto"/>
                <w:sz w:val="84"/>
                <w:highlight w:val="none"/>
              </w:rPr>
            </w:pPr>
            <w:r>
              <w:rPr>
                <w:rFonts w:hint="eastAsia" w:ascii="宋体"/>
                <w:b/>
                <w:bCs/>
                <w:color w:val="auto"/>
                <w:sz w:val="30"/>
                <w:szCs w:val="30"/>
                <w:highlight w:val="none"/>
              </w:rPr>
              <w:t xml:space="preserve"> 二○二四年</w:t>
            </w:r>
            <w:r>
              <w:rPr>
                <w:rFonts w:hint="eastAsia" w:ascii="宋体"/>
                <w:b/>
                <w:bCs/>
                <w:color w:val="auto"/>
                <w:sz w:val="30"/>
                <w:szCs w:val="30"/>
                <w:highlight w:val="none"/>
                <w:lang w:val="en-US" w:eastAsia="zh-CN"/>
              </w:rPr>
              <w:t>九</w:t>
            </w:r>
            <w:r>
              <w:rPr>
                <w:rFonts w:hint="eastAsia" w:ascii="宋体"/>
                <w:b/>
                <w:bCs/>
                <w:color w:val="auto"/>
                <w:sz w:val="30"/>
                <w:szCs w:val="30"/>
                <w:highlight w:val="none"/>
              </w:rPr>
              <w:t>月</w:t>
            </w:r>
          </w:p>
        </w:tc>
      </w:tr>
    </w:tbl>
    <w:p w14:paraId="212FA316">
      <w:pPr>
        <w:autoSpaceDE w:val="0"/>
        <w:autoSpaceDN w:val="0"/>
        <w:adjustRightInd w:val="0"/>
        <w:spacing w:line="440" w:lineRule="atLeast"/>
        <w:jc w:val="center"/>
        <w:rPr>
          <w:rFonts w:ascii="宋体" w:hAnsi="宋体" w:cs="仿宋_GB2312"/>
          <w:bCs/>
          <w:color w:val="auto"/>
          <w:highlight w:val="none"/>
          <w:lang w:val="zh-CN"/>
        </w:rPr>
      </w:pPr>
      <w:r>
        <w:rPr>
          <w:rFonts w:hint="eastAsia" w:ascii="宋体" w:hAnsi="宋体" w:cs="仿宋_GB2312"/>
          <w:bCs/>
          <w:color w:val="auto"/>
          <w:sz w:val="36"/>
          <w:szCs w:val="36"/>
          <w:highlight w:val="none"/>
          <w:lang w:val="zh-CN"/>
        </w:rPr>
        <w:t>磋商文件目录</w:t>
      </w:r>
    </w:p>
    <w:p w14:paraId="135FA85D">
      <w:pPr>
        <w:autoSpaceDE w:val="0"/>
        <w:autoSpaceDN w:val="0"/>
        <w:adjustRightInd w:val="0"/>
        <w:spacing w:line="340" w:lineRule="atLeast"/>
        <w:ind w:firstLine="360" w:firstLineChars="150"/>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关于洞头区政务云平台租赁的竞争性磋商公告</w:t>
      </w:r>
    </w:p>
    <w:p w14:paraId="1D340B7E">
      <w:pPr>
        <w:autoSpaceDE w:val="0"/>
        <w:autoSpaceDN w:val="0"/>
        <w:adjustRightInd w:val="0"/>
        <w:spacing w:line="340" w:lineRule="atLeast"/>
        <w:ind w:firstLine="360" w:firstLineChars="150"/>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第一部分、投标邀请函（投标须知前附表）</w:t>
      </w:r>
    </w:p>
    <w:p w14:paraId="2270708B">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第二部分、采购内容及要求</w:t>
      </w:r>
    </w:p>
    <w:p w14:paraId="1138207F">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第三部分、供应商须知</w:t>
      </w:r>
    </w:p>
    <w:p w14:paraId="0763D4DC">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一、说明</w:t>
      </w:r>
    </w:p>
    <w:p w14:paraId="104761B9">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二、竞争性磋商文件</w:t>
      </w:r>
    </w:p>
    <w:p w14:paraId="1627B508">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三、磋商响应文件</w:t>
      </w:r>
    </w:p>
    <w:p w14:paraId="305B229F">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四、磋商响应文件递交</w:t>
      </w:r>
    </w:p>
    <w:p w14:paraId="1B450F62">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五、开标和评审</w:t>
      </w:r>
    </w:p>
    <w:p w14:paraId="43A49C2D">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六、授予合同</w:t>
      </w:r>
    </w:p>
    <w:p w14:paraId="3582BB12">
      <w:pPr>
        <w:autoSpaceDE w:val="0"/>
        <w:autoSpaceDN w:val="0"/>
        <w:adjustRightInd w:val="0"/>
        <w:spacing w:line="340" w:lineRule="atLeast"/>
        <w:ind w:firstLine="360" w:firstLineChars="150"/>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第四部分、政府采购政策功能相关说明</w:t>
      </w:r>
    </w:p>
    <w:p w14:paraId="564AC893">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第五部分、合同格式（参考格式）</w:t>
      </w:r>
    </w:p>
    <w:p w14:paraId="304EBEE2">
      <w:pPr>
        <w:autoSpaceDE w:val="0"/>
        <w:autoSpaceDN w:val="0"/>
        <w:adjustRightInd w:val="0"/>
        <w:spacing w:line="340" w:lineRule="atLeast"/>
        <w:ind w:firstLine="360" w:firstLineChars="150"/>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第六部分、附件--</w:t>
      </w:r>
      <w:r>
        <w:rPr>
          <w:rFonts w:hint="eastAsia" w:ascii="宋体" w:hAnsi="宋体"/>
          <w:color w:val="auto"/>
          <w:kern w:val="0"/>
          <w:sz w:val="24"/>
          <w:szCs w:val="20"/>
          <w:highlight w:val="none"/>
        </w:rPr>
        <w:t>磋商响应文件格式</w:t>
      </w:r>
    </w:p>
    <w:p w14:paraId="33247266">
      <w:pPr>
        <w:autoSpaceDE w:val="0"/>
        <w:autoSpaceDN w:val="0"/>
        <w:adjustRightInd w:val="0"/>
        <w:spacing w:line="340" w:lineRule="atLeast"/>
        <w:ind w:firstLine="360" w:firstLineChars="150"/>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一、资格文件格式</w:t>
      </w:r>
    </w:p>
    <w:p w14:paraId="0A866B0F">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附件一、投标供应商参与政府采购活动投标资格声明函</w:t>
      </w:r>
    </w:p>
    <w:p w14:paraId="2E72552B">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二、报价文件格式</w:t>
      </w:r>
    </w:p>
    <w:p w14:paraId="6DB6F9AF">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附件二、开标一览表</w:t>
      </w:r>
    </w:p>
    <w:p w14:paraId="3CA1BFB8">
      <w:pPr>
        <w:autoSpaceDE w:val="0"/>
        <w:autoSpaceDN w:val="0"/>
        <w:adjustRightInd w:val="0"/>
        <w:spacing w:line="340" w:lineRule="atLeast"/>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 xml:space="preserve">   </w:t>
      </w:r>
      <w:r>
        <w:rPr>
          <w:rFonts w:ascii="宋体" w:hAnsi="宋体"/>
          <w:color w:val="auto"/>
          <w:kern w:val="0"/>
          <w:sz w:val="24"/>
          <w:szCs w:val="20"/>
          <w:highlight w:val="none"/>
          <w:lang w:val="zh-CN"/>
        </w:rPr>
        <w:t>三、</w:t>
      </w:r>
      <w:r>
        <w:rPr>
          <w:rFonts w:hint="eastAsia" w:ascii="宋体" w:hAnsi="宋体"/>
          <w:color w:val="auto"/>
          <w:kern w:val="0"/>
          <w:sz w:val="24"/>
          <w:szCs w:val="20"/>
          <w:highlight w:val="none"/>
          <w:lang w:val="zh-CN"/>
        </w:rPr>
        <w:t>商务技术文件格式</w:t>
      </w:r>
    </w:p>
    <w:p w14:paraId="769CE95C">
      <w:pPr>
        <w:autoSpaceDE w:val="0"/>
        <w:autoSpaceDN w:val="0"/>
        <w:adjustRightInd w:val="0"/>
        <w:spacing w:line="340" w:lineRule="atLeast"/>
        <w:ind w:firstLine="1567" w:firstLineChars="653"/>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附件三、投标函</w:t>
      </w:r>
    </w:p>
    <w:p w14:paraId="72854643">
      <w:pPr>
        <w:autoSpaceDE w:val="0"/>
        <w:autoSpaceDN w:val="0"/>
        <w:adjustRightInd w:val="0"/>
        <w:spacing w:line="340" w:lineRule="atLeast"/>
        <w:ind w:firstLine="1567" w:firstLineChars="653"/>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附件四、法定代表人授权书</w:t>
      </w:r>
    </w:p>
    <w:p w14:paraId="705B6D7D">
      <w:pPr>
        <w:autoSpaceDE w:val="0"/>
        <w:autoSpaceDN w:val="0"/>
        <w:adjustRightInd w:val="0"/>
        <w:spacing w:line="340" w:lineRule="atLeast"/>
        <w:ind w:firstLine="1567" w:firstLineChars="653"/>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附件五、法定代表人诚信投标承诺书</w:t>
      </w:r>
    </w:p>
    <w:p w14:paraId="28E2754C">
      <w:pPr>
        <w:autoSpaceDE w:val="0"/>
        <w:autoSpaceDN w:val="0"/>
        <w:adjustRightInd w:val="0"/>
        <w:spacing w:line="340" w:lineRule="atLeast"/>
        <w:ind w:firstLine="1567" w:firstLineChars="653"/>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附件六、投标供应商业绩</w:t>
      </w:r>
    </w:p>
    <w:p w14:paraId="51664E1F">
      <w:pPr>
        <w:autoSpaceDE w:val="0"/>
        <w:autoSpaceDN w:val="0"/>
        <w:adjustRightInd w:val="0"/>
        <w:spacing w:line="340" w:lineRule="atLeast"/>
        <w:ind w:firstLine="1567" w:firstLineChars="653"/>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附件七、偏离表</w:t>
      </w:r>
    </w:p>
    <w:p w14:paraId="2DBBAED5">
      <w:pPr>
        <w:autoSpaceDE w:val="0"/>
        <w:autoSpaceDN w:val="0"/>
        <w:adjustRightInd w:val="0"/>
        <w:spacing w:line="340" w:lineRule="atLeast"/>
        <w:ind w:firstLine="1567" w:firstLineChars="653"/>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附件八、项目服务人员汇总表</w:t>
      </w:r>
    </w:p>
    <w:p w14:paraId="29E4511F">
      <w:pPr>
        <w:autoSpaceDE w:val="0"/>
        <w:autoSpaceDN w:val="0"/>
        <w:adjustRightInd w:val="0"/>
        <w:spacing w:line="340" w:lineRule="atLeast"/>
        <w:ind w:firstLine="1567" w:firstLineChars="653"/>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附件九、拟派项目人员情况表</w:t>
      </w:r>
    </w:p>
    <w:p w14:paraId="1948A202">
      <w:pPr>
        <w:autoSpaceDE w:val="0"/>
        <w:autoSpaceDN w:val="0"/>
        <w:adjustRightInd w:val="0"/>
        <w:spacing w:line="340" w:lineRule="atLeast"/>
        <w:ind w:firstLine="360" w:firstLineChars="150"/>
        <w:textAlignment w:val="baseline"/>
        <w:rPr>
          <w:rFonts w:ascii="宋体" w:hAnsi="宋体"/>
          <w:color w:val="auto"/>
          <w:kern w:val="0"/>
          <w:sz w:val="24"/>
          <w:szCs w:val="20"/>
          <w:highlight w:val="none"/>
          <w:lang w:val="zh-CN"/>
        </w:rPr>
      </w:pPr>
      <w:r>
        <w:rPr>
          <w:rFonts w:hint="eastAsia" w:ascii="宋体" w:hAnsi="宋体"/>
          <w:color w:val="auto"/>
          <w:kern w:val="0"/>
          <w:sz w:val="24"/>
          <w:szCs w:val="20"/>
          <w:highlight w:val="none"/>
          <w:lang w:val="zh-CN"/>
        </w:rPr>
        <w:t>第七部分、评标办法</w:t>
      </w:r>
    </w:p>
    <w:p w14:paraId="28AFB3BD">
      <w:pPr>
        <w:autoSpaceDE w:val="0"/>
        <w:autoSpaceDN w:val="0"/>
        <w:adjustRightInd w:val="0"/>
        <w:spacing w:line="340" w:lineRule="atLeast"/>
        <w:ind w:firstLine="360" w:firstLineChars="150"/>
        <w:textAlignment w:val="baseline"/>
        <w:rPr>
          <w:rFonts w:ascii="宋体" w:hAnsi="宋体"/>
          <w:color w:val="auto"/>
          <w:kern w:val="0"/>
          <w:sz w:val="24"/>
          <w:szCs w:val="20"/>
          <w:highlight w:val="none"/>
          <w:lang w:val="zh-CN"/>
        </w:rPr>
      </w:pPr>
    </w:p>
    <w:p w14:paraId="22FA4C2F">
      <w:pPr>
        <w:autoSpaceDE w:val="0"/>
        <w:autoSpaceDN w:val="0"/>
        <w:adjustRightInd w:val="0"/>
        <w:spacing w:line="340" w:lineRule="atLeast"/>
        <w:ind w:firstLine="360" w:firstLineChars="150"/>
        <w:textAlignment w:val="baseline"/>
        <w:rPr>
          <w:rFonts w:ascii="宋体" w:hAnsi="宋体"/>
          <w:color w:val="auto"/>
          <w:kern w:val="0"/>
          <w:sz w:val="24"/>
          <w:szCs w:val="20"/>
          <w:highlight w:val="none"/>
          <w:lang w:val="zh-CN"/>
        </w:rPr>
      </w:pPr>
    </w:p>
    <w:p w14:paraId="1085800D">
      <w:pPr>
        <w:widowControl/>
        <w:spacing w:line="360" w:lineRule="atLeast"/>
        <w:ind w:firstLine="479" w:firstLineChars="199"/>
        <w:rPr>
          <w:rFonts w:ascii="宋体" w:hAnsi="宋体"/>
          <w:b/>
          <w:color w:val="auto"/>
          <w:sz w:val="24"/>
          <w:highlight w:val="none"/>
          <w:u w:val="thick"/>
        </w:rPr>
      </w:pPr>
      <w:r>
        <w:rPr>
          <w:rFonts w:hint="eastAsia" w:ascii="宋体" w:hAnsi="宋体"/>
          <w:b/>
          <w:color w:val="auto"/>
          <w:sz w:val="24"/>
          <w:highlight w:val="none"/>
          <w:u w:val="thick"/>
        </w:rPr>
        <w:t>★注：磋商文件中有的条款及要求以加粗、加下划线或符号</w:t>
      </w:r>
      <w:r>
        <w:rPr>
          <w:rFonts w:hint="eastAsia" w:ascii="宋体" w:hAnsi="宋体"/>
          <w:b/>
          <w:color w:val="auto"/>
          <w:sz w:val="30"/>
          <w:szCs w:val="30"/>
          <w:highlight w:val="none"/>
          <w:u w:val="thick"/>
        </w:rPr>
        <w:t>*</w:t>
      </w:r>
      <w:r>
        <w:rPr>
          <w:rFonts w:hint="eastAsia" w:ascii="宋体" w:hAnsi="宋体"/>
          <w:b/>
          <w:color w:val="auto"/>
          <w:sz w:val="24"/>
          <w:highlight w:val="none"/>
          <w:u w:val="thick"/>
        </w:rPr>
        <w:t>、▲、★、●的形式强调，这些特别强调的条款及内容有些是重要条款，供应商对重要条款的响应程度将作为评审工作的主要依据之一。</w:t>
      </w:r>
    </w:p>
    <w:p w14:paraId="76861F90">
      <w:pPr>
        <w:widowControl/>
        <w:spacing w:line="360" w:lineRule="atLeast"/>
        <w:jc w:val="center"/>
        <w:rPr>
          <w:rFonts w:ascii="宋体" w:hAnsi="宋体" w:cs="宋体"/>
          <w:b/>
          <w:color w:val="auto"/>
          <w:spacing w:val="15"/>
          <w:sz w:val="32"/>
          <w:szCs w:val="32"/>
          <w:highlight w:val="none"/>
        </w:rPr>
      </w:pPr>
      <w:r>
        <w:rPr>
          <w:rFonts w:ascii="宋体" w:hAnsi="宋体"/>
          <w:b/>
          <w:color w:val="auto"/>
          <w:sz w:val="24"/>
          <w:highlight w:val="none"/>
          <w:u w:val="thick"/>
        </w:rPr>
        <w:br w:type="page"/>
      </w:r>
      <w:r>
        <w:rPr>
          <w:rFonts w:hint="eastAsia" w:ascii="宋体" w:hAnsi="宋体"/>
          <w:b/>
          <w:color w:val="auto"/>
          <w:sz w:val="32"/>
          <w:szCs w:val="32"/>
          <w:highlight w:val="none"/>
        </w:rPr>
        <w:t>温州华晟招标代理有限公司关于洞头区政务云平台租赁的竞争性磋商采购公告</w:t>
      </w:r>
    </w:p>
    <w:p w14:paraId="01A03EC4">
      <w:pPr>
        <w:pBdr>
          <w:top w:val="single" w:color="auto" w:sz="4" w:space="1"/>
          <w:left w:val="single" w:color="auto" w:sz="4" w:space="4"/>
          <w:bottom w:val="single" w:color="auto" w:sz="4" w:space="1"/>
          <w:right w:val="single" w:color="auto" w:sz="4" w:space="11"/>
        </w:pBdr>
        <w:spacing w:line="390" w:lineRule="atLeast"/>
        <w:ind w:firstLine="440" w:firstLineChars="200"/>
        <w:rPr>
          <w:rFonts w:ascii="宋体" w:hAnsi="宋体" w:cs="宋体"/>
          <w:color w:val="auto"/>
          <w:kern w:val="0"/>
          <w:sz w:val="22"/>
          <w:szCs w:val="22"/>
          <w:highlight w:val="none"/>
        </w:rPr>
      </w:pPr>
      <w:bookmarkStart w:id="0" w:name="_Toc32407"/>
      <w:r>
        <w:rPr>
          <w:rFonts w:hint="eastAsia" w:ascii="宋体" w:hAnsi="宋体" w:cs="宋体"/>
          <w:color w:val="auto"/>
          <w:kern w:val="0"/>
          <w:sz w:val="22"/>
          <w:szCs w:val="22"/>
          <w:highlight w:val="none"/>
        </w:rPr>
        <w:t>项目概况</w:t>
      </w:r>
    </w:p>
    <w:p w14:paraId="178FDEAF">
      <w:pPr>
        <w:pBdr>
          <w:top w:val="single" w:color="auto" w:sz="4" w:space="1"/>
          <w:left w:val="single" w:color="auto" w:sz="4" w:space="4"/>
          <w:bottom w:val="single" w:color="auto" w:sz="4" w:space="1"/>
          <w:right w:val="single" w:color="auto" w:sz="4" w:space="11"/>
        </w:pBdr>
        <w:spacing w:line="39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洞头区政务云平台租赁采购项目的潜在供应商应在政采云平台（</w:t>
      </w:r>
      <w:r>
        <w:rPr>
          <w:color w:val="auto"/>
          <w:highlight w:val="none"/>
        </w:rPr>
        <w:fldChar w:fldCharType="begin"/>
      </w:r>
      <w:r>
        <w:rPr>
          <w:color w:val="auto"/>
          <w:highlight w:val="none"/>
        </w:rPr>
        <w:instrText xml:space="preserve"> HYPERLINK </w:instrText>
      </w:r>
      <w:r>
        <w:rPr>
          <w:color w:val="auto"/>
          <w:highlight w:val="none"/>
        </w:rPr>
        <w:fldChar w:fldCharType="separate"/>
      </w:r>
      <w:r>
        <w:rPr>
          <w:rFonts w:ascii="宋体" w:hAnsi="宋体"/>
          <w:color w:val="auto"/>
          <w:highlight w:val="none"/>
        </w:rPr>
        <w:t>www.zcygov.cn</w:t>
      </w:r>
      <w:r>
        <w:rPr>
          <w:rFonts w:hint="eastAsia" w:ascii="宋体" w:hAnsi="宋体"/>
          <w:color w:val="auto"/>
          <w:highlight w:val="none"/>
        </w:rPr>
        <w:t>）获取（下载）采购文件，并于2024年</w:t>
      </w:r>
      <w:r>
        <w:rPr>
          <w:rFonts w:hint="eastAsia" w:ascii="宋体" w:hAnsi="宋体"/>
          <w:color w:val="auto"/>
          <w:highlight w:val="none"/>
          <w:lang w:val="en-US" w:eastAsia="zh-CN"/>
        </w:rPr>
        <w:t>9</w:t>
      </w:r>
      <w:r>
        <w:rPr>
          <w:rFonts w:hint="eastAsia" w:ascii="宋体" w:hAnsi="宋体"/>
          <w:color w:val="auto"/>
          <w:highlight w:val="none"/>
        </w:rPr>
        <w:t>月</w:t>
      </w:r>
      <w:r>
        <w:rPr>
          <w:rFonts w:hint="eastAsia" w:ascii="宋体" w:hAnsi="宋体"/>
          <w:color w:val="auto"/>
          <w:highlight w:val="none"/>
        </w:rPr>
        <w:fldChar w:fldCharType="end"/>
      </w:r>
      <w:r>
        <w:rPr>
          <w:rFonts w:hint="eastAsia" w:ascii="宋体" w:hAnsi="宋体" w:cs="宋体"/>
          <w:color w:val="auto"/>
          <w:kern w:val="0"/>
          <w:sz w:val="22"/>
          <w:szCs w:val="22"/>
          <w:highlight w:val="none"/>
          <w:lang w:val="en-US" w:eastAsia="zh-CN"/>
        </w:rPr>
        <w:t>29</w:t>
      </w:r>
      <w:r>
        <w:rPr>
          <w:rFonts w:hint="eastAsia" w:ascii="宋体" w:hAnsi="宋体" w:cs="宋体"/>
          <w:color w:val="auto"/>
          <w:kern w:val="0"/>
          <w:sz w:val="22"/>
          <w:szCs w:val="22"/>
          <w:highlight w:val="none"/>
        </w:rPr>
        <w:t>日1</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0</w:t>
      </w:r>
      <w:r>
        <w:rPr>
          <w:rFonts w:hint="eastAsia" w:ascii="宋体" w:hAnsi="宋体" w:cs="宋体"/>
          <w:color w:val="auto"/>
          <w:kern w:val="0"/>
          <w:sz w:val="22"/>
          <w:szCs w:val="22"/>
          <w:highlight w:val="none"/>
        </w:rPr>
        <w:t>0（北京时间）前提交（上传）响应</w:t>
      </w:r>
      <w:r>
        <w:rPr>
          <w:rFonts w:ascii="宋体" w:hAnsi="宋体" w:cs="宋体"/>
          <w:color w:val="auto"/>
          <w:kern w:val="0"/>
          <w:sz w:val="22"/>
          <w:szCs w:val="22"/>
          <w:highlight w:val="none"/>
        </w:rPr>
        <w:t>文件</w:t>
      </w:r>
      <w:r>
        <w:rPr>
          <w:rFonts w:hint="eastAsia" w:ascii="宋体" w:hAnsi="宋体" w:cs="宋体"/>
          <w:color w:val="auto"/>
          <w:kern w:val="0"/>
          <w:sz w:val="22"/>
          <w:szCs w:val="22"/>
          <w:highlight w:val="none"/>
        </w:rPr>
        <w:t>。</w:t>
      </w:r>
    </w:p>
    <w:p w14:paraId="2D6A1F60">
      <w:pPr>
        <w:widowControl/>
        <w:spacing w:before="170" w:after="170" w:line="390" w:lineRule="atLeast"/>
        <w:rPr>
          <w:rFonts w:ascii="宋体" w:hAnsi="宋体" w:cs="宋体"/>
          <w:b/>
          <w:bCs/>
          <w:color w:val="auto"/>
          <w:kern w:val="0"/>
          <w:sz w:val="22"/>
          <w:szCs w:val="22"/>
          <w:highlight w:val="none"/>
        </w:rPr>
      </w:pPr>
      <w:bookmarkStart w:id="1" w:name="_Toc35393621"/>
      <w:bookmarkStart w:id="2" w:name="_Toc28359079"/>
      <w:bookmarkStart w:id="3" w:name="_Hlk24379207"/>
      <w:bookmarkStart w:id="4" w:name="_Toc28359002"/>
      <w:bookmarkStart w:id="5" w:name="_Toc35393790"/>
      <w:r>
        <w:rPr>
          <w:rFonts w:hint="eastAsia" w:ascii="宋体" w:hAnsi="宋体" w:cs="宋体"/>
          <w:b/>
          <w:bCs/>
          <w:color w:val="auto"/>
          <w:kern w:val="0"/>
          <w:sz w:val="22"/>
          <w:szCs w:val="22"/>
          <w:highlight w:val="none"/>
        </w:rPr>
        <w:t>一、项目基本情况</w:t>
      </w:r>
    </w:p>
    <w:p w14:paraId="22C233B8">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项目编号：</w:t>
      </w:r>
      <w:r>
        <w:rPr>
          <w:rFonts w:hint="eastAsia" w:ascii="宋体" w:hAnsi="宋体"/>
          <w:color w:val="auto"/>
          <w:sz w:val="22"/>
          <w:szCs w:val="22"/>
          <w:highlight w:val="none"/>
        </w:rPr>
        <w:t>DTCG20240</w:t>
      </w:r>
      <w:r>
        <w:rPr>
          <w:rFonts w:hint="eastAsia" w:ascii="宋体" w:hAnsi="宋体"/>
          <w:color w:val="auto"/>
          <w:sz w:val="22"/>
          <w:szCs w:val="22"/>
          <w:highlight w:val="none"/>
          <w:lang w:val="en-US" w:eastAsia="zh-CN"/>
        </w:rPr>
        <w:t>918114</w:t>
      </w:r>
    </w:p>
    <w:p w14:paraId="2FE2EEE3">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项目名称：</w:t>
      </w:r>
      <w:r>
        <w:rPr>
          <w:rFonts w:hint="eastAsia" w:ascii="宋体" w:hAnsi="宋体"/>
          <w:color w:val="auto"/>
          <w:sz w:val="22"/>
          <w:szCs w:val="22"/>
          <w:highlight w:val="none"/>
        </w:rPr>
        <w:t>洞头区政务云平台租赁</w:t>
      </w:r>
      <w:r>
        <w:rPr>
          <w:rFonts w:ascii="宋体" w:hAnsi="宋体"/>
          <w:color w:val="auto"/>
          <w:sz w:val="22"/>
          <w:szCs w:val="22"/>
          <w:highlight w:val="none"/>
        </w:rPr>
        <w:t> </w:t>
      </w:r>
    </w:p>
    <w:p w14:paraId="777BB91E">
      <w:pPr>
        <w:spacing w:line="39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采购</w:t>
      </w:r>
      <w:r>
        <w:rPr>
          <w:rFonts w:ascii="宋体" w:hAnsi="宋体"/>
          <w:color w:val="auto"/>
          <w:sz w:val="22"/>
          <w:szCs w:val="22"/>
          <w:highlight w:val="none"/>
        </w:rPr>
        <w:t>方式：竞争性磋商 </w:t>
      </w:r>
    </w:p>
    <w:p w14:paraId="6451E701">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预算金额（元）：</w:t>
      </w: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rPr>
        <w:t>00000</w:t>
      </w:r>
    </w:p>
    <w:p w14:paraId="77476ED1">
      <w:pPr>
        <w:spacing w:line="390" w:lineRule="atLeast"/>
        <w:ind w:firstLine="440" w:firstLineChars="200"/>
        <w:rPr>
          <w:rFonts w:hint="default" w:ascii="宋体" w:hAnsi="宋体" w:eastAsia="宋体"/>
          <w:color w:val="auto"/>
          <w:sz w:val="22"/>
          <w:szCs w:val="22"/>
          <w:highlight w:val="none"/>
          <w:lang w:val="en-US" w:eastAsia="zh-CN"/>
        </w:rPr>
      </w:pPr>
      <w:r>
        <w:rPr>
          <w:rFonts w:ascii="宋体" w:hAnsi="宋体"/>
          <w:color w:val="auto"/>
          <w:sz w:val="22"/>
          <w:szCs w:val="22"/>
          <w:highlight w:val="none"/>
        </w:rPr>
        <w:t>最高限价（元）：</w:t>
      </w:r>
      <w:r>
        <w:rPr>
          <w:rFonts w:hint="eastAsia" w:ascii="宋体" w:hAnsi="宋体"/>
          <w:color w:val="auto"/>
          <w:sz w:val="22"/>
          <w:szCs w:val="22"/>
          <w:highlight w:val="none"/>
          <w:lang w:val="en-US" w:eastAsia="zh-CN"/>
        </w:rPr>
        <w:t>990000</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710000</w:t>
      </w:r>
    </w:p>
    <w:p w14:paraId="72E550EF">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采购需求：</w:t>
      </w:r>
    </w:p>
    <w:p w14:paraId="00718D12">
      <w:pPr>
        <w:spacing w:line="390" w:lineRule="atLeast"/>
        <w:ind w:firstLine="440" w:firstLineChars="200"/>
        <w:rPr>
          <w:rFonts w:ascii="宋体" w:hAnsi="宋体"/>
          <w:color w:val="auto"/>
          <w:sz w:val="22"/>
          <w:szCs w:val="22"/>
          <w:highlight w:val="none"/>
        </w:rPr>
      </w:pPr>
    </w:p>
    <w:p w14:paraId="4A209F27">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标项一:</w:t>
      </w:r>
    </w:p>
    <w:p w14:paraId="6FE73369">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标项名称:</w:t>
      </w:r>
      <w:r>
        <w:rPr>
          <w:rFonts w:hint="eastAsia" w:ascii="宋体" w:hAnsi="宋体"/>
          <w:color w:val="auto"/>
          <w:sz w:val="22"/>
          <w:szCs w:val="22"/>
          <w:highlight w:val="none"/>
        </w:rPr>
        <w:t xml:space="preserve"> 洞头区政务云（公有云）</w:t>
      </w:r>
    </w:p>
    <w:p w14:paraId="225C4A21">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数量：</w:t>
      </w:r>
      <w:r>
        <w:rPr>
          <w:rFonts w:hint="eastAsia" w:ascii="宋体" w:hAnsi="宋体"/>
          <w:color w:val="auto"/>
          <w:sz w:val="22"/>
          <w:szCs w:val="22"/>
          <w:highlight w:val="none"/>
        </w:rPr>
        <w:t>1</w:t>
      </w:r>
    </w:p>
    <w:p w14:paraId="21EB4ED1">
      <w:pPr>
        <w:spacing w:line="390" w:lineRule="atLeast"/>
        <w:ind w:firstLine="440" w:firstLineChars="200"/>
        <w:rPr>
          <w:rFonts w:hint="default" w:ascii="宋体" w:hAnsi="宋体"/>
          <w:color w:val="auto"/>
          <w:sz w:val="22"/>
          <w:szCs w:val="22"/>
          <w:highlight w:val="none"/>
          <w:woUserID w:val="1"/>
        </w:rPr>
      </w:pPr>
      <w:r>
        <w:rPr>
          <w:rFonts w:ascii="宋体" w:hAnsi="宋体"/>
          <w:color w:val="auto"/>
          <w:sz w:val="22"/>
          <w:szCs w:val="22"/>
          <w:highlight w:val="none"/>
        </w:rPr>
        <w:t>预算金额（元）：</w:t>
      </w:r>
      <w:r>
        <w:rPr>
          <w:rFonts w:ascii="宋体" w:hAnsi="宋体"/>
          <w:color w:val="auto"/>
          <w:sz w:val="22"/>
          <w:szCs w:val="22"/>
          <w:highlight w:val="none"/>
          <w:woUserID w:val="1"/>
        </w:rPr>
        <w:t>990000</w:t>
      </w:r>
    </w:p>
    <w:p w14:paraId="03FD7A0F">
      <w:pPr>
        <w:spacing w:line="39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单位：项</w:t>
      </w:r>
    </w:p>
    <w:p w14:paraId="4EBBD39B">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简要规格描述：见</w:t>
      </w:r>
      <w:r>
        <w:rPr>
          <w:rFonts w:hint="eastAsia" w:ascii="宋体" w:hAnsi="宋体"/>
          <w:color w:val="auto"/>
          <w:sz w:val="22"/>
          <w:szCs w:val="22"/>
          <w:highlight w:val="none"/>
        </w:rPr>
        <w:t>磋商</w:t>
      </w:r>
      <w:r>
        <w:rPr>
          <w:rFonts w:ascii="宋体" w:hAnsi="宋体"/>
          <w:color w:val="auto"/>
          <w:sz w:val="22"/>
          <w:szCs w:val="22"/>
          <w:highlight w:val="none"/>
        </w:rPr>
        <w:t>文件</w:t>
      </w:r>
    </w:p>
    <w:p w14:paraId="262D5E7B">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备注：</w:t>
      </w:r>
      <w:r>
        <w:rPr>
          <w:rFonts w:hint="eastAsia" w:ascii="宋体" w:hAnsi="宋体"/>
          <w:color w:val="auto"/>
          <w:sz w:val="22"/>
          <w:szCs w:val="22"/>
          <w:highlight w:val="none"/>
        </w:rPr>
        <w:t>\</w:t>
      </w:r>
    </w:p>
    <w:p w14:paraId="6FC98E4E">
      <w:pPr>
        <w:spacing w:line="39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    </w:t>
      </w:r>
    </w:p>
    <w:p w14:paraId="25FCB794">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标项</w:t>
      </w:r>
      <w:r>
        <w:rPr>
          <w:rFonts w:hint="eastAsia" w:ascii="宋体" w:hAnsi="宋体"/>
          <w:color w:val="auto"/>
          <w:sz w:val="22"/>
          <w:szCs w:val="22"/>
          <w:highlight w:val="none"/>
        </w:rPr>
        <w:t>二</w:t>
      </w:r>
      <w:r>
        <w:rPr>
          <w:rFonts w:ascii="宋体" w:hAnsi="宋体"/>
          <w:color w:val="auto"/>
          <w:sz w:val="22"/>
          <w:szCs w:val="22"/>
          <w:highlight w:val="none"/>
        </w:rPr>
        <w:t>:</w:t>
      </w:r>
    </w:p>
    <w:p w14:paraId="172F9C59">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标项名称:</w:t>
      </w:r>
      <w:r>
        <w:rPr>
          <w:rFonts w:hint="eastAsia" w:ascii="宋体" w:hAnsi="宋体"/>
          <w:color w:val="auto"/>
          <w:sz w:val="22"/>
          <w:szCs w:val="22"/>
          <w:highlight w:val="none"/>
        </w:rPr>
        <w:t xml:space="preserve"> 洞头区政务云（私有云）</w:t>
      </w:r>
    </w:p>
    <w:p w14:paraId="712EA4BD">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数量：</w:t>
      </w:r>
      <w:r>
        <w:rPr>
          <w:rFonts w:hint="eastAsia" w:ascii="宋体" w:hAnsi="宋体"/>
          <w:color w:val="auto"/>
          <w:sz w:val="22"/>
          <w:szCs w:val="22"/>
          <w:highlight w:val="none"/>
        </w:rPr>
        <w:t>1</w:t>
      </w:r>
      <w:r>
        <w:rPr>
          <w:rFonts w:ascii="宋体" w:hAnsi="宋体"/>
          <w:color w:val="auto"/>
          <w:sz w:val="22"/>
          <w:szCs w:val="22"/>
          <w:highlight w:val="none"/>
        </w:rPr>
        <w:t> </w:t>
      </w:r>
    </w:p>
    <w:p w14:paraId="336032FB">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预算金额（元）</w:t>
      </w:r>
      <w:r>
        <w:rPr>
          <w:rFonts w:hint="eastAsia" w:ascii="宋体" w:hAnsi="宋体"/>
          <w:color w:val="auto"/>
          <w:sz w:val="22"/>
          <w:szCs w:val="22"/>
          <w:highlight w:val="none"/>
          <w:lang w:eastAsia="zh-CN"/>
        </w:rPr>
        <w:t>：</w:t>
      </w:r>
      <w:r>
        <w:rPr>
          <w:rFonts w:ascii="宋体" w:hAnsi="宋体"/>
          <w:color w:val="auto"/>
          <w:sz w:val="22"/>
          <w:szCs w:val="22"/>
          <w:highlight w:val="none"/>
          <w:woUserID w:val="1"/>
        </w:rPr>
        <w:t>71</w:t>
      </w:r>
      <w:r>
        <w:rPr>
          <w:rFonts w:hint="eastAsia" w:ascii="宋体" w:hAnsi="宋体"/>
          <w:color w:val="auto"/>
          <w:sz w:val="22"/>
          <w:szCs w:val="22"/>
          <w:highlight w:val="none"/>
        </w:rPr>
        <w:t>0000</w:t>
      </w:r>
    </w:p>
    <w:p w14:paraId="3751EA34">
      <w:pPr>
        <w:spacing w:line="39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单位</w:t>
      </w:r>
      <w:r>
        <w:rPr>
          <w:rFonts w:ascii="宋体" w:hAnsi="宋体"/>
          <w:color w:val="auto"/>
          <w:sz w:val="22"/>
          <w:szCs w:val="22"/>
          <w:highlight w:val="none"/>
        </w:rPr>
        <w:t>：</w:t>
      </w:r>
      <w:r>
        <w:rPr>
          <w:rFonts w:hint="eastAsia" w:ascii="宋体" w:hAnsi="宋体"/>
          <w:color w:val="auto"/>
          <w:sz w:val="22"/>
          <w:szCs w:val="22"/>
          <w:highlight w:val="none"/>
        </w:rPr>
        <w:t>项</w:t>
      </w:r>
    </w:p>
    <w:p w14:paraId="70AE97EE">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简要规格描述：见</w:t>
      </w:r>
      <w:r>
        <w:rPr>
          <w:rFonts w:hint="eastAsia" w:ascii="宋体" w:hAnsi="宋体"/>
          <w:color w:val="auto"/>
          <w:sz w:val="22"/>
          <w:szCs w:val="22"/>
          <w:highlight w:val="none"/>
        </w:rPr>
        <w:t>磋商</w:t>
      </w:r>
      <w:r>
        <w:rPr>
          <w:rFonts w:ascii="宋体" w:hAnsi="宋体"/>
          <w:color w:val="auto"/>
          <w:sz w:val="22"/>
          <w:szCs w:val="22"/>
          <w:highlight w:val="none"/>
        </w:rPr>
        <w:t>文件</w:t>
      </w:r>
    </w:p>
    <w:p w14:paraId="4DCDE869">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备注：</w:t>
      </w:r>
      <w:r>
        <w:rPr>
          <w:rFonts w:hint="eastAsia" w:ascii="宋体" w:hAnsi="宋体"/>
          <w:color w:val="auto"/>
          <w:sz w:val="22"/>
          <w:szCs w:val="22"/>
          <w:highlight w:val="none"/>
        </w:rPr>
        <w:t>\</w:t>
      </w:r>
    </w:p>
    <w:p w14:paraId="2648473D">
      <w:pPr>
        <w:spacing w:line="390" w:lineRule="atLeast"/>
        <w:ind w:firstLine="440" w:firstLineChars="200"/>
        <w:rPr>
          <w:rFonts w:ascii="宋体" w:hAnsi="宋体"/>
          <w:color w:val="auto"/>
          <w:sz w:val="22"/>
          <w:szCs w:val="22"/>
          <w:highlight w:val="none"/>
        </w:rPr>
      </w:pPr>
    </w:p>
    <w:p w14:paraId="3AC4BD8D">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合同履约期限：标项</w:t>
      </w:r>
      <w:r>
        <w:rPr>
          <w:rFonts w:hint="eastAsia" w:ascii="宋体" w:hAnsi="宋体"/>
          <w:color w:val="auto"/>
          <w:sz w:val="22"/>
          <w:szCs w:val="22"/>
          <w:highlight w:val="none"/>
        </w:rPr>
        <w:t>1、2，</w:t>
      </w:r>
      <w:r>
        <w:rPr>
          <w:rFonts w:ascii="宋体" w:hAnsi="宋体"/>
          <w:color w:val="auto"/>
          <w:sz w:val="22"/>
          <w:szCs w:val="22"/>
          <w:highlight w:val="none"/>
        </w:rPr>
        <w:t>见</w:t>
      </w:r>
      <w:r>
        <w:rPr>
          <w:rFonts w:hint="eastAsia" w:ascii="宋体" w:hAnsi="宋体"/>
          <w:color w:val="auto"/>
          <w:sz w:val="22"/>
          <w:szCs w:val="22"/>
          <w:highlight w:val="none"/>
        </w:rPr>
        <w:t>磋商</w:t>
      </w:r>
      <w:r>
        <w:rPr>
          <w:rFonts w:ascii="宋体" w:hAnsi="宋体"/>
          <w:color w:val="auto"/>
          <w:sz w:val="22"/>
          <w:szCs w:val="22"/>
          <w:highlight w:val="none"/>
        </w:rPr>
        <w:t>文件要求。</w:t>
      </w:r>
    </w:p>
    <w:p w14:paraId="381E1915">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本项目（否）接受联合体投标。</w:t>
      </w:r>
    </w:p>
    <w:p w14:paraId="7C369BCE">
      <w:pPr>
        <w:widowControl/>
        <w:spacing w:before="150" w:after="150" w:line="390" w:lineRule="atLeast"/>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二、申请人的资格要求：</w:t>
      </w:r>
    </w:p>
    <w:p w14:paraId="51C91EC8">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B2AF7ED">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2.落实政府采购政策需满足的资格要求：标项</w:t>
      </w:r>
      <w:r>
        <w:rPr>
          <w:rFonts w:hint="eastAsia" w:ascii="宋体" w:hAnsi="宋体"/>
          <w:color w:val="auto"/>
          <w:sz w:val="22"/>
          <w:szCs w:val="22"/>
          <w:highlight w:val="none"/>
        </w:rPr>
        <w:t>1，2</w:t>
      </w:r>
      <w:r>
        <w:rPr>
          <w:rFonts w:ascii="宋体" w:hAnsi="宋体"/>
          <w:color w:val="auto"/>
          <w:sz w:val="22"/>
          <w:szCs w:val="22"/>
          <w:highlight w:val="none"/>
        </w:rPr>
        <w:t>:</w:t>
      </w:r>
      <w:r>
        <w:rPr>
          <w:rFonts w:hint="eastAsia" w:ascii="宋体" w:hAnsi="宋体"/>
          <w:color w:val="auto"/>
          <w:sz w:val="22"/>
          <w:szCs w:val="22"/>
          <w:highlight w:val="none"/>
        </w:rPr>
        <w:t>无</w:t>
      </w:r>
    </w:p>
    <w:p w14:paraId="0BA9C234">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3.本项目的特定资格要求：标项</w:t>
      </w:r>
      <w:r>
        <w:rPr>
          <w:rFonts w:hint="eastAsia" w:ascii="宋体" w:hAnsi="宋体"/>
          <w:color w:val="auto"/>
          <w:sz w:val="22"/>
          <w:szCs w:val="22"/>
          <w:highlight w:val="none"/>
        </w:rPr>
        <w:t>1，2</w:t>
      </w:r>
      <w:r>
        <w:rPr>
          <w:rFonts w:ascii="宋体" w:hAnsi="宋体"/>
          <w:color w:val="auto"/>
          <w:sz w:val="22"/>
          <w:szCs w:val="22"/>
          <w:highlight w:val="none"/>
        </w:rPr>
        <w:t>:</w:t>
      </w:r>
      <w:r>
        <w:rPr>
          <w:rFonts w:hint="eastAsia" w:ascii="宋体" w:hAnsi="宋体"/>
          <w:color w:val="auto"/>
          <w:sz w:val="22"/>
          <w:szCs w:val="22"/>
          <w:highlight w:val="none"/>
        </w:rPr>
        <w:t xml:space="preserve"> </w:t>
      </w:r>
      <w:r>
        <w:rPr>
          <w:rFonts w:ascii="宋体" w:hAnsi="宋体" w:cs="宋体"/>
          <w:color w:val="auto"/>
          <w:kern w:val="0"/>
          <w:sz w:val="22"/>
          <w:highlight w:val="none"/>
        </w:rPr>
        <w:t>供应商须具有增值电信业务经营资质（提供增值电信业务经营许可证）运营商或其分支机构（提供有效授权或证明文件）</w:t>
      </w:r>
    </w:p>
    <w:p w14:paraId="036F1812">
      <w:pPr>
        <w:widowControl/>
        <w:spacing w:before="150" w:after="150" w:line="390" w:lineRule="atLeast"/>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三、获取（下载）采购文件</w:t>
      </w:r>
    </w:p>
    <w:p w14:paraId="4C540582">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时间：/至202</w:t>
      </w:r>
      <w:r>
        <w:rPr>
          <w:rFonts w:hint="eastAsia" w:ascii="宋体" w:hAnsi="宋体"/>
          <w:color w:val="auto"/>
          <w:sz w:val="22"/>
          <w:szCs w:val="22"/>
          <w:highlight w:val="none"/>
        </w:rPr>
        <w:t>4</w:t>
      </w:r>
      <w:r>
        <w:rPr>
          <w:rFonts w:ascii="宋体" w:hAnsi="宋体"/>
          <w:color w:val="auto"/>
          <w:sz w:val="22"/>
          <w:szCs w:val="22"/>
          <w:highlight w:val="none"/>
        </w:rPr>
        <w:t>年</w:t>
      </w:r>
      <w:r>
        <w:rPr>
          <w:rFonts w:hint="eastAsia" w:ascii="宋体" w:hAnsi="宋体"/>
          <w:color w:val="auto"/>
          <w:sz w:val="22"/>
          <w:szCs w:val="22"/>
          <w:highlight w:val="none"/>
          <w:lang w:val="en-US" w:eastAsia="zh-CN"/>
        </w:rPr>
        <w:t>9</w:t>
      </w:r>
      <w:r>
        <w:rPr>
          <w:rFonts w:ascii="宋体" w:hAnsi="宋体"/>
          <w:color w:val="auto"/>
          <w:sz w:val="22"/>
          <w:szCs w:val="22"/>
          <w:highlight w:val="none"/>
        </w:rPr>
        <w:t>月</w:t>
      </w:r>
      <w:r>
        <w:rPr>
          <w:rFonts w:hint="eastAsia" w:ascii="宋体" w:hAnsi="宋体"/>
          <w:color w:val="auto"/>
          <w:sz w:val="22"/>
          <w:szCs w:val="22"/>
          <w:highlight w:val="none"/>
          <w:lang w:val="en-US" w:eastAsia="zh-CN"/>
        </w:rPr>
        <w:t>29</w:t>
      </w:r>
      <w:r>
        <w:rPr>
          <w:rFonts w:ascii="宋体" w:hAnsi="宋体"/>
          <w:color w:val="auto"/>
          <w:sz w:val="22"/>
          <w:szCs w:val="22"/>
          <w:highlight w:val="none"/>
        </w:rPr>
        <w:t>日，每天上午00:00至12:00，下午12:00至23:59（北京时间，线上获取法定节假日均可，线下获取文件法定节假日除外）</w:t>
      </w:r>
    </w:p>
    <w:p w14:paraId="43C3787B">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地点（网址）：</w:t>
      </w:r>
      <w:r>
        <w:rPr>
          <w:rFonts w:hint="eastAsia" w:ascii="宋体" w:hAnsi="宋体" w:cs="宋体"/>
          <w:color w:val="auto"/>
          <w:sz w:val="22"/>
          <w:szCs w:val="22"/>
          <w:highlight w:val="none"/>
        </w:rPr>
        <w:t>政采云平台（www.zcygov.cn）</w:t>
      </w:r>
    </w:p>
    <w:p w14:paraId="7C1A355F">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方式：</w:t>
      </w:r>
      <w:r>
        <w:rPr>
          <w:rFonts w:hint="eastAsia" w:ascii="宋体" w:hAnsi="宋体"/>
          <w:color w:val="auto"/>
          <w:sz w:val="22"/>
          <w:szCs w:val="22"/>
          <w:highlight w:val="none"/>
        </w:rPr>
        <w:t>潜在供应商自公告发布之日起至响应文件递交截止时间前通过账号登录政采云平台获取磋商文件，具体如下：项目采购--获取采购文件菜单，点击【申请获取采购文件】，填写获取采购文件的申请信息，提交后点击【下载采购文件】即可获取磋商文件；（备注：1、本项目磋商文件不收取工本费；仅需浏览磋商文件的供应商可点击“游客，浏览采购文件”直接下载磋商文件浏览。2、潜在供应商应当按照公告规定的方式获取磋商文件，未按照公告规定的方式获取磋商文件的，针对磋商文件的质疑不予受理。）</w:t>
      </w:r>
    </w:p>
    <w:p w14:paraId="0FBEA68E">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售价（元）：0 </w:t>
      </w:r>
    </w:p>
    <w:p w14:paraId="506D529B">
      <w:pPr>
        <w:widowControl/>
        <w:spacing w:before="150" w:after="150" w:line="390" w:lineRule="atLeast"/>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四、响应文件提交（上传） </w:t>
      </w:r>
    </w:p>
    <w:p w14:paraId="50F5D87D">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截止时间：202</w:t>
      </w:r>
      <w:r>
        <w:rPr>
          <w:rFonts w:hint="eastAsia" w:ascii="宋体" w:hAnsi="宋体"/>
          <w:color w:val="auto"/>
          <w:sz w:val="22"/>
          <w:szCs w:val="22"/>
          <w:highlight w:val="none"/>
        </w:rPr>
        <w:t>4</w:t>
      </w:r>
      <w:r>
        <w:rPr>
          <w:rFonts w:ascii="宋体" w:hAnsi="宋体"/>
          <w:color w:val="auto"/>
          <w:sz w:val="22"/>
          <w:szCs w:val="22"/>
          <w:highlight w:val="none"/>
        </w:rPr>
        <w:t>年</w:t>
      </w:r>
      <w:r>
        <w:rPr>
          <w:rFonts w:hint="eastAsia" w:ascii="宋体" w:hAnsi="宋体"/>
          <w:color w:val="auto"/>
          <w:sz w:val="22"/>
          <w:szCs w:val="22"/>
          <w:highlight w:val="none"/>
          <w:lang w:val="en-US" w:eastAsia="zh-CN"/>
        </w:rPr>
        <w:t>9</w:t>
      </w:r>
      <w:r>
        <w:rPr>
          <w:rFonts w:ascii="宋体" w:hAnsi="宋体"/>
          <w:color w:val="auto"/>
          <w:sz w:val="22"/>
          <w:szCs w:val="22"/>
          <w:highlight w:val="none"/>
        </w:rPr>
        <w:t>月</w:t>
      </w:r>
      <w:r>
        <w:rPr>
          <w:rFonts w:hint="eastAsia" w:ascii="宋体" w:hAnsi="宋体"/>
          <w:color w:val="auto"/>
          <w:sz w:val="22"/>
          <w:szCs w:val="22"/>
          <w:highlight w:val="none"/>
          <w:lang w:val="en-US" w:eastAsia="zh-CN"/>
        </w:rPr>
        <w:t>29</w:t>
      </w:r>
      <w:r>
        <w:rPr>
          <w:rFonts w:ascii="宋体" w:hAnsi="宋体"/>
          <w:color w:val="auto"/>
          <w:sz w:val="22"/>
          <w:szCs w:val="22"/>
          <w:highlight w:val="none"/>
        </w:rPr>
        <w:t>日</w:t>
      </w: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5</w:t>
      </w:r>
      <w:r>
        <w:rPr>
          <w:rFonts w:ascii="宋体" w:hAnsi="宋体"/>
          <w:color w:val="auto"/>
          <w:sz w:val="22"/>
          <w:szCs w:val="22"/>
          <w:highlight w:val="none"/>
        </w:rPr>
        <w:t>:</w:t>
      </w:r>
      <w:r>
        <w:rPr>
          <w:rFonts w:hint="eastAsia" w:ascii="宋体" w:hAnsi="宋体"/>
          <w:color w:val="auto"/>
          <w:sz w:val="22"/>
          <w:szCs w:val="22"/>
          <w:highlight w:val="none"/>
          <w:lang w:val="en-US" w:eastAsia="zh-CN"/>
        </w:rPr>
        <w:t>0</w:t>
      </w:r>
      <w:r>
        <w:rPr>
          <w:rFonts w:ascii="宋体" w:hAnsi="宋体"/>
          <w:color w:val="auto"/>
          <w:sz w:val="22"/>
          <w:szCs w:val="22"/>
          <w:highlight w:val="none"/>
        </w:rPr>
        <w:t>0（北京时间）</w:t>
      </w:r>
    </w:p>
    <w:p w14:paraId="13F61CBE">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地点（网址）：</w:t>
      </w:r>
      <w:r>
        <w:rPr>
          <w:rFonts w:hint="eastAsia" w:ascii="宋体" w:hAnsi="宋体"/>
          <w:color w:val="auto"/>
          <w:sz w:val="22"/>
          <w:szCs w:val="22"/>
          <w:highlight w:val="none"/>
        </w:rPr>
        <w:t>政府采购云平台</w:t>
      </w:r>
      <w:r>
        <w:rPr>
          <w:rFonts w:hint="eastAsia" w:ascii="宋体" w:hAnsi="宋体" w:cs="宋体"/>
          <w:color w:val="auto"/>
          <w:sz w:val="22"/>
          <w:szCs w:val="22"/>
          <w:highlight w:val="none"/>
        </w:rPr>
        <w:t>在线投标，投标供应商无须前往评审现场。</w:t>
      </w:r>
    </w:p>
    <w:p w14:paraId="09CDCCBE">
      <w:pPr>
        <w:widowControl/>
        <w:spacing w:before="150" w:after="150" w:line="390" w:lineRule="atLeast"/>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五、响应文件开启 </w:t>
      </w:r>
    </w:p>
    <w:p w14:paraId="52892EDF">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开启时间：202</w:t>
      </w:r>
      <w:r>
        <w:rPr>
          <w:rFonts w:hint="eastAsia" w:ascii="宋体" w:hAnsi="宋体"/>
          <w:color w:val="auto"/>
          <w:sz w:val="22"/>
          <w:szCs w:val="22"/>
          <w:highlight w:val="none"/>
        </w:rPr>
        <w:t>4</w:t>
      </w:r>
      <w:r>
        <w:rPr>
          <w:rFonts w:ascii="宋体" w:hAnsi="宋体"/>
          <w:color w:val="auto"/>
          <w:sz w:val="22"/>
          <w:szCs w:val="22"/>
          <w:highlight w:val="none"/>
        </w:rPr>
        <w:t>年</w:t>
      </w:r>
      <w:r>
        <w:rPr>
          <w:rFonts w:hint="eastAsia" w:ascii="宋体" w:hAnsi="宋体"/>
          <w:color w:val="auto"/>
          <w:sz w:val="22"/>
          <w:szCs w:val="22"/>
          <w:highlight w:val="none"/>
          <w:lang w:val="en-US" w:eastAsia="zh-CN"/>
        </w:rPr>
        <w:t>9</w:t>
      </w:r>
      <w:r>
        <w:rPr>
          <w:rFonts w:ascii="宋体" w:hAnsi="宋体"/>
          <w:color w:val="auto"/>
          <w:sz w:val="22"/>
          <w:szCs w:val="22"/>
          <w:highlight w:val="none"/>
        </w:rPr>
        <w:t>月</w:t>
      </w:r>
      <w:r>
        <w:rPr>
          <w:rFonts w:hint="eastAsia" w:ascii="宋体" w:hAnsi="宋体"/>
          <w:color w:val="auto"/>
          <w:sz w:val="22"/>
          <w:szCs w:val="22"/>
          <w:highlight w:val="none"/>
          <w:lang w:val="en-US" w:eastAsia="zh-CN"/>
        </w:rPr>
        <w:t>29</w:t>
      </w:r>
      <w:r>
        <w:rPr>
          <w:rFonts w:ascii="宋体" w:hAnsi="宋体"/>
          <w:color w:val="auto"/>
          <w:sz w:val="22"/>
          <w:szCs w:val="22"/>
          <w:highlight w:val="none"/>
        </w:rPr>
        <w:t>日</w:t>
      </w: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5</w:t>
      </w:r>
      <w:r>
        <w:rPr>
          <w:rFonts w:ascii="宋体" w:hAnsi="宋体"/>
          <w:color w:val="auto"/>
          <w:sz w:val="22"/>
          <w:szCs w:val="22"/>
          <w:highlight w:val="none"/>
        </w:rPr>
        <w:t>:</w:t>
      </w:r>
      <w:r>
        <w:rPr>
          <w:rFonts w:hint="eastAsia" w:ascii="宋体" w:hAnsi="宋体"/>
          <w:color w:val="auto"/>
          <w:sz w:val="22"/>
          <w:szCs w:val="22"/>
          <w:highlight w:val="none"/>
          <w:lang w:val="en-US" w:eastAsia="zh-CN"/>
        </w:rPr>
        <w:t>0</w:t>
      </w:r>
      <w:r>
        <w:rPr>
          <w:rFonts w:ascii="宋体" w:hAnsi="宋体"/>
          <w:color w:val="auto"/>
          <w:sz w:val="22"/>
          <w:szCs w:val="22"/>
          <w:highlight w:val="none"/>
        </w:rPr>
        <w:t>0（北京时间）</w:t>
      </w:r>
    </w:p>
    <w:p w14:paraId="7D16FC3D">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地点（网址）：</w:t>
      </w:r>
      <w:r>
        <w:rPr>
          <w:rFonts w:hint="eastAsia" w:ascii="宋体" w:hAnsi="宋体"/>
          <w:color w:val="auto"/>
          <w:sz w:val="22"/>
          <w:szCs w:val="22"/>
          <w:highlight w:val="none"/>
        </w:rPr>
        <w:t xml:space="preserve">温州市洞头区政务服务中心2楼 </w:t>
      </w:r>
    </w:p>
    <w:p w14:paraId="781017A2">
      <w:pPr>
        <w:widowControl/>
        <w:spacing w:before="150" w:after="150" w:line="390" w:lineRule="atLeast"/>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六、公告期限</w:t>
      </w:r>
    </w:p>
    <w:p w14:paraId="52536719">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自本公告发布之日起3个工作日。</w:t>
      </w:r>
    </w:p>
    <w:p w14:paraId="62FD961D">
      <w:pPr>
        <w:widowControl/>
        <w:spacing w:before="150" w:after="150" w:line="390" w:lineRule="atLeast"/>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七、其他补充事宜 </w:t>
      </w:r>
    </w:p>
    <w:p w14:paraId="3F3DCB6E">
      <w:pPr>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351C7E2">
      <w:pPr>
        <w:spacing w:line="390" w:lineRule="atLeast"/>
        <w:ind w:firstLine="440" w:firstLineChars="200"/>
        <w:rPr>
          <w:rFonts w:ascii="宋体" w:hAnsi="宋体"/>
          <w:color w:val="auto"/>
          <w:sz w:val="22"/>
          <w:szCs w:val="22"/>
          <w:highlight w:val="none"/>
        </w:rPr>
      </w:pPr>
      <w:r>
        <w:rPr>
          <w:rFonts w:ascii="宋体" w:hAnsi="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r>
        <w:rPr>
          <w:rFonts w:ascii="宋体" w:hAnsi="宋体"/>
          <w:color w:val="auto"/>
          <w:sz w:val="22"/>
          <w:szCs w:val="22"/>
          <w:highlight w:val="none"/>
        </w:rPr>
        <w:br w:type="textWrapping"/>
      </w:r>
      <w:r>
        <w:rPr>
          <w:rFonts w:hint="eastAsia" w:ascii="宋体" w:hAnsi="宋体"/>
          <w:color w:val="auto"/>
          <w:sz w:val="22"/>
          <w:szCs w:val="22"/>
          <w:highlight w:val="none"/>
        </w:rPr>
        <w:t xml:space="preserve">    3</w:t>
      </w:r>
      <w:r>
        <w:rPr>
          <w:rFonts w:ascii="宋体" w:hAnsi="宋体"/>
          <w:color w:val="auto"/>
          <w:sz w:val="22"/>
          <w:szCs w:val="22"/>
          <w:highlight w:val="none"/>
        </w:rPr>
        <w:t>.其他事项：1</w:t>
      </w:r>
      <w:r>
        <w:rPr>
          <w:rFonts w:hint="eastAsia" w:ascii="宋体" w:hAnsi="宋体"/>
          <w:color w:val="auto"/>
          <w:sz w:val="22"/>
          <w:szCs w:val="22"/>
          <w:highlight w:val="none"/>
        </w:rPr>
        <w:t>、</w:t>
      </w:r>
      <w:r>
        <w:rPr>
          <w:rFonts w:ascii="宋体" w:hAnsi="宋体"/>
          <w:color w:val="auto"/>
          <w:sz w:val="22"/>
          <w:szCs w:val="22"/>
          <w:highlight w:val="none"/>
        </w:rPr>
        <w:t>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color w:val="auto"/>
          <w:sz w:val="22"/>
          <w:szCs w:val="22"/>
          <w:highlight w:val="none"/>
        </w:rPr>
        <w:t>2、</w:t>
      </w:r>
      <w:r>
        <w:rPr>
          <w:rFonts w:ascii="宋体" w:hAnsi="宋体"/>
          <w:color w:val="auto"/>
          <w:sz w:val="22"/>
          <w:szCs w:val="22"/>
          <w:highlight w:val="none"/>
        </w:rPr>
        <w:t>在线投标响应（电子投标）说明：1</w:t>
      </w:r>
      <w:r>
        <w:rPr>
          <w:rFonts w:hint="eastAsia" w:ascii="宋体" w:hAnsi="宋体"/>
          <w:color w:val="auto"/>
          <w:sz w:val="22"/>
          <w:szCs w:val="22"/>
          <w:highlight w:val="none"/>
        </w:rPr>
        <w:t>.</w:t>
      </w:r>
      <w:r>
        <w:rPr>
          <w:rFonts w:ascii="宋体" w:hAnsi="宋体"/>
          <w:color w:val="auto"/>
          <w:sz w:val="22"/>
          <w:szCs w:val="22"/>
          <w:highlight w:val="none"/>
        </w:rPr>
        <w:t>本项目通过“政府采购云平台（www.zcygov.cn）”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 “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 2</w:t>
      </w:r>
      <w:r>
        <w:rPr>
          <w:rFonts w:hint="eastAsia" w:ascii="宋体" w:hAnsi="宋体"/>
          <w:color w:val="auto"/>
          <w:sz w:val="22"/>
          <w:szCs w:val="22"/>
          <w:highlight w:val="none"/>
        </w:rPr>
        <w:t>.</w:t>
      </w:r>
      <w:r>
        <w:rPr>
          <w:rFonts w:ascii="宋体" w:hAnsi="宋体"/>
          <w:color w:val="auto"/>
          <w:sz w:val="22"/>
          <w:szCs w:val="22"/>
          <w:highlight w:val="none"/>
        </w:rPr>
        <w:t>为确保网上操作合法、有效和安全，投标供应商应当在响应文件递交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w:t>
      </w:r>
      <w:r>
        <w:rPr>
          <w:rFonts w:hint="eastAsia" w:ascii="宋体" w:hAnsi="宋体"/>
          <w:color w:val="auto"/>
          <w:sz w:val="22"/>
          <w:szCs w:val="22"/>
          <w:highlight w:val="none"/>
        </w:rPr>
        <w:t>.</w:t>
      </w:r>
      <w:r>
        <w:rPr>
          <w:rFonts w:ascii="宋体" w:hAnsi="宋体"/>
          <w:color w:val="auto"/>
          <w:sz w:val="22"/>
          <w:szCs w:val="22"/>
          <w:highlight w:val="none"/>
        </w:rPr>
        <w:t>投标供应商应当在响应文件递交截止时间前，将生成的“电子加密磋商响应文件”上传递交至“政府采购云平台”。响应文件递交截止时间以后上传递交的磋商响应文件将被“政府采购云平台”拒收。 4</w:t>
      </w:r>
      <w:r>
        <w:rPr>
          <w:rFonts w:hint="eastAsia" w:ascii="宋体" w:hAnsi="宋体"/>
          <w:color w:val="auto"/>
          <w:sz w:val="22"/>
          <w:szCs w:val="22"/>
          <w:highlight w:val="none"/>
        </w:rPr>
        <w:t>.</w:t>
      </w:r>
      <w:r>
        <w:rPr>
          <w:rFonts w:ascii="宋体" w:hAnsi="宋体"/>
          <w:color w:val="auto"/>
          <w:sz w:val="22"/>
          <w:szCs w:val="22"/>
          <w:highlight w:val="none"/>
        </w:rPr>
        <w:t>通过“政府采购云平台”成功上传递交的“电子加密磋商响应文件”无法按时解密的，其磋商响应文件按拒收处理。</w:t>
      </w:r>
    </w:p>
    <w:p w14:paraId="1064105A">
      <w:pPr>
        <w:widowControl/>
        <w:spacing w:before="150" w:after="150" w:line="390" w:lineRule="atLeast"/>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八、凡对本次招标提出询问、质疑、投诉，请按以下方式联系</w:t>
      </w:r>
    </w:p>
    <w:p w14:paraId="6AC5D362">
      <w:pPr>
        <w:spacing w:line="39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1.采购人信息</w:t>
      </w:r>
    </w:p>
    <w:p w14:paraId="493A7C6D">
      <w:pPr>
        <w:spacing w:line="390" w:lineRule="atLeas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名 称：温州市洞头区大数据管理中心</w:t>
      </w:r>
    </w:p>
    <w:p w14:paraId="62C7A989">
      <w:pPr>
        <w:spacing w:line="390" w:lineRule="atLeas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地址：</w:t>
      </w:r>
      <w:r>
        <w:rPr>
          <w:rFonts w:hint="eastAsia" w:ascii="宋体"/>
          <w:color w:val="auto"/>
          <w:sz w:val="22"/>
          <w:szCs w:val="22"/>
          <w:highlight w:val="none"/>
        </w:rPr>
        <w:t>温州市洞头区新城大道</w:t>
      </w:r>
      <w:r>
        <w:rPr>
          <w:rFonts w:ascii="宋体"/>
          <w:color w:val="auto"/>
          <w:sz w:val="22"/>
          <w:szCs w:val="22"/>
          <w:highlight w:val="none"/>
        </w:rPr>
        <w:t>68号电信大楼2楼大数据管理中心</w:t>
      </w:r>
    </w:p>
    <w:p w14:paraId="302B1C17">
      <w:pPr>
        <w:spacing w:line="390" w:lineRule="atLeas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传真：/</w:t>
      </w:r>
    </w:p>
    <w:p w14:paraId="0872D811">
      <w:pPr>
        <w:spacing w:line="39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项目联系人（询问）</w:t>
      </w:r>
      <w:r>
        <w:rPr>
          <w:rFonts w:hint="eastAsia" w:ascii="宋体" w:hAnsi="宋体"/>
          <w:color w:val="auto"/>
          <w:sz w:val="22"/>
          <w:szCs w:val="22"/>
          <w:highlight w:val="none"/>
        </w:rPr>
        <w:t>：颜先生</w:t>
      </w:r>
    </w:p>
    <w:p w14:paraId="464854DB">
      <w:pPr>
        <w:spacing w:line="39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项目联系方式（询问）</w:t>
      </w:r>
      <w:r>
        <w:rPr>
          <w:rFonts w:hint="eastAsia" w:ascii="宋体" w:hAnsi="宋体"/>
          <w:color w:val="auto"/>
          <w:sz w:val="22"/>
          <w:szCs w:val="22"/>
          <w:highlight w:val="none"/>
        </w:rPr>
        <w:t>：</w:t>
      </w:r>
      <w:r>
        <w:rPr>
          <w:rFonts w:ascii="宋体" w:hAnsi="宋体"/>
          <w:color w:val="auto"/>
          <w:sz w:val="22"/>
          <w:szCs w:val="22"/>
          <w:highlight w:val="none"/>
        </w:rPr>
        <w:t>13968908099</w:t>
      </w:r>
    </w:p>
    <w:p w14:paraId="5B24BB97">
      <w:pPr>
        <w:spacing w:line="39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质疑联系人：</w:t>
      </w:r>
      <w:r>
        <w:rPr>
          <w:rFonts w:hint="eastAsia" w:ascii="宋体" w:hAnsi="宋体"/>
          <w:color w:val="auto"/>
          <w:sz w:val="22"/>
          <w:szCs w:val="22"/>
          <w:highlight w:val="none"/>
        </w:rPr>
        <w:t>陈先生</w:t>
      </w:r>
    </w:p>
    <w:p w14:paraId="58A7F1ED">
      <w:pPr>
        <w:spacing w:line="39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质疑联系方式：</w:t>
      </w:r>
      <w:r>
        <w:rPr>
          <w:rFonts w:hint="eastAsia" w:ascii="宋体" w:hAnsi="宋体"/>
          <w:color w:val="auto"/>
          <w:sz w:val="22"/>
          <w:szCs w:val="22"/>
          <w:highlight w:val="none"/>
        </w:rPr>
        <w:t>13867752220</w:t>
      </w:r>
    </w:p>
    <w:p w14:paraId="19089962">
      <w:pPr>
        <w:spacing w:line="390" w:lineRule="atLeast"/>
        <w:ind w:firstLine="440" w:firstLineChars="200"/>
        <w:jc w:val="left"/>
        <w:rPr>
          <w:rFonts w:ascii="宋体" w:hAnsi="宋体"/>
          <w:color w:val="auto"/>
          <w:sz w:val="22"/>
          <w:szCs w:val="22"/>
          <w:highlight w:val="none"/>
        </w:rPr>
      </w:pPr>
    </w:p>
    <w:p w14:paraId="240FEFD5">
      <w:pPr>
        <w:spacing w:line="39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2.采购代理机构信息</w:t>
      </w:r>
    </w:p>
    <w:p w14:paraId="20123654">
      <w:pPr>
        <w:spacing w:line="390" w:lineRule="atLeas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名 称：温州华晟招标代理有限公司</w:t>
      </w:r>
    </w:p>
    <w:p w14:paraId="466BE645">
      <w:pPr>
        <w:spacing w:line="390" w:lineRule="atLeas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地　址：乐清市双雁路508号三楼</w:t>
      </w:r>
    </w:p>
    <w:p w14:paraId="6A3D10B9">
      <w:pPr>
        <w:spacing w:line="390" w:lineRule="atLeas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传真：\</w:t>
      </w:r>
    </w:p>
    <w:p w14:paraId="53532C25">
      <w:pPr>
        <w:spacing w:line="39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项目联系人（询问）：</w:t>
      </w:r>
      <w:r>
        <w:rPr>
          <w:rFonts w:hint="eastAsia" w:ascii="宋体" w:hAnsi="宋体"/>
          <w:color w:val="auto"/>
          <w:sz w:val="22"/>
          <w:szCs w:val="22"/>
          <w:highlight w:val="none"/>
        </w:rPr>
        <w:t>张先生</w:t>
      </w:r>
    </w:p>
    <w:p w14:paraId="01D30CFE">
      <w:pPr>
        <w:spacing w:line="39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项目联系方式（询问）：</w:t>
      </w:r>
      <w:r>
        <w:rPr>
          <w:rFonts w:hint="eastAsia" w:ascii="宋体" w:hAnsi="宋体"/>
          <w:color w:val="auto"/>
          <w:sz w:val="22"/>
          <w:szCs w:val="22"/>
          <w:highlight w:val="none"/>
        </w:rPr>
        <w:t>15868575066</w:t>
      </w:r>
    </w:p>
    <w:p w14:paraId="7D19E012">
      <w:pPr>
        <w:spacing w:line="39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质疑联系人：</w:t>
      </w:r>
      <w:r>
        <w:rPr>
          <w:rFonts w:hint="eastAsia" w:ascii="宋体" w:hAnsi="宋体"/>
          <w:color w:val="auto"/>
          <w:sz w:val="22"/>
          <w:szCs w:val="22"/>
          <w:highlight w:val="none"/>
        </w:rPr>
        <w:t>金先生</w:t>
      </w:r>
    </w:p>
    <w:p w14:paraId="49DB6D62">
      <w:pPr>
        <w:spacing w:line="39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质疑联系方式：</w:t>
      </w:r>
      <w:r>
        <w:rPr>
          <w:rFonts w:hint="eastAsia" w:ascii="宋体" w:hAnsi="宋体"/>
          <w:color w:val="auto"/>
          <w:sz w:val="22"/>
          <w:szCs w:val="22"/>
          <w:highlight w:val="none"/>
        </w:rPr>
        <w:t>13868320918</w:t>
      </w:r>
    </w:p>
    <w:p w14:paraId="03F00AB8">
      <w:pPr>
        <w:spacing w:line="390" w:lineRule="atLeast"/>
        <w:ind w:firstLine="440" w:firstLineChars="200"/>
        <w:jc w:val="left"/>
        <w:rPr>
          <w:rFonts w:ascii="宋体" w:hAnsi="宋体"/>
          <w:color w:val="auto"/>
          <w:sz w:val="22"/>
          <w:szCs w:val="22"/>
          <w:highlight w:val="none"/>
        </w:rPr>
      </w:pPr>
    </w:p>
    <w:p w14:paraId="7E577F27">
      <w:pPr>
        <w:spacing w:line="39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 同级政府采购监管管理部门</w:t>
      </w:r>
    </w:p>
    <w:p w14:paraId="5A6A17DA">
      <w:pPr>
        <w:spacing w:line="390" w:lineRule="atLeas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名 称：温州市洞头区财政局政府采购监管科</w:t>
      </w:r>
    </w:p>
    <w:p w14:paraId="2AF54FFC">
      <w:pPr>
        <w:spacing w:line="390" w:lineRule="atLeas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地址：浙江省温州市洞头区腾飞路</w:t>
      </w:r>
      <w:r>
        <w:rPr>
          <w:rFonts w:ascii="宋体" w:hAnsi="宋体"/>
          <w:color w:val="auto"/>
          <w:sz w:val="22"/>
          <w:szCs w:val="22"/>
          <w:highlight w:val="none"/>
        </w:rPr>
        <w:t>79号财政大楼</w:t>
      </w:r>
    </w:p>
    <w:p w14:paraId="4F993E35">
      <w:pPr>
        <w:spacing w:line="390" w:lineRule="atLeas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传真：</w:t>
      </w:r>
      <w:r>
        <w:rPr>
          <w:rFonts w:ascii="宋体" w:hAnsi="宋体"/>
          <w:color w:val="auto"/>
          <w:sz w:val="22"/>
          <w:szCs w:val="22"/>
          <w:highlight w:val="none"/>
        </w:rPr>
        <w:t>0577-63387900</w:t>
      </w:r>
    </w:p>
    <w:p w14:paraId="2AC388CD">
      <w:pPr>
        <w:spacing w:line="390" w:lineRule="atLeas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联系人：许先生</w:t>
      </w:r>
    </w:p>
    <w:p w14:paraId="68B89338">
      <w:pPr>
        <w:spacing w:line="39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监督投诉电话：0577-63387968</w:t>
      </w:r>
    </w:p>
    <w:p w14:paraId="572ACF9D">
      <w:pPr>
        <w:spacing w:line="390" w:lineRule="atLeast"/>
        <w:ind w:firstLine="440" w:firstLineChars="200"/>
        <w:jc w:val="left"/>
        <w:rPr>
          <w:rFonts w:ascii="宋体" w:hAnsi="宋体"/>
          <w:color w:val="auto"/>
          <w:sz w:val="22"/>
          <w:szCs w:val="22"/>
          <w:highlight w:val="none"/>
        </w:rPr>
      </w:pPr>
    </w:p>
    <w:p w14:paraId="7300C301">
      <w:pPr>
        <w:widowControl/>
        <w:spacing w:line="390" w:lineRule="atLeast"/>
        <w:jc w:val="left"/>
        <w:rPr>
          <w:rFonts w:ascii="宋体" w:hAnsi="宋体"/>
          <w:color w:val="auto"/>
          <w:sz w:val="22"/>
          <w:szCs w:val="22"/>
          <w:highlight w:val="none"/>
        </w:rPr>
      </w:pPr>
      <w:r>
        <w:rPr>
          <w:rFonts w:ascii="宋体" w:hAnsi="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w:t>
      </w:r>
    </w:p>
    <w:p w14:paraId="092F9DA8">
      <w:pPr>
        <w:widowControl/>
        <w:spacing w:line="390" w:lineRule="atLeast"/>
        <w:jc w:val="left"/>
        <w:rPr>
          <w:rFonts w:ascii="宋体" w:hAnsi="宋体"/>
          <w:color w:val="auto"/>
          <w:sz w:val="22"/>
          <w:szCs w:val="22"/>
          <w:highlight w:val="none"/>
        </w:rPr>
      </w:pPr>
      <w:r>
        <w:rPr>
          <w:rFonts w:ascii="宋体" w:hAnsi="宋体"/>
          <w:color w:val="auto"/>
          <w:sz w:val="22"/>
          <w:szCs w:val="22"/>
          <w:highlight w:val="none"/>
        </w:rPr>
        <w:t>CA问题联系电话（人工）：汇信CA 400-888-4636；天谷CA 400-087-8198。</w:t>
      </w:r>
    </w:p>
    <w:p w14:paraId="1A52DD33">
      <w:pPr>
        <w:autoSpaceDE w:val="0"/>
        <w:autoSpaceDN w:val="0"/>
        <w:adjustRightInd w:val="0"/>
        <w:spacing w:line="400" w:lineRule="atLeast"/>
        <w:jc w:val="center"/>
        <w:rPr>
          <w:rFonts w:ascii="宋体" w:hAnsi="宋体"/>
          <w:color w:val="auto"/>
          <w:sz w:val="22"/>
          <w:szCs w:val="22"/>
          <w:highlight w:val="none"/>
        </w:rPr>
      </w:pPr>
    </w:p>
    <w:p w14:paraId="4B7F9813">
      <w:pPr>
        <w:autoSpaceDE w:val="0"/>
        <w:autoSpaceDN w:val="0"/>
        <w:adjustRightInd w:val="0"/>
        <w:spacing w:line="400" w:lineRule="atLeast"/>
        <w:jc w:val="center"/>
        <w:rPr>
          <w:rFonts w:ascii="宋体" w:hAnsi="宋体"/>
          <w:color w:val="auto"/>
          <w:sz w:val="22"/>
          <w:szCs w:val="22"/>
          <w:highlight w:val="none"/>
        </w:rPr>
      </w:pPr>
    </w:p>
    <w:p w14:paraId="6343BB19">
      <w:pPr>
        <w:autoSpaceDE w:val="0"/>
        <w:autoSpaceDN w:val="0"/>
        <w:adjustRightInd w:val="0"/>
        <w:spacing w:line="400" w:lineRule="atLeast"/>
        <w:jc w:val="center"/>
        <w:rPr>
          <w:rFonts w:ascii="宋体" w:hAnsi="宋体"/>
          <w:color w:val="auto"/>
          <w:sz w:val="22"/>
          <w:szCs w:val="22"/>
          <w:highlight w:val="none"/>
        </w:rPr>
      </w:pPr>
    </w:p>
    <w:p w14:paraId="2968B039">
      <w:pPr>
        <w:autoSpaceDE w:val="0"/>
        <w:autoSpaceDN w:val="0"/>
        <w:adjustRightInd w:val="0"/>
        <w:spacing w:line="400" w:lineRule="atLeast"/>
        <w:jc w:val="center"/>
        <w:rPr>
          <w:rFonts w:ascii="宋体" w:hAnsi="宋体"/>
          <w:color w:val="auto"/>
          <w:sz w:val="22"/>
          <w:szCs w:val="22"/>
          <w:highlight w:val="none"/>
        </w:rPr>
      </w:pPr>
    </w:p>
    <w:p w14:paraId="7D8D273F">
      <w:pPr>
        <w:autoSpaceDE w:val="0"/>
        <w:autoSpaceDN w:val="0"/>
        <w:adjustRightInd w:val="0"/>
        <w:spacing w:line="400" w:lineRule="atLeast"/>
        <w:jc w:val="center"/>
        <w:rPr>
          <w:rFonts w:ascii="宋体" w:hAnsi="宋体"/>
          <w:color w:val="auto"/>
          <w:sz w:val="22"/>
          <w:szCs w:val="22"/>
          <w:highlight w:val="none"/>
        </w:rPr>
      </w:pPr>
    </w:p>
    <w:p w14:paraId="13AC2F93">
      <w:pPr>
        <w:autoSpaceDE w:val="0"/>
        <w:autoSpaceDN w:val="0"/>
        <w:adjustRightInd w:val="0"/>
        <w:spacing w:line="400" w:lineRule="atLeast"/>
        <w:jc w:val="center"/>
        <w:rPr>
          <w:rFonts w:ascii="宋体" w:hAnsi="宋体"/>
          <w:color w:val="auto"/>
          <w:sz w:val="22"/>
          <w:szCs w:val="22"/>
          <w:highlight w:val="none"/>
        </w:rPr>
      </w:pPr>
    </w:p>
    <w:p w14:paraId="55B8FF6B">
      <w:pPr>
        <w:autoSpaceDE w:val="0"/>
        <w:autoSpaceDN w:val="0"/>
        <w:adjustRightInd w:val="0"/>
        <w:spacing w:line="400" w:lineRule="atLeast"/>
        <w:jc w:val="center"/>
        <w:rPr>
          <w:rFonts w:ascii="宋体" w:hAnsi="宋体"/>
          <w:color w:val="auto"/>
          <w:sz w:val="22"/>
          <w:szCs w:val="22"/>
          <w:highlight w:val="none"/>
        </w:rPr>
      </w:pPr>
    </w:p>
    <w:p w14:paraId="752F9C0F">
      <w:pPr>
        <w:autoSpaceDE w:val="0"/>
        <w:autoSpaceDN w:val="0"/>
        <w:adjustRightInd w:val="0"/>
        <w:spacing w:line="400" w:lineRule="atLeast"/>
        <w:jc w:val="center"/>
        <w:rPr>
          <w:rFonts w:ascii="宋体" w:hAnsi="宋体"/>
          <w:color w:val="auto"/>
          <w:sz w:val="22"/>
          <w:szCs w:val="22"/>
          <w:highlight w:val="none"/>
        </w:rPr>
      </w:pPr>
    </w:p>
    <w:p w14:paraId="32E6C0B4">
      <w:pPr>
        <w:autoSpaceDE w:val="0"/>
        <w:autoSpaceDN w:val="0"/>
        <w:adjustRightInd w:val="0"/>
        <w:spacing w:line="400" w:lineRule="atLeast"/>
        <w:jc w:val="center"/>
        <w:rPr>
          <w:rFonts w:ascii="宋体" w:hAnsi="宋体"/>
          <w:color w:val="auto"/>
          <w:sz w:val="22"/>
          <w:szCs w:val="22"/>
          <w:highlight w:val="none"/>
        </w:rPr>
      </w:pPr>
    </w:p>
    <w:p w14:paraId="3D2D3DB1">
      <w:pPr>
        <w:autoSpaceDE w:val="0"/>
        <w:autoSpaceDN w:val="0"/>
        <w:adjustRightInd w:val="0"/>
        <w:spacing w:line="400" w:lineRule="atLeast"/>
        <w:jc w:val="center"/>
        <w:rPr>
          <w:rFonts w:ascii="宋体" w:hAnsi="宋体"/>
          <w:color w:val="auto"/>
          <w:sz w:val="22"/>
          <w:szCs w:val="22"/>
          <w:highlight w:val="none"/>
        </w:rPr>
      </w:pPr>
    </w:p>
    <w:p w14:paraId="7998C057">
      <w:pPr>
        <w:autoSpaceDE w:val="0"/>
        <w:autoSpaceDN w:val="0"/>
        <w:adjustRightInd w:val="0"/>
        <w:spacing w:line="400" w:lineRule="atLeast"/>
        <w:jc w:val="center"/>
        <w:rPr>
          <w:rFonts w:ascii="宋体" w:hAnsi="宋体"/>
          <w:color w:val="auto"/>
          <w:sz w:val="22"/>
          <w:szCs w:val="22"/>
          <w:highlight w:val="none"/>
        </w:rPr>
      </w:pPr>
    </w:p>
    <w:p w14:paraId="708885D0">
      <w:pPr>
        <w:autoSpaceDE w:val="0"/>
        <w:autoSpaceDN w:val="0"/>
        <w:adjustRightInd w:val="0"/>
        <w:spacing w:line="400" w:lineRule="atLeast"/>
        <w:jc w:val="center"/>
        <w:rPr>
          <w:rFonts w:ascii="宋体" w:hAnsi="宋体"/>
          <w:color w:val="auto"/>
          <w:sz w:val="22"/>
          <w:szCs w:val="22"/>
          <w:highlight w:val="none"/>
        </w:rPr>
      </w:pPr>
    </w:p>
    <w:p w14:paraId="0A268A42">
      <w:pPr>
        <w:autoSpaceDE w:val="0"/>
        <w:autoSpaceDN w:val="0"/>
        <w:adjustRightInd w:val="0"/>
        <w:spacing w:line="400" w:lineRule="atLeast"/>
        <w:jc w:val="center"/>
        <w:rPr>
          <w:rFonts w:ascii="宋体" w:hAnsi="宋体"/>
          <w:color w:val="auto"/>
          <w:sz w:val="22"/>
          <w:szCs w:val="22"/>
          <w:highlight w:val="none"/>
        </w:rPr>
      </w:pPr>
    </w:p>
    <w:p w14:paraId="063E3E3A">
      <w:pPr>
        <w:autoSpaceDE w:val="0"/>
        <w:autoSpaceDN w:val="0"/>
        <w:adjustRightInd w:val="0"/>
        <w:spacing w:line="400" w:lineRule="atLeast"/>
        <w:jc w:val="center"/>
        <w:rPr>
          <w:rFonts w:ascii="宋体" w:hAnsi="宋体"/>
          <w:color w:val="auto"/>
          <w:sz w:val="22"/>
          <w:szCs w:val="22"/>
          <w:highlight w:val="none"/>
        </w:rPr>
      </w:pPr>
    </w:p>
    <w:p w14:paraId="24AF1C27">
      <w:pPr>
        <w:autoSpaceDE w:val="0"/>
        <w:autoSpaceDN w:val="0"/>
        <w:adjustRightInd w:val="0"/>
        <w:spacing w:line="400" w:lineRule="atLeast"/>
        <w:jc w:val="center"/>
        <w:rPr>
          <w:rFonts w:ascii="宋体" w:hAnsi="宋体"/>
          <w:color w:val="auto"/>
          <w:sz w:val="22"/>
          <w:szCs w:val="22"/>
          <w:highlight w:val="none"/>
        </w:rPr>
      </w:pPr>
    </w:p>
    <w:p w14:paraId="4B667029">
      <w:pPr>
        <w:autoSpaceDE w:val="0"/>
        <w:autoSpaceDN w:val="0"/>
        <w:adjustRightInd w:val="0"/>
        <w:spacing w:line="400" w:lineRule="atLeast"/>
        <w:jc w:val="center"/>
        <w:rPr>
          <w:rFonts w:ascii="宋体" w:hAnsi="宋体"/>
          <w:color w:val="auto"/>
          <w:sz w:val="22"/>
          <w:szCs w:val="22"/>
          <w:highlight w:val="none"/>
        </w:rPr>
      </w:pPr>
    </w:p>
    <w:p w14:paraId="26D11686">
      <w:pPr>
        <w:autoSpaceDE w:val="0"/>
        <w:autoSpaceDN w:val="0"/>
        <w:adjustRightInd w:val="0"/>
        <w:spacing w:line="400" w:lineRule="atLeast"/>
        <w:jc w:val="center"/>
        <w:rPr>
          <w:rFonts w:ascii="宋体" w:hAnsi="宋体"/>
          <w:color w:val="auto"/>
          <w:sz w:val="22"/>
          <w:szCs w:val="22"/>
          <w:highlight w:val="none"/>
        </w:rPr>
      </w:pPr>
    </w:p>
    <w:p w14:paraId="5540973B">
      <w:pPr>
        <w:autoSpaceDE w:val="0"/>
        <w:autoSpaceDN w:val="0"/>
        <w:adjustRightInd w:val="0"/>
        <w:spacing w:line="400" w:lineRule="atLeast"/>
        <w:jc w:val="center"/>
        <w:rPr>
          <w:rFonts w:ascii="宋体" w:hAnsi="宋体"/>
          <w:color w:val="auto"/>
          <w:sz w:val="22"/>
          <w:szCs w:val="22"/>
          <w:highlight w:val="none"/>
        </w:rPr>
      </w:pPr>
    </w:p>
    <w:bookmarkEnd w:id="1"/>
    <w:bookmarkEnd w:id="2"/>
    <w:bookmarkEnd w:id="3"/>
    <w:bookmarkEnd w:id="4"/>
    <w:bookmarkEnd w:id="5"/>
    <w:p w14:paraId="255F99E4">
      <w:pPr>
        <w:autoSpaceDE w:val="0"/>
        <w:autoSpaceDN w:val="0"/>
        <w:adjustRightInd w:val="0"/>
        <w:spacing w:line="460" w:lineRule="atLeast"/>
        <w:jc w:val="center"/>
        <w:rPr>
          <w:rFonts w:ascii="宋体" w:hAnsi="宋体"/>
          <w:color w:val="auto"/>
          <w:sz w:val="36"/>
          <w:highlight w:val="none"/>
          <w:lang w:val="zh-CN"/>
        </w:rPr>
      </w:pPr>
      <w:r>
        <w:rPr>
          <w:rFonts w:hint="eastAsia" w:ascii="宋体" w:hAnsi="宋体"/>
          <w:color w:val="auto"/>
          <w:sz w:val="36"/>
          <w:highlight w:val="none"/>
          <w:lang w:val="zh-CN"/>
        </w:rPr>
        <w:t xml:space="preserve">第一部分    </w:t>
      </w:r>
      <w:bookmarkEnd w:id="0"/>
      <w:r>
        <w:rPr>
          <w:rFonts w:hint="eastAsia" w:ascii="宋体" w:hAnsi="宋体"/>
          <w:color w:val="auto"/>
          <w:sz w:val="36"/>
          <w:highlight w:val="none"/>
          <w:lang w:val="zh-CN"/>
        </w:rPr>
        <w:t>磋商邀请函（供应商须知前附表）</w:t>
      </w:r>
    </w:p>
    <w:tbl>
      <w:tblPr>
        <w:tblStyle w:val="46"/>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0"/>
        <w:gridCol w:w="1560"/>
        <w:gridCol w:w="7871"/>
      </w:tblGrid>
      <w:tr w14:paraId="21878F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13B6189">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序号</w:t>
            </w:r>
          </w:p>
        </w:tc>
        <w:tc>
          <w:tcPr>
            <w:tcW w:w="1560" w:type="dxa"/>
            <w:vAlign w:val="center"/>
          </w:tcPr>
          <w:p w14:paraId="21980DB0">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内容</w:t>
            </w:r>
          </w:p>
        </w:tc>
        <w:tc>
          <w:tcPr>
            <w:tcW w:w="7871" w:type="dxa"/>
            <w:vAlign w:val="center"/>
          </w:tcPr>
          <w:p w14:paraId="05483665">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说明与要求</w:t>
            </w:r>
          </w:p>
        </w:tc>
      </w:tr>
      <w:tr w14:paraId="6CBF10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2D6B7E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1560" w:type="dxa"/>
            <w:vAlign w:val="center"/>
          </w:tcPr>
          <w:p w14:paraId="523D9B42">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871" w:type="dxa"/>
            <w:vAlign w:val="center"/>
          </w:tcPr>
          <w:p w14:paraId="333CC2D4">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olor w:val="auto"/>
                <w:sz w:val="22"/>
                <w:szCs w:val="22"/>
                <w:highlight w:val="none"/>
              </w:rPr>
              <w:t>洞头区政务云平台租赁</w:t>
            </w:r>
          </w:p>
        </w:tc>
      </w:tr>
      <w:tr w14:paraId="22FF0A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740" w:type="dxa"/>
            <w:vAlign w:val="center"/>
          </w:tcPr>
          <w:p w14:paraId="3E3B049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eastAsia" w:ascii="宋体" w:hAnsi="宋体" w:cs="宋体"/>
                <w:color w:val="auto"/>
                <w:sz w:val="22"/>
                <w:szCs w:val="22"/>
                <w:highlight w:val="none"/>
                <w:lang w:val="zh-CN"/>
              </w:rPr>
              <w:t>2</w:t>
            </w:r>
          </w:p>
        </w:tc>
        <w:tc>
          <w:tcPr>
            <w:tcW w:w="1560" w:type="dxa"/>
            <w:vAlign w:val="center"/>
          </w:tcPr>
          <w:p w14:paraId="4BE4F1F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项目编号</w:t>
            </w:r>
          </w:p>
        </w:tc>
        <w:tc>
          <w:tcPr>
            <w:tcW w:w="7871" w:type="dxa"/>
            <w:vAlign w:val="center"/>
          </w:tcPr>
          <w:p w14:paraId="676570C5">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default" w:ascii="宋体" w:hAnsi="宋体" w:cs="宋体"/>
                <w:color w:val="auto"/>
                <w:sz w:val="22"/>
                <w:szCs w:val="22"/>
                <w:highlight w:val="none"/>
              </w:rPr>
              <w:t>DTCG20240</w:t>
            </w:r>
            <w:r>
              <w:rPr>
                <w:rFonts w:hint="default" w:ascii="宋体" w:hAnsi="宋体" w:cs="宋体"/>
                <w:color w:val="auto"/>
                <w:sz w:val="22"/>
                <w:szCs w:val="22"/>
                <w:highlight w:val="none"/>
                <w:lang w:val="en-US" w:eastAsia="zh-CN"/>
              </w:rPr>
              <w:t>918114</w:t>
            </w:r>
          </w:p>
        </w:tc>
      </w:tr>
      <w:tr w14:paraId="491056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95B7EC0">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3</w:t>
            </w:r>
          </w:p>
        </w:tc>
        <w:tc>
          <w:tcPr>
            <w:tcW w:w="1560" w:type="dxa"/>
            <w:vAlign w:val="center"/>
          </w:tcPr>
          <w:p w14:paraId="4FDF5079">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871" w:type="dxa"/>
            <w:vAlign w:val="center"/>
          </w:tcPr>
          <w:p w14:paraId="620350A0">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财政性资金</w:t>
            </w:r>
          </w:p>
        </w:tc>
      </w:tr>
      <w:tr w14:paraId="66E364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1CB8533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4</w:t>
            </w:r>
          </w:p>
        </w:tc>
        <w:tc>
          <w:tcPr>
            <w:tcW w:w="1560" w:type="dxa"/>
            <w:vAlign w:val="center"/>
          </w:tcPr>
          <w:p w14:paraId="0AEF4A42">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采购预算</w:t>
            </w:r>
          </w:p>
        </w:tc>
        <w:tc>
          <w:tcPr>
            <w:tcW w:w="7871" w:type="dxa"/>
            <w:vAlign w:val="center"/>
          </w:tcPr>
          <w:p w14:paraId="0973AC98">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color w:val="auto"/>
                <w:sz w:val="22"/>
                <w:szCs w:val="22"/>
                <w:highlight w:val="none"/>
              </w:rPr>
              <w:t>标项一</w:t>
            </w:r>
            <w:r>
              <w:rPr>
                <w:rFonts w:hint="default" w:ascii="宋体"/>
                <w:color w:val="auto"/>
                <w:sz w:val="22"/>
                <w:szCs w:val="22"/>
                <w:highlight w:val="none"/>
                <w:woUserID w:val="1"/>
              </w:rPr>
              <w:t>99</w:t>
            </w:r>
            <w:r>
              <w:rPr>
                <w:rFonts w:hint="eastAsia" w:ascii="宋体"/>
                <w:color w:val="auto"/>
                <w:sz w:val="22"/>
                <w:szCs w:val="22"/>
                <w:highlight w:val="none"/>
              </w:rPr>
              <w:t>万元，标项二</w:t>
            </w:r>
            <w:r>
              <w:rPr>
                <w:rFonts w:hint="default" w:ascii="宋体"/>
                <w:color w:val="auto"/>
                <w:sz w:val="22"/>
                <w:szCs w:val="22"/>
                <w:highlight w:val="none"/>
                <w:woUserID w:val="1"/>
              </w:rPr>
              <w:t>71</w:t>
            </w:r>
            <w:r>
              <w:rPr>
                <w:rFonts w:hint="eastAsia" w:ascii="宋体"/>
                <w:color w:val="auto"/>
                <w:sz w:val="22"/>
                <w:szCs w:val="22"/>
                <w:highlight w:val="none"/>
              </w:rPr>
              <w:t>万元。</w:t>
            </w:r>
          </w:p>
        </w:tc>
      </w:tr>
      <w:tr w14:paraId="6FE925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91A973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5</w:t>
            </w:r>
          </w:p>
        </w:tc>
        <w:tc>
          <w:tcPr>
            <w:tcW w:w="1560" w:type="dxa"/>
            <w:vAlign w:val="center"/>
          </w:tcPr>
          <w:p w14:paraId="23390D8B">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采购方式</w:t>
            </w:r>
          </w:p>
        </w:tc>
        <w:tc>
          <w:tcPr>
            <w:tcW w:w="7871" w:type="dxa"/>
            <w:vAlign w:val="center"/>
          </w:tcPr>
          <w:p w14:paraId="6F67E22C">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竞争性磋商</w:t>
            </w:r>
          </w:p>
        </w:tc>
      </w:tr>
      <w:tr w14:paraId="128472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1C074DA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6</w:t>
            </w:r>
          </w:p>
        </w:tc>
        <w:tc>
          <w:tcPr>
            <w:tcW w:w="1560" w:type="dxa"/>
            <w:vAlign w:val="center"/>
          </w:tcPr>
          <w:p w14:paraId="701C1F24">
            <w:pPr>
              <w:keepNext w:val="0"/>
              <w:keepLines w:val="0"/>
              <w:suppressLineNumbers w:val="0"/>
              <w:adjustRightIn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871" w:type="dxa"/>
            <w:vAlign w:val="center"/>
          </w:tcPr>
          <w:p w14:paraId="5949C954">
            <w:pPr>
              <w:keepNext w:val="0"/>
              <w:keepLines w:val="0"/>
              <w:suppressLineNumbers w:val="0"/>
              <w:adjustRightInd w:val="0"/>
              <w:spacing w:before="0" w:beforeAutospacing="0" w:after="0" w:afterAutospacing="0"/>
              <w:ind w:left="0" w:right="0"/>
              <w:rPr>
                <w:rFonts w:hint="default" w:ascii="宋体"/>
                <w:color w:val="auto"/>
                <w:sz w:val="22"/>
                <w:szCs w:val="22"/>
                <w:highlight w:val="none"/>
              </w:rPr>
            </w:pPr>
            <w:r>
              <w:rPr>
                <w:rFonts w:hint="eastAsia" w:ascii="宋体"/>
                <w:color w:val="auto"/>
                <w:sz w:val="22"/>
                <w:szCs w:val="22"/>
                <w:highlight w:val="none"/>
              </w:rPr>
              <w:t xml:space="preserve">名称：温州市洞头区大数据管理中心 </w:t>
            </w:r>
          </w:p>
          <w:p w14:paraId="371E357F">
            <w:pPr>
              <w:keepNext w:val="0"/>
              <w:keepLines w:val="0"/>
              <w:suppressLineNumbers w:val="0"/>
              <w:adjustRightInd w:val="0"/>
              <w:spacing w:before="0" w:beforeAutospacing="0" w:after="0" w:afterAutospacing="0"/>
              <w:ind w:left="0" w:right="0"/>
              <w:rPr>
                <w:rFonts w:hint="default" w:ascii="宋体"/>
                <w:color w:val="auto"/>
                <w:sz w:val="22"/>
                <w:szCs w:val="22"/>
                <w:highlight w:val="none"/>
              </w:rPr>
            </w:pPr>
            <w:r>
              <w:rPr>
                <w:rFonts w:hint="eastAsia" w:ascii="宋体"/>
                <w:color w:val="auto"/>
                <w:sz w:val="22"/>
                <w:szCs w:val="22"/>
                <w:highlight w:val="none"/>
              </w:rPr>
              <w:t>地址：温州市洞头区新城大道</w:t>
            </w:r>
            <w:r>
              <w:rPr>
                <w:rFonts w:hint="default" w:ascii="宋体"/>
                <w:color w:val="auto"/>
                <w:sz w:val="22"/>
                <w:szCs w:val="22"/>
                <w:highlight w:val="none"/>
              </w:rPr>
              <w:t>68号电信大楼2楼大数据管理中心</w:t>
            </w:r>
          </w:p>
          <w:p w14:paraId="18239F51">
            <w:pPr>
              <w:keepNext w:val="0"/>
              <w:keepLines w:val="0"/>
              <w:suppressLineNumbers w:val="0"/>
              <w:adjustRightInd w:val="0"/>
              <w:spacing w:before="0" w:beforeAutospacing="0" w:after="0" w:afterAutospacing="0"/>
              <w:ind w:left="0" w:right="0"/>
              <w:rPr>
                <w:rFonts w:hint="default" w:ascii="宋体"/>
                <w:color w:val="auto"/>
                <w:sz w:val="22"/>
                <w:szCs w:val="22"/>
                <w:highlight w:val="none"/>
              </w:rPr>
            </w:pPr>
            <w:r>
              <w:rPr>
                <w:rFonts w:hint="eastAsia" w:ascii="宋体"/>
                <w:color w:val="auto"/>
                <w:sz w:val="22"/>
                <w:szCs w:val="22"/>
                <w:highlight w:val="none"/>
              </w:rPr>
              <w:t>联系人：颜先生</w:t>
            </w:r>
          </w:p>
          <w:p w14:paraId="209ADDCB">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color w:val="auto"/>
                <w:sz w:val="22"/>
                <w:szCs w:val="22"/>
                <w:highlight w:val="none"/>
              </w:rPr>
              <w:t>联系电话：</w:t>
            </w:r>
            <w:r>
              <w:rPr>
                <w:rFonts w:hint="default" w:ascii="宋体" w:hAnsi="宋体"/>
                <w:color w:val="auto"/>
                <w:sz w:val="22"/>
                <w:szCs w:val="22"/>
                <w:highlight w:val="none"/>
              </w:rPr>
              <w:t>13968908099</w:t>
            </w:r>
          </w:p>
        </w:tc>
      </w:tr>
      <w:tr w14:paraId="3BB9B0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5BC38EB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7</w:t>
            </w:r>
          </w:p>
        </w:tc>
        <w:tc>
          <w:tcPr>
            <w:tcW w:w="1560" w:type="dxa"/>
            <w:vAlign w:val="center"/>
          </w:tcPr>
          <w:p w14:paraId="20B8F9E2">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7871" w:type="dxa"/>
            <w:vAlign w:val="center"/>
          </w:tcPr>
          <w:p w14:paraId="3D0CB875">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名称：温州华晟招标代理有限公司</w:t>
            </w:r>
          </w:p>
          <w:p w14:paraId="7C830E7D">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联系人：张先生</w:t>
            </w:r>
          </w:p>
          <w:p w14:paraId="6CCD63C1">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联系电话：15868575066</w:t>
            </w:r>
          </w:p>
        </w:tc>
      </w:tr>
      <w:tr w14:paraId="1896E5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3F4DECE0">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8</w:t>
            </w:r>
          </w:p>
        </w:tc>
        <w:tc>
          <w:tcPr>
            <w:tcW w:w="1560" w:type="dxa"/>
            <w:vAlign w:val="center"/>
          </w:tcPr>
          <w:p w14:paraId="6B1C5BC5">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招标内容</w:t>
            </w:r>
          </w:p>
        </w:tc>
        <w:tc>
          <w:tcPr>
            <w:tcW w:w="7871" w:type="dxa"/>
            <w:vAlign w:val="center"/>
          </w:tcPr>
          <w:p w14:paraId="4495AD23">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具体内容见竞争性磋商文件。</w:t>
            </w:r>
          </w:p>
        </w:tc>
      </w:tr>
      <w:tr w14:paraId="62793A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413D54E0">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9</w:t>
            </w:r>
          </w:p>
        </w:tc>
        <w:tc>
          <w:tcPr>
            <w:tcW w:w="1560" w:type="dxa"/>
            <w:vAlign w:val="center"/>
          </w:tcPr>
          <w:p w14:paraId="26A317A1">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871" w:type="dxa"/>
            <w:vAlign w:val="center"/>
          </w:tcPr>
          <w:p w14:paraId="778C6CBD">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综合评分法</w:t>
            </w:r>
          </w:p>
        </w:tc>
      </w:tr>
      <w:tr w14:paraId="0E73DE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07ABA64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10</w:t>
            </w:r>
          </w:p>
        </w:tc>
        <w:tc>
          <w:tcPr>
            <w:tcW w:w="1560" w:type="dxa"/>
            <w:vAlign w:val="center"/>
          </w:tcPr>
          <w:p w14:paraId="7D820672">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供应商资格要求</w:t>
            </w:r>
          </w:p>
        </w:tc>
        <w:tc>
          <w:tcPr>
            <w:tcW w:w="7871" w:type="dxa"/>
            <w:vAlign w:val="center"/>
          </w:tcPr>
          <w:p w14:paraId="1FF9F2F9">
            <w:pPr>
              <w:keepNext w:val="0"/>
              <w:keepLines w:val="0"/>
              <w:widowControl/>
              <w:suppressLineNumbers w:val="0"/>
              <w:spacing w:before="0" w:beforeAutospacing="0" w:after="0" w:afterAutospacing="0"/>
              <w:ind w:left="0" w:right="0"/>
              <w:jc w:val="left"/>
              <w:rPr>
                <w:rFonts w:hint="default" w:ascii="宋体"/>
                <w:color w:val="auto"/>
                <w:sz w:val="22"/>
                <w:szCs w:val="22"/>
                <w:highlight w:val="none"/>
              </w:rPr>
            </w:pPr>
            <w:r>
              <w:rPr>
                <w:rFonts w:hint="eastAsia" w:ascii="宋体"/>
                <w:color w:val="auto"/>
                <w:sz w:val="22"/>
                <w:szCs w:val="22"/>
                <w:highlight w:val="none"/>
              </w:rPr>
              <w:t>具体要求见磋商采购公告。</w:t>
            </w:r>
          </w:p>
        </w:tc>
      </w:tr>
      <w:tr w14:paraId="57897E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3597387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11</w:t>
            </w:r>
          </w:p>
        </w:tc>
        <w:tc>
          <w:tcPr>
            <w:tcW w:w="1560" w:type="dxa"/>
            <w:vAlign w:val="center"/>
          </w:tcPr>
          <w:p w14:paraId="29862D59">
            <w:pPr>
              <w:keepNext w:val="0"/>
              <w:keepLines w:val="0"/>
              <w:suppressLineNumbers w:val="0"/>
              <w:adjustRightIn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871" w:type="dxa"/>
            <w:vAlign w:val="center"/>
          </w:tcPr>
          <w:p w14:paraId="13277A3A">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default" w:ascii="宋体"/>
                <w:color w:val="auto"/>
                <w:sz w:val="22"/>
                <w:szCs w:val="22"/>
                <w:highlight w:val="none"/>
              </w:rPr>
              <w:fldChar w:fldCharType="begin"/>
            </w:r>
            <w:r>
              <w:rPr>
                <w:rFonts w:hint="default" w:ascii="宋体"/>
                <w:color w:val="auto"/>
                <w:sz w:val="22"/>
                <w:szCs w:val="22"/>
                <w:highlight w:val="none"/>
              </w:rPr>
              <w:instrText xml:space="preserve"> </w:instrText>
            </w:r>
            <w:r>
              <w:rPr>
                <w:rFonts w:hint="eastAsia" w:ascii="宋体"/>
                <w:color w:val="auto"/>
                <w:sz w:val="22"/>
                <w:szCs w:val="22"/>
                <w:highlight w:val="none"/>
              </w:rPr>
              <w:instrText xml:space="preserve">eq \o\ac(□,√)</w:instrText>
            </w:r>
            <w:r>
              <w:rPr>
                <w:rFonts w:hint="default" w:ascii="宋体"/>
                <w:color w:val="auto"/>
                <w:sz w:val="22"/>
                <w:szCs w:val="22"/>
                <w:highlight w:val="none"/>
              </w:rPr>
              <w:fldChar w:fldCharType="end"/>
            </w:r>
            <w:r>
              <w:rPr>
                <w:rFonts w:hint="eastAsia" w:ascii="宋体" w:hAnsi="宋体" w:cs="宋体"/>
                <w:color w:val="auto"/>
                <w:sz w:val="22"/>
                <w:szCs w:val="22"/>
                <w:highlight w:val="none"/>
              </w:rPr>
              <w:t>不接受</w:t>
            </w:r>
          </w:p>
          <w:p w14:paraId="4447073F">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□接受</w:t>
            </w:r>
          </w:p>
        </w:tc>
      </w:tr>
      <w:tr w14:paraId="2DD221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58026542">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12</w:t>
            </w:r>
          </w:p>
        </w:tc>
        <w:tc>
          <w:tcPr>
            <w:tcW w:w="1560" w:type="dxa"/>
            <w:vAlign w:val="center"/>
          </w:tcPr>
          <w:p w14:paraId="26B2DE25">
            <w:pPr>
              <w:keepNext w:val="0"/>
              <w:keepLines w:val="0"/>
              <w:suppressLineNumbers w:val="0"/>
              <w:adjustRightIn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871" w:type="dxa"/>
            <w:vAlign w:val="center"/>
          </w:tcPr>
          <w:p w14:paraId="4EADEF14">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default" w:ascii="宋体"/>
                <w:color w:val="auto"/>
                <w:sz w:val="22"/>
                <w:szCs w:val="22"/>
                <w:highlight w:val="none"/>
              </w:rPr>
              <w:fldChar w:fldCharType="begin"/>
            </w:r>
            <w:r>
              <w:rPr>
                <w:rFonts w:hint="default" w:ascii="宋体"/>
                <w:color w:val="auto"/>
                <w:sz w:val="22"/>
                <w:szCs w:val="22"/>
                <w:highlight w:val="none"/>
              </w:rPr>
              <w:instrText xml:space="preserve"> </w:instrText>
            </w:r>
            <w:r>
              <w:rPr>
                <w:rFonts w:hint="eastAsia" w:ascii="宋体"/>
                <w:color w:val="auto"/>
                <w:sz w:val="22"/>
                <w:szCs w:val="22"/>
                <w:highlight w:val="none"/>
              </w:rPr>
              <w:instrText xml:space="preserve">eq \o\ac(□,√)</w:instrText>
            </w:r>
            <w:r>
              <w:rPr>
                <w:rFonts w:hint="default" w:ascii="宋体"/>
                <w:color w:val="auto"/>
                <w:sz w:val="22"/>
                <w:szCs w:val="22"/>
                <w:highlight w:val="none"/>
              </w:rPr>
              <w:fldChar w:fldCharType="end"/>
            </w:r>
            <w:r>
              <w:rPr>
                <w:rFonts w:hint="eastAsia" w:ascii="宋体" w:hAnsi="宋体" w:cs="宋体"/>
                <w:color w:val="auto"/>
                <w:sz w:val="22"/>
                <w:szCs w:val="22"/>
                <w:highlight w:val="none"/>
              </w:rPr>
              <w:t>不组织</w:t>
            </w:r>
          </w:p>
          <w:p w14:paraId="2A468E65">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 xml:space="preserve">□组织  </w:t>
            </w:r>
          </w:p>
        </w:tc>
      </w:tr>
      <w:tr w14:paraId="72447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46A487D2">
            <w:pPr>
              <w:keepNext w:val="0"/>
              <w:keepLines w:val="0"/>
              <w:suppressLineNumbers w:val="0"/>
              <w:adjustRightIn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13</w:t>
            </w:r>
          </w:p>
        </w:tc>
        <w:tc>
          <w:tcPr>
            <w:tcW w:w="1560" w:type="dxa"/>
            <w:vAlign w:val="center"/>
          </w:tcPr>
          <w:p w14:paraId="601D48DF">
            <w:pPr>
              <w:keepNext w:val="0"/>
              <w:keepLines w:val="0"/>
              <w:suppressLineNumbers w:val="0"/>
              <w:adjustRightIn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871" w:type="dxa"/>
            <w:vAlign w:val="center"/>
          </w:tcPr>
          <w:p w14:paraId="0399D2B7">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default" w:ascii="宋体"/>
                <w:color w:val="auto"/>
                <w:sz w:val="22"/>
                <w:szCs w:val="22"/>
                <w:highlight w:val="none"/>
              </w:rPr>
              <w:fldChar w:fldCharType="begin"/>
            </w:r>
            <w:r>
              <w:rPr>
                <w:rFonts w:hint="default" w:ascii="宋体"/>
                <w:color w:val="auto"/>
                <w:sz w:val="22"/>
                <w:szCs w:val="22"/>
                <w:highlight w:val="none"/>
              </w:rPr>
              <w:instrText xml:space="preserve"> </w:instrText>
            </w:r>
            <w:r>
              <w:rPr>
                <w:rFonts w:hint="eastAsia" w:ascii="宋体"/>
                <w:color w:val="auto"/>
                <w:sz w:val="22"/>
                <w:szCs w:val="22"/>
                <w:highlight w:val="none"/>
              </w:rPr>
              <w:instrText xml:space="preserve">eq \o\ac(□,√)</w:instrText>
            </w:r>
            <w:r>
              <w:rPr>
                <w:rFonts w:hint="default" w:ascii="宋体"/>
                <w:color w:val="auto"/>
                <w:sz w:val="22"/>
                <w:szCs w:val="22"/>
                <w:highlight w:val="none"/>
              </w:rPr>
              <w:fldChar w:fldCharType="end"/>
            </w:r>
            <w:r>
              <w:rPr>
                <w:rFonts w:hint="eastAsia" w:ascii="宋体" w:hAnsi="宋体" w:cs="宋体"/>
                <w:color w:val="auto"/>
                <w:sz w:val="22"/>
                <w:szCs w:val="22"/>
                <w:highlight w:val="none"/>
              </w:rPr>
              <w:t>不允许</w:t>
            </w:r>
          </w:p>
          <w:p w14:paraId="42EF7EEE">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□允许</w:t>
            </w:r>
          </w:p>
        </w:tc>
      </w:tr>
      <w:tr w14:paraId="0D0BA6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40" w:type="dxa"/>
            <w:vAlign w:val="center"/>
          </w:tcPr>
          <w:p w14:paraId="1C43E93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14</w:t>
            </w:r>
          </w:p>
        </w:tc>
        <w:tc>
          <w:tcPr>
            <w:tcW w:w="1560" w:type="dxa"/>
            <w:vAlign w:val="center"/>
          </w:tcPr>
          <w:p w14:paraId="4806E589">
            <w:pPr>
              <w:keepNext w:val="0"/>
              <w:keepLines w:val="0"/>
              <w:suppressLineNumbers w:val="0"/>
              <w:adjustRightIn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投标货币</w:t>
            </w:r>
          </w:p>
        </w:tc>
        <w:tc>
          <w:tcPr>
            <w:tcW w:w="7871" w:type="dxa"/>
            <w:vAlign w:val="center"/>
          </w:tcPr>
          <w:p w14:paraId="2A634481">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人民币</w:t>
            </w:r>
          </w:p>
        </w:tc>
      </w:tr>
      <w:tr w14:paraId="23BEDE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740" w:type="dxa"/>
            <w:vAlign w:val="center"/>
          </w:tcPr>
          <w:p w14:paraId="4BDA48DD">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15</w:t>
            </w:r>
          </w:p>
        </w:tc>
        <w:tc>
          <w:tcPr>
            <w:tcW w:w="1560" w:type="dxa"/>
            <w:vAlign w:val="center"/>
          </w:tcPr>
          <w:p w14:paraId="6D394469">
            <w:pPr>
              <w:keepNext w:val="0"/>
              <w:keepLines w:val="0"/>
              <w:suppressLineNumbers w:val="0"/>
              <w:adjustRightIn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投标语言</w:t>
            </w:r>
          </w:p>
        </w:tc>
        <w:tc>
          <w:tcPr>
            <w:tcW w:w="7871" w:type="dxa"/>
            <w:vAlign w:val="center"/>
          </w:tcPr>
          <w:p w14:paraId="67F1175C">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中文</w:t>
            </w:r>
          </w:p>
        </w:tc>
      </w:tr>
      <w:tr w14:paraId="2CBE76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740" w:type="dxa"/>
            <w:vAlign w:val="center"/>
          </w:tcPr>
          <w:p w14:paraId="1543FF1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16</w:t>
            </w:r>
          </w:p>
        </w:tc>
        <w:tc>
          <w:tcPr>
            <w:tcW w:w="1560" w:type="dxa"/>
            <w:vAlign w:val="center"/>
          </w:tcPr>
          <w:p w14:paraId="7A5450FC">
            <w:pPr>
              <w:keepNext w:val="0"/>
              <w:keepLines w:val="0"/>
              <w:suppressLineNumbers w:val="0"/>
              <w:adjustRightInd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磋商响应文件的形式</w:t>
            </w:r>
          </w:p>
        </w:tc>
        <w:tc>
          <w:tcPr>
            <w:tcW w:w="7871" w:type="dxa"/>
            <w:vAlign w:val="center"/>
          </w:tcPr>
          <w:p w14:paraId="2B89906C">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投标供应商应准备电子磋商响应文件</w:t>
            </w:r>
          </w:p>
          <w:p w14:paraId="2662D0B5">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电子磋商响应文件是指通过“政采云电子交易客户端”完成磋商响应文件编制后生成并加密的数据电文形式的电子加密磋商响应文件。</w:t>
            </w:r>
          </w:p>
        </w:tc>
      </w:tr>
      <w:tr w14:paraId="5E3EA3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013EF9C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17</w:t>
            </w:r>
          </w:p>
        </w:tc>
        <w:tc>
          <w:tcPr>
            <w:tcW w:w="1560" w:type="dxa"/>
            <w:vAlign w:val="center"/>
          </w:tcPr>
          <w:p w14:paraId="059CCB06">
            <w:pPr>
              <w:keepNext w:val="0"/>
              <w:keepLines w:val="0"/>
              <w:suppressLineNumbers w:val="0"/>
              <w:adjustRightInd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磋商响应文件的编制</w:t>
            </w:r>
          </w:p>
        </w:tc>
        <w:tc>
          <w:tcPr>
            <w:tcW w:w="7871" w:type="dxa"/>
            <w:vAlign w:val="center"/>
          </w:tcPr>
          <w:p w14:paraId="4DC81FCC">
            <w:pPr>
              <w:keepNext w:val="0"/>
              <w:keepLines w:val="0"/>
              <w:suppressLineNumbers w:val="0"/>
              <w:adjustRightInd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供应商应先安装“政采云电子交易客户端”，并按照本磋商文件和“政府采购云平台”的要求，通过“政采云电子交易客户端”编制并加密磋商响应文件。</w:t>
            </w:r>
          </w:p>
        </w:tc>
      </w:tr>
      <w:tr w14:paraId="546207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5EDAEA5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eastAsia" w:ascii="宋体" w:hAnsi="宋体" w:cs="宋体"/>
                <w:color w:val="auto"/>
                <w:sz w:val="22"/>
                <w:szCs w:val="22"/>
                <w:highlight w:val="none"/>
                <w:lang w:val="zh-CN"/>
              </w:rPr>
              <w:t>18</w:t>
            </w:r>
          </w:p>
        </w:tc>
        <w:tc>
          <w:tcPr>
            <w:tcW w:w="1560" w:type="dxa"/>
            <w:vAlign w:val="center"/>
          </w:tcPr>
          <w:p w14:paraId="6860831D">
            <w:pPr>
              <w:keepNext w:val="0"/>
              <w:keepLines w:val="0"/>
              <w:suppressLineNumbers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磋商响应文件份数</w:t>
            </w:r>
          </w:p>
        </w:tc>
        <w:tc>
          <w:tcPr>
            <w:tcW w:w="7871" w:type="dxa"/>
            <w:vAlign w:val="center"/>
          </w:tcPr>
          <w:p w14:paraId="44C1AF7C">
            <w:pPr>
              <w:pStyle w:val="32"/>
              <w:keepNext w:val="0"/>
              <w:keepLines w:val="0"/>
              <w:suppressLineNumbers w:val="0"/>
              <w:tabs>
                <w:tab w:val="right" w:leader="dot" w:pos="9118"/>
              </w:tabs>
              <w:spacing w:before="0" w:beforeAutospacing="0" w:after="0" w:afterAutospacing="0"/>
              <w:ind w:left="0" w:right="0"/>
              <w:rPr>
                <w:rFonts w:hint="default" w:cs="Courier New"/>
                <w:color w:val="auto"/>
                <w:sz w:val="22"/>
                <w:szCs w:val="22"/>
                <w:highlight w:val="none"/>
              </w:rPr>
            </w:pPr>
            <w:r>
              <w:rPr>
                <w:rFonts w:hint="eastAsia" w:cs="Courier New"/>
                <w:color w:val="auto"/>
                <w:sz w:val="22"/>
                <w:szCs w:val="22"/>
                <w:highlight w:val="none"/>
              </w:rPr>
              <w:t>“电子加密磋商响应文件”：在线上传递交，一份。</w:t>
            </w:r>
          </w:p>
        </w:tc>
      </w:tr>
      <w:tr w14:paraId="1F4D0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7A4E4CDC">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19</w:t>
            </w:r>
          </w:p>
        </w:tc>
        <w:tc>
          <w:tcPr>
            <w:tcW w:w="1560" w:type="dxa"/>
            <w:vAlign w:val="center"/>
          </w:tcPr>
          <w:p w14:paraId="06099893">
            <w:pPr>
              <w:keepNext w:val="0"/>
              <w:keepLines w:val="0"/>
              <w:suppressLineNumbers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投标有效期</w:t>
            </w:r>
          </w:p>
        </w:tc>
        <w:tc>
          <w:tcPr>
            <w:tcW w:w="7871" w:type="dxa"/>
            <w:vAlign w:val="center"/>
          </w:tcPr>
          <w:p w14:paraId="10F91D01">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提交磋商响应文件截止时间起90天内。</w:t>
            </w:r>
          </w:p>
        </w:tc>
      </w:tr>
      <w:tr w14:paraId="3211A2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40461946">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20</w:t>
            </w:r>
          </w:p>
        </w:tc>
        <w:tc>
          <w:tcPr>
            <w:tcW w:w="1560" w:type="dxa"/>
            <w:vAlign w:val="center"/>
          </w:tcPr>
          <w:p w14:paraId="3317ABE5">
            <w:pPr>
              <w:keepNext w:val="0"/>
              <w:keepLines w:val="0"/>
              <w:suppressLineNumbers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磋商响应文件的签章</w:t>
            </w:r>
          </w:p>
        </w:tc>
        <w:tc>
          <w:tcPr>
            <w:tcW w:w="7871" w:type="dxa"/>
            <w:vAlign w:val="center"/>
          </w:tcPr>
          <w:p w14:paraId="030839C4">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磋商响应文件中所涉及的公章均采用CA电子签章。</w:t>
            </w:r>
          </w:p>
        </w:tc>
      </w:tr>
      <w:tr w14:paraId="2FDE9D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32ECFB15">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21</w:t>
            </w:r>
          </w:p>
        </w:tc>
        <w:tc>
          <w:tcPr>
            <w:tcW w:w="1560" w:type="dxa"/>
            <w:vAlign w:val="center"/>
          </w:tcPr>
          <w:p w14:paraId="6DD61109">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投标样品</w:t>
            </w:r>
          </w:p>
        </w:tc>
        <w:tc>
          <w:tcPr>
            <w:tcW w:w="7871" w:type="dxa"/>
            <w:vAlign w:val="center"/>
          </w:tcPr>
          <w:p w14:paraId="7A05F63E">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default" w:ascii="宋体"/>
                <w:color w:val="auto"/>
                <w:sz w:val="22"/>
                <w:szCs w:val="22"/>
                <w:highlight w:val="none"/>
              </w:rPr>
              <w:fldChar w:fldCharType="begin"/>
            </w:r>
            <w:r>
              <w:rPr>
                <w:rFonts w:hint="default" w:ascii="宋体"/>
                <w:color w:val="auto"/>
                <w:sz w:val="22"/>
                <w:szCs w:val="22"/>
                <w:highlight w:val="none"/>
              </w:rPr>
              <w:instrText xml:space="preserve"> </w:instrText>
            </w:r>
            <w:r>
              <w:rPr>
                <w:rFonts w:hint="eastAsia" w:ascii="宋体"/>
                <w:color w:val="auto"/>
                <w:sz w:val="22"/>
                <w:szCs w:val="22"/>
                <w:highlight w:val="none"/>
              </w:rPr>
              <w:instrText xml:space="preserve">eq \o\ac(□,√)</w:instrText>
            </w:r>
            <w:r>
              <w:rPr>
                <w:rFonts w:hint="default" w:ascii="宋体"/>
                <w:color w:val="auto"/>
                <w:sz w:val="22"/>
                <w:szCs w:val="22"/>
                <w:highlight w:val="none"/>
              </w:rPr>
              <w:fldChar w:fldCharType="end"/>
            </w:r>
            <w:r>
              <w:rPr>
                <w:rFonts w:hint="eastAsia" w:ascii="宋体" w:hAnsi="宋体" w:cs="宋体"/>
                <w:color w:val="auto"/>
                <w:sz w:val="22"/>
                <w:szCs w:val="22"/>
                <w:highlight w:val="none"/>
              </w:rPr>
              <w:t>不需要</w:t>
            </w:r>
          </w:p>
          <w:p w14:paraId="71810B31">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□需要</w:t>
            </w:r>
          </w:p>
        </w:tc>
      </w:tr>
      <w:tr w14:paraId="0D9380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740" w:type="dxa"/>
            <w:vAlign w:val="center"/>
          </w:tcPr>
          <w:p w14:paraId="41122233">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22</w:t>
            </w:r>
          </w:p>
        </w:tc>
        <w:tc>
          <w:tcPr>
            <w:tcW w:w="1560" w:type="dxa"/>
            <w:vAlign w:val="center"/>
          </w:tcPr>
          <w:p w14:paraId="42E84324">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保证金</w:t>
            </w:r>
          </w:p>
        </w:tc>
        <w:tc>
          <w:tcPr>
            <w:tcW w:w="7871" w:type="dxa"/>
            <w:vAlign w:val="center"/>
          </w:tcPr>
          <w:p w14:paraId="1FD085A7">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bCs/>
                <w:color w:val="auto"/>
                <w:sz w:val="22"/>
                <w:szCs w:val="22"/>
                <w:highlight w:val="none"/>
              </w:rPr>
              <w:t>无</w:t>
            </w:r>
          </w:p>
        </w:tc>
      </w:tr>
      <w:tr w14:paraId="19654E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740" w:type="dxa"/>
            <w:vAlign w:val="center"/>
          </w:tcPr>
          <w:p w14:paraId="1EF3BCE0">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23</w:t>
            </w:r>
          </w:p>
        </w:tc>
        <w:tc>
          <w:tcPr>
            <w:tcW w:w="1560" w:type="dxa"/>
            <w:vAlign w:val="center"/>
          </w:tcPr>
          <w:p w14:paraId="769028F0">
            <w:pPr>
              <w:keepNext w:val="0"/>
              <w:keepLines w:val="0"/>
              <w:suppressLineNumbers w:val="0"/>
              <w:adjustRightInd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871" w:type="dxa"/>
            <w:vAlign w:val="center"/>
          </w:tcPr>
          <w:p w14:paraId="497C26C8">
            <w:pPr>
              <w:keepNext w:val="0"/>
              <w:keepLines w:val="0"/>
              <w:suppressLineNumbers w:val="0"/>
              <w:spacing w:before="0" w:beforeAutospacing="0" w:after="0" w:afterAutospacing="0"/>
              <w:ind w:left="0" w:right="0"/>
              <w:rPr>
                <w:rFonts w:hint="default" w:ascii="宋体" w:cs="宋体"/>
                <w:bCs/>
                <w:color w:val="auto"/>
                <w:sz w:val="22"/>
                <w:szCs w:val="22"/>
                <w:highlight w:val="none"/>
              </w:rPr>
            </w:pPr>
            <w:r>
              <w:rPr>
                <w:rFonts w:hint="default" w:ascii="宋体" w:cs="宋体"/>
                <w:bCs/>
                <w:color w:val="auto"/>
                <w:sz w:val="22"/>
                <w:szCs w:val="22"/>
                <w:highlight w:val="none"/>
              </w:rPr>
              <w:fldChar w:fldCharType="begin"/>
            </w:r>
            <w:r>
              <w:rPr>
                <w:rFonts w:hint="default" w:ascii="宋体" w:cs="宋体"/>
                <w:bCs/>
                <w:color w:val="auto"/>
                <w:sz w:val="22"/>
                <w:szCs w:val="22"/>
                <w:highlight w:val="none"/>
              </w:rPr>
              <w:instrText xml:space="preserve"> </w:instrText>
            </w:r>
            <w:r>
              <w:rPr>
                <w:rFonts w:hint="eastAsia" w:ascii="宋体" w:cs="宋体"/>
                <w:bCs/>
                <w:color w:val="auto"/>
                <w:sz w:val="22"/>
                <w:szCs w:val="22"/>
                <w:highlight w:val="none"/>
              </w:rPr>
              <w:instrText xml:space="preserve">eq \o\ac(□,√)</w:instrText>
            </w:r>
            <w:r>
              <w:rPr>
                <w:rFonts w:hint="default" w:ascii="宋体" w:cs="宋体"/>
                <w:bCs/>
                <w:color w:val="auto"/>
                <w:sz w:val="22"/>
                <w:szCs w:val="22"/>
                <w:highlight w:val="none"/>
              </w:rPr>
              <w:fldChar w:fldCharType="end"/>
            </w:r>
            <w:r>
              <w:rPr>
                <w:rFonts w:hint="eastAsia" w:ascii="宋体" w:cs="宋体"/>
                <w:bCs/>
                <w:color w:val="auto"/>
                <w:sz w:val="22"/>
                <w:szCs w:val="22"/>
                <w:highlight w:val="none"/>
              </w:rPr>
              <w:t>不需要</w:t>
            </w:r>
          </w:p>
          <w:p w14:paraId="6CE52A9A">
            <w:pPr>
              <w:keepNext w:val="0"/>
              <w:keepLines w:val="0"/>
              <w:suppressLineNumbers w:val="0"/>
              <w:adjustRightInd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cs="宋体"/>
                <w:bCs/>
                <w:color w:val="auto"/>
                <w:sz w:val="22"/>
                <w:szCs w:val="22"/>
                <w:highlight w:val="none"/>
              </w:rPr>
              <w:t xml:space="preserve">需要  </w:t>
            </w:r>
            <w:r>
              <w:rPr>
                <w:rFonts w:hint="eastAsia" w:ascii="宋体"/>
                <w:bCs/>
                <w:color w:val="auto"/>
                <w:sz w:val="22"/>
                <w:szCs w:val="22"/>
                <w:highlight w:val="none"/>
              </w:rPr>
              <w:t>合同签订后成交供应商应提供合同总金额1%的履约保证金至采购人指定账户</w:t>
            </w:r>
            <w:r>
              <w:rPr>
                <w:rFonts w:hint="eastAsia" w:ascii="宋体" w:cs="宋体"/>
                <w:bCs/>
                <w:color w:val="auto"/>
                <w:sz w:val="22"/>
                <w:szCs w:val="22"/>
                <w:highlight w:val="none"/>
              </w:rPr>
              <w:t>（可采用银行转账或银行保函或保险保函）</w:t>
            </w:r>
            <w:r>
              <w:rPr>
                <w:rFonts w:hint="eastAsia" w:ascii="宋体"/>
                <w:bCs/>
                <w:color w:val="auto"/>
                <w:sz w:val="22"/>
                <w:szCs w:val="22"/>
                <w:highlight w:val="none"/>
              </w:rPr>
              <w:t>。</w:t>
            </w:r>
          </w:p>
        </w:tc>
      </w:tr>
      <w:tr w14:paraId="6AA436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728" w:hRule="atLeast"/>
          <w:jc w:val="center"/>
        </w:trPr>
        <w:tc>
          <w:tcPr>
            <w:tcW w:w="740" w:type="dxa"/>
            <w:vAlign w:val="center"/>
          </w:tcPr>
          <w:p w14:paraId="32999DDE">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24</w:t>
            </w:r>
          </w:p>
        </w:tc>
        <w:tc>
          <w:tcPr>
            <w:tcW w:w="1560" w:type="dxa"/>
            <w:vAlign w:val="center"/>
          </w:tcPr>
          <w:p w14:paraId="4A373BFE">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竞争性磋商文件获取方式</w:t>
            </w:r>
          </w:p>
        </w:tc>
        <w:tc>
          <w:tcPr>
            <w:tcW w:w="7871" w:type="dxa"/>
            <w:vAlign w:val="center"/>
          </w:tcPr>
          <w:p w14:paraId="09207CD2">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见公告具体说明。</w:t>
            </w:r>
          </w:p>
        </w:tc>
      </w:tr>
      <w:tr w14:paraId="2B1379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08949DB5">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25</w:t>
            </w:r>
          </w:p>
        </w:tc>
        <w:tc>
          <w:tcPr>
            <w:tcW w:w="1560" w:type="dxa"/>
            <w:vAlign w:val="center"/>
          </w:tcPr>
          <w:p w14:paraId="108DE237">
            <w:pPr>
              <w:keepNext w:val="0"/>
              <w:keepLines w:val="0"/>
              <w:suppressLineNumbers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响应文件递交截止时间</w:t>
            </w:r>
          </w:p>
          <w:p w14:paraId="190CF1C1">
            <w:pPr>
              <w:keepNext w:val="0"/>
              <w:keepLines w:val="0"/>
              <w:suppressLineNumbers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投标地点</w:t>
            </w:r>
          </w:p>
        </w:tc>
        <w:tc>
          <w:tcPr>
            <w:tcW w:w="7871" w:type="dxa"/>
            <w:vAlign w:val="center"/>
          </w:tcPr>
          <w:p w14:paraId="1690F35D">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2024年</w:t>
            </w:r>
            <w:r>
              <w:rPr>
                <w:rFonts w:hint="eastAsia" w:ascii="宋体" w:hAnsi="宋体" w:cs="Courier New"/>
                <w:b/>
                <w:color w:val="auto"/>
                <w:sz w:val="22"/>
                <w:szCs w:val="22"/>
                <w:highlight w:val="none"/>
                <w:lang w:val="en-US" w:eastAsia="zh-CN"/>
              </w:rPr>
              <w:t>9</w:t>
            </w:r>
            <w:r>
              <w:rPr>
                <w:rFonts w:hint="eastAsia" w:ascii="宋体" w:hAnsi="宋体" w:cs="Courier New"/>
                <w:b/>
                <w:color w:val="auto"/>
                <w:sz w:val="22"/>
                <w:szCs w:val="22"/>
                <w:highlight w:val="none"/>
              </w:rPr>
              <w:t>月</w:t>
            </w:r>
            <w:r>
              <w:rPr>
                <w:rFonts w:hint="eastAsia" w:ascii="宋体" w:hAnsi="宋体" w:cs="Courier New"/>
                <w:b/>
                <w:color w:val="auto"/>
                <w:sz w:val="22"/>
                <w:szCs w:val="22"/>
                <w:highlight w:val="none"/>
                <w:lang w:val="en-US" w:eastAsia="zh-CN"/>
              </w:rPr>
              <w:t>29</w:t>
            </w:r>
            <w:r>
              <w:rPr>
                <w:rFonts w:hint="eastAsia" w:ascii="宋体" w:hAnsi="宋体" w:cs="Courier New"/>
                <w:b/>
                <w:color w:val="auto"/>
                <w:sz w:val="22"/>
                <w:szCs w:val="22"/>
                <w:highlight w:val="none"/>
              </w:rPr>
              <w:t>日下午1</w:t>
            </w:r>
            <w:r>
              <w:rPr>
                <w:rFonts w:hint="eastAsia" w:ascii="宋体" w:hAnsi="宋体" w:cs="Courier New"/>
                <w:b/>
                <w:color w:val="auto"/>
                <w:sz w:val="22"/>
                <w:szCs w:val="22"/>
                <w:highlight w:val="none"/>
                <w:lang w:val="en-US" w:eastAsia="zh-CN"/>
              </w:rPr>
              <w:t>5</w:t>
            </w:r>
            <w:r>
              <w:rPr>
                <w:rFonts w:hint="eastAsia" w:ascii="宋体" w:hAnsi="宋体" w:cs="Courier New"/>
                <w:b/>
                <w:color w:val="auto"/>
                <w:sz w:val="22"/>
                <w:szCs w:val="22"/>
                <w:highlight w:val="none"/>
              </w:rPr>
              <w:t>：</w:t>
            </w:r>
            <w:r>
              <w:rPr>
                <w:rFonts w:hint="eastAsia" w:ascii="宋体" w:hAnsi="宋体" w:cs="Courier New"/>
                <w:b/>
                <w:color w:val="auto"/>
                <w:sz w:val="22"/>
                <w:szCs w:val="22"/>
                <w:highlight w:val="none"/>
                <w:lang w:val="en-US" w:eastAsia="zh-CN"/>
              </w:rPr>
              <w:t>0</w:t>
            </w:r>
            <w:r>
              <w:rPr>
                <w:rFonts w:hint="eastAsia" w:ascii="宋体" w:hAnsi="宋体" w:cs="Courier New"/>
                <w:b/>
                <w:color w:val="auto"/>
                <w:sz w:val="22"/>
                <w:szCs w:val="22"/>
                <w:highlight w:val="none"/>
              </w:rPr>
              <w:t>0分截止(北京时间)。</w:t>
            </w:r>
          </w:p>
          <w:p w14:paraId="6140079F">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政府采购云平台在线投标，投标供应商无须前往评审现场递交响应文件。</w:t>
            </w:r>
          </w:p>
        </w:tc>
      </w:tr>
      <w:tr w14:paraId="73166F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586DDD89">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26</w:t>
            </w:r>
          </w:p>
        </w:tc>
        <w:tc>
          <w:tcPr>
            <w:tcW w:w="1560" w:type="dxa"/>
            <w:vAlign w:val="center"/>
          </w:tcPr>
          <w:p w14:paraId="7B68749F">
            <w:pPr>
              <w:keepNext w:val="0"/>
              <w:keepLines w:val="0"/>
              <w:suppressLineNumbers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b/>
                <w:color w:val="auto"/>
                <w:sz w:val="22"/>
                <w:szCs w:val="22"/>
                <w:highlight w:val="none"/>
              </w:rPr>
              <w:t>磋商开始</w:t>
            </w:r>
            <w:r>
              <w:rPr>
                <w:rFonts w:hint="eastAsia" w:ascii="宋体" w:hAnsi="宋体" w:cs="Courier New"/>
                <w:b/>
                <w:color w:val="auto"/>
                <w:sz w:val="22"/>
                <w:szCs w:val="22"/>
                <w:highlight w:val="none"/>
              </w:rPr>
              <w:t>时间</w:t>
            </w:r>
          </w:p>
          <w:p w14:paraId="1249F30C">
            <w:pPr>
              <w:keepNext w:val="0"/>
              <w:keepLines w:val="0"/>
              <w:suppressLineNumbers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开标地点</w:t>
            </w:r>
          </w:p>
        </w:tc>
        <w:tc>
          <w:tcPr>
            <w:tcW w:w="7871" w:type="dxa"/>
            <w:vAlign w:val="center"/>
          </w:tcPr>
          <w:p w14:paraId="5D2DEBF7">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b/>
                <w:color w:val="auto"/>
                <w:sz w:val="22"/>
                <w:szCs w:val="22"/>
                <w:highlight w:val="none"/>
              </w:rPr>
              <w:t>磋商开始</w:t>
            </w:r>
            <w:r>
              <w:rPr>
                <w:rFonts w:hint="eastAsia" w:ascii="宋体" w:hAnsi="宋体" w:cs="Courier New"/>
                <w:b/>
                <w:color w:val="auto"/>
                <w:sz w:val="22"/>
                <w:szCs w:val="22"/>
                <w:highlight w:val="none"/>
              </w:rPr>
              <w:t>时间：2024年</w:t>
            </w:r>
            <w:r>
              <w:rPr>
                <w:rFonts w:hint="eastAsia" w:ascii="宋体" w:hAnsi="宋体" w:cs="Courier New"/>
                <w:b/>
                <w:color w:val="auto"/>
                <w:sz w:val="22"/>
                <w:szCs w:val="22"/>
                <w:highlight w:val="none"/>
                <w:lang w:val="en-US" w:eastAsia="zh-CN"/>
              </w:rPr>
              <w:t>9</w:t>
            </w:r>
            <w:r>
              <w:rPr>
                <w:rFonts w:hint="eastAsia" w:ascii="宋体" w:hAnsi="宋体" w:cs="Courier New"/>
                <w:b/>
                <w:color w:val="auto"/>
                <w:sz w:val="22"/>
                <w:szCs w:val="22"/>
                <w:highlight w:val="none"/>
              </w:rPr>
              <w:t>月</w:t>
            </w:r>
            <w:r>
              <w:rPr>
                <w:rFonts w:hint="eastAsia" w:ascii="宋体" w:hAnsi="宋体" w:cs="Courier New"/>
                <w:b/>
                <w:color w:val="auto"/>
                <w:sz w:val="22"/>
                <w:szCs w:val="22"/>
                <w:highlight w:val="none"/>
                <w:lang w:val="en-US" w:eastAsia="zh-CN"/>
              </w:rPr>
              <w:t>29</w:t>
            </w:r>
            <w:r>
              <w:rPr>
                <w:rFonts w:hint="eastAsia" w:ascii="宋体" w:hAnsi="宋体" w:cs="Courier New"/>
                <w:b/>
                <w:color w:val="auto"/>
                <w:sz w:val="22"/>
                <w:szCs w:val="22"/>
                <w:highlight w:val="none"/>
              </w:rPr>
              <w:t>日下午1</w:t>
            </w:r>
            <w:r>
              <w:rPr>
                <w:rFonts w:hint="eastAsia" w:ascii="宋体" w:hAnsi="宋体" w:cs="Courier New"/>
                <w:b/>
                <w:color w:val="auto"/>
                <w:sz w:val="22"/>
                <w:szCs w:val="22"/>
                <w:highlight w:val="none"/>
                <w:lang w:val="en-US" w:eastAsia="zh-CN"/>
              </w:rPr>
              <w:t>5</w:t>
            </w:r>
            <w:r>
              <w:rPr>
                <w:rFonts w:hint="eastAsia" w:ascii="宋体" w:hAnsi="宋体" w:cs="Courier New"/>
                <w:b/>
                <w:color w:val="auto"/>
                <w:sz w:val="22"/>
                <w:szCs w:val="22"/>
                <w:highlight w:val="none"/>
              </w:rPr>
              <w:t>：</w:t>
            </w:r>
            <w:r>
              <w:rPr>
                <w:rFonts w:hint="eastAsia" w:ascii="宋体" w:hAnsi="宋体" w:cs="Courier New"/>
                <w:b/>
                <w:color w:val="auto"/>
                <w:sz w:val="22"/>
                <w:szCs w:val="22"/>
                <w:highlight w:val="none"/>
                <w:lang w:val="en-US" w:eastAsia="zh-CN"/>
              </w:rPr>
              <w:t>0</w:t>
            </w:r>
            <w:r>
              <w:rPr>
                <w:rFonts w:hint="eastAsia" w:ascii="宋体" w:hAnsi="宋体" w:cs="Courier New"/>
                <w:b/>
                <w:color w:val="auto"/>
                <w:sz w:val="22"/>
                <w:szCs w:val="22"/>
                <w:highlight w:val="none"/>
              </w:rPr>
              <w:t>0分 (北京时间)</w:t>
            </w:r>
          </w:p>
          <w:p w14:paraId="57018FD6">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开标地点：</w:t>
            </w:r>
            <w:r>
              <w:rPr>
                <w:rFonts w:hint="eastAsia" w:ascii="宋体"/>
                <w:b/>
                <w:color w:val="auto"/>
                <w:sz w:val="22"/>
                <w:highlight w:val="none"/>
              </w:rPr>
              <w:t>温州市洞头区政务服务中心2楼</w:t>
            </w:r>
          </w:p>
        </w:tc>
      </w:tr>
      <w:tr w14:paraId="1A032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4" w:hRule="atLeast"/>
          <w:jc w:val="center"/>
        </w:trPr>
        <w:tc>
          <w:tcPr>
            <w:tcW w:w="740" w:type="dxa"/>
            <w:vAlign w:val="center"/>
          </w:tcPr>
          <w:p w14:paraId="52B720CA">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27</w:t>
            </w:r>
          </w:p>
        </w:tc>
        <w:tc>
          <w:tcPr>
            <w:tcW w:w="1560" w:type="dxa"/>
            <w:vAlign w:val="center"/>
          </w:tcPr>
          <w:p w14:paraId="0105AAE8">
            <w:pPr>
              <w:keepNext w:val="0"/>
              <w:keepLines w:val="0"/>
              <w:suppressLineNumbers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磋商响应文件上传和递交</w:t>
            </w:r>
          </w:p>
        </w:tc>
        <w:tc>
          <w:tcPr>
            <w:tcW w:w="7871" w:type="dxa"/>
            <w:vAlign w:val="center"/>
          </w:tcPr>
          <w:p w14:paraId="118E640C">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本项目通过“政府采购云平台（</w:t>
            </w:r>
            <w:r>
              <w:rPr>
                <w:rFonts w:hint="default" w:ascii="宋体" w:hAnsi="宋体" w:cs="Courier New"/>
                <w:b/>
                <w:color w:val="auto"/>
                <w:sz w:val="22"/>
                <w:szCs w:val="22"/>
                <w:highlight w:val="none"/>
              </w:rPr>
              <w:t>www.zcygov.cn）”实行在线投标响应（电子投标），投标供应商应当在响应文件递交截止时间前，将生成的“电子加密磋商响应文件”上传递交至“政府采购云平台”。</w:t>
            </w:r>
          </w:p>
          <w:p w14:paraId="0A4582BD">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“电子加密磋商响应文件”的上传、递交：</w:t>
            </w:r>
          </w:p>
          <w:p w14:paraId="021D17E6">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a.投标供应商应在响应文件递交截止时间前将“电子加密磋商响应文件”成功上传递交至“政府采购云平台”，否则投标无效。</w:t>
            </w:r>
          </w:p>
          <w:p w14:paraId="115410A6">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b.“电子加密磋商响应文件”成功上传递交后，供应商可自行打印磋商响应文件接收回执。</w:t>
            </w:r>
          </w:p>
        </w:tc>
      </w:tr>
      <w:tr w14:paraId="1296A0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5217D6EC">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28</w:t>
            </w:r>
          </w:p>
        </w:tc>
        <w:tc>
          <w:tcPr>
            <w:tcW w:w="1560" w:type="dxa"/>
            <w:vAlign w:val="center"/>
          </w:tcPr>
          <w:p w14:paraId="57267ADC">
            <w:pPr>
              <w:keepNext w:val="0"/>
              <w:keepLines w:val="0"/>
              <w:suppressLineNumbers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cs="Courier New"/>
                <w:b/>
                <w:bCs/>
                <w:color w:val="auto"/>
                <w:sz w:val="22"/>
                <w:szCs w:val="22"/>
                <w:highlight w:val="none"/>
              </w:rPr>
              <w:t>电子加密磋商响应文件的解密和异常情况处理</w:t>
            </w:r>
          </w:p>
        </w:tc>
        <w:tc>
          <w:tcPr>
            <w:tcW w:w="7871" w:type="dxa"/>
            <w:vAlign w:val="center"/>
          </w:tcPr>
          <w:p w14:paraId="28C4A389">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1、开标后，采购组织机构将向各投标供应商发出“电子加密磋商响应文件”的解密通知，各投标供应商代表应当在接到解密通知后30分钟内自行完成“电子加密磋商响应文件”的在线解密。</w:t>
            </w:r>
          </w:p>
          <w:p w14:paraId="638DE036">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2、</w:t>
            </w:r>
            <w:r>
              <w:rPr>
                <w:rFonts w:hint="eastAsia" w:ascii="宋体"/>
                <w:b/>
                <w:color w:val="auto"/>
                <w:sz w:val="22"/>
                <w:highlight w:val="none"/>
              </w:rPr>
              <w:t>通过“政府采购云平台”成功上传递交的“电子加密磋商响应文件”无法按时解密的，其磋商响应文件按拒收处理。</w:t>
            </w:r>
          </w:p>
        </w:tc>
      </w:tr>
      <w:tr w14:paraId="612199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7AD067EA">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29</w:t>
            </w:r>
          </w:p>
        </w:tc>
        <w:tc>
          <w:tcPr>
            <w:tcW w:w="1560" w:type="dxa"/>
            <w:vAlign w:val="center"/>
          </w:tcPr>
          <w:p w14:paraId="7FA0236C">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磋商小组的组建</w:t>
            </w:r>
          </w:p>
        </w:tc>
        <w:tc>
          <w:tcPr>
            <w:tcW w:w="7871" w:type="dxa"/>
            <w:vAlign w:val="center"/>
          </w:tcPr>
          <w:p w14:paraId="4880D655">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磋商小组构成：由采购人代表以及有关技术、经济等方面的专家组成，成员为3人及以上单数，其中技术、经济类专家不得少于总人数的2/3；评标专家确定方式：按相关规定从专家库中抽取。</w:t>
            </w:r>
          </w:p>
        </w:tc>
      </w:tr>
      <w:tr w14:paraId="138870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40" w:type="dxa"/>
            <w:vAlign w:val="center"/>
          </w:tcPr>
          <w:p w14:paraId="23CE780B">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30</w:t>
            </w:r>
          </w:p>
        </w:tc>
        <w:tc>
          <w:tcPr>
            <w:tcW w:w="1560" w:type="dxa"/>
            <w:vAlign w:val="center"/>
          </w:tcPr>
          <w:p w14:paraId="79ED60B2">
            <w:pPr>
              <w:keepNext w:val="0"/>
              <w:keepLines w:val="0"/>
              <w:suppressLineNumbers w:val="0"/>
              <w:spacing w:before="0" w:beforeAutospacing="0" w:after="0" w:afterAutospacing="0"/>
              <w:ind w:left="0" w:right="0"/>
              <w:jc w:val="center"/>
              <w:rPr>
                <w:rFonts w:hint="default" w:ascii="宋体" w:cs="Arial"/>
                <w:color w:val="auto"/>
                <w:sz w:val="22"/>
                <w:szCs w:val="22"/>
                <w:highlight w:val="none"/>
              </w:rPr>
            </w:pPr>
            <w:r>
              <w:rPr>
                <w:rFonts w:hint="default" w:ascii="宋体" w:cs="Arial"/>
                <w:color w:val="auto"/>
                <w:sz w:val="22"/>
                <w:szCs w:val="22"/>
                <w:highlight w:val="none"/>
              </w:rPr>
              <w:t>政府采购</w:t>
            </w:r>
          </w:p>
          <w:p w14:paraId="7F8AACE4">
            <w:pPr>
              <w:keepNext w:val="0"/>
              <w:keepLines w:val="0"/>
              <w:suppressLineNumbers w:val="0"/>
              <w:spacing w:before="0" w:beforeAutospacing="0" w:after="0" w:afterAutospacing="0"/>
              <w:ind w:left="0" w:right="0"/>
              <w:jc w:val="center"/>
              <w:rPr>
                <w:rFonts w:hint="default" w:ascii="宋体" w:cs="Arial"/>
                <w:color w:val="auto"/>
                <w:sz w:val="22"/>
                <w:szCs w:val="22"/>
                <w:highlight w:val="none"/>
              </w:rPr>
            </w:pPr>
            <w:r>
              <w:rPr>
                <w:rFonts w:hint="eastAsia" w:ascii="宋体" w:cs="Arial"/>
                <w:color w:val="auto"/>
                <w:sz w:val="22"/>
                <w:szCs w:val="22"/>
                <w:highlight w:val="none"/>
              </w:rPr>
              <w:t>扶持</w:t>
            </w:r>
            <w:r>
              <w:rPr>
                <w:rFonts w:hint="default" w:ascii="宋体" w:cs="Arial"/>
                <w:color w:val="auto"/>
                <w:sz w:val="22"/>
                <w:szCs w:val="22"/>
                <w:highlight w:val="none"/>
              </w:rPr>
              <w:t>政策</w:t>
            </w:r>
          </w:p>
        </w:tc>
        <w:tc>
          <w:tcPr>
            <w:tcW w:w="7871" w:type="dxa"/>
            <w:vAlign w:val="center"/>
          </w:tcPr>
          <w:p w14:paraId="67B493A1">
            <w:pPr>
              <w:keepNext w:val="0"/>
              <w:keepLines w:val="0"/>
              <w:suppressLineNumbers w:val="0"/>
              <w:spacing w:before="0" w:beforeAutospacing="0" w:after="0" w:afterAutospacing="0"/>
              <w:ind w:left="0" w:right="0"/>
              <w:jc w:val="left"/>
              <w:rPr>
                <w:rFonts w:hint="default" w:ascii="宋体" w:cs="Arial"/>
                <w:color w:val="auto"/>
                <w:sz w:val="22"/>
                <w:szCs w:val="22"/>
                <w:highlight w:val="none"/>
              </w:rPr>
            </w:pPr>
            <w:r>
              <w:rPr>
                <w:rFonts w:hint="eastAsia" w:ascii="宋体" w:cs="Arial"/>
                <w:color w:val="auto"/>
                <w:sz w:val="22"/>
                <w:szCs w:val="22"/>
                <w:highlight w:val="none"/>
              </w:rPr>
              <w:t>本项目对符合财政扶持政策的小微企业（或监狱企业或残疾人福利性单位）给予评标价格优惠。</w:t>
            </w:r>
            <w:r>
              <w:rPr>
                <w:rFonts w:hint="default" w:ascii="宋体" w:cs="Arial"/>
                <w:color w:val="auto"/>
                <w:sz w:val="22"/>
                <w:szCs w:val="22"/>
                <w:highlight w:val="none"/>
              </w:rPr>
              <w:t>供应商企业属于以上多种性质的，不重复享受扶持政策。</w:t>
            </w:r>
          </w:p>
        </w:tc>
      </w:tr>
      <w:tr w14:paraId="50A6DD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1E6C8437">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31</w:t>
            </w:r>
          </w:p>
        </w:tc>
        <w:tc>
          <w:tcPr>
            <w:tcW w:w="1560" w:type="dxa"/>
            <w:vAlign w:val="center"/>
          </w:tcPr>
          <w:p w14:paraId="57FDB733">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供应商</w:t>
            </w:r>
          </w:p>
          <w:p w14:paraId="5237C31E">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信用查询</w:t>
            </w:r>
          </w:p>
        </w:tc>
        <w:tc>
          <w:tcPr>
            <w:tcW w:w="7871" w:type="dxa"/>
            <w:vAlign w:val="center"/>
          </w:tcPr>
          <w:p w14:paraId="5609C897">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1、投标供应商信用信息查询的查询渠道：“信用中国”(www.creditchina.gov.cn)；“中国政府采购网”（www.ccgp.gov.cn）；</w:t>
            </w:r>
          </w:p>
          <w:p w14:paraId="144AFCBC">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2、供应商信用信息查询截止时点：公告发布之日至磋商响应文件递交截止时间前。</w:t>
            </w:r>
          </w:p>
          <w:p w14:paraId="71A5DA73">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14:paraId="2FE0F0CA">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4、信用信息的使用规则：</w:t>
            </w:r>
            <w:r>
              <w:rPr>
                <w:rFonts w:hint="eastAsia" w:ascii="宋体" w:hAnsi="宋体"/>
                <w:color w:val="auto"/>
                <w:sz w:val="22"/>
                <w:szCs w:val="22"/>
                <w:highlight w:val="none"/>
              </w:rPr>
              <w:t>对列入失信被执行人、重大税收违法案件当事人名单、政府采购严重违法失信行为记录名单及其他不符合《中华人民共和国政府采购法》第二十二条规定条件的供应商，其投标做无效投标处理。</w:t>
            </w:r>
          </w:p>
        </w:tc>
      </w:tr>
      <w:tr w14:paraId="74FC67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740" w:type="dxa"/>
            <w:vAlign w:val="center"/>
          </w:tcPr>
          <w:p w14:paraId="31C08D8F">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32</w:t>
            </w:r>
          </w:p>
        </w:tc>
        <w:tc>
          <w:tcPr>
            <w:tcW w:w="1560" w:type="dxa"/>
            <w:vAlign w:val="center"/>
          </w:tcPr>
          <w:p w14:paraId="4B1D07D9">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871" w:type="dxa"/>
            <w:vAlign w:val="center"/>
          </w:tcPr>
          <w:p w14:paraId="32591BCE">
            <w:pPr>
              <w:keepNext w:val="0"/>
              <w:keepLines w:val="0"/>
              <w:suppressLineNumbers w:val="0"/>
              <w:spacing w:before="0" w:beforeAutospacing="0" w:after="0" w:afterAutospacing="0"/>
              <w:ind w:left="0" w:right="0"/>
              <w:rPr>
                <w:rFonts w:hint="default" w:ascii="宋体" w:cs="Arial"/>
                <w:color w:val="auto"/>
                <w:sz w:val="22"/>
                <w:szCs w:val="22"/>
                <w:highlight w:val="none"/>
              </w:rPr>
            </w:pPr>
            <w:r>
              <w:rPr>
                <w:rFonts w:hint="eastAsia" w:ascii="宋体" w:cs="Arial"/>
                <w:color w:val="auto"/>
                <w:sz w:val="22"/>
                <w:szCs w:val="22"/>
                <w:highlight w:val="none"/>
              </w:rPr>
              <w:t>1、成交供应商须在发出成交通知书之日起30日历天内与采购人签订合同。</w:t>
            </w:r>
          </w:p>
          <w:p w14:paraId="478C48A4">
            <w:pPr>
              <w:keepNext w:val="0"/>
              <w:keepLines w:val="0"/>
              <w:suppressLineNumbers w:val="0"/>
              <w:spacing w:before="0" w:beforeAutospacing="0" w:after="0" w:afterAutospacing="0"/>
              <w:ind w:left="0" w:right="0"/>
              <w:rPr>
                <w:rFonts w:hint="default" w:ascii="宋体" w:cs="Arial"/>
                <w:color w:val="auto"/>
                <w:sz w:val="22"/>
                <w:szCs w:val="22"/>
                <w:highlight w:val="none"/>
              </w:rPr>
            </w:pPr>
            <w:r>
              <w:rPr>
                <w:rFonts w:hint="eastAsia" w:ascii="宋体" w:cs="Arial"/>
                <w:color w:val="auto"/>
                <w:sz w:val="22"/>
                <w:szCs w:val="22"/>
                <w:highlight w:val="none"/>
              </w:rPr>
              <w:t>2、成交供应商与采购人签订合同后，</w:t>
            </w:r>
            <w:r>
              <w:rPr>
                <w:rFonts w:hint="default" w:ascii="宋体" w:cs="Arial"/>
                <w:color w:val="auto"/>
                <w:sz w:val="22"/>
                <w:szCs w:val="22"/>
                <w:highlight w:val="none"/>
              </w:rPr>
              <w:t>2</w:t>
            </w:r>
            <w:r>
              <w:rPr>
                <w:rFonts w:hint="eastAsia" w:ascii="宋体" w:cs="Arial"/>
                <w:color w:val="auto"/>
                <w:sz w:val="22"/>
                <w:szCs w:val="22"/>
                <w:highlight w:val="none"/>
              </w:rPr>
              <w:t>日历天内将合同原件交温州华晟招标代理有限公司备案。</w:t>
            </w:r>
          </w:p>
          <w:p w14:paraId="1C0A7DE8">
            <w:pPr>
              <w:keepNext w:val="0"/>
              <w:keepLines w:val="0"/>
              <w:suppressLineNumbers w:val="0"/>
              <w:spacing w:before="0" w:beforeAutospacing="0" w:after="0" w:afterAutospacing="0"/>
              <w:ind w:left="0" w:right="0"/>
              <w:rPr>
                <w:rFonts w:hint="default" w:ascii="宋体" w:cs="Arial"/>
                <w:color w:val="auto"/>
                <w:sz w:val="22"/>
                <w:szCs w:val="22"/>
                <w:highlight w:val="none"/>
              </w:rPr>
            </w:pPr>
            <w:r>
              <w:rPr>
                <w:rFonts w:hint="eastAsia" w:ascii="宋体" w:hAnsi="宋体" w:cs="Arial"/>
                <w:color w:val="auto"/>
                <w:sz w:val="22"/>
                <w:szCs w:val="22"/>
                <w:highlight w:val="none"/>
              </w:rPr>
              <w:t>3、本项目政府采购合同按规定在</w:t>
            </w:r>
            <w:r>
              <w:rPr>
                <w:rFonts w:hint="eastAsia" w:ascii="宋体" w:hAnsi="宋体"/>
                <w:color w:val="auto"/>
                <w:sz w:val="22"/>
                <w:szCs w:val="22"/>
                <w:highlight w:val="none"/>
              </w:rPr>
              <w:t>浙江政府采购网</w:t>
            </w:r>
            <w:r>
              <w:rPr>
                <w:rFonts w:hint="eastAsia" w:ascii="宋体" w:hAnsi="宋体" w:cs="Arial"/>
                <w:color w:val="auto"/>
                <w:sz w:val="22"/>
                <w:szCs w:val="22"/>
                <w:highlight w:val="none"/>
              </w:rPr>
              <w:t>予以公告。</w:t>
            </w:r>
          </w:p>
        </w:tc>
      </w:tr>
      <w:tr w14:paraId="0B3534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6AD28DEC">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33</w:t>
            </w:r>
          </w:p>
        </w:tc>
        <w:tc>
          <w:tcPr>
            <w:tcW w:w="1560" w:type="dxa"/>
            <w:vAlign w:val="center"/>
          </w:tcPr>
          <w:p w14:paraId="4C77C755">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871" w:type="dxa"/>
            <w:vAlign w:val="center"/>
          </w:tcPr>
          <w:p w14:paraId="23A01863">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合同签订后，采购人依法加强对合同履约进行管理，并在成交单位供货、项目验收等重要关节，如实填写《合同验收报告》，并及时向同级财政部门报告验收过程中遇到的问题。</w:t>
            </w:r>
          </w:p>
        </w:tc>
      </w:tr>
      <w:tr w14:paraId="167C5C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042B46F9">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34</w:t>
            </w:r>
          </w:p>
        </w:tc>
        <w:tc>
          <w:tcPr>
            <w:tcW w:w="1560" w:type="dxa"/>
            <w:vAlign w:val="center"/>
          </w:tcPr>
          <w:p w14:paraId="4D4DB7C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免责声明</w:t>
            </w:r>
          </w:p>
        </w:tc>
        <w:tc>
          <w:tcPr>
            <w:tcW w:w="7871" w:type="dxa"/>
            <w:vAlign w:val="center"/>
          </w:tcPr>
          <w:p w14:paraId="2F0004EE">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1、供应商自行承担投标过程中产生的费用。无论何种因素导致采购项目延期开标、废标（流标）、投标供应商未中标、项目终止采购的，采购人与采购代理机构均不承担供应商投标费用。</w:t>
            </w:r>
          </w:p>
          <w:p w14:paraId="67A47465">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2、投标供应商在投标、合同履行过程中必须做好安全保障工作，不因项目实施而危及自身及第三方人员、财产安全。若发生任何安全事故，由成交供应商自行承担一切责任并赔偿损失。</w:t>
            </w:r>
          </w:p>
        </w:tc>
      </w:tr>
      <w:tr w14:paraId="7FCA7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74" w:hRule="atLeast"/>
          <w:jc w:val="center"/>
        </w:trPr>
        <w:tc>
          <w:tcPr>
            <w:tcW w:w="740" w:type="dxa"/>
            <w:vAlign w:val="center"/>
          </w:tcPr>
          <w:p w14:paraId="20787A19">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35</w:t>
            </w:r>
          </w:p>
        </w:tc>
        <w:tc>
          <w:tcPr>
            <w:tcW w:w="1560" w:type="dxa"/>
            <w:vAlign w:val="center"/>
          </w:tcPr>
          <w:p w14:paraId="5CCF5231">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质疑</w:t>
            </w:r>
          </w:p>
        </w:tc>
        <w:tc>
          <w:tcPr>
            <w:tcW w:w="7871" w:type="dxa"/>
            <w:vAlign w:val="center"/>
          </w:tcPr>
          <w:p w14:paraId="7588B4EE">
            <w:pPr>
              <w:keepNext w:val="0"/>
              <w:keepLines w:val="0"/>
              <w:suppressLineNumbers w:val="0"/>
              <w:spacing w:before="0" w:beforeAutospacing="0" w:after="0" w:afterAutospacing="0"/>
              <w:ind w:left="0" w:right="0"/>
              <w:rPr>
                <w:rFonts w:hint="default" w:ascii="宋体" w:cs="Arial"/>
                <w:color w:val="auto"/>
                <w:sz w:val="22"/>
                <w:szCs w:val="22"/>
                <w:highlight w:val="none"/>
              </w:rPr>
            </w:pPr>
            <w:r>
              <w:rPr>
                <w:rFonts w:hint="eastAsia" w:ascii="宋体" w:cs="Arial"/>
                <w:color w:val="auto"/>
                <w:sz w:val="22"/>
                <w:szCs w:val="22"/>
                <w:highlight w:val="none"/>
              </w:rPr>
              <w:t>供应商认为磋商文件、采购过程、中标或者成交结果使自己的权益受到损害的，可以在知道或者应知其权益受到损害之日起7个工作日内，以书面形式向采购人、采购代理机构提出质疑，</w:t>
            </w:r>
            <w:r>
              <w:rPr>
                <w:rFonts w:hint="default" w:ascii="宋体" w:cs="Arial"/>
                <w:color w:val="auto"/>
                <w:sz w:val="22"/>
                <w:szCs w:val="22"/>
                <w:highlight w:val="none"/>
              </w:rPr>
              <w:t>逾期采购代理机构可不予受理及答复。供应商须在法定质疑期内一次性提出针对同一采购程序环节的质疑。在线提起质疑的须上传质疑函扫描件</w:t>
            </w:r>
            <w:r>
              <w:rPr>
                <w:rFonts w:hint="eastAsia" w:ascii="宋体" w:cs="Arial"/>
                <w:color w:val="auto"/>
                <w:sz w:val="22"/>
                <w:szCs w:val="22"/>
                <w:highlight w:val="none"/>
              </w:rPr>
              <w:t>。</w:t>
            </w:r>
          </w:p>
        </w:tc>
      </w:tr>
      <w:tr w14:paraId="46B813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48" w:hRule="atLeast"/>
          <w:jc w:val="center"/>
        </w:trPr>
        <w:tc>
          <w:tcPr>
            <w:tcW w:w="740" w:type="dxa"/>
            <w:vAlign w:val="center"/>
          </w:tcPr>
          <w:p w14:paraId="26AC97EB">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36</w:t>
            </w:r>
          </w:p>
        </w:tc>
        <w:tc>
          <w:tcPr>
            <w:tcW w:w="1560" w:type="dxa"/>
            <w:vAlign w:val="center"/>
          </w:tcPr>
          <w:p w14:paraId="59A3FAB4">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871" w:type="dxa"/>
            <w:vAlign w:val="center"/>
          </w:tcPr>
          <w:p w14:paraId="4E361944">
            <w:pPr>
              <w:keepNext w:val="0"/>
              <w:keepLines w:val="0"/>
              <w:suppressLineNumbers w:val="0"/>
              <w:spacing w:before="0" w:beforeAutospacing="0" w:after="0" w:afterAutospacing="0"/>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88434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271" w:hRule="atLeast"/>
          <w:jc w:val="center"/>
        </w:trPr>
        <w:tc>
          <w:tcPr>
            <w:tcW w:w="740" w:type="dxa"/>
            <w:vAlign w:val="center"/>
          </w:tcPr>
          <w:p w14:paraId="6A1C9548">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cs="Courier New"/>
                <w:color w:val="auto"/>
                <w:sz w:val="22"/>
                <w:szCs w:val="22"/>
                <w:highlight w:val="none"/>
              </w:rPr>
            </w:pPr>
            <w:r>
              <w:rPr>
                <w:rFonts w:hint="eastAsia" w:ascii="宋体" w:hAnsi="宋体" w:cs="Courier New"/>
                <w:color w:val="auto"/>
                <w:sz w:val="22"/>
                <w:szCs w:val="22"/>
                <w:highlight w:val="none"/>
              </w:rPr>
              <w:t>37</w:t>
            </w:r>
          </w:p>
        </w:tc>
        <w:tc>
          <w:tcPr>
            <w:tcW w:w="1560" w:type="dxa"/>
            <w:vAlign w:val="center"/>
          </w:tcPr>
          <w:p w14:paraId="27168ED3">
            <w:pPr>
              <w:keepNext w:val="0"/>
              <w:keepLines w:val="0"/>
              <w:suppressLineNumbers w:val="0"/>
              <w:spacing w:before="0" w:beforeAutospacing="0" w:after="0" w:afterAutospacing="0"/>
              <w:ind w:left="0" w:right="0"/>
              <w:jc w:val="center"/>
              <w:rPr>
                <w:rFonts w:hint="default" w:ascii="宋体" w:hAnsi="宋体" w:cs="Courier New"/>
                <w:b/>
                <w:color w:val="auto"/>
                <w:sz w:val="22"/>
                <w:szCs w:val="22"/>
                <w:highlight w:val="none"/>
              </w:rPr>
            </w:pPr>
            <w:r>
              <w:rPr>
                <w:rFonts w:hint="eastAsia" w:ascii="宋体" w:hAnsi="宋体"/>
                <w:b/>
                <w:color w:val="auto"/>
                <w:sz w:val="22"/>
                <w:szCs w:val="22"/>
                <w:highlight w:val="none"/>
              </w:rPr>
              <w:t>注意事项</w:t>
            </w:r>
          </w:p>
        </w:tc>
        <w:tc>
          <w:tcPr>
            <w:tcW w:w="7871" w:type="dxa"/>
            <w:vAlign w:val="center"/>
          </w:tcPr>
          <w:p w14:paraId="16B1B674">
            <w:pPr>
              <w:keepNext w:val="0"/>
              <w:keepLines w:val="0"/>
              <w:suppressLineNumbers w:val="0"/>
              <w:spacing w:before="0" w:beforeAutospacing="0" w:after="0" w:afterAutospacing="0"/>
              <w:ind w:left="0" w:right="0"/>
              <w:rPr>
                <w:rFonts w:hint="default" w:ascii="宋体" w:hAnsi="宋体" w:cs="Courier New"/>
                <w:b/>
                <w:color w:val="auto"/>
                <w:sz w:val="22"/>
                <w:szCs w:val="22"/>
                <w:highlight w:val="none"/>
              </w:rPr>
            </w:pPr>
            <w:r>
              <w:rPr>
                <w:rFonts w:hint="eastAsia" w:ascii="宋体" w:hAnsi="宋体" w:cs="Courier New"/>
                <w:b/>
                <w:color w:val="auto"/>
                <w:sz w:val="22"/>
                <w:szCs w:val="22"/>
                <w:highlight w:val="none"/>
              </w:rPr>
              <w:t>1.请务必确保磋商响应文件制作客户端为最新版本，旧版本可能导致磋商响应文件解密失败。</w:t>
            </w:r>
          </w:p>
          <w:p w14:paraId="1A36C7E9">
            <w:pPr>
              <w:keepNext w:val="0"/>
              <w:keepLines w:val="0"/>
              <w:suppressLineNumbers w:val="0"/>
              <w:spacing w:before="0" w:beforeAutospacing="0" w:after="0" w:afterAutospacing="0"/>
              <w:ind w:left="0" w:right="0"/>
              <w:rPr>
                <w:rFonts w:hint="default" w:ascii="宋体" w:hAnsi="宋体"/>
                <w:b/>
                <w:color w:val="auto"/>
                <w:sz w:val="22"/>
                <w:szCs w:val="22"/>
                <w:highlight w:val="none"/>
              </w:rPr>
            </w:pPr>
            <w:r>
              <w:rPr>
                <w:rFonts w:hint="eastAsia" w:ascii="宋体" w:hAnsi="宋体" w:cs="Courier New"/>
                <w:b/>
                <w:color w:val="auto"/>
                <w:sz w:val="22"/>
                <w:szCs w:val="22"/>
                <w:highlight w:val="none"/>
              </w:rPr>
              <w:t>2.请务必确保磋商响应文件制作时所用的 CA 锁与磋商响应文件解密时的 CA 锁为同一把，否则可能导致磋商响应文件解密失败。</w:t>
            </w:r>
          </w:p>
        </w:tc>
      </w:tr>
    </w:tbl>
    <w:p w14:paraId="693EBF3D">
      <w:pPr>
        <w:autoSpaceDE w:val="0"/>
        <w:autoSpaceDN w:val="0"/>
        <w:adjustRightInd w:val="0"/>
        <w:snapToGrid w:val="0"/>
        <w:spacing w:line="460" w:lineRule="atLeast"/>
        <w:jc w:val="center"/>
        <w:textAlignment w:val="bottom"/>
        <w:rPr>
          <w:rFonts w:ascii="宋体" w:hAnsi="宋体"/>
          <w:color w:val="auto"/>
          <w:sz w:val="36"/>
          <w:highlight w:val="none"/>
        </w:rPr>
      </w:pPr>
    </w:p>
    <w:p w14:paraId="25D286AB">
      <w:pPr>
        <w:autoSpaceDE w:val="0"/>
        <w:autoSpaceDN w:val="0"/>
        <w:adjustRightInd w:val="0"/>
        <w:snapToGrid w:val="0"/>
        <w:spacing w:line="460" w:lineRule="atLeast"/>
        <w:jc w:val="center"/>
        <w:textAlignment w:val="bottom"/>
        <w:rPr>
          <w:rFonts w:ascii="宋体" w:hAnsi="宋体"/>
          <w:color w:val="auto"/>
          <w:sz w:val="36"/>
          <w:highlight w:val="none"/>
        </w:rPr>
      </w:pPr>
      <w:r>
        <w:rPr>
          <w:rFonts w:ascii="宋体" w:hAnsi="宋体"/>
          <w:color w:val="auto"/>
          <w:sz w:val="36"/>
          <w:highlight w:val="none"/>
        </w:rPr>
        <w:br w:type="page"/>
      </w:r>
      <w:r>
        <w:rPr>
          <w:rFonts w:hint="eastAsia" w:ascii="宋体" w:hAnsi="宋体"/>
          <w:color w:val="auto"/>
          <w:sz w:val="36"/>
          <w:highlight w:val="none"/>
        </w:rPr>
        <w:t>第二部分  采购内容及要求</w:t>
      </w:r>
    </w:p>
    <w:p w14:paraId="3180E926">
      <w:pPr>
        <w:adjustRightInd w:val="0"/>
        <w:snapToGrid w:val="0"/>
        <w:spacing w:line="400" w:lineRule="atLeast"/>
        <w:rPr>
          <w:rFonts w:ascii="宋体" w:hAnsi="宋体"/>
          <w:b/>
          <w:color w:val="auto"/>
          <w:kern w:val="0"/>
          <w:sz w:val="22"/>
          <w:szCs w:val="22"/>
          <w:highlight w:val="none"/>
        </w:rPr>
      </w:pPr>
      <w:bookmarkStart w:id="6" w:name="_Toc157410886"/>
      <w:r>
        <w:rPr>
          <w:rFonts w:hint="eastAsia" w:ascii="宋体" w:hAnsi="宋体"/>
          <w:b/>
          <w:color w:val="auto"/>
          <w:kern w:val="0"/>
          <w:sz w:val="22"/>
          <w:szCs w:val="22"/>
          <w:highlight w:val="none"/>
        </w:rPr>
        <w:t>一、采购总说明</w:t>
      </w:r>
    </w:p>
    <w:p w14:paraId="087CE87E">
      <w:pPr>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经批准，温州市洞头区大数据管理中心对所需的洞头区政务云平台租赁进行竞争性磋商采购。本次招标的资金已经落实。我们热情欢迎有关公司（企业）前来投标。</w:t>
      </w:r>
    </w:p>
    <w:p w14:paraId="20E8F4E9">
      <w:pPr>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二、项目总则</w:t>
      </w:r>
    </w:p>
    <w:p w14:paraId="3140C6CF">
      <w:pPr>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1、采购的服务所涉及的产品标准、规范，验收标准、规范，应符合国家有关条例及规范，如有新的标准应采纳新标准，如是国外相应标准应征得采购人认可。</w:t>
      </w:r>
    </w:p>
    <w:p w14:paraId="5A6B6D99">
      <w:pPr>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本次招标采购为</w:t>
      </w:r>
      <w:r>
        <w:rPr>
          <w:color w:val="auto"/>
          <w:highlight w:val="none"/>
        </w:rPr>
        <w:fldChar w:fldCharType="begin"/>
      </w:r>
      <w:r>
        <w:rPr>
          <w:color w:val="auto"/>
          <w:highlight w:val="none"/>
        </w:rPr>
        <w:instrText xml:space="preserve"> HYPERLINK "https://www.zcygov.cn/proj-procurement/project-result-detail/5ee80cd0c504722a?utm=web-bid-inviting-front.6a89804f.0.0.b0bc53800b8911ec9f4db3814ed08c6a" \t "https://www.zcygov.cn/bid-inviting/purchaseFileMake/_blank" </w:instrText>
      </w:r>
      <w:r>
        <w:rPr>
          <w:color w:val="auto"/>
          <w:highlight w:val="none"/>
        </w:rPr>
        <w:fldChar w:fldCharType="separate"/>
      </w:r>
      <w:r>
        <w:rPr>
          <w:rFonts w:hint="eastAsia" w:ascii="宋体" w:hAnsi="宋体"/>
          <w:color w:val="auto"/>
          <w:kern w:val="0"/>
          <w:sz w:val="22"/>
          <w:szCs w:val="22"/>
          <w:highlight w:val="none"/>
        </w:rPr>
        <w:t>洞头区政务云服务</w:t>
      </w:r>
      <w:r>
        <w:rPr>
          <w:rFonts w:hint="eastAsia" w:ascii="宋体" w:hAnsi="宋体"/>
          <w:color w:val="auto"/>
          <w:kern w:val="0"/>
          <w:sz w:val="22"/>
          <w:szCs w:val="22"/>
          <w:highlight w:val="none"/>
        </w:rPr>
        <w:fldChar w:fldCharType="end"/>
      </w:r>
      <w:r>
        <w:rPr>
          <w:rFonts w:hint="eastAsia" w:ascii="宋体" w:hAnsi="宋体"/>
          <w:color w:val="auto"/>
          <w:kern w:val="0"/>
          <w:sz w:val="22"/>
          <w:szCs w:val="22"/>
          <w:highlight w:val="none"/>
        </w:rPr>
        <w:t>，投标供应商应根据磋商文件所提出的技术规格和服务要求，综合考虑，选择具有最佳性能价格比的服务前来投标。希望投标供应商以精良的设备、优良的服务和优惠的价格，充分显示你们的竞争实力。</w:t>
      </w:r>
    </w:p>
    <w:p w14:paraId="5BD81EFC">
      <w:pPr>
        <w:snapToGrid w:val="0"/>
        <w:spacing w:line="400" w:lineRule="atLeast"/>
        <w:ind w:firstLine="442" w:firstLineChars="200"/>
        <w:rPr>
          <w:rFonts w:ascii="宋体" w:hAnsi="宋体"/>
          <w:b/>
          <w:color w:val="auto"/>
          <w:kern w:val="0"/>
          <w:sz w:val="22"/>
          <w:szCs w:val="22"/>
          <w:highlight w:val="none"/>
        </w:rPr>
      </w:pPr>
      <w:r>
        <w:rPr>
          <w:rFonts w:hint="eastAsia" w:ascii="宋体" w:hAnsi="宋体"/>
          <w:b/>
          <w:color w:val="auto"/>
          <w:kern w:val="0"/>
          <w:sz w:val="22"/>
          <w:szCs w:val="22"/>
          <w:highlight w:val="none"/>
        </w:rPr>
        <w:t>▲投标供应商必须根据自己的技术及商务和报价优势对标项全部内容进行投标，不得只投标项部分内容。</w:t>
      </w:r>
    </w:p>
    <w:bookmarkEnd w:id="6"/>
    <w:p w14:paraId="798012EA">
      <w:pPr>
        <w:adjustRightInd w:val="0"/>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三、采购内容及具体要求</w:t>
      </w:r>
    </w:p>
    <w:p w14:paraId="78E58F04">
      <w:pPr>
        <w:adjustRightInd w:val="0"/>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标项一：洞头区政务云（公有云）</w:t>
      </w:r>
    </w:p>
    <w:p w14:paraId="53E7DD17">
      <w:pPr>
        <w:adjustRightInd w:val="0"/>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（一）采购内容</w:t>
      </w:r>
    </w:p>
    <w:p w14:paraId="3D10A075">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根据温州市政府《关于推进政府大数据平台建设的实施意见》相关要求，</w:t>
      </w:r>
      <w:r>
        <w:rPr>
          <w:rFonts w:hint="eastAsia" w:ascii="宋体" w:hAnsi="宋体"/>
          <w:color w:val="auto"/>
          <w:sz w:val="22"/>
          <w:szCs w:val="22"/>
          <w:highlight w:val="none"/>
        </w:rPr>
        <w:t>温州市洞头区大数据管理中心</w:t>
      </w:r>
      <w:r>
        <w:rPr>
          <w:rFonts w:hint="eastAsia" w:ascii="宋体" w:hAnsi="宋体" w:cs="宋体"/>
          <w:bCs/>
          <w:color w:val="auto"/>
          <w:kern w:val="0"/>
          <w:sz w:val="22"/>
          <w:szCs w:val="22"/>
          <w:highlight w:val="none"/>
        </w:rPr>
        <w:t>组织进行洞头区政务云采购，洞头区政务云（公有云）是洞头区政务云平台建设的重要组成部分，主要为全区各政务部门提供</w:t>
      </w:r>
      <w:r>
        <w:rPr>
          <w:rFonts w:hint="eastAsia" w:ascii="宋体" w:hAnsi="宋体" w:cs="宋体"/>
          <w:color w:val="auto"/>
          <w:sz w:val="22"/>
          <w:szCs w:val="22"/>
          <w:highlight w:val="none"/>
        </w:rPr>
        <w:t>高性能云主机、云存储、云应用、云安全、异地备份等</w:t>
      </w:r>
      <w:r>
        <w:rPr>
          <w:rFonts w:hint="eastAsia" w:ascii="宋体" w:hAnsi="宋体" w:cs="宋体"/>
          <w:bCs/>
          <w:color w:val="auto"/>
          <w:kern w:val="0"/>
          <w:sz w:val="22"/>
          <w:szCs w:val="22"/>
          <w:highlight w:val="none"/>
        </w:rPr>
        <w:t>基础设施资源共享服务，为各政务部门间数据交换、共享、应用等提供基础平台支撑。</w:t>
      </w:r>
    </w:p>
    <w:p w14:paraId="1EB672FA">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本项目采用企业建设和运维、政府按需购买服务方式进行，通过明确各项服务内容的采购单价和计价规则，对经准确登记云资源进行计费并支付费用。</w:t>
      </w:r>
    </w:p>
    <w:p w14:paraId="27AE436A">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本项目服务对象是洞头区党政机关、财政全额保障事业单位，服务对象根据政务云实际需求提出申请政务云服务相关需求内容，区大数据中心根据各服务对象实际政务云使用量进行服务费用结算。</w:t>
      </w:r>
    </w:p>
    <w:p w14:paraId="12001548">
      <w:pPr>
        <w:snapToGrid w:val="0"/>
        <w:spacing w:line="400" w:lineRule="atLeas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服务内容包括：</w:t>
      </w:r>
    </w:p>
    <w:p w14:paraId="3DA03B71">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1、基本云服务：包括政务专用要求、政务云平台带宽、服务区域划分、安全等级、服务支撑等；</w:t>
      </w:r>
    </w:p>
    <w:p w14:paraId="32C7988A">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2、基础设施服务（IaaS）：包括云平台机房环境及相关物理硬件要求、云平台软件、云平台架构、计算服务、存储服务、网络服务等；</w:t>
      </w:r>
    </w:p>
    <w:p w14:paraId="205F5966">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3、平台服务（PaaS）：包括云数据库、高性能数据库、大数据服务等；</w:t>
      </w:r>
    </w:p>
    <w:p w14:paraId="30DD2572">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4、云安全服务：包括云备份、异地备份、自主云安全服务等；</w:t>
      </w:r>
    </w:p>
    <w:p w14:paraId="34D7040A">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5、云平台监管及审计：包括云管平台、运行监测系统等；</w:t>
      </w:r>
    </w:p>
    <w:p w14:paraId="6C8611CB">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6、技术支持服务：包括应用迁移咨询服务、其他技术服务、培训服务等。</w:t>
      </w:r>
    </w:p>
    <w:p w14:paraId="231E068F">
      <w:pPr>
        <w:adjustRightInd w:val="0"/>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（二）服务交付期</w:t>
      </w:r>
    </w:p>
    <w:p w14:paraId="0B24E444">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在合同签订后7天内提供本地化的云主机、云存储、云负载均衡、云数据库、互联网出口、政务外网互联链路等服务。同时原有在网系统需在20个自然天内完成迁移。如若未按规定执行，采购人上报采购监管部门后有权取消其中标资格，并重新组织招标或将合同授予第二候选人。</w:t>
      </w:r>
    </w:p>
    <w:p w14:paraId="66469532">
      <w:pPr>
        <w:adjustRightInd w:val="0"/>
        <w:snapToGrid w:val="0"/>
        <w:spacing w:line="400" w:lineRule="atLeast"/>
        <w:rPr>
          <w:rFonts w:ascii="宋体" w:hAnsi="宋体"/>
          <w:b/>
          <w:color w:val="auto"/>
          <w:kern w:val="0"/>
          <w:sz w:val="22"/>
          <w:szCs w:val="22"/>
          <w:highlight w:val="none"/>
        </w:rPr>
      </w:pPr>
      <w:bookmarkStart w:id="7" w:name="_Toc47481004"/>
      <w:r>
        <w:rPr>
          <w:rFonts w:hint="eastAsia" w:ascii="宋体" w:hAnsi="宋体"/>
          <w:b/>
          <w:color w:val="auto"/>
          <w:kern w:val="0"/>
          <w:sz w:val="22"/>
          <w:szCs w:val="22"/>
          <w:highlight w:val="none"/>
        </w:rPr>
        <w:t>（三）基本云服务</w:t>
      </w:r>
      <w:bookmarkEnd w:id="7"/>
    </w:p>
    <w:p w14:paraId="4EC4B914">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投标供应商提供的云服务需要满足以下基本条件：</w:t>
      </w:r>
    </w:p>
    <w:p w14:paraId="33AD2E5A">
      <w:pPr>
        <w:adjustRightInd w:val="0"/>
        <w:snapToGrid w:val="0"/>
        <w:spacing w:line="400" w:lineRule="atLeast"/>
        <w:ind w:firstLine="440" w:firstLineChars="200"/>
        <w:rPr>
          <w:rFonts w:ascii="宋体" w:hAnsi="宋体"/>
          <w:color w:val="auto"/>
          <w:kern w:val="0"/>
          <w:sz w:val="22"/>
          <w:szCs w:val="22"/>
          <w:highlight w:val="none"/>
        </w:rPr>
      </w:pPr>
      <w:bookmarkStart w:id="8" w:name="_Toc10032558"/>
      <w:bookmarkStart w:id="9" w:name="_Toc47481005"/>
      <w:r>
        <w:rPr>
          <w:rFonts w:hint="eastAsia" w:ascii="宋体" w:hAnsi="宋体"/>
          <w:color w:val="auto"/>
          <w:kern w:val="0"/>
          <w:sz w:val="22"/>
          <w:szCs w:val="22"/>
          <w:highlight w:val="none"/>
        </w:rPr>
        <w:t>（1）政务专用要求</w:t>
      </w:r>
      <w:bookmarkEnd w:id="8"/>
      <w:bookmarkEnd w:id="9"/>
    </w:p>
    <w:p w14:paraId="7E6F0983">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要求提供的云平台为洞头区政务外网用户专用，洞头区各级党政机关、事业单位申请使用政务云服务的应由采购方或采购方指定的部门统一受理、审核。未经采购方或采购方指定的部门审核同意，云服务提供商不得擅自对外提供或开放任何政务云服务。</w:t>
      </w:r>
    </w:p>
    <w:p w14:paraId="75D8A701">
      <w:pPr>
        <w:adjustRightInd w:val="0"/>
        <w:snapToGrid w:val="0"/>
        <w:spacing w:line="400" w:lineRule="atLeast"/>
        <w:ind w:firstLine="440" w:firstLineChars="200"/>
        <w:rPr>
          <w:rFonts w:ascii="宋体" w:hAnsi="宋体"/>
          <w:color w:val="auto"/>
          <w:kern w:val="0"/>
          <w:sz w:val="22"/>
          <w:szCs w:val="22"/>
          <w:highlight w:val="none"/>
        </w:rPr>
      </w:pPr>
      <w:bookmarkStart w:id="10" w:name="_Toc47481006"/>
      <w:bookmarkStart w:id="11" w:name="_Toc10032561"/>
      <w:r>
        <w:rPr>
          <w:rFonts w:hint="eastAsia" w:ascii="宋体" w:hAnsi="宋体"/>
          <w:color w:val="auto"/>
          <w:kern w:val="0"/>
          <w:sz w:val="22"/>
          <w:szCs w:val="22"/>
          <w:highlight w:val="none"/>
        </w:rPr>
        <w:t>（2）政务云平台带宽</w:t>
      </w:r>
      <w:bookmarkEnd w:id="10"/>
    </w:p>
    <w:p w14:paraId="660464E0">
      <w:pPr>
        <w:widowControl/>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要求提供的</w:t>
      </w:r>
      <w:r>
        <w:rPr>
          <w:rFonts w:hint="eastAsia" w:ascii="宋体" w:hAnsi="宋体"/>
          <w:color w:val="auto"/>
          <w:sz w:val="22"/>
          <w:szCs w:val="22"/>
          <w:highlight w:val="none"/>
        </w:rPr>
        <w:t>政务云平台与市本级以及12个区县政务外网的专用互联光纤带宽不小于1G</w:t>
      </w:r>
      <w:r>
        <w:rPr>
          <w:rFonts w:hint="eastAsia" w:ascii="宋体" w:hAnsi="宋体" w:cs="宋体"/>
          <w:bCs/>
          <w:color w:val="auto"/>
          <w:kern w:val="0"/>
          <w:sz w:val="22"/>
          <w:szCs w:val="22"/>
          <w:highlight w:val="none"/>
        </w:rPr>
        <w:t>，以满足网络互访的要求，并提供高可靠的双物理路由保护措施。</w:t>
      </w:r>
    </w:p>
    <w:p w14:paraId="1C22611F">
      <w:pPr>
        <w:widowControl/>
        <w:snapToGrid w:val="0"/>
        <w:spacing w:line="400" w:lineRule="atLeast"/>
        <w:ind w:firstLine="440" w:firstLineChars="200"/>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rPr>
        <w:t>要求提供的政务云平台和互联网独享出口总带宽不少于2G,可扩充到20G。</w:t>
      </w:r>
      <w:r>
        <w:rPr>
          <w:rFonts w:hint="eastAsia" w:ascii="宋体" w:hAnsi="宋体" w:cs="宋体"/>
          <w:bCs/>
          <w:color w:val="auto"/>
          <w:kern w:val="0"/>
          <w:sz w:val="22"/>
          <w:szCs w:val="22"/>
          <w:highlight w:val="none"/>
          <w:u w:val="single"/>
        </w:rPr>
        <w:t>▲投标供应商必须承诺其提供的IDC机房接受其他运营商的网络接入。</w:t>
      </w:r>
    </w:p>
    <w:p w14:paraId="3839A8EB">
      <w:pPr>
        <w:adjustRightInd w:val="0"/>
        <w:snapToGrid w:val="0"/>
        <w:spacing w:line="400" w:lineRule="atLeast"/>
        <w:ind w:firstLine="440" w:firstLineChars="200"/>
        <w:rPr>
          <w:rFonts w:ascii="宋体" w:hAnsi="宋体"/>
          <w:color w:val="auto"/>
          <w:kern w:val="0"/>
          <w:sz w:val="22"/>
          <w:szCs w:val="22"/>
          <w:highlight w:val="none"/>
        </w:rPr>
      </w:pPr>
      <w:bookmarkStart w:id="12" w:name="_Toc47481007"/>
      <w:r>
        <w:rPr>
          <w:rFonts w:hint="eastAsia" w:ascii="宋体" w:hAnsi="宋体"/>
          <w:color w:val="auto"/>
          <w:kern w:val="0"/>
          <w:sz w:val="22"/>
          <w:szCs w:val="22"/>
          <w:highlight w:val="none"/>
        </w:rPr>
        <w:t>（3）服务区域划分</w:t>
      </w:r>
      <w:bookmarkEnd w:id="11"/>
      <w:bookmarkEnd w:id="12"/>
    </w:p>
    <w:p w14:paraId="438F1A0F">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本次采购要求提供包括政务云政务外网资源共享专网、政务外网公共服务专网等不同网络环境，同时提供满足不同安全级别、不同业务及不同业务专网的需要，并提供应用测试区域等环境。</w:t>
      </w:r>
    </w:p>
    <w:p w14:paraId="420BB2AF">
      <w:pPr>
        <w:adjustRightInd w:val="0"/>
        <w:snapToGrid w:val="0"/>
        <w:spacing w:line="400" w:lineRule="atLeast"/>
        <w:ind w:firstLine="440" w:firstLineChars="200"/>
        <w:rPr>
          <w:rFonts w:ascii="宋体" w:hAnsi="宋体"/>
          <w:color w:val="auto"/>
          <w:kern w:val="0"/>
          <w:sz w:val="22"/>
          <w:szCs w:val="22"/>
          <w:highlight w:val="none"/>
        </w:rPr>
      </w:pPr>
      <w:bookmarkStart w:id="13" w:name="_Toc10032562"/>
      <w:bookmarkStart w:id="14" w:name="_Toc47481008"/>
      <w:r>
        <w:rPr>
          <w:rFonts w:hint="eastAsia" w:ascii="宋体" w:hAnsi="宋体"/>
          <w:color w:val="auto"/>
          <w:kern w:val="0"/>
          <w:sz w:val="22"/>
          <w:szCs w:val="22"/>
          <w:highlight w:val="none"/>
        </w:rPr>
        <w:t>（4）安全等级</w:t>
      </w:r>
      <w:bookmarkEnd w:id="13"/>
      <w:bookmarkEnd w:id="14"/>
    </w:p>
    <w:p w14:paraId="103BB402">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要求政务云平台应能满足信息系统三级（含）以上安全等级保护要求，须通过信息系统三级（及以上）安全等级测评，并按相关标准定期复测。要求对于核心业务应能实现应用级容灾保护，非关键性业务实现数据级容灾保护。</w:t>
      </w:r>
    </w:p>
    <w:p w14:paraId="72380B6E">
      <w:pPr>
        <w:adjustRightInd w:val="0"/>
        <w:snapToGrid w:val="0"/>
        <w:spacing w:line="400" w:lineRule="atLeast"/>
        <w:ind w:firstLine="440" w:firstLineChars="200"/>
        <w:rPr>
          <w:rFonts w:ascii="宋体" w:hAnsi="宋体"/>
          <w:color w:val="auto"/>
          <w:kern w:val="0"/>
          <w:sz w:val="22"/>
          <w:szCs w:val="22"/>
          <w:highlight w:val="none"/>
        </w:rPr>
      </w:pPr>
      <w:bookmarkStart w:id="15" w:name="_Toc10032563"/>
      <w:bookmarkStart w:id="16" w:name="_Toc47481009"/>
      <w:r>
        <w:rPr>
          <w:rFonts w:hint="eastAsia" w:ascii="宋体" w:hAnsi="宋体"/>
          <w:color w:val="auto"/>
          <w:kern w:val="0"/>
          <w:sz w:val="22"/>
          <w:szCs w:val="22"/>
          <w:highlight w:val="none"/>
        </w:rPr>
        <w:t>（5）服务支撑</w:t>
      </w:r>
      <w:bookmarkEnd w:id="15"/>
      <w:bookmarkEnd w:id="16"/>
    </w:p>
    <w:p w14:paraId="4B0865E8">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为保证政务云稳定可靠运行，供应商须提供且不低于下列服务支撑要求：</w:t>
      </w:r>
    </w:p>
    <w:p w14:paraId="70D693D0">
      <w:pPr>
        <w:snapToGrid w:val="0"/>
        <w:spacing w:line="400" w:lineRule="atLeast"/>
        <w:ind w:firstLine="440" w:firstLineChars="200"/>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rPr>
        <w:t>1、</w:t>
      </w:r>
      <w:r>
        <w:rPr>
          <w:rFonts w:hint="eastAsia" w:ascii="宋体" w:hAnsi="宋体" w:cs="宋体"/>
          <w:b/>
          <w:color w:val="auto"/>
          <w:kern w:val="0"/>
          <w:sz w:val="22"/>
          <w:szCs w:val="22"/>
          <w:highlight w:val="none"/>
          <w:u w:val="single"/>
        </w:rPr>
        <w:t>▲</w:t>
      </w:r>
      <w:r>
        <w:rPr>
          <w:rFonts w:hint="eastAsia" w:ascii="宋体" w:hAnsi="宋体" w:cs="宋体"/>
          <w:bCs/>
          <w:color w:val="auto"/>
          <w:kern w:val="0"/>
          <w:sz w:val="22"/>
          <w:szCs w:val="22"/>
          <w:highlight w:val="none"/>
          <w:u w:val="single"/>
        </w:rPr>
        <w:t>要求本期至少4人次常驻机房服务，提供7*24小时运行值班监控服务，同时要求</w:t>
      </w:r>
      <w:r>
        <w:rPr>
          <w:rFonts w:hint="eastAsia" w:ascii="宋体" w:hAnsi="宋体" w:cs="宋体"/>
          <w:color w:val="auto"/>
          <w:sz w:val="22"/>
          <w:szCs w:val="22"/>
          <w:highlight w:val="none"/>
          <w:u w:val="single"/>
        </w:rPr>
        <w:t>指定一名专职人员负责协调处理各类有关业务，并配备服务终端两台</w:t>
      </w:r>
      <w:r>
        <w:rPr>
          <w:rFonts w:hint="eastAsia" w:ascii="宋体" w:hAnsi="宋体" w:cs="宋体"/>
          <w:bCs/>
          <w:color w:val="auto"/>
          <w:kern w:val="0"/>
          <w:sz w:val="22"/>
          <w:szCs w:val="22"/>
          <w:highlight w:val="none"/>
          <w:u w:val="single"/>
        </w:rPr>
        <w:t>。运维人员必须具备2年以上云平台维护经验，并需提供相关资质证明，相关人员资质及技术能力须由采购方认可。</w:t>
      </w:r>
    </w:p>
    <w:p w14:paraId="7BE7469C">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2、要求组建本地专业政务云维护团队，人员组成必须包含网络、数据库、信息安全、IT管理等领域专业人员组成，并需提供人员相关资质证明，相关人员资质及技术能力须由采购方认可。</w:t>
      </w:r>
    </w:p>
    <w:p w14:paraId="4620D0B4">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对使用单位政务应用上云做好培训指导。要求定期举办现场或网络视频培训，免费提供仿真测试环境，供各级部门应用系统正式部署上云前的测试，通过测试优化云资源使用方案，测试时间内不得收费，测试完成后迁移到正式环境。</w:t>
      </w:r>
    </w:p>
    <w:p w14:paraId="08F5B566">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要求协助采购方组织并推荐应用系统功能、性能、安全测试服务。严格按照云平台管理办法对新上云及重大升级后的系统进行入口管理。免费协助采购方进行新开发应用系统部署，并协助完成相关使用单位原有应用系统迁移到政务云平台。</w:t>
      </w:r>
    </w:p>
    <w:p w14:paraId="15829350">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要求交付云服务时提供详细的云服务租用清单，并定期（一般按月）提供云服务使用量报表和政务云平台运维日志（包含各类云服务总体的运维工作日志，云安全服务的管理、升级与配置记录，以及采购人认为需要掌握和调用的其他信息）。</w:t>
      </w:r>
    </w:p>
    <w:p w14:paraId="486DF03F">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6、要求云服务商协助各使用单位开展云平台应急演练；每月对云上政务系统开展安全漏洞扫描工作，并出具相关报告；积极配合测评公司落实业务系统等保测评工作。对上云的政务系统提供备份策略，做好数据备份。</w:t>
      </w:r>
    </w:p>
    <w:p w14:paraId="5439AE5D">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7、要求云服务商每季度至少组织一次对各上云应用系统云资源使用情况的评估并出具报告。云资源部署或扩容调整一个月后，云服务商对云资源利用情况进行评估，对存在云资源过度申请的，须告知采购方进行核查。</w:t>
      </w:r>
    </w:p>
    <w:p w14:paraId="5571648B">
      <w:pPr>
        <w:widowControl/>
        <w:spacing w:line="400" w:lineRule="atLeast"/>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8、具备督促检查使用单位落实云资源安全措施能力，对存在的安全风险，云服务商应及时通知使用单位，使用单位通过云管系统对落实情况一一进行回复登记，安全风险整改落实情况定期报采购方；负责定期向各使用单位提供系统安全漏洞月报；在重保和安全专项检查期间定期提供专项安全风险报告。</w:t>
      </w:r>
    </w:p>
    <w:p w14:paraId="6B74D923">
      <w:pPr>
        <w:widowControl/>
        <w:spacing w:line="400" w:lineRule="atLeast"/>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9、要求云服务商在评估验证的基础上，为使用单位推荐系统及数据备份服务、安全服务等。</w:t>
      </w:r>
    </w:p>
    <w:p w14:paraId="11E1235C">
      <w:pPr>
        <w:widowControl/>
        <w:spacing w:line="400" w:lineRule="atLeast"/>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10、云服务商负责云平台的整体平台安全，承担平台问题导致的安全责任。</w:t>
      </w:r>
    </w:p>
    <w:p w14:paraId="714F6B5A">
      <w:pPr>
        <w:adjustRightInd w:val="0"/>
        <w:snapToGrid w:val="0"/>
        <w:spacing w:line="400" w:lineRule="atLeast"/>
        <w:rPr>
          <w:rFonts w:ascii="宋体" w:hAnsi="宋体"/>
          <w:b/>
          <w:color w:val="auto"/>
          <w:kern w:val="0"/>
          <w:sz w:val="22"/>
          <w:szCs w:val="22"/>
          <w:highlight w:val="none"/>
        </w:rPr>
      </w:pPr>
      <w:bookmarkStart w:id="17" w:name="_Toc47481011"/>
      <w:bookmarkStart w:id="18" w:name="_Toc10032564"/>
      <w:r>
        <w:rPr>
          <w:rFonts w:hint="eastAsia" w:ascii="宋体" w:hAnsi="宋体"/>
          <w:b/>
          <w:color w:val="auto"/>
          <w:kern w:val="0"/>
          <w:sz w:val="22"/>
          <w:szCs w:val="22"/>
          <w:highlight w:val="none"/>
        </w:rPr>
        <w:t>（四）基础设施服务</w:t>
      </w:r>
      <w:bookmarkEnd w:id="17"/>
      <w:bookmarkEnd w:id="18"/>
      <w:r>
        <w:rPr>
          <w:rFonts w:hint="eastAsia" w:ascii="宋体" w:hAnsi="宋体"/>
          <w:b/>
          <w:color w:val="auto"/>
          <w:kern w:val="0"/>
          <w:sz w:val="22"/>
          <w:szCs w:val="22"/>
          <w:highlight w:val="none"/>
        </w:rPr>
        <w:t>（IaaS）</w:t>
      </w:r>
    </w:p>
    <w:p w14:paraId="796E022D">
      <w:pPr>
        <w:adjustRightInd w:val="0"/>
        <w:snapToGrid w:val="0"/>
        <w:spacing w:line="400" w:lineRule="atLeast"/>
        <w:ind w:firstLine="440" w:firstLineChars="200"/>
        <w:rPr>
          <w:rFonts w:ascii="宋体" w:hAnsi="宋体"/>
          <w:color w:val="auto"/>
          <w:kern w:val="0"/>
          <w:sz w:val="22"/>
          <w:szCs w:val="22"/>
          <w:highlight w:val="none"/>
        </w:rPr>
      </w:pPr>
      <w:bookmarkStart w:id="19" w:name="_Toc47481012"/>
      <w:bookmarkStart w:id="20" w:name="_Toc10032565"/>
      <w:r>
        <w:rPr>
          <w:rFonts w:hint="eastAsia" w:ascii="宋体" w:hAnsi="宋体"/>
          <w:color w:val="auto"/>
          <w:kern w:val="0"/>
          <w:sz w:val="22"/>
          <w:szCs w:val="22"/>
          <w:highlight w:val="none"/>
        </w:rPr>
        <w:t>（1）云平台机房环境及相关物理硬件要求</w:t>
      </w:r>
      <w:bookmarkEnd w:id="19"/>
      <w:bookmarkEnd w:id="20"/>
    </w:p>
    <w:p w14:paraId="46817776">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1、云平台数据中心机房标准</w:t>
      </w:r>
    </w:p>
    <w:p w14:paraId="59717606">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要求机房符合国际标准的数据中心机房，A级以上，能够365天全天候稳定提供优质的电力、空调、消防、监控、机架、空气清风系统等服务，政务云专用机房面积不小于300平方，且为完全独立空间，配套独立门禁,非经授权外人不能进入。保证7*24小时电力供应，供电保障系统需配置保障油机1500KWA或更高的规格,并实现油机1+1备份、不间断电源系统需配置400KVA（1+1）或更高的UPS规格，机房基础安全设施需配置管网式气体消防、早期烟雾告警、门禁系统等系统。</w:t>
      </w:r>
    </w:p>
    <w:p w14:paraId="3A14DFDB">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2、物理服务器</w:t>
      </w:r>
    </w:p>
    <w:p w14:paraId="5B0C1A38">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物理服务器数量不少于150台 ，主要用于承载业务系统的云主机服务。服务器不低于如下配置：2路INTEL XeonE5-2650V2 CPU（核数8核，主频2.6GHz），内存≥128G，双电源。要求可根据用户使用情况进行扩展，不会导致业务中断。云平台单集群支持不少于5000台物理服务器。</w:t>
      </w:r>
    </w:p>
    <w:p w14:paraId="316059D0">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3、物理存储设备</w:t>
      </w:r>
    </w:p>
    <w:p w14:paraId="3DA81516">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物理存储容量不少于 1 PB，要求可根据用户使用情况进行扩展，扩展过程中不会导致业务中断。云存储采用分布式文件系统。</w:t>
      </w:r>
    </w:p>
    <w:p w14:paraId="5D5D13B1">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4、物理网络</w:t>
      </w:r>
    </w:p>
    <w:p w14:paraId="5F22A49C">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为保证网络高可靠性、高可用性、高扩展性、冗余性，要求采用双核心和接入两层扁平化的组网架构，分别构建独立的业务网、管理网、存储网，核心接入之间万兆捆绑互联；所有服务器分别双归属接入业务网、管理网、存储网。</w:t>
      </w:r>
    </w:p>
    <w:p w14:paraId="6D021063">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要求保证产品成熟可靠。适应40GE和100GE以太网标准，并且充分满足数据中心级的应用及发展需求，核心层设备应采用具有新一代交换架构的产品。</w:t>
      </w:r>
    </w:p>
    <w:p w14:paraId="58DFCAF9">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要求满足今后5年内洞头各地各部门（单位）对政务云平台中业务应用网络带宽、业务平稳、持续不间断运行等应用需要。</w:t>
      </w:r>
    </w:p>
    <w:p w14:paraId="6E1D9FA2">
      <w:pPr>
        <w:adjustRightInd w:val="0"/>
        <w:snapToGrid w:val="0"/>
        <w:spacing w:line="400" w:lineRule="atLeast"/>
        <w:ind w:firstLine="440" w:firstLineChars="200"/>
        <w:rPr>
          <w:rFonts w:ascii="宋体" w:hAnsi="宋体"/>
          <w:color w:val="auto"/>
          <w:kern w:val="0"/>
          <w:sz w:val="22"/>
          <w:szCs w:val="22"/>
          <w:highlight w:val="none"/>
        </w:rPr>
      </w:pPr>
      <w:bookmarkStart w:id="21" w:name="_Toc10032566"/>
      <w:bookmarkStart w:id="22" w:name="_Toc47481013"/>
      <w:r>
        <w:rPr>
          <w:rFonts w:hint="eastAsia" w:ascii="宋体" w:hAnsi="宋体"/>
          <w:color w:val="auto"/>
          <w:kern w:val="0"/>
          <w:sz w:val="22"/>
          <w:szCs w:val="22"/>
          <w:highlight w:val="none"/>
        </w:rPr>
        <w:t>（2）云平台软件</w:t>
      </w:r>
      <w:bookmarkEnd w:id="21"/>
      <w:bookmarkEnd w:id="22"/>
    </w:p>
    <w:p w14:paraId="49CB9BF6">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供应商的云平台软件需要基于成熟、大规模商用、安全的云平台，有成功应用案例。</w:t>
      </w:r>
    </w:p>
    <w:p w14:paraId="33DF17B2">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1、云平台自主知识产权</w:t>
      </w:r>
    </w:p>
    <w:p w14:paraId="4966046F">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云平台软件，必须提供原厂知识产权证明，并能够不依赖于第三方，具备对全部软件代码的自主研发、升级、及时的bug修复能力。</w:t>
      </w:r>
    </w:p>
    <w:p w14:paraId="3E93EEA4">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2、大数据服务能力</w:t>
      </w:r>
    </w:p>
    <w:p w14:paraId="3DD32522">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云平台需具备分布式大数据服务能力，提供成熟的大规模数据处理平台案例。提供统一的数据开发平台，云平台集成统一的大数据运维管理。</w:t>
      </w:r>
    </w:p>
    <w:p w14:paraId="4D1AE5BE">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3、云平台安全合规</w:t>
      </w:r>
    </w:p>
    <w:p w14:paraId="74B04CE8">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云平台需通过工信部可信云认证。</w:t>
      </w:r>
    </w:p>
    <w:p w14:paraId="52DB0B74">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4、云平台案例</w:t>
      </w:r>
    </w:p>
    <w:p w14:paraId="535EB769">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要求云平台已商业化运行，经过了市场的有效检验。要求提供所投标的云平台在政府领域使用案例3个（含）以上，提供用户合同扫描件，合同必须包括用户购买云平台的详细情况。</w:t>
      </w:r>
    </w:p>
    <w:p w14:paraId="6FBD195F">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5、与现有云平台的兼容性</w:t>
      </w:r>
    </w:p>
    <w:p w14:paraId="51624EAC">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云平台要求与现有市政务云（公有云）平台全面兼容，新老平台可整体进行整合。如与现平台采用不同的技术路线，则要求能在业务不中断的情况下实现所有云资源的整体迁移。</w:t>
      </w:r>
    </w:p>
    <w:p w14:paraId="4CFDB0B5">
      <w:pPr>
        <w:adjustRightInd w:val="0"/>
        <w:snapToGrid w:val="0"/>
        <w:spacing w:line="400" w:lineRule="atLeast"/>
        <w:ind w:firstLine="440" w:firstLineChars="200"/>
        <w:rPr>
          <w:rFonts w:ascii="宋体" w:hAnsi="宋体"/>
          <w:color w:val="auto"/>
          <w:kern w:val="0"/>
          <w:sz w:val="22"/>
          <w:szCs w:val="22"/>
          <w:highlight w:val="none"/>
        </w:rPr>
      </w:pPr>
      <w:bookmarkStart w:id="23" w:name="_Toc10032567"/>
      <w:bookmarkStart w:id="24" w:name="_Toc47481014"/>
      <w:r>
        <w:rPr>
          <w:rFonts w:hint="eastAsia" w:ascii="宋体" w:hAnsi="宋体"/>
          <w:color w:val="auto"/>
          <w:kern w:val="0"/>
          <w:sz w:val="22"/>
          <w:szCs w:val="22"/>
          <w:highlight w:val="none"/>
        </w:rPr>
        <w:t>（3）云平台架构</w:t>
      </w:r>
      <w:bookmarkEnd w:id="23"/>
      <w:bookmarkEnd w:id="24"/>
    </w:p>
    <w:tbl>
      <w:tblPr>
        <w:tblStyle w:val="46"/>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8402"/>
      </w:tblGrid>
      <w:tr w14:paraId="52AF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Align w:val="center"/>
          </w:tcPr>
          <w:p w14:paraId="136CC600">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402" w:type="dxa"/>
            <w:vAlign w:val="center"/>
          </w:tcPr>
          <w:p w14:paraId="59B411DD">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1FA8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restart"/>
            <w:vAlign w:val="center"/>
          </w:tcPr>
          <w:p w14:paraId="74550AA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标准规范</w:t>
            </w:r>
          </w:p>
        </w:tc>
        <w:tc>
          <w:tcPr>
            <w:tcW w:w="8402" w:type="dxa"/>
            <w:vAlign w:val="center"/>
          </w:tcPr>
          <w:p w14:paraId="388BC42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采用统一管理集群资源，统一管理集群内的CPU、内存、磁盘和网络资源使得这些关键资源可以被高效地使用。</w:t>
            </w:r>
          </w:p>
        </w:tc>
      </w:tr>
      <w:tr w14:paraId="5C71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5465014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5349AE7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具备分布式系统底层服务、分布式文件系统、任务调度、集群监控和部署能力并提供技术白皮佐证。</w:t>
            </w:r>
          </w:p>
        </w:tc>
      </w:tr>
      <w:tr w14:paraId="1A27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38CC5BC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7D68492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根据应用对资源进行全局的调度，提高资源的利用率。</w:t>
            </w:r>
          </w:p>
        </w:tc>
      </w:tr>
      <w:tr w14:paraId="63B0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583F1D5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4E549CF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采用自动故障切换提高系统整体的可用性。</w:t>
            </w:r>
          </w:p>
        </w:tc>
      </w:tr>
      <w:tr w14:paraId="0002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4DAF540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1C7AAE1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采用统一的安全措施，保证用户数据的安全性。</w:t>
            </w:r>
          </w:p>
        </w:tc>
      </w:tr>
      <w:tr w14:paraId="4245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4400188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6E96730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采用统一运维的方式，提高系统的安全并降低成本。</w:t>
            </w:r>
          </w:p>
        </w:tc>
      </w:tr>
      <w:tr w14:paraId="3883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restart"/>
            <w:vAlign w:val="center"/>
          </w:tcPr>
          <w:p w14:paraId="6ECC448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扩展规模</w:t>
            </w:r>
          </w:p>
        </w:tc>
        <w:tc>
          <w:tcPr>
            <w:tcW w:w="8402" w:type="dxa"/>
            <w:vAlign w:val="center"/>
          </w:tcPr>
          <w:p w14:paraId="3A3FF06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支持在线集群扩容和应用服务的在线升级。</w:t>
            </w:r>
          </w:p>
        </w:tc>
      </w:tr>
      <w:tr w14:paraId="3D18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617A83E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440C6A8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单个集群最大规模可达到5000台物理服务器并行作业。</w:t>
            </w:r>
          </w:p>
        </w:tc>
      </w:tr>
      <w:tr w14:paraId="1334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restart"/>
            <w:vAlign w:val="center"/>
          </w:tcPr>
          <w:p w14:paraId="0A7A142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资源管理</w:t>
            </w:r>
          </w:p>
        </w:tc>
        <w:tc>
          <w:tcPr>
            <w:tcW w:w="8402" w:type="dxa"/>
            <w:vAlign w:val="center"/>
          </w:tcPr>
          <w:p w14:paraId="38133BB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提供计算存储设备，网络设备和安全设备等物理设备的管理功能。</w:t>
            </w:r>
          </w:p>
        </w:tc>
      </w:tr>
      <w:tr w14:paraId="306C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vAlign w:val="center"/>
          </w:tcPr>
          <w:p w14:paraId="11B2F88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63AD777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提供虚拟化后的“分布式计算资源池”、“网络资源池”和“存储资源池”的管理功能。</w:t>
            </w:r>
          </w:p>
        </w:tc>
      </w:tr>
      <w:tr w14:paraId="6E27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3357322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4A7047D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提供对网络资源的管理功能，包括：IP地址资源和带宽资源的管理。</w:t>
            </w:r>
          </w:p>
        </w:tc>
      </w:tr>
      <w:tr w14:paraId="1FEF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vAlign w:val="center"/>
          </w:tcPr>
          <w:p w14:paraId="1346150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01AE20F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提供资源协同能力，包括资源的注册、创建、销毁、回收、状态同步、分布式锁服务，支持分布式共识协议。</w:t>
            </w:r>
          </w:p>
        </w:tc>
      </w:tr>
      <w:tr w14:paraId="2474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5534ED0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6230EAE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提供集群并行作业能力，实现资源的高可用和集群的负载均衡能力。</w:t>
            </w:r>
          </w:p>
        </w:tc>
      </w:tr>
      <w:tr w14:paraId="4D1D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Align w:val="center"/>
          </w:tcPr>
          <w:p w14:paraId="18F0FF5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远程过程调用</w:t>
            </w:r>
          </w:p>
        </w:tc>
        <w:tc>
          <w:tcPr>
            <w:tcW w:w="8402" w:type="dxa"/>
            <w:vAlign w:val="center"/>
          </w:tcPr>
          <w:p w14:paraId="1F610B2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提供可靠高效的进程间远程调用服务，支持通讯信道的数据压缩和一致性校验。</w:t>
            </w:r>
          </w:p>
        </w:tc>
      </w:tr>
      <w:tr w14:paraId="08F9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Align w:val="center"/>
          </w:tcPr>
          <w:p w14:paraId="296F095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分布协同服务</w:t>
            </w:r>
          </w:p>
        </w:tc>
        <w:tc>
          <w:tcPr>
            <w:tcW w:w="8402" w:type="dxa"/>
            <w:vAlign w:val="center"/>
          </w:tcPr>
          <w:p w14:paraId="66CE8F6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分布协同服务提供分布式系统基本的命名服务、状态同步服务和分布式锁服务。支持基于Paxos的分布式共识协议。</w:t>
            </w:r>
          </w:p>
        </w:tc>
      </w:tr>
      <w:tr w14:paraId="6989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restart"/>
            <w:vAlign w:val="center"/>
          </w:tcPr>
          <w:p w14:paraId="532CACB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虚拟化功能</w:t>
            </w:r>
          </w:p>
        </w:tc>
        <w:tc>
          <w:tcPr>
            <w:tcW w:w="8402" w:type="dxa"/>
            <w:vAlign w:val="center"/>
          </w:tcPr>
          <w:p w14:paraId="04786C8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支持并配置计算资源虚拟化，形成“分布式计算资源池”。硬件采用标准X86服务器，不使用IP SAN和FC SAN等专用存储作为存储资源。</w:t>
            </w:r>
          </w:p>
        </w:tc>
      </w:tr>
      <w:tr w14:paraId="5C56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vAlign w:val="center"/>
          </w:tcPr>
          <w:p w14:paraId="6E94D9C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7697B5D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支持并配置计算设备“一虚多”，同一台物理主机上同时支持多种操作系统，或是相同操作系统的不同版本。分区与分区之间相互独立，互不影响。</w:t>
            </w:r>
          </w:p>
        </w:tc>
      </w:tr>
      <w:tr w14:paraId="33F5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vAlign w:val="center"/>
          </w:tcPr>
          <w:p w14:paraId="1E4BE29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44D9484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支持并配置资源的动态调配与弹性可伸缩，资源池具备各级资源的按需获取功能，提高资源消费者的可用性、容错与扩展能力。</w:t>
            </w:r>
          </w:p>
        </w:tc>
      </w:tr>
      <w:tr w14:paraId="7468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74" w:type="dxa"/>
            <w:vMerge w:val="restart"/>
            <w:vAlign w:val="center"/>
          </w:tcPr>
          <w:p w14:paraId="1BD832E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分布式文件系统</w:t>
            </w:r>
          </w:p>
        </w:tc>
        <w:tc>
          <w:tcPr>
            <w:tcW w:w="8402" w:type="dxa"/>
          </w:tcPr>
          <w:p w14:paraId="485BCCC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云平台操作系统支持分布式文件系统，支持存储资源虚拟化,形成“存储资源池”。</w:t>
            </w:r>
          </w:p>
        </w:tc>
      </w:tr>
      <w:tr w14:paraId="7D41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1AC2F4A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tcPr>
          <w:p w14:paraId="3FF34B4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数据存储在不同机架的多个节点上，集群中的节点出现硬件、软件故障,集群系统能够自动进行数据的备份和迁移,保证数据的高可用性在并提供技术白皮书佐证。</w:t>
            </w:r>
          </w:p>
        </w:tc>
      </w:tr>
      <w:tr w14:paraId="0ECE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0F62651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tcPr>
          <w:p w14:paraId="46E496A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支持IO优先级控制和QoS保证。</w:t>
            </w:r>
          </w:p>
        </w:tc>
      </w:tr>
      <w:tr w14:paraId="6989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74" w:type="dxa"/>
            <w:vMerge w:val="continue"/>
            <w:vAlign w:val="center"/>
          </w:tcPr>
          <w:p w14:paraId="25CFE65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tcPr>
          <w:p w14:paraId="1852ACD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支持增量扩容和自动数据平衡能力，允许用户定制数据分布策略。</w:t>
            </w:r>
          </w:p>
        </w:tc>
      </w:tr>
      <w:tr w14:paraId="4014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vAlign w:val="center"/>
          </w:tcPr>
          <w:p w14:paraId="5FE0802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tcPr>
          <w:p w14:paraId="0D12F3A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具备高可扩展性，可支持上亿个文件和100PB以上量级的文件存储；支持不重启系统，增加物理服务器后自动扩容。</w:t>
            </w:r>
          </w:p>
        </w:tc>
      </w:tr>
      <w:tr w14:paraId="5516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05C6EDC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tcPr>
          <w:p w14:paraId="12C98E7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在不依赖RAID卡和NAS等特殊硬件设备的条件下，提供高可用性和高可靠性。</w:t>
            </w:r>
          </w:p>
        </w:tc>
      </w:tr>
      <w:tr w14:paraId="0E46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5D53DC0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tcPr>
          <w:p w14:paraId="18CFCDF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支持SATA磁盘块存储和SSD高性能块存储两种分布式存储规格。</w:t>
            </w:r>
          </w:p>
        </w:tc>
      </w:tr>
      <w:tr w14:paraId="0FF9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48387AD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tcPr>
          <w:p w14:paraId="7D4B320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普通分布式存储吞吐大于等80M/s，高性能分布式存储吞吐大于等于280M/s，随机IOPS大于等于20000。</w:t>
            </w:r>
          </w:p>
        </w:tc>
      </w:tr>
      <w:tr w14:paraId="549B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432E25F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tcPr>
          <w:p w14:paraId="287BDC3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采用多管理节点设计，为避免集群单点故障，分布式文件系统必须支持多Master设计，至少有3个及以上的存储Master控制节点。</w:t>
            </w:r>
          </w:p>
        </w:tc>
      </w:tr>
      <w:tr w14:paraId="36A5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74" w:type="dxa"/>
            <w:vMerge w:val="continue"/>
            <w:vAlign w:val="center"/>
          </w:tcPr>
          <w:p w14:paraId="13027AF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tcPr>
          <w:p w14:paraId="2B7474D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分布式文件系统上创建出的单个存储盘，能够被多个虚机同时挂载，实现共享存储功能。</w:t>
            </w:r>
          </w:p>
        </w:tc>
      </w:tr>
      <w:tr w14:paraId="48DB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restart"/>
            <w:vAlign w:val="center"/>
          </w:tcPr>
          <w:p w14:paraId="4F5968F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任务调度</w:t>
            </w:r>
          </w:p>
        </w:tc>
        <w:tc>
          <w:tcPr>
            <w:tcW w:w="8402" w:type="dxa"/>
            <w:vAlign w:val="center"/>
          </w:tcPr>
          <w:p w14:paraId="4862975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提供一个数据驱动的多级流水线并行计算框架，兼容业界主流的多种编程模型。</w:t>
            </w:r>
          </w:p>
        </w:tc>
      </w:tr>
      <w:tr w14:paraId="2D37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vAlign w:val="center"/>
          </w:tcPr>
          <w:p w14:paraId="0629968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20B3862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提供并行任务调度能力，且具备高可扩展性，最高可支持十万以上级的并行任务调度。</w:t>
            </w:r>
          </w:p>
        </w:tc>
      </w:tr>
      <w:tr w14:paraId="6A04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4" w:type="dxa"/>
            <w:vMerge w:val="continue"/>
            <w:vAlign w:val="center"/>
          </w:tcPr>
          <w:p w14:paraId="7BA5173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02" w:type="dxa"/>
            <w:vAlign w:val="center"/>
          </w:tcPr>
          <w:p w14:paraId="62C4BDB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实现自动检测故障和系统热点，重试失败任务，保证作业稳定可靠运行完成。</w:t>
            </w:r>
          </w:p>
        </w:tc>
      </w:tr>
    </w:tbl>
    <w:p w14:paraId="28994935">
      <w:pPr>
        <w:adjustRightInd w:val="0"/>
        <w:snapToGrid w:val="0"/>
        <w:spacing w:line="400" w:lineRule="atLeast"/>
        <w:ind w:firstLine="440" w:firstLineChars="200"/>
        <w:rPr>
          <w:rFonts w:ascii="宋体" w:hAnsi="宋体"/>
          <w:color w:val="auto"/>
          <w:kern w:val="0"/>
          <w:sz w:val="22"/>
          <w:szCs w:val="22"/>
          <w:highlight w:val="none"/>
        </w:rPr>
      </w:pPr>
      <w:bookmarkStart w:id="25" w:name="_Toc10032568"/>
      <w:bookmarkStart w:id="26" w:name="_Toc47481015"/>
      <w:r>
        <w:rPr>
          <w:rFonts w:hint="eastAsia" w:ascii="宋体" w:hAnsi="宋体"/>
          <w:color w:val="auto"/>
          <w:kern w:val="0"/>
          <w:sz w:val="22"/>
          <w:szCs w:val="22"/>
          <w:highlight w:val="none"/>
        </w:rPr>
        <w:t>（4）</w:t>
      </w:r>
      <w:bookmarkEnd w:id="25"/>
      <w:bookmarkEnd w:id="26"/>
      <w:r>
        <w:rPr>
          <w:rFonts w:hint="eastAsia" w:ascii="宋体" w:hAnsi="宋体"/>
          <w:color w:val="auto"/>
          <w:kern w:val="0"/>
          <w:sz w:val="22"/>
          <w:szCs w:val="22"/>
          <w:highlight w:val="none"/>
        </w:rPr>
        <w:t>计算服务</w:t>
      </w:r>
    </w:p>
    <w:tbl>
      <w:tblPr>
        <w:tblStyle w:val="46"/>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8427"/>
      </w:tblGrid>
      <w:tr w14:paraId="4E8C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Align w:val="center"/>
          </w:tcPr>
          <w:p w14:paraId="6594582D">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427" w:type="dxa"/>
            <w:vAlign w:val="center"/>
          </w:tcPr>
          <w:p w14:paraId="53F731BC">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7AD2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49" w:type="dxa"/>
            <w:vMerge w:val="restart"/>
            <w:vAlign w:val="center"/>
          </w:tcPr>
          <w:p w14:paraId="29C7CC1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基本功能</w:t>
            </w:r>
          </w:p>
        </w:tc>
        <w:tc>
          <w:tcPr>
            <w:tcW w:w="8427" w:type="dxa"/>
            <w:vAlign w:val="center"/>
          </w:tcPr>
          <w:p w14:paraId="40591CC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★云主机CPU核数可选范围1-32核， 128G内存、8TB数据盘。（提供截图证明）</w:t>
            </w:r>
          </w:p>
        </w:tc>
      </w:tr>
      <w:tr w14:paraId="48FB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49" w:type="dxa"/>
            <w:vMerge w:val="continue"/>
            <w:vAlign w:val="center"/>
          </w:tcPr>
          <w:p w14:paraId="0761EFD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1C88A25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★互联网出口独享带宽可选范围2-100Mb。（提供截图证明）</w:t>
            </w:r>
          </w:p>
        </w:tc>
      </w:tr>
      <w:tr w14:paraId="673A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49" w:type="dxa"/>
            <w:vMerge w:val="continue"/>
            <w:vAlign w:val="center"/>
          </w:tcPr>
          <w:p w14:paraId="1B3B866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6871F3D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虚拟主机支持主流的WINDOWS、LINUX等操作系统，兼容常见的操作系统。</w:t>
            </w:r>
          </w:p>
        </w:tc>
      </w:tr>
      <w:tr w14:paraId="20B6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restart"/>
            <w:vAlign w:val="center"/>
          </w:tcPr>
          <w:p w14:paraId="16406C7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扩展功能</w:t>
            </w:r>
          </w:p>
        </w:tc>
        <w:tc>
          <w:tcPr>
            <w:tcW w:w="8427" w:type="dxa"/>
            <w:vAlign w:val="center"/>
          </w:tcPr>
          <w:p w14:paraId="600C220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按需开通。根据用户的需求动态的创建和分配计算、存储、网络带宽等资源；用户可以在线按时长购买云主机，并支持任意时刻的续费管理。</w:t>
            </w:r>
          </w:p>
        </w:tc>
      </w:tr>
      <w:tr w14:paraId="3950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vAlign w:val="center"/>
          </w:tcPr>
          <w:p w14:paraId="41DD694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6CE7628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云主机创建。创建后，云主机已包含有操作系统，可立即使用，从创建到启动在5分钟以内。</w:t>
            </w:r>
          </w:p>
        </w:tc>
      </w:tr>
      <w:tr w14:paraId="3939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vAlign w:val="center"/>
          </w:tcPr>
          <w:p w14:paraId="1BD20D3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07CF7AC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云主机升级。当云主机现有配置不满足要求时，用户可自主进行云主机配置快速升级，可升级配置包括：CPU，内存，网络带宽等；配置升级生效时间在10分钟以内。</w:t>
            </w:r>
          </w:p>
        </w:tc>
      </w:tr>
      <w:tr w14:paraId="21E5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vAlign w:val="center"/>
          </w:tcPr>
          <w:p w14:paraId="42D7AEF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66D6F13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云主机克隆。指创建一台跟现有云主机一模一样的机器，根据云主机数据盘的大小整个克隆过程一般在15分钟以内。</w:t>
            </w:r>
          </w:p>
        </w:tc>
      </w:tr>
      <w:tr w14:paraId="4447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vAlign w:val="center"/>
          </w:tcPr>
          <w:p w14:paraId="34703A5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276CD2A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云主机迁移。云平台根据物理主机负载情况综合调度，将云主机在不停机状态下从一台物理主机迁移到另外一台物理主机；在线迁移时，云主机应用完全不中断，用户完全无感知。</w:t>
            </w:r>
          </w:p>
        </w:tc>
      </w:tr>
      <w:tr w14:paraId="6DC7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restart"/>
            <w:vAlign w:val="center"/>
          </w:tcPr>
          <w:p w14:paraId="7FE4120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管理功能</w:t>
            </w:r>
          </w:p>
        </w:tc>
        <w:tc>
          <w:tcPr>
            <w:tcW w:w="8427" w:type="dxa"/>
            <w:vAlign w:val="center"/>
          </w:tcPr>
          <w:p w14:paraId="5570B42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提供用户自服务门户和API接口，用户可自行创建不同规格的虚拟主机，自定义CPU、内存、网络、磁盘等属性。</w:t>
            </w:r>
          </w:p>
        </w:tc>
      </w:tr>
      <w:tr w14:paraId="1F69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continue"/>
            <w:vAlign w:val="center"/>
          </w:tcPr>
          <w:p w14:paraId="72B7845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08E70F0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提供虚拟主机的动态升级、快照备份、性能监测分析、异常告警、日志管理等功能。</w:t>
            </w:r>
          </w:p>
        </w:tc>
      </w:tr>
      <w:tr w14:paraId="20B5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vAlign w:val="center"/>
          </w:tcPr>
          <w:p w14:paraId="03B4C23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46D7546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提供快照和自定义镜像能力，支持对运行或停止状态的虚拟主机生成快照，应提供分钟级别快照回滚功能。</w:t>
            </w:r>
          </w:p>
        </w:tc>
      </w:tr>
      <w:tr w14:paraId="602F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restart"/>
            <w:vAlign w:val="center"/>
          </w:tcPr>
          <w:p w14:paraId="530A987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可靠性</w:t>
            </w:r>
          </w:p>
        </w:tc>
        <w:tc>
          <w:tcPr>
            <w:tcW w:w="8427" w:type="dxa"/>
            <w:vAlign w:val="center"/>
          </w:tcPr>
          <w:p w14:paraId="28883B9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数据备份。云主机数据在云计算平台有三份（含）以上数据拷贝，单份数据损坏对云主机使用没任何影响，且一份数据损坏后，后台系统会自动拷贝，使数据始终保证三重备份。</w:t>
            </w:r>
          </w:p>
        </w:tc>
      </w:tr>
      <w:tr w14:paraId="1E20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continue"/>
            <w:vAlign w:val="center"/>
          </w:tcPr>
          <w:p w14:paraId="0CED5C2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44282E4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磁盘快照。需要提供云主机任一时刻的磁盘快照功能，含快照制作，快照回滚，快照恢复等。</w:t>
            </w:r>
          </w:p>
        </w:tc>
      </w:tr>
      <w:tr w14:paraId="0AF5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vAlign w:val="center"/>
          </w:tcPr>
          <w:p w14:paraId="5A187CB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43DBD2B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故障恢复。云主机发生故障后，切换恢复时间在30分钟以内。</w:t>
            </w:r>
          </w:p>
        </w:tc>
      </w:tr>
      <w:tr w14:paraId="4A07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continue"/>
            <w:vAlign w:val="center"/>
          </w:tcPr>
          <w:p w14:paraId="6528322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579B0DE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虚拟主机服务采用全冗余架构，无单点故障，平均可用性不低于99.9%。</w:t>
            </w:r>
          </w:p>
        </w:tc>
      </w:tr>
      <w:tr w14:paraId="07AF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49" w:type="dxa"/>
            <w:vMerge w:val="restart"/>
            <w:vAlign w:val="center"/>
          </w:tcPr>
          <w:p w14:paraId="3F155ED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安全性</w:t>
            </w:r>
          </w:p>
        </w:tc>
        <w:tc>
          <w:tcPr>
            <w:tcW w:w="8427" w:type="dxa"/>
            <w:vAlign w:val="center"/>
          </w:tcPr>
          <w:p w14:paraId="5B181D7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防ARP欺骗，防DDos攻击，提供流量清洗服务。</w:t>
            </w:r>
          </w:p>
        </w:tc>
      </w:tr>
      <w:tr w14:paraId="3588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vAlign w:val="center"/>
          </w:tcPr>
          <w:p w14:paraId="04171E2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3E8E3B4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用户可自助开通防火墙，并定义防火墙规则。</w:t>
            </w:r>
          </w:p>
        </w:tc>
      </w:tr>
      <w:tr w14:paraId="3416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49" w:type="dxa"/>
            <w:vMerge w:val="continue"/>
            <w:vAlign w:val="center"/>
          </w:tcPr>
          <w:p w14:paraId="093639E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427" w:type="dxa"/>
            <w:vAlign w:val="center"/>
          </w:tcPr>
          <w:p w14:paraId="7AAF9F7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网络隔离。支持两块网卡，不同网卡连接不同网络安全域。</w:t>
            </w:r>
          </w:p>
        </w:tc>
      </w:tr>
    </w:tbl>
    <w:p w14:paraId="576A2601">
      <w:pPr>
        <w:adjustRightInd w:val="0"/>
        <w:snapToGrid w:val="0"/>
        <w:spacing w:line="400" w:lineRule="atLeast"/>
        <w:ind w:firstLine="440" w:firstLineChars="200"/>
        <w:rPr>
          <w:rFonts w:ascii="宋体" w:hAnsi="宋体"/>
          <w:color w:val="auto"/>
          <w:kern w:val="0"/>
          <w:sz w:val="22"/>
          <w:szCs w:val="22"/>
          <w:highlight w:val="none"/>
        </w:rPr>
      </w:pPr>
      <w:bookmarkStart w:id="27" w:name="_Toc47481016"/>
      <w:bookmarkStart w:id="28" w:name="_Toc10032569"/>
      <w:r>
        <w:rPr>
          <w:rFonts w:hint="eastAsia" w:ascii="宋体" w:hAnsi="宋体"/>
          <w:color w:val="auto"/>
          <w:kern w:val="0"/>
          <w:sz w:val="22"/>
          <w:szCs w:val="22"/>
          <w:highlight w:val="none"/>
        </w:rPr>
        <w:t>（5）存储</w:t>
      </w:r>
      <w:bookmarkEnd w:id="27"/>
      <w:bookmarkEnd w:id="28"/>
      <w:r>
        <w:rPr>
          <w:rFonts w:hint="eastAsia" w:ascii="宋体" w:hAnsi="宋体"/>
          <w:color w:val="auto"/>
          <w:kern w:val="0"/>
          <w:sz w:val="22"/>
          <w:szCs w:val="22"/>
          <w:highlight w:val="none"/>
        </w:rPr>
        <w:t>服务</w:t>
      </w:r>
    </w:p>
    <w:tbl>
      <w:tblPr>
        <w:tblStyle w:val="46"/>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363"/>
      </w:tblGrid>
      <w:tr w14:paraId="3766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776" w:type="dxa"/>
            <w:gridSpan w:val="2"/>
            <w:vAlign w:val="center"/>
          </w:tcPr>
          <w:p w14:paraId="69CADF05">
            <w:pPr>
              <w:keepNext w:val="0"/>
              <w:keepLines w:val="0"/>
              <w:suppressLineNumbers w:val="0"/>
              <w:snapToGrid w:val="0"/>
              <w:spacing w:before="0" w:beforeAutospacing="0" w:after="0" w:afterAutospacing="0" w:line="360" w:lineRule="atLeast"/>
              <w:ind w:left="0" w:right="0"/>
              <w:rPr>
                <w:rFonts w:hint="default" w:ascii="宋体" w:hAnsi="宋体" w:cs="宋体"/>
                <w:b/>
                <w:color w:val="auto"/>
                <w:kern w:val="0"/>
                <w:sz w:val="22"/>
                <w:szCs w:val="22"/>
                <w:highlight w:val="none"/>
              </w:rPr>
            </w:pPr>
            <w:r>
              <w:rPr>
                <w:rFonts w:hint="eastAsia" w:ascii="宋体" w:hAnsi="宋体" w:cs="宋体"/>
                <w:b/>
                <w:color w:val="auto"/>
                <w:kern w:val="0"/>
                <w:sz w:val="22"/>
                <w:szCs w:val="22"/>
                <w:highlight w:val="none"/>
              </w:rPr>
              <w:t>1、存储功能要求</w:t>
            </w:r>
          </w:p>
        </w:tc>
      </w:tr>
      <w:tr w14:paraId="58E6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13" w:type="dxa"/>
            <w:vAlign w:val="center"/>
          </w:tcPr>
          <w:p w14:paraId="70DD3C8E">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363" w:type="dxa"/>
            <w:vAlign w:val="center"/>
          </w:tcPr>
          <w:p w14:paraId="34ABA8C9">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08FF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13" w:type="dxa"/>
            <w:vMerge w:val="restart"/>
            <w:vAlign w:val="center"/>
          </w:tcPr>
          <w:p w14:paraId="6A1215E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基本功能</w:t>
            </w:r>
          </w:p>
        </w:tc>
        <w:tc>
          <w:tcPr>
            <w:tcW w:w="8363" w:type="dxa"/>
            <w:vAlign w:val="center"/>
          </w:tcPr>
          <w:p w14:paraId="57EB021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支持海量存储，文件数量无限制，容量按用户需求扩展。</w:t>
            </w:r>
          </w:p>
        </w:tc>
      </w:tr>
      <w:tr w14:paraId="64D2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3" w:type="dxa"/>
            <w:vMerge w:val="continue"/>
            <w:vAlign w:val="center"/>
          </w:tcPr>
          <w:p w14:paraId="284C2FB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6DE1780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采用分布式存储，一份数据在不同的物理服务器上存三份备份。</w:t>
            </w:r>
          </w:p>
        </w:tc>
      </w:tr>
      <w:tr w14:paraId="4E79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13" w:type="dxa"/>
            <w:vMerge w:val="continue"/>
            <w:vAlign w:val="center"/>
          </w:tcPr>
          <w:p w14:paraId="2F0C809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71FE46B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采用分布式存储系统，支持大规模强结构化数据存储，如SQL关系性数据库，单库容量可达1TB。</w:t>
            </w:r>
          </w:p>
        </w:tc>
      </w:tr>
      <w:tr w14:paraId="7E42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vMerge w:val="continue"/>
            <w:vAlign w:val="center"/>
          </w:tcPr>
          <w:p w14:paraId="1A88AA7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62EDC1F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采用分布式存储系统，支持大规模结构、半结构化数据存储，如NOSQL数据库,单表支持的存储空间可达100TB。</w:t>
            </w:r>
          </w:p>
        </w:tc>
      </w:tr>
      <w:tr w14:paraId="5B27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13" w:type="dxa"/>
            <w:vMerge w:val="restart"/>
            <w:vAlign w:val="center"/>
          </w:tcPr>
          <w:p w14:paraId="5A15AA9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扩展功能</w:t>
            </w:r>
          </w:p>
        </w:tc>
        <w:tc>
          <w:tcPr>
            <w:tcW w:w="8363" w:type="dxa"/>
            <w:vAlign w:val="center"/>
          </w:tcPr>
          <w:p w14:paraId="47ABE26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提供存储对象的读、写、删除、拷贝、查找等基本功能。</w:t>
            </w:r>
          </w:p>
        </w:tc>
      </w:tr>
      <w:tr w14:paraId="5BE9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13" w:type="dxa"/>
            <w:vMerge w:val="continue"/>
            <w:vAlign w:val="center"/>
          </w:tcPr>
          <w:p w14:paraId="62FA0C0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45EE2FC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支持大存储对象的分片并发上传和下载，支持断点续传。</w:t>
            </w:r>
          </w:p>
        </w:tc>
      </w:tr>
      <w:tr w14:paraId="3AC0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vMerge w:val="continue"/>
            <w:vAlign w:val="center"/>
          </w:tcPr>
          <w:p w14:paraId="386781B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3D35E11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提供易用的用户Web控制台文件管理界面，与更多第三方工具、插件，满足各种应用需求。</w:t>
            </w:r>
          </w:p>
        </w:tc>
      </w:tr>
      <w:tr w14:paraId="1C4D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13" w:type="dxa"/>
            <w:vMerge w:val="continue"/>
            <w:vAlign w:val="center"/>
          </w:tcPr>
          <w:p w14:paraId="581F9DD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53F744A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提供完整的API接口、SDK开发包、文档说明。</w:t>
            </w:r>
          </w:p>
        </w:tc>
      </w:tr>
      <w:tr w14:paraId="43E5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vAlign w:val="center"/>
          </w:tcPr>
          <w:p w14:paraId="02B9B2D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存储管理</w:t>
            </w:r>
          </w:p>
        </w:tc>
        <w:tc>
          <w:tcPr>
            <w:tcW w:w="8363" w:type="dxa"/>
            <w:vAlign w:val="center"/>
          </w:tcPr>
          <w:p w14:paraId="5AC3A8B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支持将数据以对象方式进行存储，用户可以通过调用API以对象为单位操纵存储的数据，实现在任何应用、任何时间、任何地点上传和下载数据，也可以通过用户Web控制台对数据进行简单的管理。</w:t>
            </w:r>
          </w:p>
        </w:tc>
      </w:tr>
      <w:tr w14:paraId="2F95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13" w:type="dxa"/>
            <w:vAlign w:val="center"/>
          </w:tcPr>
          <w:p w14:paraId="000BBBE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大文件支持</w:t>
            </w:r>
          </w:p>
        </w:tc>
        <w:tc>
          <w:tcPr>
            <w:tcW w:w="8363" w:type="dxa"/>
            <w:vAlign w:val="center"/>
          </w:tcPr>
          <w:p w14:paraId="1878397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支持并配置分段上传大文件，单个分段最大5GB，最大分段数≥5000段。支持断点续传。</w:t>
            </w:r>
          </w:p>
        </w:tc>
      </w:tr>
      <w:tr w14:paraId="5C19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13" w:type="dxa"/>
            <w:vMerge w:val="restart"/>
            <w:vAlign w:val="center"/>
          </w:tcPr>
          <w:p w14:paraId="41C2579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安全性</w:t>
            </w:r>
          </w:p>
        </w:tc>
        <w:tc>
          <w:tcPr>
            <w:tcW w:w="8363" w:type="dxa"/>
            <w:vAlign w:val="center"/>
          </w:tcPr>
          <w:p w14:paraId="332E52C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具备完善的多用户隔离机制，保障用户数据的私密性。</w:t>
            </w:r>
          </w:p>
        </w:tc>
      </w:tr>
      <w:tr w14:paraId="0289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13" w:type="dxa"/>
            <w:vMerge w:val="continue"/>
            <w:vAlign w:val="center"/>
          </w:tcPr>
          <w:p w14:paraId="786AC3E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7A4F953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云服务端提供加密用户身份验证，提供签名权限控制与防盗链功能。</w:t>
            </w:r>
          </w:p>
        </w:tc>
      </w:tr>
      <w:tr w14:paraId="6181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776" w:type="dxa"/>
            <w:gridSpan w:val="2"/>
            <w:vAlign w:val="center"/>
          </w:tcPr>
          <w:p w14:paraId="7AF56560">
            <w:pPr>
              <w:keepNext w:val="0"/>
              <w:keepLines w:val="0"/>
              <w:suppressLineNumbers w:val="0"/>
              <w:snapToGrid w:val="0"/>
              <w:spacing w:before="0" w:beforeAutospacing="0" w:after="0" w:afterAutospacing="0" w:line="360" w:lineRule="atLeast"/>
              <w:ind w:left="0" w:right="0"/>
              <w:rPr>
                <w:rFonts w:hint="default" w:ascii="宋体" w:hAnsi="宋体" w:cs="宋体"/>
                <w:b/>
                <w:color w:val="auto"/>
                <w:kern w:val="0"/>
                <w:sz w:val="22"/>
                <w:szCs w:val="22"/>
                <w:highlight w:val="none"/>
              </w:rPr>
            </w:pPr>
            <w:r>
              <w:rPr>
                <w:rFonts w:hint="eastAsia" w:ascii="宋体" w:hAnsi="宋体" w:cs="宋体"/>
                <w:b/>
                <w:color w:val="auto"/>
                <w:kern w:val="0"/>
                <w:sz w:val="22"/>
                <w:szCs w:val="22"/>
                <w:highlight w:val="none"/>
              </w:rPr>
              <w:t>2、数据盘（含SSD数据盘和高效数据盘）</w:t>
            </w:r>
          </w:p>
        </w:tc>
      </w:tr>
      <w:tr w14:paraId="30C7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413" w:type="dxa"/>
            <w:vAlign w:val="center"/>
          </w:tcPr>
          <w:p w14:paraId="7CA8093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363" w:type="dxa"/>
            <w:vAlign w:val="center"/>
          </w:tcPr>
          <w:p w14:paraId="501F9F8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7F07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13" w:type="dxa"/>
            <w:vMerge w:val="restart"/>
            <w:vAlign w:val="center"/>
          </w:tcPr>
          <w:p w14:paraId="6A5C237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SSD云盘</w:t>
            </w:r>
          </w:p>
        </w:tc>
        <w:tc>
          <w:tcPr>
            <w:tcW w:w="8363" w:type="dxa"/>
            <w:vAlign w:val="center"/>
          </w:tcPr>
          <w:p w14:paraId="1036D95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采用SSD盘做为存储机制，提供稳定的高随机I/O。</w:t>
            </w:r>
          </w:p>
        </w:tc>
      </w:tr>
      <w:tr w14:paraId="17AF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13" w:type="dxa"/>
            <w:vMerge w:val="continue"/>
            <w:vAlign w:val="center"/>
          </w:tcPr>
          <w:p w14:paraId="4801A3F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046A6BA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采用分布式三副本机制，99.9999999%数据可靠性。</w:t>
            </w:r>
          </w:p>
        </w:tc>
      </w:tr>
      <w:tr w14:paraId="3FF5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Merge w:val="continue"/>
            <w:vAlign w:val="center"/>
          </w:tcPr>
          <w:p w14:paraId="6A4AE94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6B6C672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高性能存储，最高提供2万的随机读写IOPS、256MB/s的吞吐能力。</w:t>
            </w:r>
          </w:p>
        </w:tc>
      </w:tr>
      <w:tr w14:paraId="3C48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13" w:type="dxa"/>
            <w:vMerge w:val="continue"/>
            <w:vAlign w:val="center"/>
          </w:tcPr>
          <w:p w14:paraId="2556FA3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3E9E8B8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单独挂载:SSD云盘支持挂载到相同区内的任意ECS实例上。</w:t>
            </w:r>
          </w:p>
        </w:tc>
      </w:tr>
      <w:tr w14:paraId="36D3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13" w:type="dxa"/>
            <w:vMerge w:val="restart"/>
            <w:vAlign w:val="center"/>
          </w:tcPr>
          <w:p w14:paraId="539081C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高效云盘</w:t>
            </w:r>
          </w:p>
        </w:tc>
        <w:tc>
          <w:tcPr>
            <w:tcW w:w="8363" w:type="dxa"/>
            <w:vAlign w:val="center"/>
          </w:tcPr>
          <w:p w14:paraId="1A3CB99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采用固态硬盘与机械硬盘的混合基质作为存储机制。</w:t>
            </w:r>
          </w:p>
        </w:tc>
      </w:tr>
      <w:tr w14:paraId="32E0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3" w:type="dxa"/>
            <w:vMerge w:val="continue"/>
            <w:vAlign w:val="center"/>
          </w:tcPr>
          <w:p w14:paraId="6D9D9F7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4F347CD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采用分布式三副本机制，99.9999999%数据可靠性。</w:t>
            </w:r>
          </w:p>
        </w:tc>
      </w:tr>
      <w:tr w14:paraId="5560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13" w:type="dxa"/>
            <w:vMerge w:val="continue"/>
            <w:vAlign w:val="center"/>
          </w:tcPr>
          <w:p w14:paraId="2358B55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72180FB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单独挂载:高效云盘支持挂载到相同区内的任意ECS实例上。</w:t>
            </w:r>
          </w:p>
        </w:tc>
      </w:tr>
      <w:tr w14:paraId="080D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13" w:type="dxa"/>
            <w:vMerge w:val="continue"/>
            <w:vAlign w:val="center"/>
          </w:tcPr>
          <w:p w14:paraId="1229C8B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363" w:type="dxa"/>
            <w:vAlign w:val="center"/>
          </w:tcPr>
          <w:p w14:paraId="600AD7C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最高提供3000的随机读写IOPS、80MB/s的吞吐能力。</w:t>
            </w:r>
          </w:p>
        </w:tc>
      </w:tr>
    </w:tbl>
    <w:p w14:paraId="2D267EE4">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（6）网络服务</w:t>
      </w:r>
    </w:p>
    <w:tbl>
      <w:tblPr>
        <w:tblStyle w:val="46"/>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8171"/>
      </w:tblGrid>
      <w:tr w14:paraId="3786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5" w:type="dxa"/>
            <w:tcBorders>
              <w:top w:val="single" w:color="auto" w:sz="4" w:space="0"/>
              <w:left w:val="single" w:color="auto" w:sz="4" w:space="0"/>
              <w:bottom w:val="single" w:color="auto" w:sz="4" w:space="0"/>
              <w:right w:val="single" w:color="auto" w:sz="4" w:space="0"/>
            </w:tcBorders>
            <w:noWrap/>
            <w:vAlign w:val="center"/>
          </w:tcPr>
          <w:p w14:paraId="4D90F6C7">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171" w:type="dxa"/>
            <w:tcBorders>
              <w:top w:val="single" w:color="auto" w:sz="4" w:space="0"/>
              <w:left w:val="single" w:color="auto" w:sz="4" w:space="0"/>
              <w:bottom w:val="single" w:color="auto" w:sz="4" w:space="0"/>
              <w:right w:val="single" w:color="auto" w:sz="4" w:space="0"/>
            </w:tcBorders>
            <w:noWrap/>
            <w:vAlign w:val="center"/>
          </w:tcPr>
          <w:p w14:paraId="22C7CD45">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785C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05" w:type="dxa"/>
            <w:tcBorders>
              <w:top w:val="single" w:color="auto" w:sz="4" w:space="0"/>
              <w:left w:val="single" w:color="auto" w:sz="4" w:space="0"/>
              <w:bottom w:val="single" w:color="auto" w:sz="4" w:space="0"/>
              <w:right w:val="single" w:color="auto" w:sz="4" w:space="0"/>
            </w:tcBorders>
            <w:noWrap/>
            <w:vAlign w:val="center"/>
          </w:tcPr>
          <w:p w14:paraId="4EF24DBF">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安全稳定</w:t>
            </w:r>
          </w:p>
        </w:tc>
        <w:tc>
          <w:tcPr>
            <w:tcW w:w="8171" w:type="dxa"/>
            <w:tcBorders>
              <w:top w:val="single" w:color="auto" w:sz="4" w:space="0"/>
              <w:left w:val="single" w:color="auto" w:sz="4" w:space="0"/>
              <w:bottom w:val="single" w:color="auto" w:sz="4" w:space="0"/>
              <w:right w:val="single" w:color="auto" w:sz="4" w:space="0"/>
            </w:tcBorders>
            <w:noWrap/>
            <w:vAlign w:val="center"/>
          </w:tcPr>
          <w:p w14:paraId="05CE45F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采用分布式结构，具有高度的冗余和可靠性，可根据系统负载弹性扩容。</w:t>
            </w:r>
          </w:p>
        </w:tc>
      </w:tr>
      <w:tr w14:paraId="1374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5" w:type="dxa"/>
            <w:tcBorders>
              <w:top w:val="single" w:color="auto" w:sz="4" w:space="0"/>
              <w:left w:val="single" w:color="auto" w:sz="4" w:space="0"/>
              <w:bottom w:val="single" w:color="auto" w:sz="4" w:space="0"/>
              <w:right w:val="single" w:color="auto" w:sz="4" w:space="0"/>
            </w:tcBorders>
            <w:noWrap/>
            <w:vAlign w:val="center"/>
          </w:tcPr>
          <w:p w14:paraId="751619DC">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透明接入</w:t>
            </w:r>
          </w:p>
        </w:tc>
        <w:tc>
          <w:tcPr>
            <w:tcW w:w="8171" w:type="dxa"/>
            <w:tcBorders>
              <w:top w:val="single" w:color="auto" w:sz="4" w:space="0"/>
              <w:left w:val="single" w:color="auto" w:sz="4" w:space="0"/>
              <w:bottom w:val="single" w:color="auto" w:sz="4" w:space="0"/>
              <w:right w:val="single" w:color="auto" w:sz="4" w:space="0"/>
            </w:tcBorders>
            <w:noWrap/>
            <w:vAlign w:val="center"/>
          </w:tcPr>
          <w:p w14:paraId="5091506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提供4层和7层的负载均衡；Web和中间件服务器，无需更改配置即可透明接入。</w:t>
            </w:r>
          </w:p>
        </w:tc>
      </w:tr>
      <w:tr w14:paraId="5C06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05" w:type="dxa"/>
            <w:tcBorders>
              <w:top w:val="single" w:color="auto" w:sz="4" w:space="0"/>
              <w:left w:val="single" w:color="auto" w:sz="4" w:space="0"/>
              <w:bottom w:val="single" w:color="auto" w:sz="4" w:space="0"/>
              <w:right w:val="single" w:color="auto" w:sz="4" w:space="0"/>
            </w:tcBorders>
            <w:noWrap/>
            <w:vAlign w:val="center"/>
          </w:tcPr>
          <w:p w14:paraId="371BD2E2">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健康检查</w:t>
            </w:r>
          </w:p>
        </w:tc>
        <w:tc>
          <w:tcPr>
            <w:tcW w:w="8171" w:type="dxa"/>
            <w:tcBorders>
              <w:top w:val="single" w:color="auto" w:sz="4" w:space="0"/>
              <w:left w:val="single" w:color="auto" w:sz="4" w:space="0"/>
              <w:bottom w:val="single" w:color="auto" w:sz="4" w:space="0"/>
              <w:right w:val="single" w:color="auto" w:sz="4" w:space="0"/>
            </w:tcBorders>
            <w:noWrap/>
            <w:vAlign w:val="center"/>
          </w:tcPr>
          <w:p w14:paraId="2610635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可以按照指定规则进行健康检查，自动隔离异常状态云主机，并迅速将服务切换，服务切换时间秒级。</w:t>
            </w:r>
          </w:p>
        </w:tc>
      </w:tr>
      <w:tr w14:paraId="4545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05" w:type="dxa"/>
            <w:tcBorders>
              <w:top w:val="single" w:color="auto" w:sz="4" w:space="0"/>
              <w:left w:val="single" w:color="auto" w:sz="4" w:space="0"/>
              <w:bottom w:val="single" w:color="auto" w:sz="4" w:space="0"/>
              <w:right w:val="single" w:color="auto" w:sz="4" w:space="0"/>
            </w:tcBorders>
            <w:noWrap/>
            <w:vAlign w:val="center"/>
          </w:tcPr>
          <w:p w14:paraId="5DAA8A7F">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会话保持</w:t>
            </w:r>
          </w:p>
        </w:tc>
        <w:tc>
          <w:tcPr>
            <w:tcW w:w="8171" w:type="dxa"/>
            <w:tcBorders>
              <w:top w:val="single" w:color="auto" w:sz="4" w:space="0"/>
              <w:left w:val="single" w:color="auto" w:sz="4" w:space="0"/>
              <w:bottom w:val="single" w:color="auto" w:sz="4" w:space="0"/>
              <w:right w:val="single" w:color="auto" w:sz="4" w:space="0"/>
            </w:tcBorders>
            <w:noWrap/>
            <w:vAlign w:val="center"/>
          </w:tcPr>
          <w:p w14:paraId="282B355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可以将用户和后台服务器绑定到同一会话，确保会话不中断。其中4层负载均衡可以设置连接持久时间。</w:t>
            </w:r>
          </w:p>
        </w:tc>
      </w:tr>
      <w:tr w14:paraId="0DA0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5" w:type="dxa"/>
            <w:tcBorders>
              <w:top w:val="single" w:color="auto" w:sz="4" w:space="0"/>
              <w:left w:val="single" w:color="auto" w:sz="4" w:space="0"/>
              <w:bottom w:val="single" w:color="auto" w:sz="4" w:space="0"/>
              <w:right w:val="single" w:color="auto" w:sz="4" w:space="0"/>
            </w:tcBorders>
            <w:noWrap/>
            <w:vAlign w:val="center"/>
          </w:tcPr>
          <w:p w14:paraId="4D15D4EB">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权重转发</w:t>
            </w:r>
          </w:p>
        </w:tc>
        <w:tc>
          <w:tcPr>
            <w:tcW w:w="8171" w:type="dxa"/>
            <w:tcBorders>
              <w:top w:val="single" w:color="auto" w:sz="4" w:space="0"/>
              <w:left w:val="single" w:color="auto" w:sz="4" w:space="0"/>
              <w:bottom w:val="single" w:color="auto" w:sz="4" w:space="0"/>
              <w:right w:val="single" w:color="auto" w:sz="4" w:space="0"/>
            </w:tcBorders>
            <w:noWrap/>
            <w:vAlign w:val="center"/>
          </w:tcPr>
          <w:p w14:paraId="4F3B771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★可根据后台云服务器的性能设置不同的转发权重，权重支持轮询，最小连接数转发等方式。（提供截图证明）</w:t>
            </w:r>
          </w:p>
        </w:tc>
      </w:tr>
      <w:tr w14:paraId="52BD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tcBorders>
              <w:top w:val="single" w:color="auto" w:sz="4" w:space="0"/>
              <w:left w:val="single" w:color="auto" w:sz="4" w:space="0"/>
              <w:bottom w:val="single" w:color="auto" w:sz="4" w:space="0"/>
              <w:right w:val="single" w:color="auto" w:sz="4" w:space="0"/>
            </w:tcBorders>
            <w:noWrap/>
            <w:vAlign w:val="center"/>
          </w:tcPr>
          <w:p w14:paraId="5D4F917F">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易用简单</w:t>
            </w:r>
          </w:p>
        </w:tc>
        <w:tc>
          <w:tcPr>
            <w:tcW w:w="8171" w:type="dxa"/>
            <w:tcBorders>
              <w:top w:val="single" w:color="auto" w:sz="4" w:space="0"/>
              <w:left w:val="single" w:color="auto" w:sz="4" w:space="0"/>
              <w:bottom w:val="single" w:color="auto" w:sz="4" w:space="0"/>
              <w:right w:val="single" w:color="auto" w:sz="4" w:space="0"/>
            </w:tcBorders>
            <w:noWrap/>
            <w:vAlign w:val="center"/>
          </w:tcPr>
          <w:p w14:paraId="3BE0940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提供API或控制台调用方式，可以随时开启，关闭负载均衡，立即生效，灵活简单。</w:t>
            </w:r>
          </w:p>
        </w:tc>
      </w:tr>
      <w:tr w14:paraId="0795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tcBorders>
              <w:top w:val="single" w:color="auto" w:sz="4" w:space="0"/>
              <w:left w:val="single" w:color="auto" w:sz="4" w:space="0"/>
              <w:bottom w:val="single" w:color="auto" w:sz="4" w:space="0"/>
              <w:right w:val="single" w:color="auto" w:sz="4" w:space="0"/>
            </w:tcBorders>
            <w:noWrap/>
            <w:vAlign w:val="center"/>
          </w:tcPr>
          <w:p w14:paraId="496082FD">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按需计费</w:t>
            </w:r>
          </w:p>
        </w:tc>
        <w:tc>
          <w:tcPr>
            <w:tcW w:w="8171" w:type="dxa"/>
            <w:tcBorders>
              <w:top w:val="single" w:color="auto" w:sz="4" w:space="0"/>
              <w:left w:val="single" w:color="auto" w:sz="4" w:space="0"/>
              <w:bottom w:val="single" w:color="auto" w:sz="4" w:space="0"/>
              <w:right w:val="single" w:color="auto" w:sz="4" w:space="0"/>
            </w:tcBorders>
            <w:noWrap/>
            <w:vAlign w:val="center"/>
          </w:tcPr>
          <w:p w14:paraId="1724FEF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支持按流量、使用时间进行计费。</w:t>
            </w:r>
          </w:p>
        </w:tc>
      </w:tr>
    </w:tbl>
    <w:p w14:paraId="6ADDEFF1">
      <w:pPr>
        <w:adjustRightInd w:val="0"/>
        <w:snapToGrid w:val="0"/>
        <w:spacing w:line="400" w:lineRule="atLeast"/>
        <w:rPr>
          <w:rFonts w:ascii="宋体" w:hAnsi="宋体"/>
          <w:b/>
          <w:color w:val="auto"/>
          <w:kern w:val="0"/>
          <w:sz w:val="22"/>
          <w:szCs w:val="22"/>
          <w:highlight w:val="none"/>
        </w:rPr>
      </w:pPr>
      <w:bookmarkStart w:id="29" w:name="_Toc10032573"/>
      <w:bookmarkStart w:id="30" w:name="_Toc47481020"/>
      <w:r>
        <w:rPr>
          <w:rFonts w:hint="eastAsia" w:ascii="宋体" w:hAnsi="宋体"/>
          <w:b/>
          <w:color w:val="auto"/>
          <w:kern w:val="0"/>
          <w:sz w:val="22"/>
          <w:szCs w:val="22"/>
          <w:highlight w:val="none"/>
        </w:rPr>
        <w:t>（五）平台服务</w:t>
      </w:r>
      <w:bookmarkEnd w:id="29"/>
      <w:bookmarkEnd w:id="30"/>
      <w:r>
        <w:rPr>
          <w:rFonts w:hint="eastAsia" w:ascii="宋体" w:hAnsi="宋体"/>
          <w:b/>
          <w:color w:val="auto"/>
          <w:kern w:val="0"/>
          <w:sz w:val="22"/>
          <w:szCs w:val="22"/>
          <w:highlight w:val="none"/>
        </w:rPr>
        <w:t>（PaaS）</w:t>
      </w:r>
    </w:p>
    <w:p w14:paraId="09F9AEDD">
      <w:pPr>
        <w:adjustRightInd w:val="0"/>
        <w:snapToGrid w:val="0"/>
        <w:spacing w:line="400" w:lineRule="atLeast"/>
        <w:ind w:firstLine="440" w:firstLineChars="200"/>
        <w:rPr>
          <w:rFonts w:ascii="宋体" w:hAnsi="宋体"/>
          <w:color w:val="auto"/>
          <w:kern w:val="0"/>
          <w:sz w:val="22"/>
          <w:szCs w:val="22"/>
          <w:highlight w:val="none"/>
        </w:rPr>
      </w:pPr>
      <w:bookmarkStart w:id="31" w:name="_Toc10032570"/>
      <w:bookmarkStart w:id="32" w:name="_Toc47481017"/>
      <w:bookmarkStart w:id="33" w:name="_Toc456191809"/>
      <w:r>
        <w:rPr>
          <w:rFonts w:hint="eastAsia" w:ascii="宋体" w:hAnsi="宋体"/>
          <w:color w:val="auto"/>
          <w:kern w:val="0"/>
          <w:sz w:val="22"/>
          <w:szCs w:val="22"/>
          <w:highlight w:val="none"/>
        </w:rPr>
        <w:t>（1）云数据库</w:t>
      </w:r>
      <w:bookmarkEnd w:id="31"/>
      <w:bookmarkEnd w:id="32"/>
    </w:p>
    <w:tbl>
      <w:tblPr>
        <w:tblStyle w:val="46"/>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8138"/>
      </w:tblGrid>
      <w:tr w14:paraId="042A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38" w:type="dxa"/>
            <w:vAlign w:val="center"/>
          </w:tcPr>
          <w:p w14:paraId="0931FBB3">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138" w:type="dxa"/>
            <w:vAlign w:val="center"/>
          </w:tcPr>
          <w:p w14:paraId="1DBFC88D">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1BE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638" w:type="dxa"/>
            <w:vMerge w:val="restart"/>
            <w:vAlign w:val="center"/>
          </w:tcPr>
          <w:p w14:paraId="509A37F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基本功能</w:t>
            </w:r>
          </w:p>
        </w:tc>
        <w:tc>
          <w:tcPr>
            <w:tcW w:w="8138" w:type="dxa"/>
            <w:vAlign w:val="center"/>
          </w:tcPr>
          <w:p w14:paraId="026FE2E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基于高效的调度、备份、HA控制、在线迁移以及监控系统，为用户提供为专业的云数据库服务。</w:t>
            </w:r>
          </w:p>
        </w:tc>
      </w:tr>
      <w:tr w14:paraId="4106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7DB69DB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5E7968B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支持关系型数据库的基本功能，并进行优化服务。</w:t>
            </w:r>
          </w:p>
        </w:tc>
      </w:tr>
      <w:tr w14:paraId="3EAD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1A3E526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451614A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★云平台提供MsSqlserver、Mysql主流关系型数据库服务；云主机上可安装Oracle数据库。（提供截图证明）</w:t>
            </w:r>
          </w:p>
        </w:tc>
      </w:tr>
      <w:tr w14:paraId="5DCF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01A504B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75B67F8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单数据库实例内存可达24G，IOPS可达12000次，并发连接数可达2000。</w:t>
            </w:r>
          </w:p>
        </w:tc>
      </w:tr>
      <w:tr w14:paraId="5112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2A4D6C7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27C5DC0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MsSqlserver单数据库实例可创建的数据库数量达20个，用户数达20个。</w:t>
            </w:r>
          </w:p>
        </w:tc>
      </w:tr>
      <w:tr w14:paraId="682F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454FA18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5FD503C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Mysql单数据库实例可创建的数据库数量达200个，用户数达50个。</w:t>
            </w:r>
          </w:p>
        </w:tc>
      </w:tr>
      <w:tr w14:paraId="1D1C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01177A6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491ED4B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每份数据都保留两份并可实时切换。</w:t>
            </w:r>
          </w:p>
        </w:tc>
      </w:tr>
      <w:tr w14:paraId="0A87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68ACB5E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160ADE7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支持数据库在线升级、云内动态迁移、故障自动切换，实现业务秒级无缝切换，不中断用户服务。</w:t>
            </w:r>
          </w:p>
        </w:tc>
      </w:tr>
      <w:tr w14:paraId="77D3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0AD6779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tcPr>
          <w:p w14:paraId="559F820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自动多重备份数据库，支持从备份文件创建临时实例，支持从备份文件恢复到实例，可下载备份文件。</w:t>
            </w:r>
          </w:p>
        </w:tc>
      </w:tr>
      <w:tr w14:paraId="7859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38" w:type="dxa"/>
            <w:vMerge w:val="restart"/>
            <w:vAlign w:val="center"/>
          </w:tcPr>
          <w:p w14:paraId="6638948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扩展功能</w:t>
            </w:r>
          </w:p>
        </w:tc>
        <w:tc>
          <w:tcPr>
            <w:tcW w:w="8138" w:type="dxa"/>
            <w:vAlign w:val="center"/>
          </w:tcPr>
          <w:p w14:paraId="4850439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按需开通，即开即用，按需计费，为用户提供方便的Web管理界面。</w:t>
            </w:r>
          </w:p>
        </w:tc>
      </w:tr>
      <w:tr w14:paraId="3591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636F2D4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47C4E1D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随着用户数和访问量的变化，可以弹性的调整数据库的规格，包含内存、连接数、IOPS、存储容量等，调整时服务不间断。</w:t>
            </w:r>
          </w:p>
        </w:tc>
      </w:tr>
      <w:tr w14:paraId="07FC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22E84DF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461A7DA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提供数据导入、导出工具，方便用户进行数据迁移。</w:t>
            </w:r>
          </w:p>
        </w:tc>
      </w:tr>
      <w:tr w14:paraId="31BB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2831DF1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44D7264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提供完整的API接口、SDK开发包、文档说明。</w:t>
            </w:r>
          </w:p>
        </w:tc>
      </w:tr>
      <w:tr w14:paraId="1AFF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4185504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78858FE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提供日志记录功能，包括错误日志、操作日志、访问日志等，可追查访问来源以及进行多维度的统计分析。</w:t>
            </w:r>
          </w:p>
        </w:tc>
      </w:tr>
      <w:tr w14:paraId="4C60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38" w:type="dxa"/>
            <w:vMerge w:val="restart"/>
            <w:vAlign w:val="center"/>
          </w:tcPr>
          <w:p w14:paraId="0AD241C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安全性</w:t>
            </w:r>
          </w:p>
        </w:tc>
        <w:tc>
          <w:tcPr>
            <w:tcW w:w="8138" w:type="dxa"/>
            <w:vAlign w:val="center"/>
          </w:tcPr>
          <w:p w14:paraId="14F360F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支持IP授权访问。</w:t>
            </w:r>
          </w:p>
        </w:tc>
      </w:tr>
      <w:tr w14:paraId="6B58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160A530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1C025D4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云服务端提供加密用户身份验证，提供不同的访问权限控制。</w:t>
            </w:r>
          </w:p>
        </w:tc>
      </w:tr>
      <w:tr w14:paraId="05ED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38" w:type="dxa"/>
            <w:vMerge w:val="continue"/>
            <w:vAlign w:val="center"/>
          </w:tcPr>
          <w:p w14:paraId="7705D1C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138" w:type="dxa"/>
            <w:vAlign w:val="center"/>
          </w:tcPr>
          <w:p w14:paraId="62119CF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提供数据库存储加密服务。</w:t>
            </w:r>
          </w:p>
        </w:tc>
      </w:tr>
    </w:tbl>
    <w:p w14:paraId="40DB074D">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（2）高性能数据库</w:t>
      </w:r>
    </w:p>
    <w:p w14:paraId="0C14F069">
      <w:pPr>
        <w:widowControl/>
        <w:spacing w:line="400" w:lineRule="atLeast"/>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供应商的高性能数据库平台软件需要兼容基于成熟、大规模商用、安全的云平台，有成功应用案例，主要为Oracle、MySQL等数据库提供专用、高性能、高可靠、高扩展的数据库云平台。同时，考虑到后期平台的扩展性和可持续性要求，对国产化软硬件等方面均需具备兼容性。本项目对高性能数据库平台的总体要求如下所示：</w:t>
      </w:r>
    </w:p>
    <w:tbl>
      <w:tblPr>
        <w:tblStyle w:val="46"/>
        <w:tblW w:w="9781" w:type="dxa"/>
        <w:tblInd w:w="108" w:type="dxa"/>
        <w:tblLayout w:type="fixed"/>
        <w:tblCellMar>
          <w:top w:w="0" w:type="dxa"/>
          <w:left w:w="108" w:type="dxa"/>
          <w:bottom w:w="0" w:type="dxa"/>
          <w:right w:w="108" w:type="dxa"/>
        </w:tblCellMar>
      </w:tblPr>
      <w:tblGrid>
        <w:gridCol w:w="851"/>
        <w:gridCol w:w="1446"/>
        <w:gridCol w:w="8"/>
        <w:gridCol w:w="7476"/>
      </w:tblGrid>
      <w:tr w14:paraId="3014C0E2">
        <w:tblPrEx>
          <w:tblCellMar>
            <w:top w:w="0" w:type="dxa"/>
            <w:left w:w="108" w:type="dxa"/>
            <w:bottom w:w="0" w:type="dxa"/>
            <w:right w:w="108" w:type="dxa"/>
          </w:tblCellMar>
        </w:tblPrEx>
        <w:trPr>
          <w:trHeight w:val="431" w:hRule="atLeast"/>
        </w:trPr>
        <w:tc>
          <w:tcPr>
            <w:tcW w:w="2305" w:type="dxa"/>
            <w:gridSpan w:val="3"/>
            <w:tcBorders>
              <w:top w:val="single" w:color="auto" w:sz="4" w:space="0"/>
              <w:left w:val="single" w:color="auto" w:sz="4" w:space="0"/>
              <w:bottom w:val="single" w:color="auto" w:sz="4" w:space="0"/>
              <w:right w:val="single" w:color="auto" w:sz="4" w:space="0"/>
            </w:tcBorders>
            <w:noWrap/>
            <w:vAlign w:val="center"/>
          </w:tcPr>
          <w:p w14:paraId="2E520887">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7476" w:type="dxa"/>
            <w:tcBorders>
              <w:top w:val="single" w:color="auto" w:sz="4" w:space="0"/>
              <w:left w:val="nil"/>
              <w:bottom w:val="single" w:color="auto" w:sz="4" w:space="0"/>
              <w:right w:val="single" w:color="auto" w:sz="4" w:space="0"/>
            </w:tcBorders>
            <w:vAlign w:val="center"/>
          </w:tcPr>
          <w:p w14:paraId="6A7CA81F">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6F4B32C5">
        <w:tblPrEx>
          <w:tblCellMar>
            <w:top w:w="0" w:type="dxa"/>
            <w:left w:w="108" w:type="dxa"/>
            <w:bottom w:w="0" w:type="dxa"/>
            <w:right w:w="108" w:type="dxa"/>
          </w:tblCellMar>
        </w:tblPrEx>
        <w:trPr>
          <w:trHeight w:val="850"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14:paraId="140BF16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整体要求</w:t>
            </w:r>
          </w:p>
        </w:tc>
        <w:tc>
          <w:tcPr>
            <w:tcW w:w="1446" w:type="dxa"/>
            <w:vMerge w:val="restart"/>
            <w:tcBorders>
              <w:top w:val="single" w:color="auto" w:sz="4" w:space="0"/>
              <w:left w:val="nil"/>
              <w:right w:val="single" w:color="auto" w:sz="4" w:space="0"/>
            </w:tcBorders>
            <w:vAlign w:val="center"/>
          </w:tcPr>
          <w:p w14:paraId="13AF597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数据库支持</w:t>
            </w:r>
          </w:p>
        </w:tc>
        <w:tc>
          <w:tcPr>
            <w:tcW w:w="7484" w:type="dxa"/>
            <w:gridSpan w:val="2"/>
            <w:tcBorders>
              <w:top w:val="single" w:color="auto" w:sz="4" w:space="0"/>
              <w:left w:val="nil"/>
              <w:bottom w:val="single" w:color="auto" w:sz="4" w:space="0"/>
              <w:right w:val="single" w:color="auto" w:sz="4" w:space="0"/>
            </w:tcBorders>
            <w:vAlign w:val="center"/>
          </w:tcPr>
          <w:p w14:paraId="10E5527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★支持多种数据库，包括但不限于Oracle、MySQL，PostgreSQL等（提供截图或证明）。</w:t>
            </w:r>
          </w:p>
        </w:tc>
      </w:tr>
      <w:tr w14:paraId="2111D0A8">
        <w:tblPrEx>
          <w:tblCellMar>
            <w:top w:w="0" w:type="dxa"/>
            <w:left w:w="108" w:type="dxa"/>
            <w:bottom w:w="0" w:type="dxa"/>
            <w:right w:w="108" w:type="dxa"/>
          </w:tblCellMar>
        </w:tblPrEx>
        <w:trPr>
          <w:trHeight w:val="46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213E5D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nil"/>
              <w:bottom w:val="single" w:color="auto" w:sz="4" w:space="0"/>
              <w:right w:val="single" w:color="auto" w:sz="4" w:space="0"/>
            </w:tcBorders>
            <w:vAlign w:val="center"/>
          </w:tcPr>
          <w:p w14:paraId="46BE148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34E9D1E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支持3种以上国产数据库，如达梦、Gbase。</w:t>
            </w:r>
          </w:p>
        </w:tc>
      </w:tr>
      <w:tr w14:paraId="181AA88F">
        <w:tblPrEx>
          <w:tblCellMar>
            <w:top w:w="0" w:type="dxa"/>
            <w:left w:w="108" w:type="dxa"/>
            <w:bottom w:w="0" w:type="dxa"/>
            <w:right w:w="108" w:type="dxa"/>
          </w:tblCellMar>
        </w:tblPrEx>
        <w:trPr>
          <w:trHeight w:val="48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89C0FE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restart"/>
            <w:tcBorders>
              <w:top w:val="single" w:color="auto" w:sz="4" w:space="0"/>
              <w:left w:val="single" w:color="auto" w:sz="4" w:space="0"/>
              <w:bottom w:val="single" w:color="auto" w:sz="4" w:space="0"/>
              <w:right w:val="single" w:color="auto" w:sz="4" w:space="0"/>
            </w:tcBorders>
            <w:vAlign w:val="center"/>
          </w:tcPr>
          <w:p w14:paraId="7951170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网络协议</w:t>
            </w:r>
          </w:p>
        </w:tc>
        <w:tc>
          <w:tcPr>
            <w:tcW w:w="7484" w:type="dxa"/>
            <w:gridSpan w:val="2"/>
            <w:tcBorders>
              <w:top w:val="single" w:color="auto" w:sz="4" w:space="0"/>
              <w:left w:val="nil"/>
              <w:bottom w:val="single" w:color="auto" w:sz="4" w:space="0"/>
              <w:right w:val="single" w:color="auto" w:sz="4" w:space="0"/>
            </w:tcBorders>
            <w:vAlign w:val="center"/>
          </w:tcPr>
          <w:p w14:paraId="39976A6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支持基于NVMe Over Fabrics的RDMA协议，并能运行在Mellanox Infiniband和Intel OPA上。</w:t>
            </w:r>
          </w:p>
        </w:tc>
      </w:tr>
      <w:tr w14:paraId="37F42295">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8A3232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0CF8D51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11ED318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内部互联网络能够支持Mellanox Infiniband网络和ROCE网络。</w:t>
            </w:r>
          </w:p>
        </w:tc>
      </w:tr>
      <w:tr w14:paraId="6A45A442">
        <w:tblPrEx>
          <w:tblCellMar>
            <w:top w:w="0" w:type="dxa"/>
            <w:left w:w="108" w:type="dxa"/>
            <w:bottom w:w="0" w:type="dxa"/>
            <w:right w:w="108" w:type="dxa"/>
          </w:tblCellMar>
        </w:tblPrEx>
        <w:trPr>
          <w:trHeight w:val="810" w:hRule="atLeast"/>
        </w:trPr>
        <w:tc>
          <w:tcPr>
            <w:tcW w:w="851" w:type="dxa"/>
            <w:vMerge w:val="restart"/>
            <w:tcBorders>
              <w:top w:val="single" w:color="auto" w:sz="4" w:space="0"/>
              <w:left w:val="single" w:color="auto" w:sz="4" w:space="0"/>
              <w:bottom w:val="single" w:color="auto" w:sz="4" w:space="0"/>
              <w:right w:val="single" w:color="auto" w:sz="4" w:space="0"/>
            </w:tcBorders>
            <w:noWrap/>
            <w:vAlign w:val="center"/>
          </w:tcPr>
          <w:p w14:paraId="361B729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存储软件要求</w:t>
            </w:r>
          </w:p>
        </w:tc>
        <w:tc>
          <w:tcPr>
            <w:tcW w:w="1446" w:type="dxa"/>
            <w:vMerge w:val="restart"/>
            <w:tcBorders>
              <w:top w:val="single" w:color="auto" w:sz="4" w:space="0"/>
              <w:left w:val="nil"/>
              <w:right w:val="single" w:color="auto" w:sz="4" w:space="0"/>
            </w:tcBorders>
            <w:vAlign w:val="center"/>
          </w:tcPr>
          <w:p w14:paraId="6A6E577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存储资源管理</w:t>
            </w:r>
          </w:p>
        </w:tc>
        <w:tc>
          <w:tcPr>
            <w:tcW w:w="7484" w:type="dxa"/>
            <w:gridSpan w:val="2"/>
            <w:tcBorders>
              <w:top w:val="single" w:color="auto" w:sz="4" w:space="0"/>
              <w:left w:val="nil"/>
              <w:bottom w:val="single" w:color="auto" w:sz="4" w:space="0"/>
              <w:right w:val="single" w:color="auto" w:sz="4" w:space="0"/>
            </w:tcBorders>
            <w:vAlign w:val="center"/>
          </w:tcPr>
          <w:p w14:paraId="07806FA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★支持对存储卷的快照、克隆、自动精简配置、Qos等功能。（提供截图证明）</w:t>
            </w:r>
          </w:p>
        </w:tc>
      </w:tr>
      <w:tr w14:paraId="6C66FD98">
        <w:tblPrEx>
          <w:tblCellMar>
            <w:top w:w="0" w:type="dxa"/>
            <w:left w:w="108" w:type="dxa"/>
            <w:bottom w:w="0" w:type="dxa"/>
            <w:right w:w="108" w:type="dxa"/>
          </w:tblCellMar>
        </w:tblPrEx>
        <w:trPr>
          <w:trHeight w:val="725" w:hRule="atLeast"/>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14:paraId="738F14D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nil"/>
              <w:bottom w:val="single" w:color="auto" w:sz="4" w:space="0"/>
              <w:right w:val="single" w:color="auto" w:sz="4" w:space="0"/>
            </w:tcBorders>
            <w:vAlign w:val="center"/>
          </w:tcPr>
          <w:p w14:paraId="39E75FA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72ECCDE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分布式存储支持一键更换存储磁盘功能；存储日志一键收集功能；存储软件一键扩容功能。</w:t>
            </w:r>
          </w:p>
        </w:tc>
      </w:tr>
      <w:tr w14:paraId="0A6746EC">
        <w:tblPrEx>
          <w:tblCellMar>
            <w:top w:w="0" w:type="dxa"/>
            <w:left w:w="108" w:type="dxa"/>
            <w:bottom w:w="0" w:type="dxa"/>
            <w:right w:w="108" w:type="dxa"/>
          </w:tblCellMar>
        </w:tblPrEx>
        <w:trPr>
          <w:trHeight w:val="54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C815E7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restart"/>
            <w:tcBorders>
              <w:top w:val="single" w:color="auto" w:sz="4" w:space="0"/>
              <w:left w:val="single" w:color="auto" w:sz="4" w:space="0"/>
              <w:right w:val="single" w:color="auto" w:sz="4" w:space="0"/>
            </w:tcBorders>
            <w:vAlign w:val="center"/>
          </w:tcPr>
          <w:p w14:paraId="6870177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功能要求</w:t>
            </w:r>
          </w:p>
        </w:tc>
        <w:tc>
          <w:tcPr>
            <w:tcW w:w="7484" w:type="dxa"/>
            <w:gridSpan w:val="2"/>
            <w:tcBorders>
              <w:top w:val="single" w:color="auto" w:sz="4" w:space="0"/>
              <w:left w:val="nil"/>
              <w:bottom w:val="single" w:color="auto" w:sz="4" w:space="0"/>
              <w:right w:val="single" w:color="auto" w:sz="4" w:space="0"/>
            </w:tcBorders>
            <w:vAlign w:val="center"/>
          </w:tcPr>
          <w:p w14:paraId="0B5D3EC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分布式存储可实现数据副本保护，支持两、三副本冗余保护，任意一个存储节点离线维护，而不影响存储层服务和上层数据库平台的正常运行。</w:t>
            </w:r>
          </w:p>
        </w:tc>
      </w:tr>
      <w:tr w14:paraId="7B8D2E58">
        <w:tblPrEx>
          <w:tblCellMar>
            <w:top w:w="0" w:type="dxa"/>
            <w:left w:w="108" w:type="dxa"/>
            <w:bottom w:w="0" w:type="dxa"/>
            <w:right w:w="108"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7B365A6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single" w:color="auto" w:sz="4" w:space="0"/>
              <w:right w:val="single" w:color="auto" w:sz="4" w:space="0"/>
            </w:tcBorders>
            <w:vAlign w:val="center"/>
          </w:tcPr>
          <w:p w14:paraId="6982828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1714135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云平台可同时为多个异构数据库系统提供存储服务。</w:t>
            </w:r>
          </w:p>
        </w:tc>
      </w:tr>
      <w:tr w14:paraId="6C69818B">
        <w:tblPrEx>
          <w:tblCellMar>
            <w:top w:w="0" w:type="dxa"/>
            <w:left w:w="108" w:type="dxa"/>
            <w:bottom w:w="0" w:type="dxa"/>
            <w:right w:w="108" w:type="dxa"/>
          </w:tblCellMar>
        </w:tblPrEx>
        <w:trPr>
          <w:trHeight w:val="78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9ACACE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single" w:color="auto" w:sz="4" w:space="0"/>
              <w:right w:val="single" w:color="auto" w:sz="4" w:space="0"/>
            </w:tcBorders>
            <w:vAlign w:val="center"/>
          </w:tcPr>
          <w:p w14:paraId="2872646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30DF0C8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支持在一套云平台内，同时部署多套、异构数据库系统，可以通过CPU核绑定、内存预分配、IO直通、独立运行操作系统等隔离方式，为不同数据库运行提供基础环境，确保数据库性能及稳定性。</w:t>
            </w:r>
          </w:p>
        </w:tc>
      </w:tr>
      <w:tr w14:paraId="086FAF0A">
        <w:tblPrEx>
          <w:tblCellMar>
            <w:top w:w="0" w:type="dxa"/>
            <w:left w:w="108" w:type="dxa"/>
            <w:bottom w:w="0" w:type="dxa"/>
            <w:right w:w="108"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7059308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restart"/>
            <w:tcBorders>
              <w:top w:val="single" w:color="auto" w:sz="4" w:space="0"/>
              <w:left w:val="single" w:color="auto" w:sz="4" w:space="0"/>
              <w:bottom w:val="single" w:color="auto" w:sz="4" w:space="0"/>
              <w:right w:val="single" w:color="auto" w:sz="4" w:space="0"/>
            </w:tcBorders>
            <w:vAlign w:val="center"/>
          </w:tcPr>
          <w:p w14:paraId="405941C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缓存管理</w:t>
            </w:r>
          </w:p>
        </w:tc>
        <w:tc>
          <w:tcPr>
            <w:tcW w:w="7484" w:type="dxa"/>
            <w:gridSpan w:val="2"/>
            <w:tcBorders>
              <w:top w:val="single" w:color="auto" w:sz="4" w:space="0"/>
              <w:left w:val="nil"/>
              <w:bottom w:val="single" w:color="auto" w:sz="4" w:space="0"/>
              <w:right w:val="single" w:color="auto" w:sz="4" w:space="0"/>
            </w:tcBorders>
            <w:vAlign w:val="center"/>
          </w:tcPr>
          <w:p w14:paraId="2B5A505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★支持SSD/PCIe闪存卡盘作为永久非易失读、写缓存使用，同时缓存管理机制应当智能化，能够根据数据访问特征进行自动的优化调整，并且支持热插拔。</w:t>
            </w:r>
          </w:p>
          <w:p w14:paraId="02DE09C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（请提供具体的实现方式、架构说明）。</w:t>
            </w:r>
          </w:p>
        </w:tc>
      </w:tr>
      <w:tr w14:paraId="0398C5E9">
        <w:tblPrEx>
          <w:tblCellMar>
            <w:top w:w="0" w:type="dxa"/>
            <w:left w:w="108" w:type="dxa"/>
            <w:bottom w:w="0" w:type="dxa"/>
            <w:right w:w="108" w:type="dxa"/>
          </w:tblCellMar>
        </w:tblPrEx>
        <w:trPr>
          <w:trHeight w:val="43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C151B2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4ED9F72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30A45E6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支持缓存部件在线迁移更换，能够在线完成寿命到期的SSD的在线更换。</w:t>
            </w:r>
          </w:p>
        </w:tc>
      </w:tr>
      <w:tr w14:paraId="5AED6F08">
        <w:tblPrEx>
          <w:tblCellMar>
            <w:top w:w="0" w:type="dxa"/>
            <w:left w:w="108" w:type="dxa"/>
            <w:bottom w:w="0" w:type="dxa"/>
            <w:right w:w="108" w:type="dxa"/>
          </w:tblCellMar>
        </w:tblPrEx>
        <w:trPr>
          <w:trHeight w:val="451"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74F615C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7E0ECC9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620FF20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支持自动/手动Flush数据刷新模式，刷新频率及速度可自定义设置。</w:t>
            </w:r>
          </w:p>
        </w:tc>
      </w:tr>
      <w:tr w14:paraId="31E33EF2">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C183DD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19CDA39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4EFB7AC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支持缓存中划分LUN用于全闪空间。</w:t>
            </w:r>
          </w:p>
        </w:tc>
      </w:tr>
      <w:tr w14:paraId="5B45742F">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11293DC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6CF3693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240EB9E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支持缓存读写缓存空间的在线调整，部件在线迁移，能够在线完成。</w:t>
            </w:r>
          </w:p>
        </w:tc>
      </w:tr>
      <w:tr w14:paraId="5915D5FA">
        <w:tblPrEx>
          <w:tblCellMar>
            <w:top w:w="0" w:type="dxa"/>
            <w:left w:w="108" w:type="dxa"/>
            <w:bottom w:w="0" w:type="dxa"/>
            <w:right w:w="108" w:type="dxa"/>
          </w:tblCellMar>
        </w:tblPrEx>
        <w:trPr>
          <w:trHeight w:val="67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7D4BA0E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3FEFEB8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153C321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★支持多种缓存模式，支持Writeback和Writethrough、RAW三种缓存模式，并能支持三种缓存模式的在线转换（提供截图证明）。</w:t>
            </w:r>
          </w:p>
        </w:tc>
      </w:tr>
      <w:tr w14:paraId="78778B3E">
        <w:tblPrEx>
          <w:tblCellMar>
            <w:top w:w="0" w:type="dxa"/>
            <w:left w:w="108" w:type="dxa"/>
            <w:bottom w:w="0" w:type="dxa"/>
            <w:right w:w="108" w:type="dxa"/>
          </w:tblCellMar>
        </w:tblPrEx>
        <w:trPr>
          <w:trHeight w:val="510" w:hRule="atLeast"/>
        </w:trPr>
        <w:tc>
          <w:tcPr>
            <w:tcW w:w="851" w:type="dxa"/>
            <w:vMerge w:val="restart"/>
            <w:tcBorders>
              <w:top w:val="single" w:color="auto" w:sz="4" w:space="0"/>
              <w:left w:val="single" w:color="auto" w:sz="4" w:space="0"/>
              <w:bottom w:val="single" w:color="auto" w:sz="4" w:space="0"/>
              <w:right w:val="nil"/>
            </w:tcBorders>
            <w:noWrap/>
            <w:vAlign w:val="center"/>
          </w:tcPr>
          <w:p w14:paraId="0009E9C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管理平台要求</w:t>
            </w:r>
          </w:p>
        </w:tc>
        <w:tc>
          <w:tcPr>
            <w:tcW w:w="1446" w:type="dxa"/>
            <w:vMerge w:val="restart"/>
            <w:tcBorders>
              <w:top w:val="single" w:color="auto" w:sz="4" w:space="0"/>
              <w:left w:val="single" w:color="auto" w:sz="4" w:space="0"/>
              <w:right w:val="single" w:color="auto" w:sz="4" w:space="0"/>
            </w:tcBorders>
            <w:noWrap/>
            <w:vAlign w:val="center"/>
          </w:tcPr>
          <w:p w14:paraId="4E05D7E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数据库管理</w:t>
            </w:r>
          </w:p>
        </w:tc>
        <w:tc>
          <w:tcPr>
            <w:tcW w:w="7484" w:type="dxa"/>
            <w:gridSpan w:val="2"/>
            <w:tcBorders>
              <w:top w:val="single" w:color="auto" w:sz="4" w:space="0"/>
              <w:left w:val="nil"/>
              <w:bottom w:val="single" w:color="auto" w:sz="4" w:space="0"/>
              <w:right w:val="single" w:color="auto" w:sz="4" w:space="0"/>
            </w:tcBorders>
            <w:vAlign w:val="center"/>
          </w:tcPr>
          <w:p w14:paraId="15745D0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支持云平台的告警监控，包含但不限于CPU、内存、硬盘、闪存、容量、网络、存储软件等。</w:t>
            </w:r>
          </w:p>
        </w:tc>
      </w:tr>
      <w:tr w14:paraId="1CBC325D">
        <w:tblPrEx>
          <w:tblCellMar>
            <w:top w:w="0" w:type="dxa"/>
            <w:left w:w="108" w:type="dxa"/>
            <w:bottom w:w="0" w:type="dxa"/>
            <w:right w:w="108" w:type="dxa"/>
          </w:tblCellMar>
        </w:tblPrEx>
        <w:trPr>
          <w:trHeight w:val="510" w:hRule="atLeast"/>
        </w:trPr>
        <w:tc>
          <w:tcPr>
            <w:tcW w:w="851" w:type="dxa"/>
            <w:vMerge w:val="continue"/>
            <w:tcBorders>
              <w:top w:val="single" w:color="auto" w:sz="4" w:space="0"/>
              <w:left w:val="single" w:color="auto" w:sz="4" w:space="0"/>
              <w:bottom w:val="single" w:color="auto" w:sz="4" w:space="0"/>
              <w:right w:val="nil"/>
            </w:tcBorders>
            <w:vAlign w:val="center"/>
          </w:tcPr>
          <w:p w14:paraId="125BA03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single" w:color="auto" w:sz="4" w:space="0"/>
              <w:right w:val="single" w:color="auto" w:sz="4" w:space="0"/>
            </w:tcBorders>
            <w:vAlign w:val="center"/>
          </w:tcPr>
          <w:p w14:paraId="3EB8F1F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0125246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支持云平台各节点性能监控，包含但不限于CPU、内存、磁盘使用率、IOPS、MBPS，Cache命中率、链路等。</w:t>
            </w:r>
          </w:p>
        </w:tc>
      </w:tr>
      <w:tr w14:paraId="18449077">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nil"/>
            </w:tcBorders>
            <w:vAlign w:val="center"/>
          </w:tcPr>
          <w:p w14:paraId="4BA1864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single" w:color="auto" w:sz="4" w:space="0"/>
              <w:right w:val="single" w:color="auto" w:sz="4" w:space="0"/>
            </w:tcBorders>
            <w:vAlign w:val="center"/>
          </w:tcPr>
          <w:p w14:paraId="6E63AD8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77205F7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支持数据库告警监控，包含但不限于数据库状态、日志、空间等。</w:t>
            </w:r>
          </w:p>
        </w:tc>
      </w:tr>
      <w:tr w14:paraId="6A590E95">
        <w:tblPrEx>
          <w:tblCellMar>
            <w:top w:w="0" w:type="dxa"/>
            <w:left w:w="108" w:type="dxa"/>
            <w:bottom w:w="0" w:type="dxa"/>
            <w:right w:w="108" w:type="dxa"/>
          </w:tblCellMar>
        </w:tblPrEx>
        <w:trPr>
          <w:trHeight w:val="285" w:hRule="atLeast"/>
        </w:trPr>
        <w:tc>
          <w:tcPr>
            <w:tcW w:w="851" w:type="dxa"/>
            <w:vMerge w:val="continue"/>
            <w:tcBorders>
              <w:top w:val="single" w:color="auto" w:sz="4" w:space="0"/>
              <w:left w:val="single" w:color="auto" w:sz="4" w:space="0"/>
              <w:bottom w:val="single" w:color="auto" w:sz="4" w:space="0"/>
              <w:right w:val="nil"/>
            </w:tcBorders>
            <w:vAlign w:val="center"/>
          </w:tcPr>
          <w:p w14:paraId="66D9DD8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single" w:color="auto" w:sz="4" w:space="0"/>
              <w:right w:val="single" w:color="auto" w:sz="4" w:space="0"/>
            </w:tcBorders>
            <w:vAlign w:val="center"/>
          </w:tcPr>
          <w:p w14:paraId="029BC5F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21BC9E5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★支持数据库集群管理，包括集群启停、相关参数设置、ocr增加和删除、vote迁移、监听启停等（提供截图证明）。</w:t>
            </w:r>
          </w:p>
        </w:tc>
      </w:tr>
      <w:tr w14:paraId="5F51AA0C">
        <w:tblPrEx>
          <w:tblCellMar>
            <w:top w:w="0" w:type="dxa"/>
            <w:left w:w="108" w:type="dxa"/>
            <w:bottom w:w="0" w:type="dxa"/>
            <w:right w:w="108" w:type="dxa"/>
          </w:tblCellMar>
        </w:tblPrEx>
        <w:trPr>
          <w:trHeight w:val="810" w:hRule="atLeast"/>
        </w:trPr>
        <w:tc>
          <w:tcPr>
            <w:tcW w:w="851" w:type="dxa"/>
            <w:vMerge w:val="continue"/>
            <w:tcBorders>
              <w:top w:val="single" w:color="auto" w:sz="4" w:space="0"/>
              <w:left w:val="single" w:color="auto" w:sz="4" w:space="0"/>
              <w:bottom w:val="single" w:color="auto" w:sz="4" w:space="0"/>
              <w:right w:val="nil"/>
            </w:tcBorders>
            <w:vAlign w:val="center"/>
          </w:tcPr>
          <w:p w14:paraId="17DC06A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single" w:color="auto" w:sz="4" w:space="0"/>
              <w:right w:val="single" w:color="auto" w:sz="4" w:space="0"/>
            </w:tcBorders>
            <w:vAlign w:val="center"/>
          </w:tcPr>
          <w:p w14:paraId="33E2C10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676E49C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支持数据库管理，包括启停、创建、删除，相关参数查看与修改，redo的增加和删除。</w:t>
            </w:r>
          </w:p>
        </w:tc>
      </w:tr>
      <w:tr w14:paraId="3D99C4DC">
        <w:tblPrEx>
          <w:tblCellMar>
            <w:top w:w="0" w:type="dxa"/>
            <w:left w:w="108" w:type="dxa"/>
            <w:bottom w:w="0" w:type="dxa"/>
            <w:right w:w="108" w:type="dxa"/>
          </w:tblCellMar>
        </w:tblPrEx>
        <w:trPr>
          <w:trHeight w:val="436" w:hRule="atLeast"/>
        </w:trPr>
        <w:tc>
          <w:tcPr>
            <w:tcW w:w="851" w:type="dxa"/>
            <w:vMerge w:val="continue"/>
            <w:tcBorders>
              <w:top w:val="single" w:color="auto" w:sz="4" w:space="0"/>
              <w:left w:val="single" w:color="auto" w:sz="4" w:space="0"/>
              <w:bottom w:val="single" w:color="auto" w:sz="4" w:space="0"/>
              <w:right w:val="nil"/>
            </w:tcBorders>
            <w:vAlign w:val="center"/>
          </w:tcPr>
          <w:p w14:paraId="75534BD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single" w:color="auto" w:sz="4" w:space="0"/>
              <w:right w:val="single" w:color="auto" w:sz="4" w:space="0"/>
            </w:tcBorders>
            <w:vAlign w:val="center"/>
          </w:tcPr>
          <w:p w14:paraId="1F7C8E4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066A690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支持数据库表空间管理，包括增加、删除及数据库文件的增加和扩展。</w:t>
            </w:r>
          </w:p>
        </w:tc>
      </w:tr>
      <w:tr w14:paraId="4CAF7C06">
        <w:tblPrEx>
          <w:tblCellMar>
            <w:top w:w="0" w:type="dxa"/>
            <w:left w:w="108" w:type="dxa"/>
            <w:bottom w:w="0" w:type="dxa"/>
            <w:right w:w="108" w:type="dxa"/>
          </w:tblCellMar>
        </w:tblPrEx>
        <w:trPr>
          <w:trHeight w:val="285" w:hRule="atLeast"/>
        </w:trPr>
        <w:tc>
          <w:tcPr>
            <w:tcW w:w="851" w:type="dxa"/>
            <w:vMerge w:val="continue"/>
            <w:tcBorders>
              <w:top w:val="single" w:color="auto" w:sz="4" w:space="0"/>
              <w:left w:val="single" w:color="auto" w:sz="4" w:space="0"/>
              <w:bottom w:val="single" w:color="auto" w:sz="4" w:space="0"/>
              <w:right w:val="nil"/>
            </w:tcBorders>
            <w:vAlign w:val="center"/>
          </w:tcPr>
          <w:p w14:paraId="00FDEA3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single" w:color="auto" w:sz="4" w:space="0"/>
              <w:right w:val="single" w:color="auto" w:sz="4" w:space="0"/>
            </w:tcBorders>
            <w:vAlign w:val="center"/>
          </w:tcPr>
          <w:p w14:paraId="67B6EC3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67C24DA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支持ASM管理，包括磁盘组的创建和删除、mount和unmount、兼容性参数修改、重平衡等。</w:t>
            </w:r>
          </w:p>
        </w:tc>
      </w:tr>
      <w:tr w14:paraId="42A9D079">
        <w:tblPrEx>
          <w:tblCellMar>
            <w:top w:w="0" w:type="dxa"/>
            <w:left w:w="108" w:type="dxa"/>
            <w:bottom w:w="0" w:type="dxa"/>
            <w:right w:w="108" w:type="dxa"/>
          </w:tblCellMar>
        </w:tblPrEx>
        <w:trPr>
          <w:trHeight w:val="285" w:hRule="atLeast"/>
        </w:trPr>
        <w:tc>
          <w:tcPr>
            <w:tcW w:w="851" w:type="dxa"/>
            <w:vMerge w:val="continue"/>
            <w:tcBorders>
              <w:top w:val="single" w:color="auto" w:sz="4" w:space="0"/>
              <w:left w:val="single" w:color="auto" w:sz="4" w:space="0"/>
              <w:bottom w:val="single" w:color="auto" w:sz="4" w:space="0"/>
              <w:right w:val="nil"/>
            </w:tcBorders>
            <w:vAlign w:val="center"/>
          </w:tcPr>
          <w:p w14:paraId="4CD98E8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single" w:color="auto" w:sz="4" w:space="0"/>
              <w:right w:val="single" w:color="auto" w:sz="4" w:space="0"/>
            </w:tcBorders>
            <w:vAlign w:val="center"/>
          </w:tcPr>
          <w:p w14:paraId="706752B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3B2E33C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可追踪监控SQL语句运行效率，并能查看SQL的执行计划。</w:t>
            </w:r>
          </w:p>
        </w:tc>
      </w:tr>
      <w:tr w14:paraId="0981DB02">
        <w:tblPrEx>
          <w:tblCellMar>
            <w:top w:w="0" w:type="dxa"/>
            <w:left w:w="108" w:type="dxa"/>
            <w:bottom w:w="0" w:type="dxa"/>
            <w:right w:w="108" w:type="dxa"/>
          </w:tblCellMar>
        </w:tblPrEx>
        <w:trPr>
          <w:trHeight w:val="285" w:hRule="atLeast"/>
        </w:trPr>
        <w:tc>
          <w:tcPr>
            <w:tcW w:w="851" w:type="dxa"/>
            <w:vMerge w:val="continue"/>
            <w:tcBorders>
              <w:top w:val="single" w:color="auto" w:sz="4" w:space="0"/>
              <w:left w:val="single" w:color="auto" w:sz="4" w:space="0"/>
              <w:bottom w:val="single" w:color="auto" w:sz="4" w:space="0"/>
              <w:right w:val="nil"/>
            </w:tcBorders>
            <w:vAlign w:val="center"/>
          </w:tcPr>
          <w:p w14:paraId="422BFE7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left w:val="single" w:color="auto" w:sz="4" w:space="0"/>
              <w:bottom w:val="single" w:color="auto" w:sz="4" w:space="0"/>
              <w:right w:val="single" w:color="auto" w:sz="4" w:space="0"/>
            </w:tcBorders>
            <w:vAlign w:val="center"/>
          </w:tcPr>
          <w:p w14:paraId="7BEEF39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282D1F5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支持Oracle、MySQL等多种数据库数据库按照模板创建，混合部署</w:t>
            </w:r>
          </w:p>
        </w:tc>
      </w:tr>
      <w:tr w14:paraId="55B76AB8">
        <w:tblPrEx>
          <w:tblCellMar>
            <w:top w:w="0" w:type="dxa"/>
            <w:left w:w="108" w:type="dxa"/>
            <w:bottom w:w="0" w:type="dxa"/>
            <w:right w:w="108" w:type="dxa"/>
          </w:tblCellMar>
        </w:tblPrEx>
        <w:trPr>
          <w:trHeight w:val="327" w:hRule="atLeast"/>
        </w:trPr>
        <w:tc>
          <w:tcPr>
            <w:tcW w:w="851" w:type="dxa"/>
            <w:vMerge w:val="continue"/>
            <w:tcBorders>
              <w:top w:val="single" w:color="auto" w:sz="4" w:space="0"/>
              <w:left w:val="single" w:color="auto" w:sz="4" w:space="0"/>
              <w:bottom w:val="single" w:color="auto" w:sz="4" w:space="0"/>
              <w:right w:val="nil"/>
            </w:tcBorders>
            <w:vAlign w:val="center"/>
          </w:tcPr>
          <w:p w14:paraId="223920B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14:paraId="4A82141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节点管理</w:t>
            </w:r>
          </w:p>
        </w:tc>
        <w:tc>
          <w:tcPr>
            <w:tcW w:w="7484" w:type="dxa"/>
            <w:gridSpan w:val="2"/>
            <w:tcBorders>
              <w:top w:val="single" w:color="auto" w:sz="4" w:space="0"/>
              <w:left w:val="single" w:color="auto" w:sz="4" w:space="0"/>
              <w:right w:val="single" w:color="auto" w:sz="4" w:space="0"/>
            </w:tcBorders>
            <w:vAlign w:val="center"/>
          </w:tcPr>
          <w:p w14:paraId="7BB4D6B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支持逻辑卷挂载权限控制。</w:t>
            </w:r>
          </w:p>
        </w:tc>
      </w:tr>
      <w:tr w14:paraId="67AD199B">
        <w:tblPrEx>
          <w:tblCellMar>
            <w:top w:w="0" w:type="dxa"/>
            <w:left w:w="108" w:type="dxa"/>
            <w:bottom w:w="0" w:type="dxa"/>
            <w:right w:w="108" w:type="dxa"/>
          </w:tblCellMar>
        </w:tblPrEx>
        <w:trPr>
          <w:trHeight w:val="274" w:hRule="atLeast"/>
        </w:trPr>
        <w:tc>
          <w:tcPr>
            <w:tcW w:w="851" w:type="dxa"/>
            <w:vMerge w:val="continue"/>
            <w:tcBorders>
              <w:top w:val="single" w:color="auto" w:sz="4" w:space="0"/>
              <w:left w:val="single" w:color="auto" w:sz="4" w:space="0"/>
              <w:bottom w:val="single" w:color="auto" w:sz="4" w:space="0"/>
              <w:right w:val="nil"/>
            </w:tcBorders>
            <w:vAlign w:val="center"/>
          </w:tcPr>
          <w:p w14:paraId="3006B10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restart"/>
            <w:tcBorders>
              <w:top w:val="single" w:color="auto" w:sz="4" w:space="0"/>
              <w:left w:val="single" w:color="auto" w:sz="4" w:space="0"/>
              <w:bottom w:val="single" w:color="auto" w:sz="4" w:space="0"/>
              <w:right w:val="single" w:color="auto" w:sz="4" w:space="0"/>
            </w:tcBorders>
            <w:vAlign w:val="center"/>
          </w:tcPr>
          <w:p w14:paraId="7278775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高级管理</w:t>
            </w:r>
          </w:p>
        </w:tc>
        <w:tc>
          <w:tcPr>
            <w:tcW w:w="7484" w:type="dxa"/>
            <w:gridSpan w:val="2"/>
            <w:tcBorders>
              <w:top w:val="single" w:color="auto" w:sz="4" w:space="0"/>
              <w:left w:val="nil"/>
              <w:bottom w:val="single" w:color="auto" w:sz="4" w:space="0"/>
              <w:right w:val="single" w:color="auto" w:sz="4" w:space="0"/>
            </w:tcBorders>
            <w:vAlign w:val="center"/>
          </w:tcPr>
          <w:p w14:paraId="54D3501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全局拓扑图管理</w:t>
            </w:r>
          </w:p>
          <w:p w14:paraId="6AC24A7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展示计算层、网络层、存储层全局拓扑；</w:t>
            </w:r>
          </w:p>
          <w:p w14:paraId="5822C4B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展示节点、交换机状态；</w:t>
            </w:r>
          </w:p>
          <w:p w14:paraId="78FB6C2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展示端口状态、展示lvvote卷状态；</w:t>
            </w:r>
          </w:p>
          <w:p w14:paraId="2D6DBB7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支持单数据中心、多数据中心拓扑图显示。</w:t>
            </w:r>
          </w:p>
        </w:tc>
      </w:tr>
      <w:tr w14:paraId="61E3A43D">
        <w:tblPrEx>
          <w:tblCellMar>
            <w:top w:w="0" w:type="dxa"/>
            <w:left w:w="108" w:type="dxa"/>
            <w:bottom w:w="0" w:type="dxa"/>
            <w:right w:w="108" w:type="dxa"/>
          </w:tblCellMar>
        </w:tblPrEx>
        <w:trPr>
          <w:trHeight w:val="570" w:hRule="atLeast"/>
        </w:trPr>
        <w:tc>
          <w:tcPr>
            <w:tcW w:w="851" w:type="dxa"/>
            <w:vMerge w:val="continue"/>
            <w:tcBorders>
              <w:top w:val="single" w:color="auto" w:sz="4" w:space="0"/>
              <w:left w:val="single" w:color="auto" w:sz="4" w:space="0"/>
              <w:bottom w:val="single" w:color="auto" w:sz="4" w:space="0"/>
              <w:right w:val="nil"/>
            </w:tcBorders>
            <w:vAlign w:val="center"/>
          </w:tcPr>
          <w:p w14:paraId="56586D8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6676E05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069113D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容灾演练</w:t>
            </w:r>
          </w:p>
          <w:p w14:paraId="7C09BADD">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支持在拓扑图上进行节点重启、端口disable、enable等容灾演练操作。</w:t>
            </w:r>
          </w:p>
        </w:tc>
      </w:tr>
      <w:tr w14:paraId="62DD6B50">
        <w:tblPrEx>
          <w:tblCellMar>
            <w:top w:w="0" w:type="dxa"/>
            <w:left w:w="108" w:type="dxa"/>
            <w:bottom w:w="0" w:type="dxa"/>
            <w:right w:w="108" w:type="dxa"/>
          </w:tblCellMar>
        </w:tblPrEx>
        <w:trPr>
          <w:trHeight w:val="570" w:hRule="atLeast"/>
        </w:trPr>
        <w:tc>
          <w:tcPr>
            <w:tcW w:w="851" w:type="dxa"/>
            <w:vMerge w:val="continue"/>
            <w:tcBorders>
              <w:top w:val="single" w:color="auto" w:sz="4" w:space="0"/>
              <w:left w:val="single" w:color="auto" w:sz="4" w:space="0"/>
              <w:bottom w:val="single" w:color="auto" w:sz="4" w:space="0"/>
              <w:right w:val="nil"/>
            </w:tcBorders>
            <w:vAlign w:val="center"/>
          </w:tcPr>
          <w:p w14:paraId="42B443A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5F7E42A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3736EE5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仲裁管理</w:t>
            </w:r>
          </w:p>
          <w:p w14:paraId="66EC21C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支持展示集群内所有仲裁盘的状态图。</w:t>
            </w:r>
          </w:p>
        </w:tc>
      </w:tr>
      <w:tr w14:paraId="6EC337E2">
        <w:tblPrEx>
          <w:tblCellMar>
            <w:top w:w="0" w:type="dxa"/>
            <w:left w:w="108" w:type="dxa"/>
            <w:bottom w:w="0" w:type="dxa"/>
            <w:right w:w="108" w:type="dxa"/>
          </w:tblCellMar>
        </w:tblPrEx>
        <w:trPr>
          <w:trHeight w:val="855" w:hRule="atLeast"/>
        </w:trPr>
        <w:tc>
          <w:tcPr>
            <w:tcW w:w="851" w:type="dxa"/>
            <w:vMerge w:val="continue"/>
            <w:tcBorders>
              <w:top w:val="single" w:color="auto" w:sz="4" w:space="0"/>
              <w:left w:val="single" w:color="auto" w:sz="4" w:space="0"/>
              <w:bottom w:val="single" w:color="auto" w:sz="4" w:space="0"/>
              <w:right w:val="nil"/>
            </w:tcBorders>
            <w:vAlign w:val="center"/>
          </w:tcPr>
          <w:p w14:paraId="054CE16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6B7458B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nil"/>
              <w:bottom w:val="single" w:color="auto" w:sz="4" w:space="0"/>
              <w:right w:val="single" w:color="auto" w:sz="4" w:space="0"/>
            </w:tcBorders>
            <w:vAlign w:val="center"/>
          </w:tcPr>
          <w:p w14:paraId="11752B6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IO优先访问</w:t>
            </w:r>
          </w:p>
          <w:p w14:paraId="2F4431D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支持展示ASM IO优先读取的拓扑展示，包括即ASM实例优先读取哪些节点上的数据。</w:t>
            </w:r>
          </w:p>
          <w:p w14:paraId="4F58702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支持计算节点到存储节点IO链路延时曲线显示。</w:t>
            </w:r>
          </w:p>
        </w:tc>
      </w:tr>
      <w:tr w14:paraId="0BBB6535">
        <w:tblPrEx>
          <w:tblCellMar>
            <w:top w:w="0" w:type="dxa"/>
            <w:left w:w="108" w:type="dxa"/>
            <w:bottom w:w="0" w:type="dxa"/>
            <w:right w:w="108" w:type="dxa"/>
          </w:tblCellMar>
        </w:tblPrEx>
        <w:trPr>
          <w:trHeight w:val="2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D654FB6">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restart"/>
            <w:tcBorders>
              <w:top w:val="single" w:color="auto" w:sz="4" w:space="0"/>
              <w:left w:val="single" w:color="auto" w:sz="4" w:space="0"/>
              <w:bottom w:val="single" w:color="auto" w:sz="4" w:space="0"/>
              <w:right w:val="single" w:color="auto" w:sz="4" w:space="0"/>
            </w:tcBorders>
            <w:noWrap/>
            <w:vAlign w:val="center"/>
          </w:tcPr>
          <w:p w14:paraId="0E5DC63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系统监控</w:t>
            </w:r>
          </w:p>
        </w:tc>
        <w:tc>
          <w:tcPr>
            <w:tcW w:w="7484" w:type="dxa"/>
            <w:gridSpan w:val="2"/>
            <w:tcBorders>
              <w:top w:val="single" w:color="auto" w:sz="4" w:space="0"/>
              <w:left w:val="single" w:color="auto" w:sz="4" w:space="0"/>
              <w:bottom w:val="single" w:color="auto" w:sz="4" w:space="0"/>
              <w:right w:val="single" w:color="auto" w:sz="4" w:space="0"/>
            </w:tcBorders>
            <w:vAlign w:val="center"/>
          </w:tcPr>
          <w:p w14:paraId="2BD9C97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支持告警发送、事件处理、规则定义及汇总报表。</w:t>
            </w:r>
          </w:p>
        </w:tc>
      </w:tr>
      <w:tr w14:paraId="68429348">
        <w:tblPrEx>
          <w:tblCellMar>
            <w:top w:w="0" w:type="dxa"/>
            <w:left w:w="108" w:type="dxa"/>
            <w:bottom w:w="0" w:type="dxa"/>
            <w:right w:w="108" w:type="dxa"/>
          </w:tblCellMar>
        </w:tblPrEx>
        <w:trPr>
          <w:trHeight w:val="5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35A64F7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0C1B9783">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7484" w:type="dxa"/>
            <w:gridSpan w:val="2"/>
            <w:tcBorders>
              <w:top w:val="single" w:color="auto" w:sz="4" w:space="0"/>
              <w:left w:val="single" w:color="auto" w:sz="4" w:space="0"/>
              <w:bottom w:val="single" w:color="auto" w:sz="4" w:space="0"/>
              <w:right w:val="single" w:color="auto" w:sz="4" w:space="0"/>
            </w:tcBorders>
            <w:vAlign w:val="center"/>
          </w:tcPr>
          <w:p w14:paraId="29C1D5E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管理软件必须实现完整的集中化监控管理，即通过统一的管理软件和界面实现对硬件、操作系统、交换网络、数据库、分布式存储软件的状态和性能进行监控和管理。</w:t>
            </w:r>
          </w:p>
        </w:tc>
      </w:tr>
      <w:tr w14:paraId="64A6868D">
        <w:tblPrEx>
          <w:tblCellMar>
            <w:top w:w="0" w:type="dxa"/>
            <w:left w:w="108" w:type="dxa"/>
            <w:bottom w:w="0" w:type="dxa"/>
            <w:right w:w="108" w:type="dxa"/>
          </w:tblCellMar>
        </w:tblPrEx>
        <w:trPr>
          <w:trHeight w:val="31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D09F1E4">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1446" w:type="dxa"/>
            <w:tcBorders>
              <w:top w:val="single" w:color="auto" w:sz="4" w:space="0"/>
              <w:left w:val="single" w:color="auto" w:sz="4" w:space="0"/>
              <w:bottom w:val="single" w:color="auto" w:sz="4" w:space="0"/>
              <w:right w:val="single" w:color="auto" w:sz="4" w:space="0"/>
            </w:tcBorders>
            <w:noWrap/>
            <w:vAlign w:val="center"/>
          </w:tcPr>
          <w:p w14:paraId="41C1525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系统配置</w:t>
            </w:r>
          </w:p>
        </w:tc>
        <w:tc>
          <w:tcPr>
            <w:tcW w:w="7484" w:type="dxa"/>
            <w:gridSpan w:val="2"/>
            <w:tcBorders>
              <w:top w:val="single" w:color="auto" w:sz="4" w:space="0"/>
              <w:left w:val="single" w:color="auto" w:sz="4" w:space="0"/>
              <w:bottom w:val="single" w:color="auto" w:sz="4" w:space="0"/>
              <w:right w:val="single" w:color="auto" w:sz="4" w:space="0"/>
            </w:tcBorders>
            <w:noWrap/>
            <w:vAlign w:val="center"/>
          </w:tcPr>
          <w:p w14:paraId="276D322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★管理界面支持基于角色的用户权限管理（提供截图证明）。</w:t>
            </w:r>
          </w:p>
        </w:tc>
      </w:tr>
    </w:tbl>
    <w:p w14:paraId="1F5C49EF">
      <w:pPr>
        <w:adjustRightInd w:val="0"/>
        <w:snapToGrid w:val="0"/>
        <w:spacing w:line="400" w:lineRule="atLeast"/>
        <w:ind w:firstLine="440" w:firstLineChars="200"/>
        <w:rPr>
          <w:rFonts w:ascii="宋体" w:hAnsi="宋体"/>
          <w:color w:val="auto"/>
          <w:kern w:val="0"/>
          <w:sz w:val="22"/>
          <w:szCs w:val="22"/>
          <w:highlight w:val="none"/>
        </w:rPr>
      </w:pPr>
      <w:bookmarkStart w:id="34" w:name="_Toc10032585"/>
      <w:bookmarkStart w:id="35" w:name="_Toc47481031"/>
      <w:r>
        <w:rPr>
          <w:rFonts w:hint="eastAsia" w:ascii="宋体" w:hAnsi="宋体"/>
          <w:color w:val="auto"/>
          <w:kern w:val="0"/>
          <w:sz w:val="22"/>
          <w:szCs w:val="22"/>
          <w:highlight w:val="none"/>
        </w:rPr>
        <w:t>（3）大数据服务</w:t>
      </w:r>
      <w:bookmarkEnd w:id="34"/>
      <w:bookmarkEnd w:id="35"/>
    </w:p>
    <w:p w14:paraId="1E7C7C82">
      <w:pPr>
        <w:spacing w:line="400" w:lineRule="atLeast"/>
        <w:ind w:firstLine="440" w:firstLineChars="200"/>
        <w:rPr>
          <w:rFonts w:ascii="宋体" w:hAnsi="宋体" w:cs="宋体"/>
          <w:bCs/>
          <w:color w:val="auto"/>
          <w:kern w:val="0"/>
          <w:sz w:val="22"/>
          <w:szCs w:val="22"/>
          <w:highlight w:val="none"/>
          <w:lang w:val="zh-CN"/>
        </w:rPr>
      </w:pPr>
      <w:r>
        <w:rPr>
          <w:rFonts w:hint="eastAsia" w:ascii="宋体" w:hAnsi="宋体" w:cs="宋体"/>
          <w:bCs/>
          <w:color w:val="auto"/>
          <w:kern w:val="0"/>
          <w:sz w:val="22"/>
          <w:szCs w:val="22"/>
          <w:highlight w:val="none"/>
          <w:lang w:val="zh-CN"/>
        </w:rPr>
        <w:t>1、离线大数据平台</w:t>
      </w:r>
    </w:p>
    <w:tbl>
      <w:tblPr>
        <w:tblStyle w:val="46"/>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8039"/>
      </w:tblGrid>
      <w:tr w14:paraId="0202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7" w:type="dxa"/>
            <w:vAlign w:val="center"/>
          </w:tcPr>
          <w:p w14:paraId="4FF88002">
            <w:pPr>
              <w:keepNext w:val="0"/>
              <w:keepLines w:val="0"/>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039" w:type="dxa"/>
            <w:vAlign w:val="center"/>
          </w:tcPr>
          <w:p w14:paraId="04234D15">
            <w:pPr>
              <w:keepNext w:val="0"/>
              <w:keepLines w:val="0"/>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7F99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Align w:val="center"/>
          </w:tcPr>
          <w:p w14:paraId="0D1826D1">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总体描述</w:t>
            </w:r>
          </w:p>
        </w:tc>
        <w:tc>
          <w:tcPr>
            <w:tcW w:w="8039" w:type="dxa"/>
            <w:vAlign w:val="center"/>
          </w:tcPr>
          <w:p w14:paraId="13C09DE3">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离线大数据平台采用分布式计算框架提供大规模数据存储与计算，提供快速、完全托管的 GB/TB/PB 级数据仓库服务。</w:t>
            </w:r>
          </w:p>
        </w:tc>
      </w:tr>
      <w:tr w14:paraId="5525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restart"/>
            <w:vAlign w:val="center"/>
          </w:tcPr>
          <w:p w14:paraId="2BA59171">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数据存储</w:t>
            </w:r>
          </w:p>
        </w:tc>
        <w:tc>
          <w:tcPr>
            <w:tcW w:w="8039" w:type="dxa"/>
            <w:vAlign w:val="center"/>
          </w:tcPr>
          <w:p w14:paraId="36ABCAA9">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与云平台采用相同的分布式文件管理系统。</w:t>
            </w:r>
          </w:p>
        </w:tc>
      </w:tr>
      <w:tr w14:paraId="45FD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vAlign w:val="center"/>
          </w:tcPr>
          <w:p w14:paraId="0C93D6CD">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9" w:type="dxa"/>
            <w:vAlign w:val="center"/>
          </w:tcPr>
          <w:p w14:paraId="0BD272CD">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支持结构化及非结构化存储。</w:t>
            </w:r>
          </w:p>
        </w:tc>
      </w:tr>
      <w:tr w14:paraId="1E31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restart"/>
            <w:vAlign w:val="center"/>
          </w:tcPr>
          <w:p w14:paraId="5C329456">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数据装载</w:t>
            </w:r>
          </w:p>
        </w:tc>
        <w:tc>
          <w:tcPr>
            <w:tcW w:w="8039" w:type="dxa"/>
            <w:vAlign w:val="center"/>
          </w:tcPr>
          <w:p w14:paraId="5A3C40FE">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具备完善的数据装载机制，支持高并发、高吞吐量的大规模数据上传下载，可以与虚拟主机服务、关系型数据库服务和对象存储服务实现数据同步；数据装载具有线性扩展能力。</w:t>
            </w:r>
          </w:p>
        </w:tc>
      </w:tr>
      <w:tr w14:paraId="366D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vAlign w:val="center"/>
          </w:tcPr>
          <w:p w14:paraId="1BD16884">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9" w:type="dxa"/>
            <w:vAlign w:val="center"/>
          </w:tcPr>
          <w:p w14:paraId="4E2D5428">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双数据通道，批量、历史数据通道和实时、增量数据通道，支持全量和增量的源数据抽取方式；实时增量数据通道支持多种数据传输插件。</w:t>
            </w:r>
          </w:p>
        </w:tc>
      </w:tr>
      <w:tr w14:paraId="72BB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vAlign w:val="center"/>
          </w:tcPr>
          <w:p w14:paraId="71A78C33">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9" w:type="dxa"/>
            <w:vAlign w:val="center"/>
          </w:tcPr>
          <w:p w14:paraId="6D55A21D">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自带数据装载工具支持与第三方插件对接，包括Fluentd、Logstash、OGG等。</w:t>
            </w:r>
          </w:p>
        </w:tc>
      </w:tr>
      <w:tr w14:paraId="63D5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restart"/>
            <w:vAlign w:val="center"/>
          </w:tcPr>
          <w:p w14:paraId="4E3335C3">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SQL查询</w:t>
            </w:r>
          </w:p>
        </w:tc>
        <w:tc>
          <w:tcPr>
            <w:tcW w:w="8039" w:type="dxa"/>
            <w:vAlign w:val="center"/>
          </w:tcPr>
          <w:p w14:paraId="6A6E58E1">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提供基于SQL的数据处理模式，支持UDF和存储过程，支持窗口函数等高级数据分析功能。</w:t>
            </w:r>
          </w:p>
        </w:tc>
      </w:tr>
      <w:tr w14:paraId="3375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vAlign w:val="center"/>
          </w:tcPr>
          <w:p w14:paraId="18DE3990">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9" w:type="dxa"/>
            <w:vAlign w:val="center"/>
          </w:tcPr>
          <w:p w14:paraId="1DB3282F">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支持标准的SQL语法，同时兼容Hive SQL语法；支持Java/Python UDF，以及支持窗口函数等高级数据分析功能。</w:t>
            </w:r>
          </w:p>
        </w:tc>
      </w:tr>
      <w:tr w14:paraId="449A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Align w:val="center"/>
          </w:tcPr>
          <w:p w14:paraId="0AA28E0D">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分布式计算</w:t>
            </w:r>
          </w:p>
        </w:tc>
        <w:tc>
          <w:tcPr>
            <w:tcW w:w="8039" w:type="dxa"/>
          </w:tcPr>
          <w:p w14:paraId="20F0A9A0">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支持MapReduce类型的分布式计算任务；支持DAG模式的作业处理方式。</w:t>
            </w:r>
          </w:p>
        </w:tc>
      </w:tr>
      <w:tr w14:paraId="11E3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Align w:val="center"/>
          </w:tcPr>
          <w:p w14:paraId="7CFBC641">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作业优先级</w:t>
            </w:r>
          </w:p>
        </w:tc>
        <w:tc>
          <w:tcPr>
            <w:tcW w:w="8039" w:type="dxa"/>
          </w:tcPr>
          <w:p w14:paraId="7B156636">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支持作业优先级设置功能，可支持9级优先级设置，在作业任务资源分配优先级上进行细粒度控制。</w:t>
            </w:r>
          </w:p>
        </w:tc>
      </w:tr>
      <w:tr w14:paraId="04E8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Align w:val="center"/>
          </w:tcPr>
          <w:p w14:paraId="0354C710">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图编程</w:t>
            </w:r>
          </w:p>
        </w:tc>
        <w:tc>
          <w:tcPr>
            <w:tcW w:w="8039" w:type="dxa"/>
          </w:tcPr>
          <w:p w14:paraId="0C4A608E">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支持的Graph图编程功能，支持面向迭代的图计算处理框架。</w:t>
            </w:r>
          </w:p>
        </w:tc>
      </w:tr>
      <w:tr w14:paraId="6D4C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Align w:val="center"/>
          </w:tcPr>
          <w:p w14:paraId="78223B4B">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机器学习算法</w:t>
            </w:r>
          </w:p>
        </w:tc>
        <w:tc>
          <w:tcPr>
            <w:tcW w:w="8039" w:type="dxa"/>
          </w:tcPr>
          <w:p w14:paraId="7ECF884C">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支持分布式的集群学习算法库，包括逻辑回归、随机森林、GBRT、决策树、线性支持向量机、朴素贝叶斯、GBDT等算法。</w:t>
            </w:r>
          </w:p>
        </w:tc>
      </w:tr>
      <w:tr w14:paraId="5A70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Align w:val="center"/>
          </w:tcPr>
          <w:p w14:paraId="1E172640">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多租户</w:t>
            </w:r>
          </w:p>
        </w:tc>
        <w:tc>
          <w:tcPr>
            <w:tcW w:w="8039" w:type="dxa"/>
            <w:vAlign w:val="center"/>
          </w:tcPr>
          <w:p w14:paraId="053046EF">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支持多租户，支持用户空间保护与跨用户空间访问授权。支持项目空间级别的安全配置，项目拥有者可以定制适合自己的外部账号支持和鉴权模型。</w:t>
            </w:r>
          </w:p>
        </w:tc>
      </w:tr>
      <w:tr w14:paraId="5EA1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restart"/>
            <w:vAlign w:val="center"/>
          </w:tcPr>
          <w:p w14:paraId="6ECA11C5">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安全性</w:t>
            </w:r>
          </w:p>
        </w:tc>
        <w:tc>
          <w:tcPr>
            <w:tcW w:w="8039" w:type="dxa"/>
            <w:vAlign w:val="center"/>
          </w:tcPr>
          <w:p w14:paraId="6B8910F4">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具备完善的用户和权限认证机制，支持ACL和Policy授权机制。</w:t>
            </w:r>
          </w:p>
        </w:tc>
      </w:tr>
      <w:tr w14:paraId="0A73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vAlign w:val="center"/>
          </w:tcPr>
          <w:p w14:paraId="349F1A64">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9" w:type="dxa"/>
            <w:vAlign w:val="center"/>
          </w:tcPr>
          <w:p w14:paraId="4C74839D">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具备完善的用户空间隔离机制，提供多级安全沙箱防护及监控能力，保障用户数据的私密性。</w:t>
            </w:r>
          </w:p>
        </w:tc>
      </w:tr>
      <w:tr w14:paraId="42DA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vAlign w:val="center"/>
          </w:tcPr>
          <w:p w14:paraId="04C993CC">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9" w:type="dxa"/>
            <w:vAlign w:val="center"/>
          </w:tcPr>
          <w:p w14:paraId="01D52232">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为提升安全性，对数据的访问必须通过统一访问和授权入口，且底层文件形态对用户不可见。</w:t>
            </w:r>
          </w:p>
        </w:tc>
      </w:tr>
      <w:tr w14:paraId="522A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vAlign w:val="center"/>
          </w:tcPr>
          <w:p w14:paraId="177C0ECF">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9" w:type="dxa"/>
            <w:vAlign w:val="center"/>
          </w:tcPr>
          <w:p w14:paraId="355125FE">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支持多粒度的数据授权访问，可针对单表或某一字段指定授权。</w:t>
            </w:r>
          </w:p>
        </w:tc>
      </w:tr>
      <w:tr w14:paraId="750D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vAlign w:val="center"/>
          </w:tcPr>
          <w:p w14:paraId="1E32512E">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9" w:type="dxa"/>
            <w:vAlign w:val="center"/>
          </w:tcPr>
          <w:p w14:paraId="5202F65F">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提供用户操作审计功能。</w:t>
            </w:r>
          </w:p>
        </w:tc>
      </w:tr>
      <w:tr w14:paraId="1B4B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37" w:type="dxa"/>
            <w:vMerge w:val="restart"/>
            <w:vAlign w:val="center"/>
          </w:tcPr>
          <w:p w14:paraId="5CBDCB76">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高可用性</w:t>
            </w:r>
          </w:p>
        </w:tc>
        <w:tc>
          <w:tcPr>
            <w:tcW w:w="8039" w:type="dxa"/>
          </w:tcPr>
          <w:p w14:paraId="7E40E61C">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大数据计算平台底层采用分布式文件系统，数据存储可达到三副本可靠性；数据可靠性不低于99.99%。</w:t>
            </w:r>
          </w:p>
        </w:tc>
      </w:tr>
      <w:tr w14:paraId="397C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Merge w:val="continue"/>
            <w:vAlign w:val="center"/>
          </w:tcPr>
          <w:p w14:paraId="5F769B18">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9" w:type="dxa"/>
          </w:tcPr>
          <w:p w14:paraId="6CCE47F8">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采用全冗余架构，无单点故障；服务可用性不低于99.9%。</w:t>
            </w:r>
          </w:p>
        </w:tc>
      </w:tr>
      <w:tr w14:paraId="3607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Align w:val="center"/>
          </w:tcPr>
          <w:p w14:paraId="2AB9F489">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扩展性</w:t>
            </w:r>
          </w:p>
        </w:tc>
        <w:tc>
          <w:tcPr>
            <w:tcW w:w="8039" w:type="dxa"/>
            <w:vAlign w:val="center"/>
          </w:tcPr>
          <w:p w14:paraId="44BCB1AB">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支持将数据以结构化的二维表的形式处理，二维表支持分区。</w:t>
            </w:r>
          </w:p>
        </w:tc>
      </w:tr>
      <w:tr w14:paraId="3F8B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37" w:type="dxa"/>
            <w:vAlign w:val="center"/>
          </w:tcPr>
          <w:p w14:paraId="5DD2D672">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数据管理</w:t>
            </w:r>
          </w:p>
        </w:tc>
        <w:tc>
          <w:tcPr>
            <w:tcW w:w="8039" w:type="dxa"/>
            <w:vAlign w:val="center"/>
          </w:tcPr>
          <w:p w14:paraId="65146FD1">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支持列存储结构，支持数据压缩存储，最大可压缩5倍。</w:t>
            </w:r>
          </w:p>
        </w:tc>
      </w:tr>
    </w:tbl>
    <w:p w14:paraId="3E94EF66">
      <w:pPr>
        <w:spacing w:line="400" w:lineRule="atLeast"/>
        <w:rPr>
          <w:rFonts w:ascii="宋体" w:hAnsi="宋体" w:cs="宋体"/>
          <w:bCs/>
          <w:color w:val="auto"/>
          <w:kern w:val="0"/>
          <w:sz w:val="22"/>
          <w:szCs w:val="22"/>
          <w:highlight w:val="none"/>
          <w:lang w:val="zh-CN"/>
        </w:rPr>
      </w:pPr>
      <w:r>
        <w:rPr>
          <w:rFonts w:hint="eastAsia" w:ascii="宋体" w:hAnsi="宋体" w:cs="宋体"/>
          <w:bCs/>
          <w:color w:val="auto"/>
          <w:kern w:val="0"/>
          <w:sz w:val="22"/>
          <w:szCs w:val="22"/>
          <w:highlight w:val="none"/>
          <w:lang w:val="zh-CN"/>
        </w:rPr>
        <w:t>2、大数据开发套件服务</w:t>
      </w:r>
    </w:p>
    <w:tbl>
      <w:tblPr>
        <w:tblStyle w:val="46"/>
        <w:tblW w:w="975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7945"/>
      </w:tblGrid>
      <w:tr w14:paraId="278A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14:paraId="3FB9E1BD">
            <w:pPr>
              <w:keepNext w:val="0"/>
              <w:keepLines w:val="0"/>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7945" w:type="dxa"/>
            <w:vAlign w:val="center"/>
          </w:tcPr>
          <w:p w14:paraId="4F86BF65">
            <w:pPr>
              <w:keepNext w:val="0"/>
              <w:keepLines w:val="0"/>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11F0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07" w:type="dxa"/>
            <w:vAlign w:val="center"/>
          </w:tcPr>
          <w:p w14:paraId="1C3DCC61">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数据集成基础模块</w:t>
            </w:r>
          </w:p>
        </w:tc>
        <w:tc>
          <w:tcPr>
            <w:tcW w:w="7945" w:type="dxa"/>
          </w:tcPr>
          <w:p w14:paraId="3FCA7D79">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新建时，支持开发项目、测试项目、预发项目、生产项目，分别用做开发环境、测试环境、预发环境、生产环境；支持不同的环境采用不同的计算引擎，保障环境之间的独立性和隔离性，并支持指定不同项目之间的发布关系。</w:t>
            </w:r>
          </w:p>
        </w:tc>
      </w:tr>
      <w:tr w14:paraId="0774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07" w:type="dxa"/>
            <w:vAlign w:val="center"/>
          </w:tcPr>
          <w:p w14:paraId="7ECC5BAB">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安全性要求</w:t>
            </w:r>
          </w:p>
        </w:tc>
        <w:tc>
          <w:tcPr>
            <w:tcW w:w="7945" w:type="dxa"/>
            <w:vAlign w:val="center"/>
          </w:tcPr>
          <w:p w14:paraId="010A2EDF">
            <w:pPr>
              <w:keepNext w:val="0"/>
              <w:keepLines w:val="0"/>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具备完善的权限认证与隔离机制，保障用户数据的私密性。</w:t>
            </w:r>
          </w:p>
        </w:tc>
      </w:tr>
    </w:tbl>
    <w:p w14:paraId="041C6B46">
      <w:pPr>
        <w:adjustRightInd w:val="0"/>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（六）云安全服务</w:t>
      </w:r>
    </w:p>
    <w:p w14:paraId="183BE072">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（1）安全目标</w:t>
      </w:r>
      <w:bookmarkEnd w:id="33"/>
    </w:p>
    <w:p w14:paraId="04A2CAEB">
      <w:pPr>
        <w:tabs>
          <w:tab w:val="left" w:pos="720"/>
          <w:tab w:val="left" w:pos="5040"/>
        </w:tabs>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1、明确安全工作界面、维护责任界面</w:t>
      </w:r>
    </w:p>
    <w:p w14:paraId="55034755">
      <w:pPr>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明确定义政务云安全工作中的关键角色及其安全工作任务；规划设计政务云信息安全管理组织架构，细化各岗位的工作职责。全面梳理各个关键角色的安全工作内容及责任划分，细化事前、事中、事后各项安全工作的分工和各角色之间的责任边界。</w:t>
      </w:r>
    </w:p>
    <w:p w14:paraId="5CC93A86">
      <w:pPr>
        <w:tabs>
          <w:tab w:val="left" w:pos="720"/>
          <w:tab w:val="left" w:pos="5040"/>
        </w:tabs>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2、建立全面的安全监测机制</w:t>
      </w:r>
    </w:p>
    <w:p w14:paraId="68FEE711">
      <w:pPr>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内部对云计算平台、网络设备、安全设备、应用软件等进行多层次的动态事件监控；外部实施全网全方位的网络安全监测，实现安全事件的统一收集和处理，用于预警、分析和追查。实现尽早预测安全威胁、及时发现安全事件；进而快速做好防护应对，全面掌控政务云的安全现状。</w:t>
      </w:r>
    </w:p>
    <w:p w14:paraId="1F77C2AB">
      <w:pPr>
        <w:tabs>
          <w:tab w:val="left" w:pos="720"/>
          <w:tab w:val="left" w:pos="5040"/>
        </w:tabs>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3、综合运用各种安全保障技术解决实际问题</w:t>
      </w:r>
    </w:p>
    <w:p w14:paraId="2287A0CA">
      <w:pPr>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根据应用的实际安全需求制定切实可行的安全防护策略。将传统安全保障措施与先进安全技术相结合，科学解决云计算应用和互联网发展带来的网络安全风险与隐患，保障云平台安全和各种具体应用场景下的安全，有效提高抵御和防范风险能力。</w:t>
      </w:r>
    </w:p>
    <w:p w14:paraId="02D41895">
      <w:pPr>
        <w:adjustRightInd w:val="0"/>
        <w:snapToGrid w:val="0"/>
        <w:spacing w:line="400" w:lineRule="atLeast"/>
        <w:ind w:firstLine="440" w:firstLineChars="200"/>
        <w:rPr>
          <w:rFonts w:ascii="宋体" w:hAnsi="宋体"/>
          <w:color w:val="auto"/>
          <w:kern w:val="0"/>
          <w:sz w:val="22"/>
          <w:szCs w:val="22"/>
          <w:highlight w:val="none"/>
        </w:rPr>
      </w:pPr>
      <w:bookmarkStart w:id="36" w:name="_Toc10032581"/>
      <w:bookmarkStart w:id="37" w:name="_Toc47481027"/>
      <w:r>
        <w:rPr>
          <w:rFonts w:hint="eastAsia" w:ascii="宋体" w:hAnsi="宋体"/>
          <w:color w:val="auto"/>
          <w:kern w:val="0"/>
          <w:sz w:val="22"/>
          <w:szCs w:val="22"/>
          <w:highlight w:val="none"/>
        </w:rPr>
        <w:t>（2）云备份</w:t>
      </w:r>
      <w:bookmarkEnd w:id="36"/>
      <w:bookmarkEnd w:id="37"/>
    </w:p>
    <w:tbl>
      <w:tblPr>
        <w:tblStyle w:val="46"/>
        <w:tblW w:w="9729"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8138"/>
      </w:tblGrid>
      <w:tr w14:paraId="092D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1591" w:type="dxa"/>
            <w:noWrap/>
            <w:vAlign w:val="center"/>
          </w:tcPr>
          <w:p w14:paraId="53640BE6">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138" w:type="dxa"/>
            <w:noWrap/>
            <w:vAlign w:val="center"/>
          </w:tcPr>
          <w:p w14:paraId="7093AB83">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0D9D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91" w:type="dxa"/>
            <w:noWrap/>
            <w:vAlign w:val="center"/>
          </w:tcPr>
          <w:p w14:paraId="10E14E60">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备份兼容性</w:t>
            </w:r>
          </w:p>
        </w:tc>
        <w:tc>
          <w:tcPr>
            <w:tcW w:w="8138" w:type="dxa"/>
            <w:noWrap/>
            <w:vAlign w:val="center"/>
          </w:tcPr>
          <w:p w14:paraId="66E629E5">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支持LAN、LAN-free等多种备份方式。</w:t>
            </w:r>
          </w:p>
        </w:tc>
      </w:tr>
      <w:tr w14:paraId="40CA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91" w:type="dxa"/>
            <w:noWrap/>
            <w:vAlign w:val="center"/>
          </w:tcPr>
          <w:p w14:paraId="62F84AC2">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备份方式</w:t>
            </w:r>
          </w:p>
        </w:tc>
        <w:tc>
          <w:tcPr>
            <w:tcW w:w="8138" w:type="dxa"/>
            <w:noWrap/>
            <w:vAlign w:val="center"/>
          </w:tcPr>
          <w:p w14:paraId="0E030374">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备份系统为专用基于Linux的64位嵌入式系统，减少病毒感染几率，确保系统稳定。</w:t>
            </w:r>
          </w:p>
        </w:tc>
      </w:tr>
      <w:tr w14:paraId="68E3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1" w:type="dxa"/>
            <w:shd w:val="clear" w:color="auto" w:fill="auto"/>
            <w:noWrap/>
            <w:vAlign w:val="center"/>
          </w:tcPr>
          <w:p w14:paraId="4034CEA6">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备份安全性</w:t>
            </w:r>
          </w:p>
        </w:tc>
        <w:tc>
          <w:tcPr>
            <w:tcW w:w="8138" w:type="dxa"/>
            <w:shd w:val="clear" w:color="000000" w:fill="FFFFFF"/>
            <w:vAlign w:val="center"/>
          </w:tcPr>
          <w:p w14:paraId="76C675FC">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产品可实现对物理机环境以及虚拟机环境的的一体化保护（一个备份模块，无需单独配置其他备份模块），实现对机房重要系统的统一备份与管理。</w:t>
            </w:r>
          </w:p>
        </w:tc>
      </w:tr>
      <w:tr w14:paraId="2533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91" w:type="dxa"/>
            <w:vMerge w:val="restart"/>
            <w:shd w:val="clear" w:color="000000" w:fill="FFFFFF"/>
            <w:noWrap/>
            <w:vAlign w:val="center"/>
          </w:tcPr>
          <w:p w14:paraId="180AD30F">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同步备份</w:t>
            </w:r>
          </w:p>
        </w:tc>
        <w:tc>
          <w:tcPr>
            <w:tcW w:w="8138" w:type="dxa"/>
            <w:shd w:val="clear" w:color="000000" w:fill="FFFFFF"/>
            <w:vAlign w:val="center"/>
          </w:tcPr>
          <w:p w14:paraId="49E986CF">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产品能实现对应用服务器的一体化备份，实现对服务器上隐藏分区、操作系统分区、数据分区等所有分区一体化直接实时备份成虚拟化磁盘镜像格式(无需第三方工具转换)；千兆网环境初始化备份，任何类型应用和数据都能保持速度不低于60MB/s；基于磁盘卷变化增量复制，复制系统卷分区大小，属性，权限，加密等要必须完全一致。</w:t>
            </w:r>
          </w:p>
        </w:tc>
      </w:tr>
      <w:tr w14:paraId="7B38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91" w:type="dxa"/>
            <w:vMerge w:val="continue"/>
            <w:shd w:val="clear" w:color="auto" w:fill="auto"/>
            <w:vAlign w:val="center"/>
          </w:tcPr>
          <w:p w14:paraId="59CF4572">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shd w:val="clear" w:color="000000" w:fill="FFFFFF"/>
            <w:vAlign w:val="center"/>
          </w:tcPr>
          <w:p w14:paraId="5EDF64B7">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采用块级复制技术，支持数据的增量备份，系统能实现将包括系统、应用以及数据在内的整机直接实时备份成虚拟化磁盘镜像格式，可实现数据的秒级同步。</w:t>
            </w:r>
          </w:p>
        </w:tc>
      </w:tr>
      <w:tr w14:paraId="7467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91" w:type="dxa"/>
            <w:vMerge w:val="continue"/>
            <w:shd w:val="clear" w:color="auto" w:fill="auto"/>
            <w:vAlign w:val="center"/>
          </w:tcPr>
          <w:p w14:paraId="296102B4">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shd w:val="clear" w:color="000000" w:fill="FFFFFF"/>
            <w:vAlign w:val="center"/>
          </w:tcPr>
          <w:p w14:paraId="513EE853">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支持对备份数据的快照功能，支持保留不同时间版本的备份数据。</w:t>
            </w:r>
          </w:p>
        </w:tc>
      </w:tr>
      <w:tr w14:paraId="1584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91" w:type="dxa"/>
            <w:vMerge w:val="continue"/>
            <w:shd w:val="clear" w:color="auto" w:fill="auto"/>
            <w:vAlign w:val="center"/>
          </w:tcPr>
          <w:p w14:paraId="7473ADB0">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shd w:val="clear" w:color="000000" w:fill="FFFFFF"/>
            <w:noWrap/>
            <w:vAlign w:val="center"/>
          </w:tcPr>
          <w:p w14:paraId="2FB2453A">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支持对备份数据的安全删除策略设置，支持对备份数据集阀值设置。</w:t>
            </w:r>
          </w:p>
        </w:tc>
      </w:tr>
      <w:tr w14:paraId="49B6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91" w:type="dxa"/>
            <w:vMerge w:val="continue"/>
            <w:shd w:val="clear" w:color="auto" w:fill="auto"/>
            <w:vAlign w:val="center"/>
          </w:tcPr>
          <w:p w14:paraId="06EF61B9">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shd w:val="clear" w:color="000000" w:fill="FFFFFF"/>
            <w:noWrap/>
            <w:vAlign w:val="center"/>
          </w:tcPr>
          <w:p w14:paraId="6D1BF3F9">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color w:val="auto"/>
                <w:sz w:val="22"/>
                <w:szCs w:val="22"/>
                <w:highlight w:val="none"/>
              </w:rPr>
              <w:t>支持平台内源生的OVS虚拟网络；支持平台与不同的OVS虚拟网络间互相联通，提升平台与不同网络间的互联互通。</w:t>
            </w:r>
          </w:p>
        </w:tc>
      </w:tr>
      <w:tr w14:paraId="06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91" w:type="dxa"/>
            <w:vMerge w:val="continue"/>
            <w:shd w:val="clear" w:color="auto" w:fill="auto"/>
            <w:vAlign w:val="center"/>
          </w:tcPr>
          <w:p w14:paraId="4F15A22D">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shd w:val="clear" w:color="000000" w:fill="FFFFFF"/>
            <w:noWrap/>
            <w:vAlign w:val="center"/>
          </w:tcPr>
          <w:p w14:paraId="4D7CD802">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支持对同步时间段设置，可以设定只允许在某个时间段进行同步。</w:t>
            </w:r>
          </w:p>
        </w:tc>
      </w:tr>
      <w:tr w14:paraId="76DA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91" w:type="dxa"/>
            <w:vMerge w:val="continue"/>
            <w:shd w:val="clear" w:color="auto" w:fill="auto"/>
            <w:vAlign w:val="center"/>
          </w:tcPr>
          <w:p w14:paraId="5B4BA279">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shd w:val="clear" w:color="000000" w:fill="FFFFFF"/>
            <w:noWrap/>
            <w:vAlign w:val="center"/>
          </w:tcPr>
          <w:p w14:paraId="5EB80E79">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支持对快照时间段进行设置，可设定只允许在某个时间段进行快照。</w:t>
            </w:r>
          </w:p>
        </w:tc>
      </w:tr>
      <w:tr w14:paraId="2330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91" w:type="dxa"/>
            <w:vMerge w:val="continue"/>
            <w:shd w:val="clear" w:color="auto" w:fill="auto"/>
            <w:vAlign w:val="center"/>
          </w:tcPr>
          <w:p w14:paraId="023F435D">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shd w:val="clear" w:color="000000" w:fill="FFFFFF"/>
            <w:noWrap/>
            <w:vAlign w:val="center"/>
          </w:tcPr>
          <w:p w14:paraId="42B4E92A">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支持将本地备份数据可远程复制到异地，当本地发生场地灾难时，依旧可以通过异地的备份数据进行恢复。</w:t>
            </w:r>
          </w:p>
        </w:tc>
      </w:tr>
      <w:tr w14:paraId="32E1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1" w:type="dxa"/>
            <w:vMerge w:val="continue"/>
            <w:shd w:val="clear" w:color="auto" w:fill="auto"/>
            <w:vAlign w:val="center"/>
          </w:tcPr>
          <w:p w14:paraId="22FF1F72">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shd w:val="clear" w:color="000000" w:fill="FFFFFF"/>
            <w:vAlign w:val="center"/>
          </w:tcPr>
          <w:p w14:paraId="517AACA1">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支持断点续传特性，当远程复制过程中出现中断时，恢复正常后可基于上一次断点处进行续传。</w:t>
            </w:r>
          </w:p>
        </w:tc>
      </w:tr>
      <w:tr w14:paraId="783E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1" w:type="dxa"/>
            <w:vMerge w:val="continue"/>
            <w:shd w:val="clear" w:color="auto" w:fill="auto"/>
            <w:vAlign w:val="center"/>
          </w:tcPr>
          <w:p w14:paraId="6A5C1680">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shd w:val="clear" w:color="000000" w:fill="FFFFFF"/>
            <w:vAlign w:val="center"/>
          </w:tcPr>
          <w:p w14:paraId="390534FE">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支持流量限速及固定时段暂停传输，当远程复制链路资源比较紧张时，可通过流量限速和在固定时段内暂停远程复制以减小对正常业务的影响。</w:t>
            </w:r>
          </w:p>
        </w:tc>
      </w:tr>
      <w:tr w14:paraId="0963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1" w:type="dxa"/>
            <w:vMerge w:val="continue"/>
            <w:vAlign w:val="center"/>
          </w:tcPr>
          <w:p w14:paraId="15D50064">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vAlign w:val="center"/>
          </w:tcPr>
          <w:p w14:paraId="034D6A9B">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支持整机备份、数据库单独备份等多种备份功能，整机备份支持全盘备份与增量备份，数据库备份支持全备份、增量备份以及差异备份等多种模式。</w:t>
            </w:r>
          </w:p>
        </w:tc>
      </w:tr>
      <w:tr w14:paraId="2F7A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91" w:type="dxa"/>
            <w:vMerge w:val="continue"/>
            <w:vAlign w:val="center"/>
          </w:tcPr>
          <w:p w14:paraId="5CE6954C">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vAlign w:val="center"/>
          </w:tcPr>
          <w:p w14:paraId="282DDA28">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备份数据的远程挂载，备份的格式文件中任何时间点的硬盘分区远程挂载任意设备上，从而实现小文件和单个库文件的恢复。挂载分区属性大小等与原机保持完全一致。直接通过文件拷贝的方式即可实现对单个文件的颗粒级恢复。</w:t>
            </w:r>
          </w:p>
        </w:tc>
      </w:tr>
      <w:tr w14:paraId="4FB8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91" w:type="dxa"/>
            <w:vMerge w:val="continue"/>
            <w:vAlign w:val="center"/>
          </w:tcPr>
          <w:p w14:paraId="3246F9F4">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vAlign w:val="center"/>
          </w:tcPr>
          <w:p w14:paraId="55122883">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color w:val="auto"/>
                <w:sz w:val="22"/>
                <w:szCs w:val="22"/>
                <w:highlight w:val="none"/>
              </w:rPr>
              <w:t>支持各种单机环境、主备集群、RAC集群的应急接管，支持本地磁盘、共享磁盘、多路径软件环境。</w:t>
            </w:r>
          </w:p>
        </w:tc>
      </w:tr>
      <w:tr w14:paraId="1B27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1" w:type="dxa"/>
            <w:vMerge w:val="restart"/>
            <w:shd w:val="clear" w:color="000000" w:fill="FFFFFF"/>
            <w:noWrap/>
            <w:vAlign w:val="center"/>
          </w:tcPr>
          <w:p w14:paraId="14488C30">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业务恢复</w:t>
            </w:r>
          </w:p>
        </w:tc>
        <w:tc>
          <w:tcPr>
            <w:tcW w:w="8138" w:type="dxa"/>
            <w:vAlign w:val="center"/>
          </w:tcPr>
          <w:p w14:paraId="119FB2C5">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支持对备份业务系统的分区恢复功能，可直接进行系统分区或者数据分区的单个分区的数据恢复。</w:t>
            </w:r>
          </w:p>
        </w:tc>
      </w:tr>
      <w:tr w14:paraId="5893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1" w:type="dxa"/>
            <w:vMerge w:val="continue"/>
            <w:vAlign w:val="center"/>
          </w:tcPr>
          <w:p w14:paraId="7D423AB9">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vAlign w:val="center"/>
          </w:tcPr>
          <w:p w14:paraId="72AC92A2">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提供对备份业务系统的整机恢复功能，可直接实现操作系统、应用环境以及生产数据的一体化整体恢复。</w:t>
            </w:r>
          </w:p>
        </w:tc>
      </w:tr>
      <w:tr w14:paraId="0772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1" w:type="dxa"/>
            <w:vMerge w:val="continue"/>
            <w:vAlign w:val="center"/>
          </w:tcPr>
          <w:p w14:paraId="5C6F783E">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vAlign w:val="center"/>
          </w:tcPr>
          <w:p w14:paraId="4333449F">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color w:val="auto"/>
                <w:sz w:val="22"/>
                <w:szCs w:val="22"/>
                <w:highlight w:val="none"/>
              </w:rPr>
              <w:t>支持1对多温热灾备，单平台可实现不低于20:1的主机在线容灾规模；支持业务主机分钟级的容灾恢复能力。（提供实现业务快速恢复相关证明文件）。</w:t>
            </w:r>
          </w:p>
        </w:tc>
      </w:tr>
      <w:tr w14:paraId="3CE7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1" w:type="dxa"/>
            <w:vMerge w:val="continue"/>
            <w:vAlign w:val="center"/>
          </w:tcPr>
          <w:p w14:paraId="6D166A1C">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vAlign w:val="center"/>
          </w:tcPr>
          <w:p w14:paraId="77AF972B">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color w:val="auto"/>
                <w:sz w:val="22"/>
                <w:szCs w:val="22"/>
                <w:highlight w:val="none"/>
              </w:rPr>
              <w:t>支持主机的平台解耦后，构建成独立的VM系统文件；支持解耦后的VM文件，可耦合到不同的云平台上，便于在不同云平台间的统一灾备。</w:t>
            </w:r>
          </w:p>
        </w:tc>
      </w:tr>
      <w:tr w14:paraId="2B6B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91" w:type="dxa"/>
            <w:vMerge w:val="continue"/>
            <w:vAlign w:val="center"/>
          </w:tcPr>
          <w:p w14:paraId="6AE0A976">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vAlign w:val="center"/>
          </w:tcPr>
          <w:p w14:paraId="21EA98A5">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产品支持对不同品牌不同型号不同配置服务器的本地/远程恢复功能，可直接将故障生产系统整机本地/远程恢复到不同品牌不同型号不同配置的服务器上，恢复包括操作系统、应用环境以及生产数据等所有数据，恢复完成之后，开机即可用。</w:t>
            </w:r>
          </w:p>
        </w:tc>
      </w:tr>
      <w:tr w14:paraId="6A3F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591" w:type="dxa"/>
            <w:vMerge w:val="continue"/>
            <w:vAlign w:val="center"/>
          </w:tcPr>
          <w:p w14:paraId="6330FA41">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vAlign w:val="center"/>
          </w:tcPr>
          <w:p w14:paraId="0ADBD06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能模拟采购人任何基于X86架构的应用环境，一键可仿真原应用生产环境（系统+数据）。可同时启动多个时间版本，整个测试过程对平台作业和生产业务无任何影响。可对测试过程进行手动/自动的流程化记录保存，包括截图、日志等形式，对测试进行全流程管理。支持用户同一套业务包含多台主机的整套环境的模拟；不接受手动搭建、配置任何模块。</w:t>
            </w:r>
          </w:p>
        </w:tc>
      </w:tr>
      <w:tr w14:paraId="0E63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591" w:type="dxa"/>
            <w:vMerge w:val="continue"/>
            <w:vAlign w:val="center"/>
          </w:tcPr>
          <w:p w14:paraId="230C78ED">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vAlign w:val="center"/>
          </w:tcPr>
          <w:p w14:paraId="0AF4DA2D">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color w:val="auto"/>
                <w:sz w:val="22"/>
                <w:szCs w:val="22"/>
                <w:highlight w:val="none"/>
              </w:rPr>
              <w:t>GIS分级管理。支持基于地图，多系统集中管控，实时信息采集和展示，提供精准区域故障报警功能及系统资源分布情况信息。</w:t>
            </w:r>
          </w:p>
        </w:tc>
      </w:tr>
      <w:tr w14:paraId="182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91" w:type="dxa"/>
            <w:vMerge w:val="restart"/>
            <w:shd w:val="clear" w:color="000000" w:fill="FFFFFF"/>
            <w:noWrap/>
            <w:vAlign w:val="center"/>
          </w:tcPr>
          <w:p w14:paraId="7CA4E81D">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业务预警</w:t>
            </w:r>
          </w:p>
        </w:tc>
        <w:tc>
          <w:tcPr>
            <w:tcW w:w="8138" w:type="dxa"/>
            <w:vAlign w:val="center"/>
          </w:tcPr>
          <w:p w14:paraId="678F76CA">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要求存储管理、存储快照复制管理、备份管理、远程复制管理、用户及权限管理等均在一个管理界面内，中文界面，基于WEB管理模式，易于管理与维护。</w:t>
            </w:r>
          </w:p>
        </w:tc>
      </w:tr>
      <w:tr w14:paraId="6252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91" w:type="dxa"/>
            <w:vMerge w:val="continue"/>
            <w:shd w:val="clear" w:color="000000" w:fill="FFFFFF"/>
            <w:noWrap/>
            <w:vAlign w:val="center"/>
          </w:tcPr>
          <w:p w14:paraId="76DA7A39">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138" w:type="dxa"/>
            <w:vAlign w:val="center"/>
          </w:tcPr>
          <w:p w14:paraId="235CE509">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color w:val="auto"/>
                <w:sz w:val="22"/>
                <w:szCs w:val="22"/>
                <w:highlight w:val="none"/>
              </w:rPr>
              <w:t>能够监测被保护服务器的CPU/内存/网络/IO等性能，对数据库/中间件等其他应用能够监控运行状况；能够模拟用户访问方式对各种应用服务提供运行安全监控，支持用户自定义数据库、应用监控脚本的运行。并提供基于事件的统计报表、生成图表，提供邮件、短信等通知手段。对备份系统各种状况进行统计和报警，并提供各种统计报表。</w:t>
            </w:r>
          </w:p>
        </w:tc>
      </w:tr>
    </w:tbl>
    <w:p w14:paraId="337162B9">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（3）异地备份</w:t>
      </w:r>
    </w:p>
    <w:p w14:paraId="4A6BC97B">
      <w:pPr>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供应商需为云平台的数据提供异地备份节点，备份节点和本地节点的距离要求大于60公里。</w:t>
      </w:r>
    </w:p>
    <w:tbl>
      <w:tblPr>
        <w:tblStyle w:val="46"/>
        <w:tblW w:w="9729"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8223"/>
      </w:tblGrid>
      <w:tr w14:paraId="6143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06" w:type="dxa"/>
            <w:noWrap/>
            <w:vAlign w:val="center"/>
          </w:tcPr>
          <w:p w14:paraId="5AB9541B">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223" w:type="dxa"/>
            <w:noWrap/>
            <w:vAlign w:val="center"/>
          </w:tcPr>
          <w:p w14:paraId="0755755D">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5AD8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06" w:type="dxa"/>
            <w:noWrap/>
            <w:vAlign w:val="center"/>
          </w:tcPr>
          <w:p w14:paraId="3EEE162D">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备份方式</w:t>
            </w:r>
          </w:p>
        </w:tc>
        <w:tc>
          <w:tcPr>
            <w:tcW w:w="8223" w:type="dxa"/>
            <w:noWrap/>
            <w:vAlign w:val="center"/>
          </w:tcPr>
          <w:p w14:paraId="097944A0">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备份系统为专用基于Linux的64位嵌入式系统，减少病毒感染几率，确保系统稳定。</w:t>
            </w:r>
          </w:p>
        </w:tc>
      </w:tr>
      <w:tr w14:paraId="5B0D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6" w:type="dxa"/>
            <w:shd w:val="clear" w:color="auto" w:fill="auto"/>
            <w:noWrap/>
            <w:vAlign w:val="center"/>
          </w:tcPr>
          <w:p w14:paraId="73A98007">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备份安全性</w:t>
            </w:r>
          </w:p>
        </w:tc>
        <w:tc>
          <w:tcPr>
            <w:tcW w:w="8223" w:type="dxa"/>
            <w:shd w:val="clear" w:color="000000" w:fill="FFFFFF"/>
            <w:vAlign w:val="center"/>
          </w:tcPr>
          <w:p w14:paraId="6428FE3D">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产品可实现对物理机环境以及虚拟机环境的的一体化保护（一个备份模块，无需单独配置其他备份模块），实现对机房重要系统的统一备份与管理。</w:t>
            </w:r>
          </w:p>
        </w:tc>
      </w:tr>
      <w:tr w14:paraId="3FAF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06" w:type="dxa"/>
            <w:vMerge w:val="restart"/>
            <w:shd w:val="clear" w:color="000000" w:fill="FFFFFF"/>
            <w:noWrap/>
            <w:vAlign w:val="center"/>
          </w:tcPr>
          <w:p w14:paraId="33694A8D">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同步备份</w:t>
            </w:r>
          </w:p>
        </w:tc>
        <w:tc>
          <w:tcPr>
            <w:tcW w:w="8223" w:type="dxa"/>
            <w:shd w:val="clear" w:color="000000" w:fill="FFFFFF"/>
            <w:vAlign w:val="center"/>
          </w:tcPr>
          <w:p w14:paraId="473C52BE">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产品能实现对应用服务器的一体化备份，实现对服务器上隐藏分区、操作系统分区、数据分区等所有分区一体化直接实时备份成虚拟化磁盘镜像格式(无需第三方工具转换)。</w:t>
            </w:r>
          </w:p>
        </w:tc>
      </w:tr>
      <w:tr w14:paraId="4FBD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06" w:type="dxa"/>
            <w:vMerge w:val="continue"/>
            <w:shd w:val="clear" w:color="auto" w:fill="auto"/>
            <w:vAlign w:val="center"/>
          </w:tcPr>
          <w:p w14:paraId="4A29918C">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223" w:type="dxa"/>
            <w:shd w:val="clear" w:color="000000" w:fill="FFFFFF"/>
            <w:vAlign w:val="center"/>
          </w:tcPr>
          <w:p w14:paraId="3DC8A25B">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采用块级复制技术，支持数据的增量备份，系统能实现将包括系统、应用以及数据在内的整机直接实时备份成虚拟化磁盘镜像格式。</w:t>
            </w:r>
          </w:p>
        </w:tc>
      </w:tr>
      <w:tr w14:paraId="7CB4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06" w:type="dxa"/>
            <w:vMerge w:val="continue"/>
            <w:shd w:val="clear" w:color="auto" w:fill="auto"/>
            <w:vAlign w:val="center"/>
          </w:tcPr>
          <w:p w14:paraId="5805332D">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223" w:type="dxa"/>
            <w:shd w:val="clear" w:color="000000" w:fill="FFFFFF"/>
            <w:noWrap/>
            <w:vAlign w:val="center"/>
          </w:tcPr>
          <w:p w14:paraId="615493B3">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支持对备份数据的安全删除策略设置，支持对备份数据集阀值设置；</w:t>
            </w:r>
          </w:p>
        </w:tc>
      </w:tr>
      <w:tr w14:paraId="2F40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06" w:type="dxa"/>
            <w:vMerge w:val="continue"/>
            <w:shd w:val="clear" w:color="auto" w:fill="auto"/>
            <w:vAlign w:val="center"/>
          </w:tcPr>
          <w:p w14:paraId="25B0B435">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223" w:type="dxa"/>
            <w:shd w:val="clear" w:color="000000" w:fill="FFFFFF"/>
            <w:noWrap/>
            <w:vAlign w:val="center"/>
          </w:tcPr>
          <w:p w14:paraId="682A9959">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color w:val="auto"/>
                <w:sz w:val="22"/>
                <w:szCs w:val="22"/>
                <w:highlight w:val="none"/>
              </w:rPr>
              <w:t>支持平台内源生的OVS虚拟网络；支持平台与不同的OVS虚拟网络间互相联通，提升平台与不同网络间的互联互通。</w:t>
            </w:r>
          </w:p>
        </w:tc>
      </w:tr>
      <w:tr w14:paraId="493E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06" w:type="dxa"/>
            <w:vMerge w:val="continue"/>
            <w:shd w:val="clear" w:color="auto" w:fill="auto"/>
            <w:vAlign w:val="center"/>
          </w:tcPr>
          <w:p w14:paraId="5129D15D">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223" w:type="dxa"/>
            <w:shd w:val="clear" w:color="000000" w:fill="FFFFFF"/>
            <w:noWrap/>
            <w:vAlign w:val="center"/>
          </w:tcPr>
          <w:p w14:paraId="7C67EB43">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支持将本地备份数据可远程复制到异地，当本地发生场地灾难时，依旧可以通过异地的备份数据进行恢复。</w:t>
            </w:r>
          </w:p>
        </w:tc>
      </w:tr>
      <w:tr w14:paraId="39E1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6" w:type="dxa"/>
            <w:vMerge w:val="continue"/>
            <w:shd w:val="clear" w:color="auto" w:fill="auto"/>
            <w:vAlign w:val="center"/>
          </w:tcPr>
          <w:p w14:paraId="1B576EA0">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223" w:type="dxa"/>
            <w:shd w:val="clear" w:color="000000" w:fill="FFFFFF"/>
            <w:vAlign w:val="center"/>
          </w:tcPr>
          <w:p w14:paraId="7D0967E1">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★支持断点续传特性，当远程复制过程中出现中断时，恢复正常后可基于上一次断点处进行续传。（提供截图证明）</w:t>
            </w:r>
          </w:p>
        </w:tc>
      </w:tr>
      <w:tr w14:paraId="0D30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6" w:type="dxa"/>
            <w:vMerge w:val="continue"/>
            <w:shd w:val="clear" w:color="auto" w:fill="auto"/>
            <w:vAlign w:val="center"/>
          </w:tcPr>
          <w:p w14:paraId="3DE4FC0C">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223" w:type="dxa"/>
            <w:shd w:val="clear" w:color="000000" w:fill="FFFFFF"/>
            <w:vAlign w:val="center"/>
          </w:tcPr>
          <w:p w14:paraId="0F62258B">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支持流量限速及固定时段暂停传输，当远程复制链路资源比较紧张时，可通过流量限速和在固定时段内暂停远程复制以减小对正常业务的影响。</w:t>
            </w:r>
          </w:p>
        </w:tc>
      </w:tr>
      <w:tr w14:paraId="16B4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06" w:type="dxa"/>
            <w:vMerge w:val="continue"/>
            <w:vAlign w:val="center"/>
          </w:tcPr>
          <w:p w14:paraId="0238415C">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223" w:type="dxa"/>
            <w:vAlign w:val="center"/>
          </w:tcPr>
          <w:p w14:paraId="65E79B65">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备份数据的远程挂载，备份的格式文件中任何时间点的硬盘分区远程挂载任意设备上，从而实现小文件和单个库文件的恢复。挂载分区属性大小等与原机保持完全一致。直接通过文件拷贝的方式即可实现对单个文件的颗粒级恢复。</w:t>
            </w:r>
          </w:p>
        </w:tc>
      </w:tr>
      <w:tr w14:paraId="2DF0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6" w:type="dxa"/>
            <w:vMerge w:val="restart"/>
            <w:shd w:val="clear" w:color="000000" w:fill="FFFFFF"/>
            <w:noWrap/>
            <w:vAlign w:val="center"/>
          </w:tcPr>
          <w:p w14:paraId="09822889">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业务恢复</w:t>
            </w:r>
          </w:p>
        </w:tc>
        <w:tc>
          <w:tcPr>
            <w:tcW w:w="8223" w:type="dxa"/>
            <w:vAlign w:val="center"/>
          </w:tcPr>
          <w:p w14:paraId="2CD72B66">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支持对备份业务系统的分区恢复功能，可直接进行系统分区或者数据分区的单个分区的数据恢复。</w:t>
            </w:r>
          </w:p>
        </w:tc>
      </w:tr>
      <w:tr w14:paraId="4EAA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6" w:type="dxa"/>
            <w:vMerge w:val="continue"/>
            <w:vAlign w:val="center"/>
          </w:tcPr>
          <w:p w14:paraId="225796C7">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223" w:type="dxa"/>
            <w:vAlign w:val="center"/>
          </w:tcPr>
          <w:p w14:paraId="22128FBE">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提供对备份业务系统的整机恢复功能，可直接实现操作系统、应用环境以及生产数据的一体化整体恢复。</w:t>
            </w:r>
          </w:p>
        </w:tc>
      </w:tr>
      <w:tr w14:paraId="42A1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6" w:type="dxa"/>
            <w:vMerge w:val="continue"/>
            <w:vAlign w:val="center"/>
          </w:tcPr>
          <w:p w14:paraId="24C474B8">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223" w:type="dxa"/>
            <w:vAlign w:val="center"/>
          </w:tcPr>
          <w:p w14:paraId="576B064C">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color w:val="auto"/>
                <w:sz w:val="22"/>
                <w:szCs w:val="22"/>
                <w:highlight w:val="none"/>
              </w:rPr>
              <w:t>支持主机的平台解耦后，构建成独立的VM系统文件；支持解耦后的VM文件，可耦合到不同的云平台上，便于在不同云平台间的统一灾备。</w:t>
            </w:r>
          </w:p>
        </w:tc>
      </w:tr>
      <w:tr w14:paraId="286C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06" w:type="dxa"/>
            <w:vMerge w:val="continue"/>
            <w:vAlign w:val="center"/>
          </w:tcPr>
          <w:p w14:paraId="06F55D9B">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p>
        </w:tc>
        <w:tc>
          <w:tcPr>
            <w:tcW w:w="8223" w:type="dxa"/>
            <w:vAlign w:val="center"/>
          </w:tcPr>
          <w:p w14:paraId="67CCEA25">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产品支持对不同品牌不同型号不同配置服务器的本地/远程恢复功能，可直接将故障生产系统整机本地/远程恢复到不同品牌不同型号不同配置的服务器上，恢复包括操作系统、应用环境以及生产数据等所有数据，恢复完成之后，开机即可用。</w:t>
            </w:r>
          </w:p>
        </w:tc>
      </w:tr>
    </w:tbl>
    <w:p w14:paraId="02A08D25">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（4）自主云安全服务</w:t>
      </w:r>
    </w:p>
    <w:p w14:paraId="2A3CF3CD">
      <w:pPr>
        <w:widowControl/>
        <w:spacing w:line="400" w:lineRule="atLeas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    除基础共性服务全覆盖外，通过建设云安全资源池，落实安全服务目录化，云上用户可根据需要，构建自己的安全防护体系。满足云上用户对安全的各种需要，覆盖从远程接入、边界防护、入侵防护、病毒过滤、终端防护、堡垒机、数据库审计等全面的安全能力。</w:t>
      </w:r>
    </w:p>
    <w:p w14:paraId="628E7E95">
      <w:pPr>
        <w:adjustRightInd w:val="0"/>
        <w:snapToGrid w:val="0"/>
        <w:spacing w:line="400" w:lineRule="atLeast"/>
        <w:ind w:firstLine="440" w:firstLineChars="200"/>
        <w:rPr>
          <w:rFonts w:ascii="宋体" w:hAnsi="宋体"/>
          <w:color w:val="auto"/>
          <w:kern w:val="0"/>
          <w:sz w:val="22"/>
          <w:szCs w:val="22"/>
          <w:highlight w:val="none"/>
        </w:rPr>
      </w:pPr>
      <w:bookmarkStart w:id="38" w:name="_Toc10032574"/>
      <w:bookmarkStart w:id="39" w:name="_Toc47481021"/>
      <w:r>
        <w:rPr>
          <w:rFonts w:hint="eastAsia" w:ascii="宋体" w:hAnsi="宋体"/>
          <w:color w:val="auto"/>
          <w:kern w:val="0"/>
          <w:sz w:val="22"/>
          <w:szCs w:val="22"/>
          <w:highlight w:val="none"/>
        </w:rPr>
        <w:t>1、统一基础云安全服务</w:t>
      </w:r>
      <w:bookmarkEnd w:id="38"/>
      <w:bookmarkEnd w:id="39"/>
    </w:p>
    <w:p w14:paraId="264E5702">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（1）漏洞扫描服务要求</w:t>
      </w:r>
    </w:p>
    <w:tbl>
      <w:tblPr>
        <w:tblStyle w:val="46"/>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8225"/>
      </w:tblGrid>
      <w:tr w14:paraId="5810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484" w:type="dxa"/>
            <w:vAlign w:val="center"/>
          </w:tcPr>
          <w:p w14:paraId="2CA8287D">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225" w:type="dxa"/>
            <w:vAlign w:val="center"/>
          </w:tcPr>
          <w:p w14:paraId="3A376135">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55EA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84" w:type="dxa"/>
            <w:vAlign w:val="center"/>
          </w:tcPr>
          <w:p w14:paraId="3873CBBD">
            <w:pPr>
              <w:keepNext w:val="0"/>
              <w:keepLines w:val="0"/>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漏洞扫描管理</w:t>
            </w:r>
          </w:p>
        </w:tc>
        <w:tc>
          <w:tcPr>
            <w:tcW w:w="8225" w:type="dxa"/>
          </w:tcPr>
          <w:p w14:paraId="1C319EB9">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提供采用SMB、SSH、Telnet、RDP、SNMP等协议对Windows、Linux系统进行登录授权扫描；厂商漏洞特征库不少于53000条；提供详细的漏洞描述和对应的解决方案描述；漏洞知识库与CVE、CNNVD、Bugtraq、CNCVE、CNVD等国际、国内漏洞库标准兼容；主流的应用服务WWW、FTP、DNS、SMTP等等。</w:t>
            </w:r>
          </w:p>
          <w:p w14:paraId="4DD286FC">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2）支持云平台扫描，漏洞覆盖OpenStack、Kvm、VMware、Xen等主流的云计算平台；支持对各种网络主机、操作系统、网络设备(如交换机、路由器、防火墙等)、常用软件以及应用系统的识别和漏洞扫描。</w:t>
            </w:r>
          </w:p>
          <w:p w14:paraId="15C7E842">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支持识别国内外主流Web应用防火墙品牌。</w:t>
            </w:r>
          </w:p>
          <w:p w14:paraId="4F0AE0F6">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3）支持常见Web漏洞类型的扫描，包括SQL注入、跨站脚本、命令执行、命令注入、代码注入、弱口令、目录遍历、URL跳转、文件包含、反序列化漏洞、文件上传、CSRF跨站请求伪造、信息泄露等。支持OWASP TOP10等主流安全漏洞。</w:t>
            </w:r>
          </w:p>
          <w:p w14:paraId="33E39989">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4）支持Oracle、Mysql、SQLServer、DB2、informix、PostgreSQL、Sybase、达梦、人大金仓的授权数据库漏洞扫描。</w:t>
            </w:r>
          </w:p>
          <w:p w14:paraId="36E138AD">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5）支持在线查看报告和离线导出报告，报告导出可将弱口令隐藏不以明文的形式展现至报告。</w:t>
            </w:r>
          </w:p>
        </w:tc>
      </w:tr>
      <w:tr w14:paraId="2212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84" w:type="dxa"/>
            <w:vAlign w:val="center"/>
          </w:tcPr>
          <w:p w14:paraId="6A3F43DE">
            <w:pPr>
              <w:keepNext w:val="0"/>
              <w:keepLines w:val="0"/>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扫描策略管理</w:t>
            </w:r>
          </w:p>
        </w:tc>
        <w:tc>
          <w:tcPr>
            <w:tcW w:w="8225" w:type="dxa"/>
          </w:tcPr>
          <w:p w14:paraId="0B1E6FC7">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1）数据库扫描的漏洞库数量大于3000条，提供详细的漏洞描述和对应的解决方案描述；漏洞知识库与CVE、CNNVD等国际、国内漏洞库标准兼容。</w:t>
            </w:r>
          </w:p>
          <w:p w14:paraId="30047568">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2）用户可自定义扫描端口范围、端口扫描策略等扫描选项。</w:t>
            </w:r>
          </w:p>
          <w:p w14:paraId="7271D518">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3）数据库扫描支持的检测类型大于10种，至少包括弱口令、执行权限过大、访问控制漏洞、提权漏洞、缓冲区溢出漏洞、缺省配置、访问权限绕过、PL-SQL注入、危险程序、安全信息查看等。</w:t>
            </w:r>
          </w:p>
        </w:tc>
      </w:tr>
      <w:tr w14:paraId="1A9E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84" w:type="dxa"/>
            <w:vAlign w:val="center"/>
          </w:tcPr>
          <w:p w14:paraId="040912D3">
            <w:pPr>
              <w:keepNext w:val="0"/>
              <w:keepLines w:val="0"/>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漏洞库</w:t>
            </w:r>
          </w:p>
        </w:tc>
        <w:tc>
          <w:tcPr>
            <w:tcW w:w="8225" w:type="dxa"/>
          </w:tcPr>
          <w:p w14:paraId="09034784">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数据库扫描的漏洞库数量大于3000条，提供详细的漏洞描述和对应的解决方案描述；漏洞知识库与CVE、CNNVD等国际、国内漏洞库标准兼容。</w:t>
            </w:r>
          </w:p>
        </w:tc>
      </w:tr>
      <w:tr w14:paraId="45EC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84" w:type="dxa"/>
            <w:vAlign w:val="center"/>
          </w:tcPr>
          <w:p w14:paraId="1731B1B9">
            <w:pPr>
              <w:keepNext w:val="0"/>
              <w:keepLines w:val="0"/>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c>
          <w:tcPr>
            <w:tcW w:w="8225" w:type="dxa"/>
          </w:tcPr>
          <w:p w14:paraId="1ADECFFD">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每月进行一次全面漏洞扫描，并向政务云平台租户提供漏洞分析报告和修复建议。网络安保重点时期可根据采购方要求，适当增加扫描频次和范围。</w:t>
            </w:r>
          </w:p>
        </w:tc>
      </w:tr>
    </w:tbl>
    <w:p w14:paraId="4CA836D8">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（2）入侵防御服务要求</w:t>
      </w:r>
    </w:p>
    <w:tbl>
      <w:tblPr>
        <w:tblStyle w:val="46"/>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8197"/>
      </w:tblGrid>
      <w:tr w14:paraId="2029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4" w:type="dxa"/>
            <w:vAlign w:val="center"/>
          </w:tcPr>
          <w:p w14:paraId="4BA5D0F0">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197" w:type="dxa"/>
            <w:vAlign w:val="center"/>
          </w:tcPr>
          <w:p w14:paraId="2A1C29BB">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61B2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4" w:type="dxa"/>
            <w:vMerge w:val="restart"/>
            <w:vAlign w:val="center"/>
          </w:tcPr>
          <w:p w14:paraId="7413E7DA">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入侵防护功能</w:t>
            </w:r>
          </w:p>
        </w:tc>
        <w:tc>
          <w:tcPr>
            <w:tcW w:w="8197" w:type="dxa"/>
          </w:tcPr>
          <w:p w14:paraId="69DD2CFA">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系统定义超过8000+条主流攻击规则，包含用户提权、任意代码执行、木马、后门、挖矿、web序列化、webshell等主流防护类型。</w:t>
            </w:r>
          </w:p>
        </w:tc>
      </w:tr>
      <w:tr w14:paraId="1F0E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4" w:type="dxa"/>
            <w:vMerge w:val="continue"/>
            <w:vAlign w:val="center"/>
          </w:tcPr>
          <w:p w14:paraId="3B98A484">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197" w:type="dxa"/>
          </w:tcPr>
          <w:p w14:paraId="70285BF3">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预置防护模板，可基于常见场景进行一键式的安全加固；支持基于常见协议进行异常检查，包括但不限于：HTTP、DNS、SMTP、POP3、FTP；检查内容支持自定义，包括但不限于：url长度、请求头长度、目录长度、host字段、version字段，支持针对每协议设置处置动作和事件等级。</w:t>
            </w:r>
          </w:p>
        </w:tc>
      </w:tr>
      <w:tr w14:paraId="1CD0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4" w:type="dxa"/>
            <w:vMerge w:val="continue"/>
            <w:vAlign w:val="center"/>
          </w:tcPr>
          <w:p w14:paraId="6D7A3097">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197" w:type="dxa"/>
          </w:tcPr>
          <w:p w14:paraId="2B4924EF">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具备防护常见网络协议（SSH、FTP、RDP、VNC、Netbios）和数据库（MySQL、Oracle、MSSQL）的弱密码扫描功能。</w:t>
            </w:r>
          </w:p>
        </w:tc>
      </w:tr>
      <w:tr w14:paraId="390F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484" w:type="dxa"/>
            <w:vMerge w:val="continue"/>
            <w:vAlign w:val="center"/>
          </w:tcPr>
          <w:p w14:paraId="5AD6A84E">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197" w:type="dxa"/>
            <w:vAlign w:val="center"/>
          </w:tcPr>
          <w:p w14:paraId="71AB39FE">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支持日志聚合，可按照源IP、目的IP、防护规则和源目IP等维度进行聚合，方便管理员快速进行攻击事件统计和回溯。</w:t>
            </w:r>
          </w:p>
        </w:tc>
      </w:tr>
      <w:tr w14:paraId="2452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4" w:type="dxa"/>
            <w:vMerge w:val="continue"/>
            <w:vAlign w:val="center"/>
          </w:tcPr>
          <w:p w14:paraId="2E3DEB60">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197" w:type="dxa"/>
          </w:tcPr>
          <w:p w14:paraId="4930D02B">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支持IPS高阶告警功能，可以配置多种告警条件，达到告警规则可通过邮件或者syslog告警，不同告警规则可以发送给不同的用户。</w:t>
            </w:r>
          </w:p>
        </w:tc>
      </w:tr>
      <w:tr w14:paraId="473B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4" w:type="dxa"/>
            <w:vAlign w:val="center"/>
          </w:tcPr>
          <w:p w14:paraId="2B05ECBD">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c>
          <w:tcPr>
            <w:tcW w:w="8197" w:type="dxa"/>
          </w:tcPr>
          <w:p w14:paraId="3E7F58E3">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部署在政务云平台边界，对全流量进行清洗分析，含运维管理服务，安排专人定期巡检和分析日志，及时向政务云平台采购方和租户通报入侵防御重要安全风险事件，并协助租户按需完成策略调整与优化。</w:t>
            </w:r>
          </w:p>
        </w:tc>
      </w:tr>
    </w:tbl>
    <w:p w14:paraId="6B66399F">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（3）防DDoS攻击服务要求</w:t>
      </w:r>
    </w:p>
    <w:tbl>
      <w:tblPr>
        <w:tblStyle w:val="4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8146"/>
      </w:tblGrid>
      <w:tr w14:paraId="2167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4" w:type="dxa"/>
            <w:vAlign w:val="center"/>
          </w:tcPr>
          <w:p w14:paraId="61E540A0">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146" w:type="dxa"/>
            <w:vAlign w:val="center"/>
          </w:tcPr>
          <w:p w14:paraId="267525CE">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0344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4" w:type="dxa"/>
            <w:vMerge w:val="restart"/>
            <w:vAlign w:val="center"/>
          </w:tcPr>
          <w:p w14:paraId="135BBD73">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技术参数</w:t>
            </w:r>
          </w:p>
        </w:tc>
        <w:tc>
          <w:tcPr>
            <w:tcW w:w="8146" w:type="dxa"/>
          </w:tcPr>
          <w:p w14:paraId="2FC2957C">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tc>
      </w:tr>
      <w:tr w14:paraId="5BDD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4" w:type="dxa"/>
            <w:vMerge w:val="continue"/>
            <w:vAlign w:val="center"/>
          </w:tcPr>
          <w:p w14:paraId="19BADD3F">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146" w:type="dxa"/>
          </w:tcPr>
          <w:p w14:paraId="566B736F">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支持云内访问控制，配置云内区域只允许指定的IP地址或IP范围对外进行访问，防止内部伪造源IP对外DoS攻击的情况。</w:t>
            </w:r>
          </w:p>
        </w:tc>
      </w:tr>
      <w:tr w14:paraId="4D1F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4" w:type="dxa"/>
            <w:vMerge w:val="continue"/>
            <w:vAlign w:val="center"/>
          </w:tcPr>
          <w:p w14:paraId="6C47644D">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p>
        </w:tc>
        <w:tc>
          <w:tcPr>
            <w:tcW w:w="8146" w:type="dxa"/>
          </w:tcPr>
          <w:p w14:paraId="6804B32A">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支持对信任区域主机外发的异常流量进行检测，如ICMP，UPD，SYN，DNS Flood等DDoS攻击行为。</w:t>
            </w:r>
          </w:p>
        </w:tc>
      </w:tr>
      <w:tr w14:paraId="5D61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484" w:type="dxa"/>
            <w:vAlign w:val="center"/>
          </w:tcPr>
          <w:p w14:paraId="0084C898">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c>
          <w:tcPr>
            <w:tcW w:w="8146" w:type="dxa"/>
          </w:tcPr>
          <w:p w14:paraId="5BE6A57A">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部署在政务云平台边界，对全流量进行清洗分析，含运维管理服务，安排专人定期巡检和分析日志，及时向政务云平台采购方和租户通报重要安全风险事件。</w:t>
            </w:r>
          </w:p>
        </w:tc>
      </w:tr>
    </w:tbl>
    <w:p w14:paraId="1BCF099C">
      <w:pPr>
        <w:adjustRightInd w:val="0"/>
        <w:snapToGrid w:val="0"/>
        <w:spacing w:line="400" w:lineRule="atLeast"/>
        <w:ind w:firstLine="440" w:firstLineChars="200"/>
        <w:rPr>
          <w:rFonts w:ascii="宋体" w:hAnsi="宋体"/>
          <w:color w:val="auto"/>
          <w:kern w:val="0"/>
          <w:sz w:val="22"/>
          <w:szCs w:val="22"/>
          <w:highlight w:val="none"/>
        </w:rPr>
      </w:pPr>
      <w:bookmarkStart w:id="40" w:name="_Toc10032575"/>
      <w:bookmarkStart w:id="41" w:name="_Toc47481022"/>
      <w:r>
        <w:rPr>
          <w:rFonts w:hint="eastAsia" w:ascii="宋体" w:hAnsi="宋体"/>
          <w:color w:val="auto"/>
          <w:kern w:val="0"/>
          <w:sz w:val="22"/>
          <w:szCs w:val="22"/>
          <w:highlight w:val="none"/>
        </w:rPr>
        <w:t>2、云安全服务</w:t>
      </w:r>
      <w:bookmarkEnd w:id="40"/>
      <w:r>
        <w:rPr>
          <w:rFonts w:hint="eastAsia" w:ascii="宋体" w:hAnsi="宋体"/>
          <w:color w:val="auto"/>
          <w:kern w:val="0"/>
          <w:sz w:val="22"/>
          <w:szCs w:val="22"/>
          <w:highlight w:val="none"/>
        </w:rPr>
        <w:t>资源池</w:t>
      </w:r>
      <w:bookmarkEnd w:id="41"/>
    </w:p>
    <w:p w14:paraId="1FF816AC">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（1）云下一代防火墙（传统防火墙、防病毒网关）</w:t>
      </w:r>
    </w:p>
    <w:tbl>
      <w:tblPr>
        <w:tblStyle w:val="46"/>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126"/>
      </w:tblGrid>
      <w:tr w14:paraId="3FE3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98" w:type="dxa"/>
            <w:vAlign w:val="center"/>
          </w:tcPr>
          <w:p w14:paraId="33303310">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126" w:type="dxa"/>
            <w:vAlign w:val="center"/>
          </w:tcPr>
          <w:p w14:paraId="24A1AD1F">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0B5E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98" w:type="dxa"/>
            <w:vAlign w:val="center"/>
          </w:tcPr>
          <w:p w14:paraId="2D959933">
            <w:pPr>
              <w:keepNext w:val="0"/>
              <w:keepLines w:val="0"/>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技术参数</w:t>
            </w:r>
          </w:p>
        </w:tc>
        <w:tc>
          <w:tcPr>
            <w:tcW w:w="8126" w:type="dxa"/>
          </w:tcPr>
          <w:p w14:paraId="0D1F4585">
            <w:pPr>
              <w:keepNext w:val="0"/>
              <w:keepLines w:val="0"/>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bCs/>
                <w:color w:val="auto"/>
                <w:kern w:val="0"/>
                <w:sz w:val="22"/>
                <w:szCs w:val="22"/>
                <w:highlight w:val="none"/>
              </w:rPr>
              <w:t>1）★支持标准IPsec VPN和快速IPsec VPN，标准IPsec VPN认证方式包括数字证书和预共享密钥；同品牌设备快速IPsec VPN对接时加密算法等参数无需配置，自动生成，仅需配置保护子网、共享密钥、IP地址。（提供功能截图）</w:t>
            </w:r>
          </w:p>
          <w:p w14:paraId="1283A8A7">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2）★应用特征不少于5000个，移动应用不少于450个；支持根据标签选择应用，预置标签分类至少包含安全风险、高带宽消耗、降低工作效率等10大类；支持给每个应用自定义标签；支持根据标签选择一类应用做控制。（提供功能截图）</w:t>
            </w:r>
          </w:p>
          <w:p w14:paraId="5585AE3F">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支持源地址转换、目的地址转换、双向NAT等地址转换。</w:t>
            </w:r>
          </w:p>
          <w:p w14:paraId="4A9870A8">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3）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w:t>
            </w:r>
          </w:p>
          <w:p w14:paraId="412FD227">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4）支持PING、TCP、DNS方式进行接口、域名、IP地址连通性和时延探测，对整体网络提供清晰的整体网络质量评级，支持以列表形式展示的名单。</w:t>
            </w:r>
          </w:p>
        </w:tc>
      </w:tr>
      <w:tr w14:paraId="0EC0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98" w:type="dxa"/>
            <w:vAlign w:val="center"/>
          </w:tcPr>
          <w:p w14:paraId="467B3680">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c>
          <w:tcPr>
            <w:tcW w:w="8126" w:type="dxa"/>
          </w:tcPr>
          <w:p w14:paraId="3D9059E9">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在政务云边界部署，支持每天/每周/每月自动生成报表，并将报表自动发送到指定邮箱，可以自定义报表内容；能够实时监控并显示全网安全设备最近发生的50次有效安全事件，并可以根据时间、类型、ip、设备名称等条件查询历史有效事件日志；支持管理员权限分级，支持安全管理员、审计员、系统管理员三种权限。</w:t>
            </w:r>
          </w:p>
        </w:tc>
      </w:tr>
    </w:tbl>
    <w:p w14:paraId="7BB9FC42">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（2）云WAF</w:t>
      </w:r>
    </w:p>
    <w:tbl>
      <w:tblPr>
        <w:tblStyle w:val="46"/>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104"/>
      </w:tblGrid>
      <w:tr w14:paraId="6C83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98" w:type="dxa"/>
            <w:vAlign w:val="center"/>
          </w:tcPr>
          <w:p w14:paraId="160E1DD0">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104" w:type="dxa"/>
            <w:vAlign w:val="center"/>
          </w:tcPr>
          <w:p w14:paraId="77DD3131">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4D61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98" w:type="dxa"/>
            <w:vAlign w:val="center"/>
          </w:tcPr>
          <w:p w14:paraId="59D7F6AF">
            <w:pPr>
              <w:keepNext w:val="0"/>
              <w:keepLines w:val="0"/>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技术参数</w:t>
            </w:r>
          </w:p>
        </w:tc>
        <w:tc>
          <w:tcPr>
            <w:tcW w:w="8104" w:type="dxa"/>
          </w:tcPr>
          <w:p w14:paraId="2E3D81A8">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1）能够识别恶意请求含：跨站脚本(XSS)、注入式攻击（包括SQL注入、命令注入 、Cookie 注入等）、跨站请求伪造等应用攻击行为。</w:t>
            </w:r>
          </w:p>
          <w:p w14:paraId="5FD9F293">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2）支持第三方组件漏洞防护，包括WEB容器漏洞（Nginx、IIS、Tomcat等WEB服务器漏洞）、开源CMS漏洞（Kuwebs、phpcms、TRS WCM、JBR-CMS、DeDeCMS内容管理系统漏洞）、WEB服务器插件漏洞；支持抵御SQL注入、XSS、系统命令等注入型攻击。</w:t>
            </w:r>
          </w:p>
          <w:p w14:paraId="40E83EEC">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3）支内置主流Webshell特征库，对上传内容进行检查，防止恶意Weshell上传。</w:t>
            </w:r>
          </w:p>
          <w:p w14:paraId="1F8A6253">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4）支持网站自学习建模功能，能通过自学习形成网站URL树；通过自学习能生成安全防护策略，发现参数的名称、类型、匹配频率。</w:t>
            </w:r>
          </w:p>
          <w:p w14:paraId="5EC4E400">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5）支持智能识别攻击者，对网站连接发起攻击的IP地址进行自动锁定禁止访问被攻击的网站，可配置攻击者识别策略和算法、锁定时间，展示攻击者发生的时间和攻击者所在的地理位置，支持配置将攻击者直接加入网络黑名单；支持上传文件类型识别，防止文件后缀名修改绕过。</w:t>
            </w:r>
          </w:p>
          <w:p w14:paraId="1AE590E6">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6）★支持对CC攻击进行检测防护，可基于URL、请求头字段、目标IP、请求方法等多种组合条件进行检测；检测对象支持IP或IP+URL算法，IP可支持X_Forwarded-For字段解析，并支持自定义检测字段功能；支持基于地理位置的识别，可设置不同地理区域的检测算法。（提供功能截图）</w:t>
            </w:r>
          </w:p>
          <w:p w14:paraId="33FFDB2E">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7）按地理区域对攻击次数等进行统计，通过地图展示，并在地图上可以指定某一地理区域进行访问控制，阻断此区域IP的访问。</w:t>
            </w:r>
          </w:p>
          <w:p w14:paraId="63D7C4C5">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8）按地理区域对攻击次数等进行统计，通过地图展示，并在地图上可以指定某一地理区域进行访问控制，阻断此区域IP的访问。</w:t>
            </w:r>
          </w:p>
          <w:p w14:paraId="3C30DF07">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9）支持对网站黑链进行检测。</w:t>
            </w:r>
          </w:p>
          <w:p w14:paraId="1A96D868">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10）根据产生的安全日志进行智能分析，提高人工分析效率，减小规则误判概率。</w:t>
            </w:r>
          </w:p>
        </w:tc>
      </w:tr>
      <w:tr w14:paraId="674A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498" w:type="dxa"/>
            <w:vAlign w:val="center"/>
          </w:tcPr>
          <w:p w14:paraId="70921AC3">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c>
          <w:tcPr>
            <w:tcW w:w="8104" w:type="dxa"/>
          </w:tcPr>
          <w:p w14:paraId="57ED6916">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部署在政务云平台边界，可根据需要对流量进行清洗分析，含运维管理服务，安排专人定期巡检和分析日志，及时向政务云平台采购方和租户通报重要安全风险事件，并协助租户按需完成策略调整与优化。</w:t>
            </w:r>
          </w:p>
        </w:tc>
      </w:tr>
    </w:tbl>
    <w:p w14:paraId="4DCDDF34">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（3）云数据库审计</w:t>
      </w:r>
    </w:p>
    <w:tbl>
      <w:tblPr>
        <w:tblStyle w:val="46"/>
        <w:tblW w:w="9603" w:type="dxa"/>
        <w:tblInd w:w="113" w:type="dxa"/>
        <w:tblLayout w:type="fixed"/>
        <w:tblCellMar>
          <w:top w:w="15" w:type="dxa"/>
          <w:left w:w="15" w:type="dxa"/>
          <w:bottom w:w="15" w:type="dxa"/>
          <w:right w:w="15" w:type="dxa"/>
        </w:tblCellMar>
      </w:tblPr>
      <w:tblGrid>
        <w:gridCol w:w="1526"/>
        <w:gridCol w:w="8077"/>
      </w:tblGrid>
      <w:tr w14:paraId="5739729E">
        <w:tblPrEx>
          <w:tblCellMar>
            <w:top w:w="15" w:type="dxa"/>
            <w:left w:w="15" w:type="dxa"/>
            <w:bottom w:w="15" w:type="dxa"/>
            <w:right w:w="15" w:type="dxa"/>
          </w:tblCellMar>
        </w:tblPrEx>
        <w:trPr>
          <w:trHeight w:val="532"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5B45DBCF">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077" w:type="dxa"/>
            <w:tcBorders>
              <w:top w:val="single" w:color="000000" w:sz="4" w:space="0"/>
              <w:left w:val="single" w:color="000000" w:sz="4" w:space="0"/>
              <w:bottom w:val="single" w:color="000000" w:sz="4" w:space="0"/>
              <w:right w:val="single" w:color="000000" w:sz="4" w:space="0"/>
            </w:tcBorders>
            <w:vAlign w:val="center"/>
          </w:tcPr>
          <w:p w14:paraId="7091BE48">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36F68893">
        <w:tblPrEx>
          <w:tblCellMar>
            <w:top w:w="15" w:type="dxa"/>
            <w:left w:w="15" w:type="dxa"/>
            <w:bottom w:w="15" w:type="dxa"/>
            <w:right w:w="15" w:type="dxa"/>
          </w:tblCellMar>
        </w:tblPrEx>
        <w:trPr>
          <w:trHeight w:val="2047"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44D5D307">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基本要求</w:t>
            </w:r>
          </w:p>
        </w:tc>
        <w:tc>
          <w:tcPr>
            <w:tcW w:w="8077" w:type="dxa"/>
            <w:tcBorders>
              <w:top w:val="single" w:color="000000" w:sz="4" w:space="0"/>
              <w:left w:val="single" w:color="000000" w:sz="4" w:space="0"/>
              <w:bottom w:val="single" w:color="000000" w:sz="4" w:space="0"/>
              <w:right w:val="single" w:color="000000" w:sz="4" w:space="0"/>
            </w:tcBorders>
            <w:vAlign w:val="center"/>
          </w:tcPr>
          <w:p w14:paraId="5F0E8273">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1）支持Oracle、SQL-Server、DB2、Informix、Sybase、MySQL、MariaDB等主流数据库审计；支持PostgreSQL、GuassDB、HANA、Teradata、Cache、人大金仓、达梦、Redis审计。</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2）支持MongoDB、Hbase、Hive、Impala、Elastic Search、HDFS、Canssandra非关系型数据库审计。</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3）★支持在审计日志中一键添加过滤规则，支持在告警规则中一键添加信任规则和规则白名单（提供功能截图）。</w:t>
            </w:r>
          </w:p>
        </w:tc>
      </w:tr>
      <w:tr w14:paraId="3F1C2E38">
        <w:tblPrEx>
          <w:tblCellMar>
            <w:top w:w="15" w:type="dxa"/>
            <w:left w:w="15" w:type="dxa"/>
            <w:bottom w:w="15" w:type="dxa"/>
            <w:right w:w="15" w:type="dxa"/>
          </w:tblCellMar>
        </w:tblPrEx>
        <w:trPr>
          <w:trHeight w:val="618"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5831A8A5">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详细要求</w:t>
            </w:r>
          </w:p>
        </w:tc>
        <w:tc>
          <w:tcPr>
            <w:tcW w:w="8077" w:type="dxa"/>
            <w:tcBorders>
              <w:top w:val="single" w:color="000000" w:sz="4" w:space="0"/>
              <w:left w:val="single" w:color="000000" w:sz="4" w:space="0"/>
              <w:bottom w:val="single" w:color="000000" w:sz="4" w:space="0"/>
              <w:right w:val="single" w:color="000000" w:sz="4" w:space="0"/>
            </w:tcBorders>
            <w:vAlign w:val="center"/>
          </w:tcPr>
          <w:p w14:paraId="129B1988">
            <w:pPr>
              <w:keepNext w:val="0"/>
              <w:keepLines w:val="0"/>
              <w:widowControl/>
              <w:numPr>
                <w:ilvl w:val="0"/>
                <w:numId w:val="1"/>
              </w:numPr>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★内置安全特征库不少于900条，如SQL注入、缓冲区溢出（提供功能截图）。</w:t>
            </w:r>
          </w:p>
          <w:p w14:paraId="399A0B4D">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2）支持主流业务协议HTTP、HTTPS、Telnet、FTP的审计。</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3）支持用户界面告警、SNMP、邮件、短信、钉钉、SYSLOG方式告警。</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4）支持报表页面信息钻取。</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5）支持基于数据库访问日期、时间、源/目的IP、来源、数据库名、数据库表名、字段值、数据库登陆账号、SQL关键词、数据库返回码、SQL响应时间、数据库操作类型、影响行数等条件的审计查询。</w:t>
            </w:r>
          </w:p>
        </w:tc>
      </w:tr>
      <w:tr w14:paraId="05D081F7">
        <w:tblPrEx>
          <w:tblCellMar>
            <w:top w:w="15" w:type="dxa"/>
            <w:left w:w="15" w:type="dxa"/>
            <w:bottom w:w="15" w:type="dxa"/>
            <w:right w:w="15" w:type="dxa"/>
          </w:tblCellMar>
        </w:tblPrEx>
        <w:trPr>
          <w:trHeight w:val="507"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7472700F">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c>
          <w:tcPr>
            <w:tcW w:w="8077" w:type="dxa"/>
            <w:tcBorders>
              <w:top w:val="single" w:color="000000" w:sz="4" w:space="0"/>
              <w:left w:val="single" w:color="000000" w:sz="4" w:space="0"/>
              <w:bottom w:val="single" w:color="000000" w:sz="4" w:space="0"/>
              <w:right w:val="single" w:color="000000" w:sz="4" w:space="0"/>
            </w:tcBorders>
            <w:vAlign w:val="center"/>
          </w:tcPr>
          <w:p w14:paraId="05D5DAF0">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含运维管理服务，安排专人定期进行日志分析，并定期向租户提供专项分析报表。</w:t>
            </w:r>
          </w:p>
        </w:tc>
      </w:tr>
    </w:tbl>
    <w:p w14:paraId="0E93F0B5">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（4）云VPN 安全接入</w:t>
      </w:r>
    </w:p>
    <w:tbl>
      <w:tblPr>
        <w:tblStyle w:val="46"/>
        <w:tblW w:w="9599" w:type="dxa"/>
        <w:jc w:val="center"/>
        <w:tblLayout w:type="fixed"/>
        <w:tblCellMar>
          <w:top w:w="15" w:type="dxa"/>
          <w:left w:w="15" w:type="dxa"/>
          <w:bottom w:w="15" w:type="dxa"/>
          <w:right w:w="15" w:type="dxa"/>
        </w:tblCellMar>
      </w:tblPr>
      <w:tblGrid>
        <w:gridCol w:w="1525"/>
        <w:gridCol w:w="8074"/>
      </w:tblGrid>
      <w:tr w14:paraId="0F7A1F56">
        <w:tblPrEx>
          <w:tblCellMar>
            <w:top w:w="15" w:type="dxa"/>
            <w:left w:w="15" w:type="dxa"/>
            <w:bottom w:w="15" w:type="dxa"/>
            <w:right w:w="15" w:type="dxa"/>
          </w:tblCellMar>
        </w:tblPrEx>
        <w:trPr>
          <w:trHeight w:val="333" w:hRule="atLeast"/>
          <w:jc w:val="center"/>
        </w:trPr>
        <w:tc>
          <w:tcPr>
            <w:tcW w:w="1525" w:type="dxa"/>
            <w:tcBorders>
              <w:top w:val="single" w:color="000000" w:sz="4" w:space="0"/>
              <w:left w:val="single" w:color="000000" w:sz="4" w:space="0"/>
              <w:bottom w:val="single" w:color="000000" w:sz="4" w:space="0"/>
              <w:right w:val="single" w:color="000000" w:sz="4" w:space="0"/>
            </w:tcBorders>
            <w:vAlign w:val="center"/>
          </w:tcPr>
          <w:p w14:paraId="3D4AB6DE">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074" w:type="dxa"/>
            <w:tcBorders>
              <w:top w:val="single" w:color="000000" w:sz="4" w:space="0"/>
              <w:left w:val="single" w:color="000000" w:sz="4" w:space="0"/>
              <w:bottom w:val="single" w:color="000000" w:sz="4" w:space="0"/>
              <w:right w:val="single" w:color="000000" w:sz="4" w:space="0"/>
            </w:tcBorders>
            <w:vAlign w:val="center"/>
          </w:tcPr>
          <w:p w14:paraId="0E672197">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0FF2C9C3">
        <w:tblPrEx>
          <w:tblCellMar>
            <w:top w:w="15" w:type="dxa"/>
            <w:left w:w="15" w:type="dxa"/>
            <w:bottom w:w="15" w:type="dxa"/>
            <w:right w:w="15" w:type="dxa"/>
          </w:tblCellMar>
        </w:tblPrEx>
        <w:trPr>
          <w:trHeight w:val="333" w:hRule="atLeast"/>
          <w:jc w:val="center"/>
        </w:trPr>
        <w:tc>
          <w:tcPr>
            <w:tcW w:w="1525" w:type="dxa"/>
            <w:tcBorders>
              <w:top w:val="single" w:color="000000" w:sz="4" w:space="0"/>
              <w:left w:val="single" w:color="000000" w:sz="4" w:space="0"/>
              <w:bottom w:val="single" w:color="000000" w:sz="4" w:space="0"/>
              <w:right w:val="single" w:color="000000" w:sz="4" w:space="0"/>
            </w:tcBorders>
            <w:vAlign w:val="center"/>
          </w:tcPr>
          <w:p w14:paraId="70F47A23">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基本要求</w:t>
            </w:r>
          </w:p>
        </w:tc>
        <w:tc>
          <w:tcPr>
            <w:tcW w:w="8074" w:type="dxa"/>
            <w:tcBorders>
              <w:top w:val="single" w:color="000000" w:sz="4" w:space="0"/>
              <w:left w:val="single" w:color="000000" w:sz="4" w:space="0"/>
              <w:bottom w:val="single" w:color="000000" w:sz="4" w:space="0"/>
              <w:right w:val="single" w:color="000000" w:sz="4" w:space="0"/>
            </w:tcBorders>
            <w:vAlign w:val="center"/>
          </w:tcPr>
          <w:p w14:paraId="649F1DAB">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1）支持对基于HTTP、HTTPS、FileShare、DNS、H.323、SMTP、POP3、Telnet、SSH等的所有B/S、C/S应用系统，支持基于TCP、UDP、ICMP等IP层以上的协议的应用，例如即时通讯、视频、语音、Ping等服务。</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2）支持用户名密码认证、IP+MAC绑定认证、支持自定义广告，实现首次URL重定向。</w:t>
            </w:r>
          </w:p>
        </w:tc>
      </w:tr>
      <w:tr w14:paraId="466B8177">
        <w:tblPrEx>
          <w:tblCellMar>
            <w:top w:w="15" w:type="dxa"/>
            <w:left w:w="15" w:type="dxa"/>
            <w:bottom w:w="15" w:type="dxa"/>
            <w:right w:w="15" w:type="dxa"/>
          </w:tblCellMar>
        </w:tblPrEx>
        <w:trPr>
          <w:trHeight w:val="404" w:hRule="atLeast"/>
          <w:jc w:val="center"/>
        </w:trPr>
        <w:tc>
          <w:tcPr>
            <w:tcW w:w="1525" w:type="dxa"/>
            <w:tcBorders>
              <w:top w:val="single" w:color="000000" w:sz="4" w:space="0"/>
              <w:left w:val="single" w:color="000000" w:sz="4" w:space="0"/>
              <w:bottom w:val="single" w:color="000000" w:sz="4" w:space="0"/>
              <w:right w:val="single" w:color="000000" w:sz="4" w:space="0"/>
            </w:tcBorders>
            <w:vAlign w:val="center"/>
          </w:tcPr>
          <w:p w14:paraId="286BCB6B">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详细要求</w:t>
            </w:r>
          </w:p>
        </w:tc>
        <w:tc>
          <w:tcPr>
            <w:tcW w:w="8074" w:type="dxa"/>
            <w:tcBorders>
              <w:top w:val="single" w:color="000000" w:sz="4" w:space="0"/>
              <w:left w:val="single" w:color="000000" w:sz="4" w:space="0"/>
              <w:bottom w:val="single" w:color="000000" w:sz="4" w:space="0"/>
              <w:right w:val="single" w:color="000000" w:sz="4" w:space="0"/>
            </w:tcBorders>
            <w:vAlign w:val="center"/>
          </w:tcPr>
          <w:p w14:paraId="01615CAB">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1）支持针对跨运营商访问业务实现链路加速优化，消除丢包和延迟业务体验慢情况</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2）具有20多个大类、超过850条应用识别规则，并支持应用协议识别库实时更新。</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3）通过平台对VPN策略编辑、部署和维护；支持离线配置；新策略支持即时下发和定时下发两种模式；可在线禁用、中断用户联接；策略数据库支持定时自动备份。</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4）不依赖于第三方的基于动态IP寻址的VPN组网技术（非DDNS方式，提供自主知识产权证明）</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5）支持终端使用包括IE6、7、8、10、11或其他IE内核的浏览器，以及最新版本的非IE内核浏览器，如Windows EDGE，Google Chrome，[M7.1版本差异化优势，目前已知厂商中没有能支持的。可控性很强。GOOGLE Chrome最新版本，在不翻墙情况下，国内其他厂商没有支持的。]Firefox，Safari，Opera最新版登录SSLVPN系统，登录后可完整支持各种IP层以上的B/S和C/S应用。</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6）可支持虚拟门户功能，在一台设备上配置不同的访问域名、IP地址，以及不同的使用界面，实现一台设备为多个不同用户群体服务的的使用效果。</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7）支持主从认证账号绑定，必须实现SSL VPN账号与应用系统账号的唯一绑定，VPN资源中的系统只能以指定账号登陆，加强身份认证，防止登录SSL VPN后冒名登录应用系统 。</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8）支持针对移动APP的VPN安全代码的自动封装，实现APP应用的双区域隔离。</w:t>
            </w:r>
          </w:p>
        </w:tc>
      </w:tr>
      <w:tr w14:paraId="72BF590A">
        <w:tblPrEx>
          <w:tblCellMar>
            <w:top w:w="15" w:type="dxa"/>
            <w:left w:w="15" w:type="dxa"/>
            <w:bottom w:w="15" w:type="dxa"/>
            <w:right w:w="15" w:type="dxa"/>
          </w:tblCellMar>
        </w:tblPrEx>
        <w:trPr>
          <w:trHeight w:val="404" w:hRule="atLeast"/>
          <w:jc w:val="center"/>
        </w:trPr>
        <w:tc>
          <w:tcPr>
            <w:tcW w:w="1525" w:type="dxa"/>
            <w:tcBorders>
              <w:top w:val="single" w:color="000000" w:sz="4" w:space="0"/>
              <w:left w:val="single" w:color="000000" w:sz="4" w:space="0"/>
              <w:bottom w:val="single" w:color="000000" w:sz="4" w:space="0"/>
              <w:right w:val="single" w:color="000000" w:sz="4" w:space="0"/>
            </w:tcBorders>
            <w:vAlign w:val="center"/>
          </w:tcPr>
          <w:p w14:paraId="734A0042">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c>
          <w:tcPr>
            <w:tcW w:w="8074" w:type="dxa"/>
            <w:tcBorders>
              <w:top w:val="single" w:color="000000" w:sz="4" w:space="0"/>
              <w:left w:val="single" w:color="000000" w:sz="4" w:space="0"/>
              <w:bottom w:val="single" w:color="000000" w:sz="4" w:space="0"/>
              <w:right w:val="single" w:color="000000" w:sz="4" w:space="0"/>
            </w:tcBorders>
            <w:vAlign w:val="center"/>
          </w:tcPr>
          <w:p w14:paraId="5FB37794">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含运维管理服务，包括用户管理和技术支撑服务等。</w:t>
            </w:r>
          </w:p>
        </w:tc>
      </w:tr>
    </w:tbl>
    <w:p w14:paraId="057B0D5F">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（5）云运维审计（堡垒机）</w:t>
      </w:r>
    </w:p>
    <w:tbl>
      <w:tblPr>
        <w:tblStyle w:val="46"/>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042"/>
      </w:tblGrid>
      <w:tr w14:paraId="40BE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26" w:type="dxa"/>
            <w:vAlign w:val="center"/>
          </w:tcPr>
          <w:p w14:paraId="0B02D6E2">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042" w:type="dxa"/>
            <w:vAlign w:val="center"/>
          </w:tcPr>
          <w:p w14:paraId="1F2DC69F">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46FA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526" w:type="dxa"/>
          </w:tcPr>
          <w:p w14:paraId="23B56317">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身份认证及访问授权</w:t>
            </w:r>
          </w:p>
        </w:tc>
        <w:tc>
          <w:tcPr>
            <w:tcW w:w="8042" w:type="dxa"/>
          </w:tcPr>
          <w:p w14:paraId="54A23991">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1）支持常用的运维协议：SSH、TELNET、RDP、VNC、FTP、SFTP、rlogin；可通过应用发布的方式进行协议扩展，如数据库Oracle、MSSQL、MySQL、VMware vSphere Client、浏览器等客户端工具。</w:t>
            </w:r>
          </w:p>
          <w:p w14:paraId="1D670E65">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2）★支持DB2、oracle、mysql、sqlserver主流数据库协议代理运维，可直接调用本地windows系统的数据库客户端工具，支持自动登录、无需应用发布前置机（提供功能截图）。</w:t>
            </w:r>
          </w:p>
          <w:p w14:paraId="07C5407A">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3）混合云管理：可以通过socks5/http/ssh等代理协议连接管理异地云资源区中私有网络的云主机。</w:t>
            </w:r>
          </w:p>
          <w:p w14:paraId="2CC467C4">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4）客户端访问方式：支持使用本地的mstsc/Xshell/SecureCRT/Putty等客户端工具登录堡垒机访问图形或字符设备，视图界面一致性、搜索能力；</w:t>
            </w:r>
          </w:p>
          <w:p w14:paraId="07F3392F">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支持对堡垒主机的配置行为进行审计记录。</w:t>
            </w:r>
          </w:p>
          <w:p w14:paraId="5CA20A33">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5）★可以使用SSH-agent-forwarding登录到ssh服务器，用于登录堡垒机和登录ssh主机使用相同私钥的场景（提供功能截图）； </w:t>
            </w:r>
          </w:p>
          <w:p w14:paraId="5F0B133A">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支持批量登录字符设备功能：能自动生成SecurCRT/Xshell工具的批量登录文件，实现在工具中批量自动登录多台设备。</w:t>
            </w:r>
          </w:p>
        </w:tc>
      </w:tr>
      <w:tr w14:paraId="3010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26" w:type="dxa"/>
          </w:tcPr>
          <w:p w14:paraId="0C8C4238">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访问控制及异常告警</w:t>
            </w:r>
          </w:p>
        </w:tc>
        <w:tc>
          <w:tcPr>
            <w:tcW w:w="8042" w:type="dxa"/>
          </w:tcPr>
          <w:p w14:paraId="268E06FA">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1）管理员对运维工单进行审核之后以邮件方式通知给运维人员；如果允许，则运维人员才可访问；否则就无法访问。</w:t>
            </w:r>
          </w:p>
          <w:p w14:paraId="029D2772">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2）运维人员可以向管理员申请需要访问的设备，申请时可以选择：设备IP、设备账户、运维有效期、备注事由等，并且运维工单以邮件方式通知管理员。</w:t>
            </w:r>
          </w:p>
        </w:tc>
      </w:tr>
      <w:tr w14:paraId="2E90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26" w:type="dxa"/>
          </w:tcPr>
          <w:p w14:paraId="69D38DAD">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c>
          <w:tcPr>
            <w:tcW w:w="8042" w:type="dxa"/>
          </w:tcPr>
          <w:p w14:paraId="1A063E10">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含运维管理服务，含用户VPN接入服务；安排专人定期进行运行监控，支持电话、网上值班等响应方式。</w:t>
            </w:r>
          </w:p>
        </w:tc>
      </w:tr>
    </w:tbl>
    <w:p w14:paraId="085F5F61">
      <w:pPr>
        <w:adjustRightInd w:val="0"/>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（6）云日志审计</w:t>
      </w:r>
    </w:p>
    <w:tbl>
      <w:tblPr>
        <w:tblStyle w:val="46"/>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035"/>
      </w:tblGrid>
      <w:tr w14:paraId="4001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3" w:type="dxa"/>
            <w:shd w:val="clear" w:color="auto" w:fill="FFFFFF"/>
            <w:vAlign w:val="center"/>
          </w:tcPr>
          <w:p w14:paraId="52392D45">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035" w:type="dxa"/>
            <w:shd w:val="clear" w:color="auto" w:fill="FFFFFF"/>
            <w:vAlign w:val="center"/>
          </w:tcPr>
          <w:p w14:paraId="7E6FE8DF">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2ADB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3" w:type="dxa"/>
            <w:shd w:val="clear" w:color="auto" w:fill="FFFFFF"/>
            <w:vAlign w:val="center"/>
          </w:tcPr>
          <w:p w14:paraId="5CC02A60">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数据采集</w:t>
            </w:r>
          </w:p>
        </w:tc>
        <w:tc>
          <w:tcPr>
            <w:tcW w:w="8035" w:type="dxa"/>
            <w:shd w:val="clear" w:color="auto" w:fill="FFFFFF"/>
            <w:vAlign w:val="center"/>
          </w:tcPr>
          <w:p w14:paraId="603ABCBB">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设备厂家包括但不限于：Cisco(思科)，Juniper，联想网御/网御神州，F5，华为，H3C，微软，绿盟，飞塔(fortinet)，Foundry，天融信，启明星辰，天网，趋势，东软，Nokia，CheckPoint，Hillstone(山石)，安恒，珠海伟思，BEA，中国电信，安氏，帕拉迪，apc，arbor，clam，戴尔（dell），digium，东方电子，EMC，中国电力科学研究院，Eudora，google，冠群金辰，linksys，Mcafee，netapp，NAS（美国国家安全局），永达，sonicwall，vigor，天存，西岭，Symantec（赛门铁克），Hardened-PHP，foundertech(方正)，三零盛安，allot，蓝盾，IBM，金诺网安，网威，nortel(北电)，citrix(思杰)，watchguard，中兴，阿帕奇，WINDOWS系统日志，Linux/UNIX syslog、IIS、Apache等；支持SNMP日志采集，支持日志类型：网络及安全设备[Cisco、Array、Juniper、H3C、神州数码、绿盟、天融信、安氏领信、深信服、网神]。</w:t>
            </w:r>
          </w:p>
        </w:tc>
      </w:tr>
      <w:tr w14:paraId="4D58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3" w:type="dxa"/>
            <w:shd w:val="clear" w:color="auto" w:fill="FFFFFF"/>
            <w:vAlign w:val="center"/>
          </w:tcPr>
          <w:p w14:paraId="45B8E33E">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监控功能</w:t>
            </w:r>
          </w:p>
        </w:tc>
        <w:tc>
          <w:tcPr>
            <w:tcW w:w="8035" w:type="dxa"/>
            <w:shd w:val="clear" w:color="auto" w:fill="FFFFFF"/>
            <w:vAlign w:val="center"/>
          </w:tcPr>
          <w:p w14:paraId="21D3803C">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1）支持通过在目标主机上安装agent程序，监控目标主机的CPU利用率、内存使用率、磁盘使用率、流量等信息。</w:t>
            </w:r>
          </w:p>
          <w:p w14:paraId="216FDFAD">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2）支持对操作系统（Windows、Linux、Aix、FeeBSD、HP-UX/Tru64、Max OS、Sun Solaris）、数据库（mysql、oracle）、应用服务器（weblogic、tomcat）、web服务器（apache）进行性能监控。</w:t>
            </w:r>
          </w:p>
        </w:tc>
      </w:tr>
      <w:tr w14:paraId="43DC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93" w:type="dxa"/>
            <w:shd w:val="clear" w:color="auto" w:fill="FFFFFF"/>
            <w:vAlign w:val="center"/>
          </w:tcPr>
          <w:p w14:paraId="251037EE">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c>
          <w:tcPr>
            <w:tcW w:w="8035" w:type="dxa"/>
            <w:shd w:val="clear" w:color="auto" w:fill="FFFFFF"/>
            <w:vAlign w:val="center"/>
          </w:tcPr>
          <w:p w14:paraId="656BE4F2">
            <w:pPr>
              <w:keepNext w:val="0"/>
              <w:keepLines w:val="0"/>
              <w:widowControl/>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含运维管理服务，安排专人定期进行日志分析，并定期向租户提供专项分析报表。</w:t>
            </w:r>
          </w:p>
        </w:tc>
      </w:tr>
    </w:tbl>
    <w:p w14:paraId="61DEC4BB">
      <w:pPr>
        <w:adjustRightInd w:val="0"/>
        <w:snapToGrid w:val="0"/>
        <w:spacing w:line="400" w:lineRule="atLeast"/>
        <w:ind w:firstLine="440" w:firstLineChars="200"/>
        <w:rPr>
          <w:rFonts w:ascii="宋体" w:hAnsi="宋体"/>
          <w:color w:val="auto"/>
          <w:kern w:val="0"/>
          <w:sz w:val="22"/>
          <w:szCs w:val="22"/>
          <w:highlight w:val="none"/>
        </w:rPr>
      </w:pPr>
      <w:bookmarkStart w:id="42" w:name="_Toc47481023"/>
      <w:bookmarkStart w:id="43" w:name="_Toc10032577"/>
      <w:r>
        <w:rPr>
          <w:rFonts w:hint="eastAsia" w:ascii="宋体" w:hAnsi="宋体"/>
          <w:color w:val="auto"/>
          <w:kern w:val="0"/>
          <w:sz w:val="22"/>
          <w:szCs w:val="22"/>
          <w:highlight w:val="none"/>
        </w:rPr>
        <w:t>（7）云主机安全（EDR）</w:t>
      </w:r>
    </w:p>
    <w:tbl>
      <w:tblPr>
        <w:tblStyle w:val="46"/>
        <w:tblW w:w="9533" w:type="dxa"/>
        <w:tblInd w:w="169" w:type="dxa"/>
        <w:tblLayout w:type="fixed"/>
        <w:tblCellMar>
          <w:top w:w="15" w:type="dxa"/>
          <w:left w:w="15" w:type="dxa"/>
          <w:bottom w:w="15" w:type="dxa"/>
          <w:right w:w="15" w:type="dxa"/>
        </w:tblCellMar>
      </w:tblPr>
      <w:tblGrid>
        <w:gridCol w:w="1498"/>
        <w:gridCol w:w="8035"/>
      </w:tblGrid>
      <w:tr w14:paraId="0ADF13D0">
        <w:tblPrEx>
          <w:tblCellMar>
            <w:top w:w="15" w:type="dxa"/>
            <w:left w:w="15" w:type="dxa"/>
            <w:bottom w:w="15" w:type="dxa"/>
            <w:right w:w="15" w:type="dxa"/>
          </w:tblCellMar>
        </w:tblPrEx>
        <w:trPr>
          <w:trHeight w:val="424" w:hRule="atLeast"/>
        </w:trPr>
        <w:tc>
          <w:tcPr>
            <w:tcW w:w="1498" w:type="dxa"/>
            <w:tcBorders>
              <w:top w:val="single" w:color="000000" w:sz="4" w:space="0"/>
              <w:left w:val="single" w:color="000000" w:sz="4" w:space="0"/>
              <w:bottom w:val="single" w:color="000000" w:sz="4" w:space="0"/>
              <w:right w:val="single" w:color="000000" w:sz="4" w:space="0"/>
            </w:tcBorders>
            <w:vAlign w:val="center"/>
          </w:tcPr>
          <w:p w14:paraId="2A764E90">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035" w:type="dxa"/>
            <w:tcBorders>
              <w:top w:val="single" w:color="000000" w:sz="4" w:space="0"/>
              <w:left w:val="single" w:color="000000" w:sz="4" w:space="0"/>
              <w:bottom w:val="single" w:color="000000" w:sz="4" w:space="0"/>
              <w:right w:val="single" w:color="000000" w:sz="4" w:space="0"/>
            </w:tcBorders>
            <w:vAlign w:val="center"/>
          </w:tcPr>
          <w:p w14:paraId="75656F4C">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230A31C0">
        <w:tblPrEx>
          <w:tblCellMar>
            <w:top w:w="15" w:type="dxa"/>
            <w:left w:w="15" w:type="dxa"/>
            <w:bottom w:w="15" w:type="dxa"/>
            <w:right w:w="15" w:type="dxa"/>
          </w:tblCellMar>
        </w:tblPrEx>
        <w:trPr>
          <w:trHeight w:val="2047" w:hRule="atLeast"/>
        </w:trPr>
        <w:tc>
          <w:tcPr>
            <w:tcW w:w="1498" w:type="dxa"/>
            <w:tcBorders>
              <w:top w:val="single" w:color="000000" w:sz="4" w:space="0"/>
              <w:left w:val="single" w:color="000000" w:sz="4" w:space="0"/>
              <w:bottom w:val="single" w:color="000000" w:sz="4" w:space="0"/>
              <w:right w:val="single" w:color="000000" w:sz="4" w:space="0"/>
            </w:tcBorders>
            <w:vAlign w:val="center"/>
          </w:tcPr>
          <w:p w14:paraId="52E7B028">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基本要求</w:t>
            </w:r>
          </w:p>
        </w:tc>
        <w:tc>
          <w:tcPr>
            <w:tcW w:w="8035" w:type="dxa"/>
            <w:tcBorders>
              <w:top w:val="single" w:color="000000" w:sz="4" w:space="0"/>
              <w:left w:val="single" w:color="000000" w:sz="4" w:space="0"/>
              <w:bottom w:val="single" w:color="000000" w:sz="4" w:space="0"/>
              <w:right w:val="single" w:color="000000" w:sz="4" w:space="0"/>
            </w:tcBorders>
            <w:vAlign w:val="center"/>
          </w:tcPr>
          <w:p w14:paraId="47981F30">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1）支持</w:t>
            </w:r>
            <w:r>
              <w:rPr>
                <w:rFonts w:hint="eastAsia" w:ascii="宋体" w:hAnsi="宋体" w:cs="宋体"/>
                <w:color w:val="auto"/>
                <w:sz w:val="22"/>
                <w:szCs w:val="22"/>
                <w:highlight w:val="none"/>
              </w:rPr>
              <w:t>Windows server 2003、Windows server 2008、Windows server 2012、Windows server 2016、win xp 、win 7、win 8、win 10、Centos 5.0 +、Redhat 5.0 + 、Suse11 +、Ubuntu 14 +、华为鲲鹏、中标麒麟、银河麒麟、凝思等操作系统。</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2）</w:t>
            </w:r>
            <w:r>
              <w:rPr>
                <w:rFonts w:hint="eastAsia" w:ascii="宋体" w:hAnsi="宋体" w:cs="宋体"/>
                <w:color w:val="auto"/>
                <w:sz w:val="22"/>
                <w:szCs w:val="22"/>
                <w:highlight w:val="none"/>
              </w:rPr>
              <w:t>Apache 2.0-2.4、IIS6、IIS7、IIS8、IIS10、Java系列(JBoss、Tomcat、Weblogic、Websphere)等。</w:t>
            </w:r>
            <w:r>
              <w:rPr>
                <w:rFonts w:hint="eastAsia" w:ascii="宋体" w:hAnsi="宋体" w:cs="宋体"/>
                <w:bCs/>
                <w:color w:val="auto"/>
                <w:kern w:val="0"/>
                <w:sz w:val="22"/>
                <w:szCs w:val="22"/>
                <w:highlight w:val="none"/>
              </w:rPr>
              <w:br w:type="textWrapping"/>
            </w:r>
            <w:r>
              <w:rPr>
                <w:rFonts w:hint="eastAsia" w:ascii="宋体" w:hAnsi="宋体" w:cs="宋体"/>
                <w:bCs/>
                <w:color w:val="auto"/>
                <w:kern w:val="0"/>
                <w:sz w:val="22"/>
                <w:szCs w:val="22"/>
                <w:highlight w:val="none"/>
              </w:rPr>
              <w:t>3）</w:t>
            </w:r>
            <w:r>
              <w:rPr>
                <w:rFonts w:hint="eastAsia" w:ascii="宋体" w:hAnsi="宋体" w:cs="宋体"/>
                <w:color w:val="auto"/>
                <w:sz w:val="22"/>
                <w:szCs w:val="22"/>
                <w:highlight w:val="none"/>
              </w:rPr>
              <w:t>MSSQL，Oracle、Sybase、Informix、DB2、MySQL等关系型数据库；Mongodb、Cassandra等非关系型数据库。</w:t>
            </w:r>
          </w:p>
        </w:tc>
      </w:tr>
      <w:tr w14:paraId="07DA13B3">
        <w:tblPrEx>
          <w:tblCellMar>
            <w:top w:w="15" w:type="dxa"/>
            <w:left w:w="15" w:type="dxa"/>
            <w:bottom w:w="15" w:type="dxa"/>
            <w:right w:w="15" w:type="dxa"/>
          </w:tblCellMar>
        </w:tblPrEx>
        <w:trPr>
          <w:trHeight w:val="618" w:hRule="atLeast"/>
        </w:trPr>
        <w:tc>
          <w:tcPr>
            <w:tcW w:w="1498" w:type="dxa"/>
            <w:tcBorders>
              <w:top w:val="single" w:color="000000" w:sz="4" w:space="0"/>
              <w:left w:val="single" w:color="000000" w:sz="4" w:space="0"/>
              <w:bottom w:val="single" w:color="000000" w:sz="4" w:space="0"/>
              <w:right w:val="single" w:color="000000" w:sz="4" w:space="0"/>
            </w:tcBorders>
            <w:vAlign w:val="center"/>
          </w:tcPr>
          <w:p w14:paraId="07FFF257">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color w:val="auto"/>
                <w:sz w:val="22"/>
                <w:szCs w:val="22"/>
                <w:highlight w:val="none"/>
              </w:rPr>
              <w:t>核心功能</w:t>
            </w:r>
          </w:p>
        </w:tc>
        <w:tc>
          <w:tcPr>
            <w:tcW w:w="8035" w:type="dxa"/>
            <w:tcBorders>
              <w:top w:val="single" w:color="000000" w:sz="4" w:space="0"/>
              <w:left w:val="single" w:color="000000" w:sz="4" w:space="0"/>
              <w:bottom w:val="single" w:color="000000" w:sz="4" w:space="0"/>
              <w:right w:val="single" w:color="000000" w:sz="4" w:space="0"/>
            </w:tcBorders>
            <w:vAlign w:val="center"/>
          </w:tcPr>
          <w:p w14:paraId="16B5812A">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1）支持防端口扫描，防违规外联，锁定恶意的端口扫描及外联行为，并记录告警。</w:t>
            </w:r>
          </w:p>
          <w:p w14:paraId="5371786F">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2）★违规外联支持黑、白名单双模式，白名单模式可配置是否允许访问特定的网站和地址；黑名单模式可自定义恶意IP，支持黑名单告警和阻断。（提供功能截图）。</w:t>
            </w:r>
          </w:p>
          <w:p w14:paraId="06A51171">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3）支持网站防护，包括SQL注入、XSS、Web应用及容器漏洞防护、访问控制、屏蔽扫描器等。</w:t>
            </w:r>
          </w:p>
          <w:p w14:paraId="19E87970">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4）支持智能检测防御CC攻击，并可进行高、中、低三档设置。</w:t>
            </w:r>
          </w:p>
          <w:p w14:paraId="2DD961B7">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5）内核级防火墙（业务间流量东西向隔离）功能，包括IP、端口、协议、流向等细粒度权限控制。</w:t>
            </w:r>
          </w:p>
          <w:p w14:paraId="12917573">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6）★支持流量画像，支持全网流量可视化；支持威胁横向扩散路径可视化与一键阻断；支持违规外联路径可视化与一键阻断。（提供功能截图）。</w:t>
            </w:r>
          </w:p>
          <w:p w14:paraId="06BEB90A">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7）管理中心可作为补丁服务器，支持管理中心可上网和不可上网2种情况。提供离线补丁下载器，按需智能获取内网所需补丁。</w:t>
            </w:r>
          </w:p>
          <w:p w14:paraId="2193112C">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8）支持扫描的漏洞类型包括但不限于操作系统漏洞（Windows、Linux等）、数据库漏洞（Mysql等）、Web容器漏洞（Tomcat、Apache、Ngnix等）、其他组件漏洞。</w:t>
            </w:r>
          </w:p>
          <w:p w14:paraId="29113099">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9）移动存储介质管理。</w:t>
            </w:r>
          </w:p>
          <w:p w14:paraId="2324A80C">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10）防病毒模块，支持文件实时监控，在进程启动、文件创建、存储介质连接时自动触发。可保护系统指定文件不被恶意篡改或执行。可防止指定命令被恶意利用，损害主机。（支持对顽固流行病毒进行智能拦截。</w:t>
            </w:r>
          </w:p>
          <w:p w14:paraId="05BE0BBC">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11）提供专门的勒索风险评估功能。提供专门的针对已知勒索病毒的防御引擎，并提供功能开关项。对于已知勒索病毒确保进程无法启动。提供专门的针对未知勒索病毒的防御引擎，并提供功能开关项。对于未知勒索病毒确保无法加密。支持白名单设置。</w:t>
            </w:r>
          </w:p>
          <w:p w14:paraId="3D657B32">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12）文件推送、屏幕水印、告警功能、升级系统</w:t>
            </w:r>
            <w:r>
              <w:rPr>
                <w:rFonts w:hint="eastAsia" w:ascii="宋体" w:hAnsi="宋体" w:cs="宋体"/>
                <w:bCs/>
                <w:color w:val="auto"/>
                <w:kern w:val="0"/>
                <w:sz w:val="22"/>
                <w:szCs w:val="22"/>
                <w:highlight w:val="none"/>
              </w:rPr>
              <w:tab/>
            </w:r>
            <w:r>
              <w:rPr>
                <w:rFonts w:hint="eastAsia" w:ascii="宋体" w:hAnsi="宋体" w:cs="宋体"/>
                <w:bCs/>
                <w:color w:val="auto"/>
                <w:kern w:val="0"/>
                <w:sz w:val="22"/>
                <w:szCs w:val="22"/>
                <w:highlight w:val="none"/>
              </w:rPr>
              <w:t>。</w:t>
            </w:r>
          </w:p>
          <w:p w14:paraId="45951EB1">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13）支持多级中心部署，查看所有下级控制中心的资产部署情况以及风险数据。</w:t>
            </w:r>
          </w:p>
          <w:p w14:paraId="7BD9AFC4">
            <w:pPr>
              <w:keepNext w:val="0"/>
              <w:keepLines w:val="0"/>
              <w:widowControl/>
              <w:suppressLineNumbers w:val="0"/>
              <w:spacing w:before="0" w:beforeAutospacing="0" w:after="0" w:afterAutospacing="0" w:line="360" w:lineRule="atLeast"/>
              <w:ind w:left="0" w:right="0"/>
              <w:jc w:val="left"/>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14）可视化功能  能展示各个服务器或主机节点的信息，运行状态、活动规律、行为变化趋势和详细资料，以及历史行为数据查询、全局安全态势等。</w:t>
            </w:r>
          </w:p>
        </w:tc>
      </w:tr>
      <w:tr w14:paraId="3A44E194">
        <w:tblPrEx>
          <w:tblCellMar>
            <w:top w:w="15" w:type="dxa"/>
            <w:left w:w="15" w:type="dxa"/>
            <w:bottom w:w="15" w:type="dxa"/>
            <w:right w:w="15" w:type="dxa"/>
          </w:tblCellMar>
        </w:tblPrEx>
        <w:trPr>
          <w:trHeight w:val="644" w:hRule="atLeast"/>
        </w:trPr>
        <w:tc>
          <w:tcPr>
            <w:tcW w:w="1498" w:type="dxa"/>
            <w:tcBorders>
              <w:top w:val="single" w:color="000000" w:sz="4" w:space="0"/>
              <w:left w:val="single" w:color="000000" w:sz="4" w:space="0"/>
              <w:bottom w:val="single" w:color="000000" w:sz="4" w:space="0"/>
              <w:right w:val="single" w:color="000000" w:sz="4" w:space="0"/>
            </w:tcBorders>
            <w:vAlign w:val="center"/>
          </w:tcPr>
          <w:p w14:paraId="23852DD7">
            <w:pPr>
              <w:keepNext w:val="0"/>
              <w:keepLines w:val="0"/>
              <w:widowControl/>
              <w:suppressLineNumbers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c>
          <w:tcPr>
            <w:tcW w:w="8035" w:type="dxa"/>
            <w:tcBorders>
              <w:top w:val="single" w:color="000000" w:sz="4" w:space="0"/>
              <w:left w:val="single" w:color="000000" w:sz="4" w:space="0"/>
              <w:bottom w:val="single" w:color="000000" w:sz="4" w:space="0"/>
              <w:right w:val="single" w:color="000000" w:sz="4" w:space="0"/>
            </w:tcBorders>
            <w:vAlign w:val="center"/>
          </w:tcPr>
          <w:p w14:paraId="10427B7A">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1）安全事件：提供重大事件应急响应预案。</w:t>
            </w:r>
          </w:p>
          <w:p w14:paraId="67B0A107">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2）应急响应：对于新发现的病毒、零日漏洞，厂商能够于24小时内作出响应，及时通知用户，并提供专应急预案、处置工具或专杀工具。</w:t>
            </w:r>
          </w:p>
          <w:p w14:paraId="47F46985">
            <w:pPr>
              <w:keepNext w:val="0"/>
              <w:keepLines w:val="0"/>
              <w:suppressLineNumbers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3）技术支持：支持7x24小时威胁溯源服务。</w:t>
            </w:r>
          </w:p>
        </w:tc>
      </w:tr>
    </w:tbl>
    <w:p w14:paraId="1D1002CD">
      <w:pPr>
        <w:adjustRightInd w:val="0"/>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（七）云平台监管及审计</w:t>
      </w:r>
      <w:bookmarkEnd w:id="42"/>
      <w:bookmarkEnd w:id="43"/>
    </w:p>
    <w:p w14:paraId="2D250356">
      <w:pPr>
        <w:adjustRightInd w:val="0"/>
        <w:snapToGrid w:val="0"/>
        <w:spacing w:line="400" w:lineRule="atLeast"/>
        <w:ind w:firstLine="440" w:firstLineChars="200"/>
        <w:rPr>
          <w:rFonts w:ascii="宋体" w:hAnsi="宋体"/>
          <w:color w:val="auto"/>
          <w:kern w:val="0"/>
          <w:sz w:val="22"/>
          <w:szCs w:val="22"/>
          <w:highlight w:val="none"/>
        </w:rPr>
      </w:pPr>
      <w:bookmarkStart w:id="44" w:name="_Toc10032578"/>
      <w:bookmarkStart w:id="45" w:name="_Toc47481024"/>
      <w:r>
        <w:rPr>
          <w:rFonts w:hint="eastAsia" w:ascii="宋体" w:hAnsi="宋体"/>
          <w:color w:val="auto"/>
          <w:kern w:val="0"/>
          <w:sz w:val="22"/>
          <w:szCs w:val="22"/>
          <w:highlight w:val="none"/>
        </w:rPr>
        <w:t>（1）云管平台</w:t>
      </w:r>
      <w:bookmarkEnd w:id="44"/>
      <w:bookmarkEnd w:id="45"/>
    </w:p>
    <w:p w14:paraId="66FE1F49">
      <w:pPr>
        <w:widowControl/>
        <w:spacing w:line="400" w:lineRule="atLeast"/>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云供应商须为招标方提供专用的云管平台，云管平台按照政务云云管平台统一标准规范建设，须与政务云其他云管平台整合统一使用。支持通过机关内部最多跑一次网办平台受理、审核用户的需求，相关数据录入云管平台，云供应商进行处理；管理政务用户云资源，实时监控云资源运行状况。运管平台须具备如下功能：</w:t>
      </w:r>
    </w:p>
    <w:tbl>
      <w:tblPr>
        <w:tblStyle w:val="46"/>
        <w:tblW w:w="9547"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049"/>
      </w:tblGrid>
      <w:tr w14:paraId="4926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98" w:type="dxa"/>
            <w:vAlign w:val="center"/>
          </w:tcPr>
          <w:p w14:paraId="1ADB7061">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049" w:type="dxa"/>
            <w:vAlign w:val="center"/>
          </w:tcPr>
          <w:p w14:paraId="39F41A48">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64B7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98" w:type="dxa"/>
            <w:vAlign w:val="center"/>
          </w:tcPr>
          <w:p w14:paraId="52A7CA0F">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审核管理需求</w:t>
            </w:r>
          </w:p>
        </w:tc>
        <w:tc>
          <w:tcPr>
            <w:tcW w:w="8049" w:type="dxa"/>
            <w:vAlign w:val="center"/>
          </w:tcPr>
          <w:p w14:paraId="01F8DA2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单位管理；用户管理；系统管理；申请审批流程；邮件、手机、短消息。</w:t>
            </w:r>
          </w:p>
        </w:tc>
      </w:tr>
      <w:tr w14:paraId="523B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98" w:type="dxa"/>
            <w:vAlign w:val="center"/>
          </w:tcPr>
          <w:p w14:paraId="769CC54E">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管理员需求</w:t>
            </w:r>
          </w:p>
        </w:tc>
        <w:tc>
          <w:tcPr>
            <w:tcW w:w="8049" w:type="dxa"/>
            <w:vAlign w:val="center"/>
          </w:tcPr>
          <w:p w14:paraId="707621A5">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开通管理、登录管理、日志管理、统计报表、用户管理、云主机管理、系统重装、快照管理、系统镜像管理、安全组管理、工单管理、 计费管理、产品管理、云主机迁移、负载均衡管理、云数据库管理、 事件历史管理。 </w:t>
            </w:r>
          </w:p>
        </w:tc>
      </w:tr>
      <w:tr w14:paraId="3A49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3C1A54E7">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使用单位用户需求</w:t>
            </w:r>
          </w:p>
        </w:tc>
        <w:tc>
          <w:tcPr>
            <w:tcW w:w="8049" w:type="dxa"/>
            <w:vAlign w:val="center"/>
          </w:tcPr>
          <w:p w14:paraId="018947F8">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用户管理、 手机绑定、 日志管理、 云主机管理、安全组管理、 工单管理、 快照管理、监控管理、告警管理、事件历史管理、安全漏洞管理；月度账单确认；云资源利用率报告确认。</w:t>
            </w:r>
          </w:p>
        </w:tc>
      </w:tr>
      <w:tr w14:paraId="2206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73321F6F">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运维人员需求</w:t>
            </w:r>
          </w:p>
        </w:tc>
        <w:tc>
          <w:tcPr>
            <w:tcW w:w="8049" w:type="dxa"/>
            <w:vAlign w:val="center"/>
          </w:tcPr>
          <w:p w14:paraId="2A1A37C2">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监控管理、告警管理、故障管理、云主机管理、云主机迁移、变更管理、事件历史管理、安全漏洞管理。</w:t>
            </w:r>
          </w:p>
        </w:tc>
      </w:tr>
      <w:tr w14:paraId="3E28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dxa"/>
            <w:vAlign w:val="center"/>
          </w:tcPr>
          <w:p w14:paraId="6966724B">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资源管理需求</w:t>
            </w:r>
          </w:p>
        </w:tc>
        <w:tc>
          <w:tcPr>
            <w:tcW w:w="8049" w:type="dxa"/>
            <w:vAlign w:val="center"/>
          </w:tcPr>
          <w:p w14:paraId="4F8BD4D7">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云产品物理资源管理、云产品逻辑资源管理、云产品虚拟资源管理、 资源利用统计、月度账单、云资源利用率、安全漏洞整改情况。</w:t>
            </w:r>
          </w:p>
        </w:tc>
      </w:tr>
      <w:tr w14:paraId="634A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98" w:type="dxa"/>
            <w:vAlign w:val="center"/>
          </w:tcPr>
          <w:p w14:paraId="6AA17820">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监控需求</w:t>
            </w:r>
          </w:p>
        </w:tc>
        <w:tc>
          <w:tcPr>
            <w:tcW w:w="8049" w:type="dxa"/>
            <w:vAlign w:val="center"/>
          </w:tcPr>
          <w:p w14:paraId="2EEA24B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日志管理、统计报表、监控管理、事件历史管理。 </w:t>
            </w:r>
          </w:p>
        </w:tc>
      </w:tr>
      <w:tr w14:paraId="776D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98" w:type="dxa"/>
            <w:vAlign w:val="center"/>
          </w:tcPr>
          <w:p w14:paraId="1FC4CE2B">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查询需求</w:t>
            </w:r>
          </w:p>
        </w:tc>
        <w:tc>
          <w:tcPr>
            <w:tcW w:w="8049" w:type="dxa"/>
            <w:vAlign w:val="center"/>
          </w:tcPr>
          <w:p w14:paraId="1E2C70D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按部门查询；按时间段查询；按资源分类查询；按资源利用率查询。</w:t>
            </w:r>
          </w:p>
        </w:tc>
      </w:tr>
    </w:tbl>
    <w:p w14:paraId="11BEA2CC">
      <w:pPr>
        <w:adjustRightInd w:val="0"/>
        <w:snapToGrid w:val="0"/>
        <w:spacing w:line="400" w:lineRule="atLeast"/>
        <w:ind w:firstLine="440" w:firstLineChars="200"/>
        <w:rPr>
          <w:rFonts w:ascii="宋体" w:hAnsi="宋体"/>
          <w:color w:val="auto"/>
          <w:kern w:val="0"/>
          <w:sz w:val="22"/>
          <w:szCs w:val="22"/>
          <w:highlight w:val="none"/>
        </w:rPr>
      </w:pPr>
      <w:bookmarkStart w:id="46" w:name="_Toc10032579"/>
      <w:bookmarkStart w:id="47" w:name="_Toc47481025"/>
      <w:r>
        <w:rPr>
          <w:rFonts w:hint="eastAsia" w:ascii="宋体" w:hAnsi="宋体"/>
          <w:color w:val="auto"/>
          <w:kern w:val="0"/>
          <w:sz w:val="22"/>
          <w:szCs w:val="22"/>
          <w:highlight w:val="none"/>
        </w:rPr>
        <w:t>（2）运行监测系统</w:t>
      </w:r>
      <w:bookmarkEnd w:id="46"/>
      <w:bookmarkEnd w:id="47"/>
    </w:p>
    <w:p w14:paraId="414A593D">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运行监测系统包括：日志采集监测、日志采集统计、日志查询统计、监测预警等功能，并产生日常运行日志、系统资源占用情况、用户数、操作日志等。具体要求见下表：</w:t>
      </w:r>
    </w:p>
    <w:tbl>
      <w:tblPr>
        <w:tblStyle w:val="46"/>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8035"/>
      </w:tblGrid>
      <w:tr w14:paraId="1AFA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tcPr>
          <w:p w14:paraId="3ADDF319">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8035" w:type="dxa"/>
            <w:tcBorders>
              <w:top w:val="single" w:color="auto" w:sz="4" w:space="0"/>
              <w:left w:val="single" w:color="auto" w:sz="4" w:space="0"/>
              <w:bottom w:val="single" w:color="auto" w:sz="4" w:space="0"/>
              <w:right w:val="single" w:color="auto" w:sz="4" w:space="0"/>
            </w:tcBorders>
            <w:vAlign w:val="center"/>
          </w:tcPr>
          <w:p w14:paraId="176FF1CD">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规格要求</w:t>
            </w:r>
          </w:p>
        </w:tc>
      </w:tr>
      <w:tr w14:paraId="3DEA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86" w:type="dxa"/>
            <w:vMerge w:val="restart"/>
            <w:tcBorders>
              <w:top w:val="single" w:color="auto" w:sz="4" w:space="0"/>
              <w:left w:val="single" w:color="auto" w:sz="4" w:space="0"/>
              <w:right w:val="single" w:color="auto" w:sz="4" w:space="0"/>
            </w:tcBorders>
            <w:vAlign w:val="center"/>
          </w:tcPr>
          <w:p w14:paraId="4B128285">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运行监测系统</w:t>
            </w:r>
          </w:p>
        </w:tc>
        <w:tc>
          <w:tcPr>
            <w:tcW w:w="8035" w:type="dxa"/>
            <w:tcBorders>
              <w:top w:val="single" w:color="auto" w:sz="4" w:space="0"/>
              <w:left w:val="single" w:color="auto" w:sz="4" w:space="0"/>
              <w:bottom w:val="single" w:color="auto" w:sz="4" w:space="0"/>
              <w:right w:val="single" w:color="auto" w:sz="4" w:space="0"/>
            </w:tcBorders>
            <w:vAlign w:val="center"/>
          </w:tcPr>
          <w:p w14:paraId="0BF5A251">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提供日志管理、统计报表、监控管理、事件历史管理等运行监测功能。</w:t>
            </w:r>
          </w:p>
        </w:tc>
      </w:tr>
      <w:tr w14:paraId="42F0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6" w:type="dxa"/>
            <w:vMerge w:val="continue"/>
            <w:tcBorders>
              <w:left w:val="single" w:color="auto" w:sz="4" w:space="0"/>
              <w:right w:val="single" w:color="auto" w:sz="4" w:space="0"/>
            </w:tcBorders>
          </w:tcPr>
          <w:p w14:paraId="02D14080">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5" w:type="dxa"/>
            <w:tcBorders>
              <w:top w:val="single" w:color="auto" w:sz="4" w:space="0"/>
              <w:left w:val="single" w:color="auto" w:sz="4" w:space="0"/>
              <w:bottom w:val="single" w:color="auto" w:sz="4" w:space="0"/>
              <w:right w:val="single" w:color="auto" w:sz="4" w:space="0"/>
            </w:tcBorders>
            <w:vAlign w:val="center"/>
          </w:tcPr>
          <w:p w14:paraId="35F7C08F">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实现维护事件提醒自动化：通过对云计算平台资源的实时监控,自动在第一时间将异常事件通知相关责任人。</w:t>
            </w:r>
          </w:p>
        </w:tc>
      </w:tr>
      <w:tr w14:paraId="0020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86" w:type="dxa"/>
            <w:vMerge w:val="continue"/>
            <w:tcBorders>
              <w:left w:val="single" w:color="auto" w:sz="4" w:space="0"/>
              <w:right w:val="single" w:color="auto" w:sz="4" w:space="0"/>
            </w:tcBorders>
          </w:tcPr>
          <w:p w14:paraId="237ACE0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5" w:type="dxa"/>
            <w:tcBorders>
              <w:top w:val="single" w:color="auto" w:sz="4" w:space="0"/>
              <w:left w:val="single" w:color="auto" w:sz="4" w:space="0"/>
              <w:bottom w:val="single" w:color="auto" w:sz="4" w:space="0"/>
              <w:right w:val="single" w:color="auto" w:sz="4" w:space="0"/>
            </w:tcBorders>
            <w:vAlign w:val="center"/>
          </w:tcPr>
          <w:p w14:paraId="21996F2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实现系统健康检测自动化,定期自动地对云计算平台资源和应用系统进行健康巡检。</w:t>
            </w:r>
          </w:p>
        </w:tc>
      </w:tr>
      <w:tr w14:paraId="7A90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vMerge w:val="continue"/>
            <w:tcBorders>
              <w:left w:val="single" w:color="auto" w:sz="4" w:space="0"/>
              <w:bottom w:val="single" w:color="auto" w:sz="4" w:space="0"/>
              <w:right w:val="single" w:color="auto" w:sz="4" w:space="0"/>
            </w:tcBorders>
          </w:tcPr>
          <w:p w14:paraId="58B324D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p>
        </w:tc>
        <w:tc>
          <w:tcPr>
            <w:tcW w:w="8035" w:type="dxa"/>
            <w:tcBorders>
              <w:top w:val="single" w:color="auto" w:sz="4" w:space="0"/>
              <w:left w:val="single" w:color="auto" w:sz="4" w:space="0"/>
              <w:bottom w:val="single" w:color="auto" w:sz="4" w:space="0"/>
              <w:right w:val="single" w:color="auto" w:sz="4" w:space="0"/>
            </w:tcBorders>
            <w:vAlign w:val="center"/>
          </w:tcPr>
          <w:p w14:paraId="3650A9D9">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实现维护报告生成自动化,定期自动的对系统做日志的收集分析,记录系统运行状况，并通过阶段性的监控、分析和总结,定时提供云计算平台运维的可用性、性能、系统资源利用状况分析报告。</w:t>
            </w:r>
          </w:p>
        </w:tc>
      </w:tr>
    </w:tbl>
    <w:p w14:paraId="02EAF40A">
      <w:pPr>
        <w:adjustRightInd w:val="0"/>
        <w:snapToGrid w:val="0"/>
        <w:spacing w:line="400" w:lineRule="atLeast"/>
        <w:rPr>
          <w:rFonts w:ascii="宋体" w:hAnsi="宋体"/>
          <w:b/>
          <w:color w:val="auto"/>
          <w:kern w:val="0"/>
          <w:sz w:val="22"/>
          <w:szCs w:val="22"/>
          <w:highlight w:val="none"/>
        </w:rPr>
      </w:pPr>
      <w:bookmarkStart w:id="48" w:name="_Toc10032589"/>
      <w:bookmarkStart w:id="49" w:name="_Toc47481035"/>
      <w:r>
        <w:rPr>
          <w:rFonts w:hint="eastAsia" w:ascii="宋体" w:hAnsi="宋体"/>
          <w:b/>
          <w:color w:val="auto"/>
          <w:kern w:val="0"/>
          <w:sz w:val="22"/>
          <w:szCs w:val="22"/>
          <w:highlight w:val="none"/>
        </w:rPr>
        <w:t>（八）云技术支持服务</w:t>
      </w:r>
      <w:bookmarkEnd w:id="48"/>
      <w:bookmarkEnd w:id="49"/>
    </w:p>
    <w:p w14:paraId="0DBA6BC9">
      <w:pPr>
        <w:adjustRightInd w:val="0"/>
        <w:snapToGrid w:val="0"/>
        <w:spacing w:line="400" w:lineRule="atLeast"/>
        <w:ind w:firstLine="440" w:firstLineChars="200"/>
        <w:rPr>
          <w:rFonts w:ascii="宋体" w:hAnsi="宋体"/>
          <w:color w:val="auto"/>
          <w:kern w:val="0"/>
          <w:sz w:val="22"/>
          <w:szCs w:val="22"/>
          <w:highlight w:val="none"/>
        </w:rPr>
      </w:pPr>
      <w:bookmarkStart w:id="50" w:name="_Toc47481036"/>
      <w:bookmarkStart w:id="51" w:name="_Toc10032590"/>
      <w:r>
        <w:rPr>
          <w:rFonts w:hint="eastAsia" w:ascii="宋体" w:hAnsi="宋体"/>
          <w:color w:val="auto"/>
          <w:kern w:val="0"/>
          <w:sz w:val="22"/>
          <w:szCs w:val="22"/>
          <w:highlight w:val="none"/>
        </w:rPr>
        <w:t>（1）应用迁移咨询服务</w:t>
      </w:r>
      <w:bookmarkEnd w:id="50"/>
      <w:bookmarkEnd w:id="51"/>
    </w:p>
    <w:p w14:paraId="52D12AAC">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投标供应商应制定云平台应用开发及迁移部署规范、关系型数据库使用规范、政务云安全防护体系等规范标准，协助各级部门进行云应用开发，配合做好所有业务应用系统的部署、运行和安全保障。</w:t>
      </w:r>
    </w:p>
    <w:p w14:paraId="7A5299BD">
      <w:pPr>
        <w:snapToGrid w:val="0"/>
        <w:spacing w:line="400" w:lineRule="atLeas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供应商应承诺在项目服务期内，针对上云的业务应用提供架构设计咨询，对采购人指定的云业务系统进行统筹规划，指导业务系统的原软件开发商进行代码修改和系统部署，在系统迁移部署提供非代码级别的迁移支持服务。</w:t>
      </w:r>
    </w:p>
    <w:p w14:paraId="3467BA8E">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投标供应商应配合采购人对现业务系统进行调查摸底，根据实际情况配合制定迁移方案，配合各业务部门做好应用迁移工作，确保平稳过渡、顺利迁移。</w:t>
      </w:r>
    </w:p>
    <w:p w14:paraId="6125F993">
      <w:pPr>
        <w:snapToGrid w:val="0"/>
        <w:spacing w:line="400" w:lineRule="atLeas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具体服务要求如下：</w:t>
      </w:r>
    </w:p>
    <w:tbl>
      <w:tblPr>
        <w:tblStyle w:val="46"/>
        <w:tblW w:w="966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7961"/>
      </w:tblGrid>
      <w:tr w14:paraId="07B0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7" w:type="dxa"/>
            <w:vAlign w:val="center"/>
          </w:tcPr>
          <w:p w14:paraId="2F67A5FA">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指标项</w:t>
            </w:r>
          </w:p>
        </w:tc>
        <w:tc>
          <w:tcPr>
            <w:tcW w:w="7961" w:type="dxa"/>
            <w:vAlign w:val="center"/>
          </w:tcPr>
          <w:p w14:paraId="1AE93A91">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服务要求</w:t>
            </w:r>
          </w:p>
        </w:tc>
      </w:tr>
      <w:tr w14:paraId="43EF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07" w:type="dxa"/>
            <w:shd w:val="clear" w:color="000000" w:fill="FFFFFF"/>
            <w:vAlign w:val="center"/>
          </w:tcPr>
          <w:p w14:paraId="124C424D">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政务整体云架构设计规划</w:t>
            </w:r>
          </w:p>
        </w:tc>
        <w:tc>
          <w:tcPr>
            <w:tcW w:w="7961" w:type="dxa"/>
            <w:shd w:val="clear" w:color="000000" w:fill="FFFFFF"/>
            <w:vAlign w:val="center"/>
          </w:tcPr>
          <w:p w14:paraId="3427465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提供政务整体IT架构云化解决方案，包括现有业务应用的梳理、云架构的设计以及上云的策略等。</w:t>
            </w:r>
          </w:p>
        </w:tc>
      </w:tr>
      <w:tr w14:paraId="2458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07" w:type="dxa"/>
            <w:shd w:val="clear" w:color="000000" w:fill="FFFFFF"/>
            <w:vAlign w:val="center"/>
          </w:tcPr>
          <w:p w14:paraId="31F4839F">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业务应用上云架构设计</w:t>
            </w:r>
          </w:p>
        </w:tc>
        <w:tc>
          <w:tcPr>
            <w:tcW w:w="7961" w:type="dxa"/>
            <w:shd w:val="clear" w:color="000000" w:fill="FFFFFF"/>
            <w:vAlign w:val="center"/>
          </w:tcPr>
          <w:p w14:paraId="05F3F64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提供对单个业务应用的上云架构设计，包括架构设计、改造方案和云资源需求评估等。</w:t>
            </w:r>
          </w:p>
        </w:tc>
      </w:tr>
      <w:tr w14:paraId="47B3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07" w:type="dxa"/>
            <w:shd w:val="clear" w:color="000000" w:fill="FFFFFF"/>
            <w:vAlign w:val="center"/>
          </w:tcPr>
          <w:p w14:paraId="57E06331">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软件设计及开发技术咨询</w:t>
            </w:r>
          </w:p>
        </w:tc>
        <w:tc>
          <w:tcPr>
            <w:tcW w:w="7961" w:type="dxa"/>
            <w:shd w:val="clear" w:color="000000" w:fill="FFFFFF"/>
            <w:vAlign w:val="center"/>
          </w:tcPr>
          <w:p w14:paraId="1136098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提供基于云计算平台的软件设计与开发咨询与技术指导。</w:t>
            </w:r>
          </w:p>
        </w:tc>
      </w:tr>
      <w:tr w14:paraId="02BE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7" w:type="dxa"/>
            <w:shd w:val="clear" w:color="000000" w:fill="FFFFFF"/>
            <w:vAlign w:val="center"/>
          </w:tcPr>
          <w:p w14:paraId="5A38B53F">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开发测试环境</w:t>
            </w:r>
          </w:p>
        </w:tc>
        <w:tc>
          <w:tcPr>
            <w:tcW w:w="7961" w:type="dxa"/>
            <w:shd w:val="clear" w:color="000000" w:fill="FFFFFF"/>
            <w:vAlign w:val="bottom"/>
          </w:tcPr>
          <w:p w14:paraId="07D79B9E">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免费提供仿真的开发与测试环境，供应用系统上线前的开发与测试。测试时间一般为7-30天，测试时间内不得收费。</w:t>
            </w:r>
          </w:p>
        </w:tc>
      </w:tr>
      <w:tr w14:paraId="7519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7" w:type="dxa"/>
            <w:shd w:val="clear" w:color="000000" w:fill="FFFFFF"/>
            <w:vAlign w:val="center"/>
          </w:tcPr>
          <w:p w14:paraId="3018D61B">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测试</w:t>
            </w:r>
          </w:p>
        </w:tc>
        <w:tc>
          <w:tcPr>
            <w:tcW w:w="7961" w:type="dxa"/>
            <w:shd w:val="clear" w:color="000000" w:fill="FFFFFF"/>
            <w:vAlign w:val="bottom"/>
          </w:tcPr>
          <w:p w14:paraId="27247E0C">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协助用户完成应用系统的功能、性能、安全等测试，测试未通过则禁止应用系统上线运行。</w:t>
            </w:r>
          </w:p>
        </w:tc>
      </w:tr>
      <w:tr w14:paraId="56FE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7" w:type="dxa"/>
            <w:shd w:val="clear" w:color="000000" w:fill="FFFFFF"/>
            <w:vAlign w:val="center"/>
          </w:tcPr>
          <w:p w14:paraId="31DAA6BF">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安全咨询</w:t>
            </w:r>
          </w:p>
        </w:tc>
        <w:tc>
          <w:tcPr>
            <w:tcW w:w="7961" w:type="dxa"/>
            <w:shd w:val="clear" w:color="000000" w:fill="FFFFFF"/>
            <w:vAlign w:val="center"/>
          </w:tcPr>
          <w:p w14:paraId="25050B6B">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提供基于云计算平台的业务应用和政务整体IT规划的安全方面咨询服务。</w:t>
            </w:r>
          </w:p>
        </w:tc>
      </w:tr>
      <w:tr w14:paraId="5ADC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07" w:type="dxa"/>
            <w:shd w:val="clear" w:color="000000" w:fill="FFFFFF"/>
            <w:vAlign w:val="center"/>
          </w:tcPr>
          <w:p w14:paraId="3DA3F191">
            <w:pPr>
              <w:keepNext w:val="0"/>
              <w:keepLines w:val="0"/>
              <w:suppressLineNumbers w:val="0"/>
              <w:snapToGrid w:val="0"/>
              <w:spacing w:before="0" w:beforeAutospacing="0" w:after="0" w:afterAutospacing="0" w:line="360" w:lineRule="atLeast"/>
              <w:ind w:left="0" w:right="0"/>
              <w:jc w:val="center"/>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业务应用上云分析诊断</w:t>
            </w:r>
          </w:p>
        </w:tc>
        <w:tc>
          <w:tcPr>
            <w:tcW w:w="7961" w:type="dxa"/>
            <w:shd w:val="clear" w:color="000000" w:fill="FFFFFF"/>
            <w:vAlign w:val="center"/>
          </w:tcPr>
          <w:p w14:paraId="2514691A">
            <w:pPr>
              <w:keepNext w:val="0"/>
              <w:keepLines w:val="0"/>
              <w:suppressLineNumbers w:val="0"/>
              <w:snapToGrid w:val="0"/>
              <w:spacing w:before="0" w:beforeAutospacing="0" w:after="0" w:afterAutospacing="0" w:line="360" w:lineRule="atLeast"/>
              <w:ind w:left="0" w:right="0"/>
              <w:rPr>
                <w:rFonts w:hint="default" w:ascii="宋体" w:hAnsi="宋体" w:cs="宋体"/>
                <w:bCs/>
                <w:color w:val="auto"/>
                <w:kern w:val="0"/>
                <w:sz w:val="22"/>
                <w:szCs w:val="22"/>
                <w:highlight w:val="none"/>
              </w:rPr>
            </w:pPr>
            <w:r>
              <w:rPr>
                <w:rFonts w:hint="eastAsia" w:ascii="宋体" w:hAnsi="宋体" w:cs="宋体"/>
                <w:bCs/>
                <w:color w:val="auto"/>
                <w:kern w:val="0"/>
                <w:sz w:val="22"/>
                <w:szCs w:val="22"/>
                <w:highlight w:val="none"/>
              </w:rPr>
              <w:t>提供业务应用上云的方法指导，并提供相关上云指导手册，对上云过程中的技术问题提供支持。</w:t>
            </w:r>
          </w:p>
        </w:tc>
      </w:tr>
    </w:tbl>
    <w:p w14:paraId="33D0379B">
      <w:pPr>
        <w:adjustRightInd w:val="0"/>
        <w:snapToGrid w:val="0"/>
        <w:spacing w:line="400" w:lineRule="atLeast"/>
        <w:ind w:firstLine="440" w:firstLineChars="200"/>
        <w:rPr>
          <w:rFonts w:ascii="宋体" w:hAnsi="宋体"/>
          <w:color w:val="auto"/>
          <w:kern w:val="0"/>
          <w:sz w:val="22"/>
          <w:szCs w:val="22"/>
          <w:highlight w:val="none"/>
        </w:rPr>
      </w:pPr>
      <w:bookmarkStart w:id="52" w:name="_Toc10032591"/>
      <w:bookmarkStart w:id="53" w:name="_Toc47481037"/>
      <w:r>
        <w:rPr>
          <w:rFonts w:hint="eastAsia" w:ascii="宋体" w:hAnsi="宋体"/>
          <w:color w:val="auto"/>
          <w:kern w:val="0"/>
          <w:sz w:val="22"/>
          <w:szCs w:val="22"/>
          <w:highlight w:val="none"/>
        </w:rPr>
        <w:t>（2）其他技术服务</w:t>
      </w:r>
      <w:bookmarkEnd w:id="52"/>
      <w:bookmarkEnd w:id="53"/>
    </w:p>
    <w:p w14:paraId="1F7928E4">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供应商应提供灾难时数据恢复服务和容灾系统规划服务；提供虚拟机(含操作系统)、存储(含数据库)和网络服务的监控、配置、管理和优化服务；提供故障警告、日志采集、计量统计的功能；提供专家级系统安全和网络安全优化；建设一套规范的资源使用与管理制度；需在项目建设实施期间以及日后维护过程中全部提供原厂服务。</w:t>
      </w:r>
    </w:p>
    <w:p w14:paraId="36770C93">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投标供应商保证在云平台出现故障和缺陷时,或接到采购人提出的技术服务要求后 1 小时内作出响应。</w:t>
      </w:r>
    </w:p>
    <w:p w14:paraId="6D3DA270">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投标供应商应负责云平台整体运维服务,包括IDC 基础运维、云平台运维等,并提供具体的服务方案。</w:t>
      </w:r>
    </w:p>
    <w:p w14:paraId="2440CF16">
      <w:pPr>
        <w:adjustRightInd w:val="0"/>
        <w:snapToGrid w:val="0"/>
        <w:spacing w:line="400" w:lineRule="atLeast"/>
        <w:ind w:firstLine="440" w:firstLineChars="200"/>
        <w:rPr>
          <w:rFonts w:ascii="宋体" w:hAnsi="宋体"/>
          <w:color w:val="auto"/>
          <w:kern w:val="0"/>
          <w:sz w:val="22"/>
          <w:szCs w:val="22"/>
          <w:highlight w:val="none"/>
        </w:rPr>
      </w:pPr>
      <w:bookmarkStart w:id="54" w:name="_Toc10032592"/>
      <w:bookmarkStart w:id="55" w:name="_Toc47481038"/>
      <w:r>
        <w:rPr>
          <w:rFonts w:hint="eastAsia" w:ascii="宋体" w:hAnsi="宋体"/>
          <w:color w:val="auto"/>
          <w:kern w:val="0"/>
          <w:sz w:val="22"/>
          <w:szCs w:val="22"/>
          <w:highlight w:val="none"/>
        </w:rPr>
        <w:t>（3）培训服务</w:t>
      </w:r>
      <w:bookmarkEnd w:id="54"/>
      <w:bookmarkEnd w:id="55"/>
    </w:p>
    <w:p w14:paraId="7EAE9E5A">
      <w:pPr>
        <w:snapToGrid w:val="0"/>
        <w:spacing w:line="400" w:lineRule="atLeas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供应商应根据本项目的特点制定培训方案，应提供培训，使招标方相关人员在培训后能够独立的使用系统，而不必依赖投标供应商现场指导。培训课程应安排在整个项目计划的合适时间段内，培训的内容至少应涵盖政务云平台日常使用所需功能。培训应分为使用及管理培训（针对技术管理人员）和业务开发培训（针对业务开发人员），中标人负责安排专业培训讲师授课，并提供全套培训教材和培训课程计划表。</w:t>
      </w:r>
    </w:p>
    <w:p w14:paraId="6AEE630A">
      <w:pPr>
        <w:adjustRightInd w:val="0"/>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（九）商务条款</w:t>
      </w:r>
    </w:p>
    <w:p w14:paraId="2EB7A86E">
      <w:pPr>
        <w:snapToGrid w:val="0"/>
        <w:spacing w:line="400" w:lineRule="atLeast"/>
        <w:ind w:firstLine="442" w:firstLineChars="200"/>
        <w:rPr>
          <w:rFonts w:ascii="宋体" w:hAnsi="宋体"/>
          <w:b/>
          <w:color w:val="auto"/>
          <w:kern w:val="0"/>
          <w:sz w:val="22"/>
          <w:szCs w:val="22"/>
          <w:highlight w:val="none"/>
        </w:rPr>
      </w:pPr>
      <w:r>
        <w:rPr>
          <w:rFonts w:hint="eastAsia" w:ascii="宋体" w:hAnsi="宋体" w:cs="宋体"/>
          <w:b/>
          <w:bCs/>
          <w:color w:val="auto"/>
          <w:kern w:val="0"/>
          <w:sz w:val="22"/>
          <w:szCs w:val="22"/>
          <w:highlight w:val="none"/>
        </w:rPr>
        <w:t>1、</w:t>
      </w:r>
      <w:r>
        <w:rPr>
          <w:rFonts w:hint="eastAsia" w:ascii="宋体" w:hAnsi="宋体"/>
          <w:b/>
          <w:color w:val="auto"/>
          <w:kern w:val="0"/>
          <w:sz w:val="22"/>
          <w:szCs w:val="22"/>
          <w:highlight w:val="none"/>
        </w:rPr>
        <w:t>付款方式：</w:t>
      </w:r>
    </w:p>
    <w:p w14:paraId="57AE8AD8">
      <w:pPr>
        <w:snapToGrid w:val="0"/>
        <w:spacing w:line="400" w:lineRule="atLeast"/>
        <w:ind w:firstLine="440" w:firstLineChars="200"/>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合同签订后，服务提供方按实际需求提供服务（招标前未支付的服务费用均按照此次招标结果计费支付），同时，需提供各使用单位实际使用的服务项目（产品类型）、数量的服务费用清单，并经过使用单位确认后由采购人结算服务费用。合同期内一次</w:t>
      </w:r>
      <w:r>
        <w:rPr>
          <w:rFonts w:hint="eastAsia" w:ascii="宋体" w:hAnsi="宋体" w:cs="宋体"/>
          <w:bCs/>
          <w:color w:val="auto"/>
          <w:kern w:val="0"/>
          <w:sz w:val="22"/>
          <w:szCs w:val="22"/>
          <w:highlight w:val="none"/>
          <w:u w:val="single"/>
          <w:lang w:val="en-US" w:eastAsia="zh-CN"/>
        </w:rPr>
        <w:t>性支付费用清单内的</w:t>
      </w:r>
      <w:r>
        <w:rPr>
          <w:rFonts w:hint="eastAsia" w:ascii="宋体" w:hAnsi="宋体" w:cs="宋体"/>
          <w:bCs/>
          <w:color w:val="auto"/>
          <w:kern w:val="0"/>
          <w:sz w:val="22"/>
          <w:szCs w:val="22"/>
          <w:highlight w:val="none"/>
          <w:u w:val="single"/>
        </w:rPr>
        <w:t>服务费，经双方确认</w:t>
      </w:r>
      <w:r>
        <w:rPr>
          <w:rFonts w:hint="eastAsia" w:ascii="宋体" w:hAnsi="宋体" w:cs="宋体"/>
          <w:bCs/>
          <w:color w:val="auto"/>
          <w:kern w:val="0"/>
          <w:sz w:val="22"/>
          <w:szCs w:val="22"/>
          <w:highlight w:val="none"/>
          <w:u w:val="single"/>
          <w:lang w:val="en-US" w:eastAsia="zh-CN"/>
        </w:rPr>
        <w:t>并签订支付协议</w:t>
      </w:r>
      <w:r>
        <w:rPr>
          <w:rFonts w:hint="eastAsia" w:ascii="宋体" w:hAnsi="宋体" w:cs="宋体"/>
          <w:bCs/>
          <w:color w:val="auto"/>
          <w:kern w:val="0"/>
          <w:sz w:val="22"/>
          <w:szCs w:val="22"/>
          <w:highlight w:val="none"/>
          <w:u w:val="single"/>
        </w:rPr>
        <w:t>，成交供应商出具发票后7个工作日内支付服务费。</w:t>
      </w:r>
    </w:p>
    <w:p w14:paraId="59ABC614">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2、服务期限：所有政务云服务计费方式均按照此次结果执行，直至出现新的政务云招标结果为止。</w:t>
      </w:r>
    </w:p>
    <w:p w14:paraId="60ADBDFF">
      <w:pPr>
        <w:snapToGrid w:val="0"/>
        <w:spacing w:line="40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3、本项目为单价合同，具体服务金额按照实际使用情况对照此次单价和</w:t>
      </w:r>
      <w:r>
        <w:rPr>
          <w:rFonts w:hint="eastAsia" w:ascii="宋体" w:hAnsi="宋体"/>
          <w:b/>
          <w:bCs/>
          <w:color w:val="auto"/>
          <w:sz w:val="22"/>
          <w:szCs w:val="22"/>
          <w:highlight w:val="none"/>
        </w:rPr>
        <w:t>统一折扣率</w:t>
      </w:r>
      <w:r>
        <w:rPr>
          <w:rFonts w:hint="eastAsia" w:ascii="宋体" w:hAnsi="宋体"/>
          <w:b/>
          <w:color w:val="auto"/>
          <w:sz w:val="22"/>
          <w:szCs w:val="22"/>
          <w:highlight w:val="none"/>
        </w:rPr>
        <w:t>计算并支付。</w:t>
      </w:r>
    </w:p>
    <w:p w14:paraId="53EA1E2B">
      <w:pPr>
        <w:snapToGrid w:val="0"/>
        <w:spacing w:line="400" w:lineRule="atLeast"/>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4、报价说明</w:t>
      </w:r>
    </w:p>
    <w:p w14:paraId="2091ED46">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1）鉴于各使用单位应用系统数量为动态数值，故本项目不能确定各项服务总量，本次招标采购的是云主机等资源每月租赁费的单价（不足1月按实际产生天数计费，每日租赁费=月租赁费/30）。  </w:t>
      </w:r>
    </w:p>
    <w:p w14:paraId="4860ED53">
      <w:pPr>
        <w:snapToGrid w:val="0"/>
        <w:spacing w:line="400" w:lineRule="atLeast"/>
        <w:ind w:firstLine="440" w:firstLineChars="200"/>
        <w:rPr>
          <w:color w:val="auto"/>
          <w:highlight w:val="none"/>
        </w:rPr>
      </w:pPr>
      <w:r>
        <w:rPr>
          <w:rFonts w:hint="eastAsia" w:ascii="宋体" w:hAnsi="宋体"/>
          <w:color w:val="auto"/>
          <w:sz w:val="22"/>
          <w:szCs w:val="22"/>
          <w:highlight w:val="none"/>
        </w:rPr>
        <w:t>2）本次投标品目采购人已设单价最高限价，投标供应商在采购人设定的最高限价的基础上根据企业自身实力及市场行情自行填报折扣率，</w:t>
      </w:r>
      <w:r>
        <w:rPr>
          <w:rFonts w:hint="eastAsia"/>
          <w:color w:val="auto"/>
          <w:highlight w:val="none"/>
        </w:rPr>
        <w:t>▲</w:t>
      </w:r>
      <w:r>
        <w:rPr>
          <w:rFonts w:hint="eastAsia" w:ascii="宋体" w:hAnsi="宋体" w:cs="宋体"/>
          <w:b/>
          <w:bCs/>
          <w:color w:val="auto"/>
          <w:highlight w:val="none"/>
        </w:rPr>
        <w:t>不同投标品目要求填报统一的折扣率（即所有投标品目的折扣率均相同），否则其报价无效并作无效标处理</w:t>
      </w:r>
      <w:r>
        <w:rPr>
          <w:rFonts w:hint="eastAsia" w:ascii="宋体" w:hAnsi="宋体" w:cs="宋体"/>
          <w:color w:val="auto"/>
          <w:highlight w:val="none"/>
        </w:rPr>
        <w:t>。</w:t>
      </w:r>
    </w:p>
    <w:p w14:paraId="3B80231E">
      <w:pPr>
        <w:snapToGrid w:val="0"/>
        <w:spacing w:line="400" w:lineRule="atLeast"/>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3）本项目按各单价最高限价×最高限价的统一折扣率×各部门各实际服务数量进行结算。各单价最高限价详见下表：</w:t>
      </w:r>
    </w:p>
    <w:p w14:paraId="372E2F02">
      <w:pPr>
        <w:snapToGrid w:val="0"/>
        <w:spacing w:line="400" w:lineRule="atLeast"/>
        <w:jc w:val="center"/>
        <w:rPr>
          <w:rFonts w:ascii="宋体" w:hAnsi="宋体"/>
          <w:b/>
          <w:bCs/>
          <w:color w:val="auto"/>
          <w:sz w:val="22"/>
          <w:szCs w:val="22"/>
          <w:highlight w:val="none"/>
        </w:rPr>
      </w:pPr>
      <w:r>
        <w:rPr>
          <w:rFonts w:hint="eastAsia" w:ascii="宋体" w:hAnsi="宋体"/>
          <w:b/>
          <w:bCs/>
          <w:color w:val="auto"/>
          <w:sz w:val="22"/>
          <w:szCs w:val="22"/>
          <w:highlight w:val="none"/>
        </w:rPr>
        <w:t>洞头区政务云（公有云）服务内容清单和最高限价</w:t>
      </w:r>
    </w:p>
    <w:p w14:paraId="43DFA686">
      <w:pPr>
        <w:spacing w:line="400" w:lineRule="atLeast"/>
        <w:ind w:right="88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单位：(元/月)</w:t>
      </w:r>
    </w:p>
    <w:tbl>
      <w:tblPr>
        <w:tblStyle w:val="46"/>
        <w:tblW w:w="0" w:type="auto"/>
        <w:tblInd w:w="0" w:type="dxa"/>
        <w:tblLayout w:type="autofit"/>
        <w:tblCellMar>
          <w:top w:w="0" w:type="dxa"/>
          <w:left w:w="108" w:type="dxa"/>
          <w:bottom w:w="0" w:type="dxa"/>
          <w:right w:w="108" w:type="dxa"/>
        </w:tblCellMar>
      </w:tblPr>
      <w:tblGrid>
        <w:gridCol w:w="656"/>
        <w:gridCol w:w="1117"/>
        <w:gridCol w:w="1343"/>
        <w:gridCol w:w="1197"/>
        <w:gridCol w:w="1010"/>
        <w:gridCol w:w="1911"/>
        <w:gridCol w:w="776"/>
        <w:gridCol w:w="2032"/>
      </w:tblGrid>
      <w:tr w14:paraId="586F566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957AE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黑体"/>
                <w:color w:val="auto"/>
                <w:sz w:val="22"/>
                <w:szCs w:val="22"/>
                <w:highlight w:val="none"/>
              </w:rPr>
            </w:pPr>
            <w:r>
              <w:rPr>
                <w:rFonts w:hint="eastAsia" w:ascii="宋体" w:hAnsi="宋体" w:cs="黑体"/>
                <w:color w:val="auto"/>
                <w:kern w:val="0"/>
                <w:sz w:val="22"/>
                <w:szCs w:val="22"/>
                <w:highlight w:val="none"/>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47603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黑体"/>
                <w:color w:val="auto"/>
                <w:sz w:val="22"/>
                <w:szCs w:val="22"/>
                <w:highlight w:val="none"/>
              </w:rPr>
            </w:pPr>
            <w:r>
              <w:rPr>
                <w:rFonts w:hint="eastAsia" w:ascii="宋体" w:hAnsi="宋体" w:cs="黑体"/>
                <w:color w:val="auto"/>
                <w:kern w:val="0"/>
                <w:sz w:val="22"/>
                <w:szCs w:val="22"/>
                <w:highlight w:val="none"/>
              </w:rPr>
              <w:t>服务类型</w:t>
            </w:r>
          </w:p>
        </w:tc>
        <w:tc>
          <w:tcPr>
            <w:tcW w:w="0" w:type="auto"/>
            <w:tcBorders>
              <w:top w:val="single" w:color="000000" w:sz="4" w:space="0"/>
              <w:left w:val="single" w:color="000000" w:sz="4" w:space="0"/>
              <w:bottom w:val="single" w:color="000000" w:sz="4" w:space="0"/>
              <w:right w:val="single" w:color="000000" w:sz="4" w:space="0"/>
            </w:tcBorders>
            <w:vAlign w:val="center"/>
          </w:tcPr>
          <w:p w14:paraId="31123E2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黑体"/>
                <w:b/>
                <w:bCs/>
                <w:color w:val="auto"/>
                <w:sz w:val="22"/>
                <w:szCs w:val="22"/>
                <w:highlight w:val="none"/>
              </w:rPr>
            </w:pPr>
            <w:r>
              <w:rPr>
                <w:rFonts w:hint="eastAsia" w:ascii="宋体" w:hAnsi="宋体" w:cs="黑体"/>
                <w:b/>
                <w:bCs/>
                <w:color w:val="auto"/>
                <w:kern w:val="0"/>
                <w:sz w:val="22"/>
                <w:szCs w:val="22"/>
                <w:highlight w:val="none"/>
              </w:rPr>
              <w:t>计费项</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14:paraId="007FEC0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黑体"/>
                <w:b/>
                <w:bCs/>
                <w:color w:val="auto"/>
                <w:sz w:val="22"/>
                <w:szCs w:val="22"/>
                <w:highlight w:val="none"/>
              </w:rPr>
            </w:pPr>
            <w:r>
              <w:rPr>
                <w:rFonts w:hint="eastAsia" w:ascii="宋体" w:hAnsi="宋体" w:cs="黑体"/>
                <w:b/>
                <w:bCs/>
                <w:color w:val="auto"/>
                <w:kern w:val="0"/>
                <w:sz w:val="22"/>
                <w:szCs w:val="22"/>
                <w:highlight w:val="none"/>
              </w:rPr>
              <w:t>规格说明</w:t>
            </w:r>
          </w:p>
        </w:tc>
        <w:tc>
          <w:tcPr>
            <w:tcW w:w="0" w:type="auto"/>
            <w:tcBorders>
              <w:top w:val="single" w:color="000000" w:sz="4" w:space="0"/>
              <w:left w:val="single" w:color="000000" w:sz="4" w:space="0"/>
              <w:bottom w:val="single" w:color="000000" w:sz="4" w:space="0"/>
              <w:right w:val="single" w:color="000000" w:sz="4" w:space="0"/>
            </w:tcBorders>
            <w:vAlign w:val="center"/>
          </w:tcPr>
          <w:p w14:paraId="69433A2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黑体"/>
                <w:b/>
                <w:bCs/>
                <w:color w:val="auto"/>
                <w:sz w:val="22"/>
                <w:szCs w:val="22"/>
                <w:highlight w:val="none"/>
              </w:rPr>
            </w:pPr>
            <w:r>
              <w:rPr>
                <w:rFonts w:hint="eastAsia" w:ascii="宋体" w:hAnsi="宋体" w:cs="黑体"/>
                <w:b/>
                <w:bCs/>
                <w:color w:val="auto"/>
                <w:kern w:val="0"/>
                <w:sz w:val="22"/>
                <w:szCs w:val="22"/>
                <w:highlight w:val="none"/>
              </w:rPr>
              <w:t>说明</w:t>
            </w:r>
          </w:p>
        </w:tc>
        <w:tc>
          <w:tcPr>
            <w:tcW w:w="0" w:type="auto"/>
            <w:tcBorders>
              <w:top w:val="single" w:color="000000" w:sz="4" w:space="0"/>
              <w:left w:val="single" w:color="000000" w:sz="4" w:space="0"/>
              <w:bottom w:val="single" w:color="000000" w:sz="4" w:space="0"/>
              <w:right w:val="single" w:color="000000" w:sz="4" w:space="0"/>
            </w:tcBorders>
            <w:vAlign w:val="center"/>
          </w:tcPr>
          <w:p w14:paraId="68A769F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黑体"/>
                <w:b/>
                <w:bCs/>
                <w:color w:val="auto"/>
                <w:sz w:val="22"/>
                <w:szCs w:val="22"/>
                <w:highlight w:val="none"/>
              </w:rPr>
            </w:pPr>
            <w:r>
              <w:rPr>
                <w:rFonts w:hint="eastAsia" w:ascii="宋体" w:hAnsi="宋体" w:cs="黑体"/>
                <w:b/>
                <w:bCs/>
                <w:color w:val="auto"/>
                <w:kern w:val="0"/>
                <w:sz w:val="22"/>
                <w:szCs w:val="22"/>
                <w:highlight w:val="none"/>
              </w:rPr>
              <w:t>最高限价</w:t>
            </w:r>
          </w:p>
        </w:tc>
        <w:tc>
          <w:tcPr>
            <w:tcW w:w="0" w:type="auto"/>
            <w:tcBorders>
              <w:top w:val="single" w:color="000000" w:sz="4" w:space="0"/>
              <w:left w:val="single" w:color="000000" w:sz="4" w:space="0"/>
              <w:bottom w:val="single" w:color="000000" w:sz="4" w:space="0"/>
              <w:right w:val="single" w:color="000000" w:sz="4" w:space="0"/>
            </w:tcBorders>
            <w:vAlign w:val="center"/>
          </w:tcPr>
          <w:p w14:paraId="65859435">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黑体"/>
                <w:b/>
                <w:bCs/>
                <w:color w:val="auto"/>
                <w:sz w:val="22"/>
                <w:szCs w:val="22"/>
                <w:highlight w:val="none"/>
              </w:rPr>
            </w:pPr>
            <w:r>
              <w:rPr>
                <w:rFonts w:hint="eastAsia" w:ascii="宋体" w:hAnsi="宋体" w:cs="黑体"/>
                <w:b/>
                <w:bCs/>
                <w:color w:val="auto"/>
                <w:kern w:val="0"/>
                <w:sz w:val="22"/>
                <w:szCs w:val="22"/>
                <w:highlight w:val="none"/>
              </w:rPr>
              <w:t>备注</w:t>
            </w:r>
          </w:p>
        </w:tc>
      </w:tr>
      <w:tr w14:paraId="542D236E">
        <w:tblPrEx>
          <w:tblCellMar>
            <w:top w:w="0" w:type="dxa"/>
            <w:left w:w="108" w:type="dxa"/>
            <w:bottom w:w="0" w:type="dxa"/>
            <w:right w:w="108" w:type="dxa"/>
          </w:tblCellMar>
        </w:tblPrEx>
        <w:trPr>
          <w:trHeight w:val="310" w:hRule="atLeast"/>
        </w:trPr>
        <w:tc>
          <w:tcPr>
            <w:tcW w:w="0" w:type="auto"/>
            <w:gridSpan w:val="6"/>
            <w:tcBorders>
              <w:top w:val="single" w:color="000000" w:sz="4" w:space="0"/>
              <w:left w:val="single" w:color="000000" w:sz="4" w:space="0"/>
              <w:bottom w:val="single" w:color="000000" w:sz="4" w:space="0"/>
              <w:right w:val="single" w:color="000000" w:sz="4" w:space="0"/>
            </w:tcBorders>
            <w:vAlign w:val="center"/>
          </w:tcPr>
          <w:p w14:paraId="2F102DBF">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
                <w:b/>
                <w:bCs/>
                <w:color w:val="auto"/>
                <w:sz w:val="22"/>
                <w:szCs w:val="22"/>
                <w:highlight w:val="none"/>
              </w:rPr>
            </w:pPr>
            <w:r>
              <w:rPr>
                <w:rFonts w:hint="eastAsia" w:ascii="宋体" w:hAnsi="宋体" w:cs="仿宋_GB2312"/>
                <w:b/>
                <w:bCs/>
                <w:color w:val="auto"/>
                <w:kern w:val="0"/>
                <w:sz w:val="22"/>
                <w:szCs w:val="22"/>
                <w:highlight w:val="none"/>
              </w:rPr>
              <w:t>一、基础设施服务（IaaS)</w:t>
            </w:r>
          </w:p>
        </w:tc>
        <w:tc>
          <w:tcPr>
            <w:tcW w:w="0" w:type="auto"/>
            <w:tcBorders>
              <w:top w:val="single" w:color="000000" w:sz="4" w:space="0"/>
              <w:left w:val="single" w:color="000000" w:sz="4" w:space="0"/>
              <w:bottom w:val="single" w:color="000000" w:sz="4" w:space="0"/>
              <w:right w:val="single" w:color="000000" w:sz="4" w:space="0"/>
            </w:tcBorders>
            <w:vAlign w:val="center"/>
          </w:tcPr>
          <w:p w14:paraId="765A9215">
            <w:pPr>
              <w:keepNext w:val="0"/>
              <w:keepLines w:val="0"/>
              <w:suppressLineNumbers w:val="0"/>
              <w:spacing w:before="0" w:beforeAutospacing="0" w:after="0" w:afterAutospacing="0" w:line="280" w:lineRule="atLeast"/>
              <w:ind w:left="0" w:right="0"/>
              <w:jc w:val="center"/>
              <w:rPr>
                <w:rFonts w:hint="default" w:ascii="宋体" w:hAnsi="宋体" w:cs="仿宋"/>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0F4E3EE">
            <w:pPr>
              <w:keepNext w:val="0"/>
              <w:keepLines w:val="0"/>
              <w:suppressLineNumbers w:val="0"/>
              <w:spacing w:before="0" w:beforeAutospacing="0" w:after="0" w:afterAutospacing="0" w:line="280" w:lineRule="atLeast"/>
              <w:ind w:left="0" w:right="0"/>
              <w:rPr>
                <w:rFonts w:hint="default" w:ascii="宋体" w:hAnsi="宋体" w:cs="仿宋"/>
                <w:color w:val="auto"/>
                <w:sz w:val="22"/>
                <w:szCs w:val="22"/>
                <w:highlight w:val="none"/>
              </w:rPr>
            </w:pPr>
          </w:p>
        </w:tc>
      </w:tr>
      <w:tr w14:paraId="0C754895">
        <w:tblPrEx>
          <w:tblCellMar>
            <w:top w:w="0" w:type="dxa"/>
            <w:left w:w="108" w:type="dxa"/>
            <w:bottom w:w="0" w:type="dxa"/>
            <w:right w:w="108" w:type="dxa"/>
          </w:tblCellMar>
        </w:tblPrEx>
        <w:trPr>
          <w:trHeight w:val="31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85F0D5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7945DE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计算服务</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C14B9D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增强型云主机</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7CB7F8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一核</w:t>
            </w:r>
          </w:p>
        </w:tc>
        <w:tc>
          <w:tcPr>
            <w:tcW w:w="0" w:type="auto"/>
            <w:tcBorders>
              <w:top w:val="single" w:color="000000" w:sz="4" w:space="0"/>
              <w:left w:val="single" w:color="000000" w:sz="4" w:space="0"/>
              <w:bottom w:val="single" w:color="000000" w:sz="4" w:space="0"/>
              <w:right w:val="single" w:color="000000" w:sz="4" w:space="0"/>
            </w:tcBorders>
            <w:vAlign w:val="center"/>
          </w:tcPr>
          <w:p w14:paraId="2F99D9A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1GB</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5A65B42C">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CPU主频≥2.3GHz；以上云主机价格包含操作系统正版授权；40G系统盘（SATA），linux系统盘40G，Windows系统盘40G；不含数据盘的价格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DB60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35</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1A99B4E">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CPU主频≥2.3GHz；以上云主机价格包含操作系统正版授权；linux系统盘不低于20G，Windows系统盘不低于40G；不含数据盘的价格</w:t>
            </w:r>
          </w:p>
        </w:tc>
      </w:tr>
      <w:tr w14:paraId="3FF8AD15">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D6DE2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74523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C2701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DEBA9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C6B372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0B345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D7DBC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64</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110919F">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323C82B8">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2A3AA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58D9A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C0876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0291A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102C5D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45C2E5">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7A6A3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323B25">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C8E34CB">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2DE65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57165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0F3F1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88DBB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E4B38B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EE378C">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86EB1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294</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F2A620">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7C1DFBA6">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3F4FC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72E39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4B426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11697B5">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两核</w:t>
            </w:r>
          </w:p>
        </w:tc>
        <w:tc>
          <w:tcPr>
            <w:tcW w:w="0" w:type="auto"/>
            <w:tcBorders>
              <w:top w:val="single" w:color="000000" w:sz="4" w:space="0"/>
              <w:left w:val="single" w:color="000000" w:sz="4" w:space="0"/>
              <w:bottom w:val="single" w:color="000000" w:sz="4" w:space="0"/>
              <w:right w:val="single" w:color="000000" w:sz="4" w:space="0"/>
            </w:tcBorders>
            <w:vAlign w:val="center"/>
          </w:tcPr>
          <w:p w14:paraId="1632D3B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3C57E3">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F3A3F7">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178</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621CCC">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0471245A">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04B3A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FF7A4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0EAD1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C570F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496528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39274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52A5D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238</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35A84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6F203BD8">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A323C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D9BF6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B4DA3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06597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821E55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A410A1">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1AAAC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352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2468CB">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C306E59">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77EEF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C98C0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4DF44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F6742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DCCCDC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382D8B">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D3ED9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525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633BBE">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0A86E56">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5DDDC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DBFF8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87D83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125981B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四核</w:t>
            </w:r>
          </w:p>
        </w:tc>
        <w:tc>
          <w:tcPr>
            <w:tcW w:w="0" w:type="auto"/>
            <w:tcBorders>
              <w:top w:val="single" w:color="000000" w:sz="4" w:space="0"/>
              <w:left w:val="single" w:color="000000" w:sz="4" w:space="0"/>
              <w:bottom w:val="single" w:color="000000" w:sz="4" w:space="0"/>
              <w:right w:val="single" w:color="000000" w:sz="4" w:space="0"/>
            </w:tcBorders>
            <w:vAlign w:val="center"/>
          </w:tcPr>
          <w:p w14:paraId="2289EC2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17BB0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996040">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350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1CA27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3C89851C">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BABF1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DD13A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0049E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FE9BA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CB67F79">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C01C05">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3107B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470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8AC411">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37BC3E67">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E1CFC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697E0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BE902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A49D1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FF5CA5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7E05D2">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8D357">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700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080625">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00EB216E">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BB2D4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DE099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13EF3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1A74F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F50C2E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0D243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98F92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12EB9D">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344D7F90">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0F646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8B356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BE5A0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E5F5D9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八核</w:t>
            </w:r>
          </w:p>
        </w:tc>
        <w:tc>
          <w:tcPr>
            <w:tcW w:w="0" w:type="auto"/>
            <w:tcBorders>
              <w:top w:val="single" w:color="000000" w:sz="4" w:space="0"/>
              <w:left w:val="single" w:color="000000" w:sz="4" w:space="0"/>
              <w:bottom w:val="single" w:color="000000" w:sz="4" w:space="0"/>
              <w:right w:val="single" w:color="000000" w:sz="4" w:space="0"/>
            </w:tcBorders>
            <w:vAlign w:val="center"/>
          </w:tcPr>
          <w:p w14:paraId="6BFCFE3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8FA80C">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D3A78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660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AAA14D">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33BE204F">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9B964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2C2B5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C20AE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33C84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7757B5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2CD9C1">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42F20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880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9F9C85">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00AC5AD">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5A5D3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5F57A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EF7ED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634EF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259FC6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9999F9">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1AF04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1315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61C060">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3ACE5A79">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05E35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FF197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7959F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E45A8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609898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64GB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96CBF9">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E4D27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1960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94C672">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497FC3B9">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223FB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58100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30F05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1A2F4F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十六核</w:t>
            </w:r>
          </w:p>
        </w:tc>
        <w:tc>
          <w:tcPr>
            <w:tcW w:w="0" w:type="auto"/>
            <w:tcBorders>
              <w:top w:val="single" w:color="000000" w:sz="4" w:space="0"/>
              <w:left w:val="single" w:color="000000" w:sz="4" w:space="0"/>
              <w:bottom w:val="single" w:color="000000" w:sz="4" w:space="0"/>
              <w:right w:val="single" w:color="000000" w:sz="4" w:space="0"/>
            </w:tcBorders>
            <w:vAlign w:val="center"/>
          </w:tcPr>
          <w:p w14:paraId="56CB790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8CCE1A">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7748B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1300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0C30DC">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4280F8D4">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8FBED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38872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03AB2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84244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BEC9BCA">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50C283">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A3297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1745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315685">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69459101">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3871A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4F4DA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C3466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112BE1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893765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64GB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58C3AD">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31E9E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2620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35796E">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5CFF7114">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CE7A0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85F1D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B1E56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F4734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846C517">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128GB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93B0AF">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5592C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3840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75FF7E">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60B6C4F3">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A4ED6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39914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05236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83875B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三十二</w:t>
            </w:r>
            <w:r>
              <w:rPr>
                <w:rFonts w:hint="default" w:ascii="宋体" w:hAnsi="宋体" w:cs="仿宋_GB2312"/>
                <w:color w:val="auto"/>
                <w:sz w:val="22"/>
                <w:szCs w:val="22"/>
                <w:highlight w:val="none"/>
              </w:rPr>
              <w:t>核</w:t>
            </w:r>
          </w:p>
        </w:tc>
        <w:tc>
          <w:tcPr>
            <w:tcW w:w="0" w:type="auto"/>
            <w:tcBorders>
              <w:top w:val="single" w:color="000000" w:sz="4" w:space="0"/>
              <w:left w:val="single" w:color="000000" w:sz="4" w:space="0"/>
              <w:bottom w:val="single" w:color="000000" w:sz="4" w:space="0"/>
              <w:right w:val="single" w:color="000000" w:sz="4" w:space="0"/>
            </w:tcBorders>
            <w:vAlign w:val="center"/>
          </w:tcPr>
          <w:p w14:paraId="6070032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64GB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52F619">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46BE1A">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3490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5A60BC">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09FE7E6">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B3A83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9E0D8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BE183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582B9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E1B34F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128GB</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6CE3B9">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71140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5200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0F5F1D">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7B1030F2">
        <w:tblPrEx>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5205A6C7">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A3956A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存储服务</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9D21B6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云主机数据盘</w:t>
            </w:r>
          </w:p>
        </w:tc>
        <w:tc>
          <w:tcPr>
            <w:tcW w:w="0" w:type="auto"/>
            <w:tcBorders>
              <w:top w:val="single" w:color="000000" w:sz="4" w:space="0"/>
              <w:left w:val="single" w:color="000000" w:sz="4" w:space="0"/>
              <w:bottom w:val="single" w:color="000000" w:sz="4" w:space="0"/>
              <w:right w:val="single" w:color="000000" w:sz="4" w:space="0"/>
            </w:tcBorders>
            <w:vAlign w:val="center"/>
          </w:tcPr>
          <w:p w14:paraId="7018E13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SSD数据盘</w:t>
            </w:r>
          </w:p>
        </w:tc>
        <w:tc>
          <w:tcPr>
            <w:tcW w:w="0" w:type="auto"/>
            <w:tcBorders>
              <w:top w:val="single" w:color="000000" w:sz="4" w:space="0"/>
              <w:left w:val="single" w:color="000000" w:sz="4" w:space="0"/>
              <w:bottom w:val="single" w:color="000000" w:sz="4" w:space="0"/>
              <w:right w:val="single" w:color="000000" w:sz="4" w:space="0"/>
            </w:tcBorders>
            <w:vAlign w:val="center"/>
          </w:tcPr>
          <w:p w14:paraId="2D7D3EA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100GB</w:t>
            </w:r>
          </w:p>
        </w:tc>
        <w:tc>
          <w:tcPr>
            <w:tcW w:w="0" w:type="auto"/>
            <w:tcBorders>
              <w:top w:val="single" w:color="000000" w:sz="4" w:space="0"/>
              <w:left w:val="single" w:color="000000" w:sz="4" w:space="0"/>
              <w:bottom w:val="single" w:color="000000" w:sz="4" w:space="0"/>
              <w:right w:val="single" w:color="000000" w:sz="4" w:space="0"/>
            </w:tcBorders>
            <w:vAlign w:val="center"/>
          </w:tcPr>
          <w:p w14:paraId="33A74F69">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需挂载在云主机上使用，需以100G为单位订购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A957F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70</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17F8C20">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挂载在云主机上，可单独也可组合使用</w:t>
            </w:r>
          </w:p>
        </w:tc>
      </w:tr>
      <w:tr w14:paraId="4CC7A61C">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6F485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6199F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560AB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072E2C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高效数据盘</w:t>
            </w:r>
          </w:p>
        </w:tc>
        <w:tc>
          <w:tcPr>
            <w:tcW w:w="0" w:type="auto"/>
            <w:tcBorders>
              <w:top w:val="single" w:color="000000" w:sz="4" w:space="0"/>
              <w:left w:val="single" w:color="000000" w:sz="4" w:space="0"/>
              <w:bottom w:val="single" w:color="000000" w:sz="4" w:space="0"/>
              <w:right w:val="single" w:color="000000" w:sz="4" w:space="0"/>
            </w:tcBorders>
            <w:vAlign w:val="center"/>
          </w:tcPr>
          <w:p w14:paraId="3C45158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100GB</w:t>
            </w:r>
          </w:p>
        </w:tc>
        <w:tc>
          <w:tcPr>
            <w:tcW w:w="0" w:type="auto"/>
            <w:tcBorders>
              <w:top w:val="single" w:color="000000" w:sz="4" w:space="0"/>
              <w:left w:val="single" w:color="000000" w:sz="4" w:space="0"/>
              <w:bottom w:val="single" w:color="000000" w:sz="4" w:space="0"/>
              <w:right w:val="single" w:color="000000" w:sz="4" w:space="0"/>
            </w:tcBorders>
            <w:vAlign w:val="center"/>
          </w:tcPr>
          <w:p w14:paraId="667F3231">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需挂载在云主机上使用，需以100G为单位订购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68F13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41</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6F2E39">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2316E965">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7184D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C7828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F2571DA">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云存储</w:t>
            </w:r>
          </w:p>
        </w:tc>
        <w:tc>
          <w:tcPr>
            <w:tcW w:w="0" w:type="auto"/>
            <w:tcBorders>
              <w:top w:val="single" w:color="000000" w:sz="4" w:space="0"/>
              <w:left w:val="single" w:color="000000" w:sz="4" w:space="0"/>
              <w:bottom w:val="single" w:color="000000" w:sz="4" w:space="0"/>
              <w:right w:val="single" w:color="000000" w:sz="4" w:space="0"/>
            </w:tcBorders>
            <w:vAlign w:val="center"/>
          </w:tcPr>
          <w:p w14:paraId="7B01ACA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每TeraByte (TB)字节</w:t>
            </w:r>
          </w:p>
        </w:tc>
        <w:tc>
          <w:tcPr>
            <w:tcW w:w="0" w:type="auto"/>
            <w:tcBorders>
              <w:top w:val="single" w:color="000000" w:sz="4" w:space="0"/>
              <w:left w:val="single" w:color="000000" w:sz="4" w:space="0"/>
              <w:bottom w:val="single" w:color="000000" w:sz="4" w:space="0"/>
              <w:right w:val="single" w:color="000000" w:sz="4" w:space="0"/>
            </w:tcBorders>
            <w:vAlign w:val="center"/>
          </w:tcPr>
          <w:p w14:paraId="08C7E19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1T</w:t>
            </w:r>
          </w:p>
        </w:tc>
        <w:tc>
          <w:tcPr>
            <w:tcW w:w="0" w:type="auto"/>
            <w:tcBorders>
              <w:top w:val="single" w:color="000000" w:sz="4" w:space="0"/>
              <w:left w:val="single" w:color="000000" w:sz="4" w:space="0"/>
              <w:bottom w:val="single" w:color="000000" w:sz="4" w:space="0"/>
              <w:right w:val="single" w:color="000000" w:sz="4" w:space="0"/>
            </w:tcBorders>
            <w:vAlign w:val="center"/>
          </w:tcPr>
          <w:p w14:paraId="6B924F39">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对象存储OSS，需以1T为单位订购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CDA98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181</w:t>
            </w:r>
          </w:p>
        </w:tc>
        <w:tc>
          <w:tcPr>
            <w:tcW w:w="0" w:type="auto"/>
            <w:tcBorders>
              <w:top w:val="single" w:color="000000" w:sz="4" w:space="0"/>
              <w:left w:val="single" w:color="000000" w:sz="4" w:space="0"/>
              <w:bottom w:val="single" w:color="000000" w:sz="4" w:space="0"/>
              <w:right w:val="single" w:color="000000" w:sz="4" w:space="0"/>
            </w:tcBorders>
            <w:vAlign w:val="center"/>
          </w:tcPr>
          <w:p w14:paraId="450ADFF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67E713AF">
        <w:tblPrEx>
          <w:tblCellMar>
            <w:top w:w="0" w:type="dxa"/>
            <w:left w:w="108" w:type="dxa"/>
            <w:bottom w:w="0" w:type="dxa"/>
            <w:right w:w="108" w:type="dxa"/>
          </w:tblCellMar>
        </w:tblPrEx>
        <w:trPr>
          <w:trHeight w:val="31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E0F8339">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58763D6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网络服务</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A10B3C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共享互联网出口带宽</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BB371A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共享带宽</w:t>
            </w:r>
          </w:p>
        </w:tc>
        <w:tc>
          <w:tcPr>
            <w:tcW w:w="0" w:type="auto"/>
            <w:tcBorders>
              <w:top w:val="single" w:color="000000" w:sz="4" w:space="0"/>
              <w:left w:val="single" w:color="000000" w:sz="4" w:space="0"/>
              <w:bottom w:val="single" w:color="000000" w:sz="4" w:space="0"/>
              <w:right w:val="single" w:color="000000" w:sz="4" w:space="0"/>
            </w:tcBorders>
            <w:vAlign w:val="center"/>
          </w:tcPr>
          <w:p w14:paraId="6AA9467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500 Mbps</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6B4D02E">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云平台共享互联网出口；提供配套的IP地址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1B887A">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6856</w:t>
            </w:r>
          </w:p>
        </w:tc>
        <w:tc>
          <w:tcPr>
            <w:tcW w:w="0" w:type="auto"/>
            <w:tcBorders>
              <w:top w:val="single" w:color="000000" w:sz="4" w:space="0"/>
              <w:left w:val="single" w:color="000000" w:sz="4" w:space="0"/>
              <w:bottom w:val="single" w:color="000000" w:sz="4" w:space="0"/>
              <w:right w:val="single" w:color="000000" w:sz="4" w:space="0"/>
            </w:tcBorders>
            <w:vAlign w:val="center"/>
          </w:tcPr>
          <w:p w14:paraId="3156C8A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48C6D7A6">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49C38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D0FB3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E9B4B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D02F1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55D189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1000 Mbps</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1FF1F3">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5D34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13711</w:t>
            </w:r>
          </w:p>
        </w:tc>
        <w:tc>
          <w:tcPr>
            <w:tcW w:w="0" w:type="auto"/>
            <w:tcBorders>
              <w:top w:val="single" w:color="000000" w:sz="4" w:space="0"/>
              <w:left w:val="single" w:color="000000" w:sz="4" w:space="0"/>
              <w:bottom w:val="single" w:color="000000" w:sz="4" w:space="0"/>
              <w:right w:val="single" w:color="000000" w:sz="4" w:space="0"/>
            </w:tcBorders>
            <w:vAlign w:val="center"/>
          </w:tcPr>
          <w:p w14:paraId="16155CDB">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2666BE57">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30B25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A3508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A16E3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08443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04D4E6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每增加100Mbps</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C5BF18">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3004E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1644</w:t>
            </w:r>
          </w:p>
        </w:tc>
        <w:tc>
          <w:tcPr>
            <w:tcW w:w="0" w:type="auto"/>
            <w:tcBorders>
              <w:top w:val="single" w:color="000000" w:sz="4" w:space="0"/>
              <w:left w:val="single" w:color="000000" w:sz="4" w:space="0"/>
              <w:bottom w:val="single" w:color="000000" w:sz="4" w:space="0"/>
              <w:right w:val="single" w:color="000000" w:sz="4" w:space="0"/>
            </w:tcBorders>
            <w:vAlign w:val="center"/>
          </w:tcPr>
          <w:p w14:paraId="5060E5BF">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0D37921C">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1C017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1D5D2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0286C79">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独享互联网出口带宽</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D9AFC1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独享带宽</w:t>
            </w:r>
          </w:p>
        </w:tc>
        <w:tc>
          <w:tcPr>
            <w:tcW w:w="0" w:type="auto"/>
            <w:tcBorders>
              <w:top w:val="single" w:color="000000" w:sz="4" w:space="0"/>
              <w:left w:val="single" w:color="000000" w:sz="4" w:space="0"/>
              <w:bottom w:val="single" w:color="000000" w:sz="4" w:space="0"/>
              <w:right w:val="single" w:color="000000" w:sz="4" w:space="0"/>
            </w:tcBorders>
            <w:vAlign w:val="center"/>
          </w:tcPr>
          <w:p w14:paraId="0908685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10M</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0BF985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0536DA">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363</w:t>
            </w:r>
          </w:p>
        </w:tc>
        <w:tc>
          <w:tcPr>
            <w:tcW w:w="0" w:type="auto"/>
            <w:tcBorders>
              <w:top w:val="single" w:color="000000" w:sz="4" w:space="0"/>
              <w:left w:val="single" w:color="000000" w:sz="4" w:space="0"/>
              <w:bottom w:val="single" w:color="000000" w:sz="4" w:space="0"/>
              <w:right w:val="single" w:color="000000" w:sz="4" w:space="0"/>
            </w:tcBorders>
            <w:vAlign w:val="center"/>
          </w:tcPr>
          <w:p w14:paraId="0428421B">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6A40CAED">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F8CBE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0A0A6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C8C03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E3DBC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299F0DA">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20M</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2D9E7D">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B10F9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727</w:t>
            </w:r>
          </w:p>
        </w:tc>
        <w:tc>
          <w:tcPr>
            <w:tcW w:w="0" w:type="auto"/>
            <w:tcBorders>
              <w:top w:val="single" w:color="000000" w:sz="4" w:space="0"/>
              <w:left w:val="single" w:color="000000" w:sz="4" w:space="0"/>
              <w:bottom w:val="single" w:color="000000" w:sz="4" w:space="0"/>
              <w:right w:val="single" w:color="000000" w:sz="4" w:space="0"/>
            </w:tcBorders>
            <w:vAlign w:val="center"/>
          </w:tcPr>
          <w:p w14:paraId="14333F7B">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2CE73EF1">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24728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0B27B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DF9FF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62D84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5CD48F5">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50M</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5FA8E1">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9D46D0">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1091</w:t>
            </w:r>
          </w:p>
        </w:tc>
        <w:tc>
          <w:tcPr>
            <w:tcW w:w="0" w:type="auto"/>
            <w:tcBorders>
              <w:top w:val="single" w:color="000000" w:sz="4" w:space="0"/>
              <w:left w:val="single" w:color="000000" w:sz="4" w:space="0"/>
              <w:bottom w:val="single" w:color="000000" w:sz="4" w:space="0"/>
              <w:right w:val="single" w:color="000000" w:sz="4" w:space="0"/>
            </w:tcBorders>
            <w:vAlign w:val="center"/>
          </w:tcPr>
          <w:p w14:paraId="367FBD5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6C039ED2">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6CD3C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A7779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E9A44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64FA4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09E4720">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100M</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CDF213">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0A03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2182</w:t>
            </w:r>
          </w:p>
        </w:tc>
        <w:tc>
          <w:tcPr>
            <w:tcW w:w="0" w:type="auto"/>
            <w:tcBorders>
              <w:top w:val="single" w:color="000000" w:sz="4" w:space="0"/>
              <w:left w:val="single" w:color="000000" w:sz="4" w:space="0"/>
              <w:bottom w:val="single" w:color="000000" w:sz="4" w:space="0"/>
              <w:right w:val="single" w:color="000000" w:sz="4" w:space="0"/>
            </w:tcBorders>
            <w:vAlign w:val="center"/>
          </w:tcPr>
          <w:p w14:paraId="10ED5C13">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305EE564">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D2897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E58EF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77639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903FA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D0EEDE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200M</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074CCA">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1F726A">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3819</w:t>
            </w:r>
          </w:p>
        </w:tc>
        <w:tc>
          <w:tcPr>
            <w:tcW w:w="0" w:type="auto"/>
            <w:tcBorders>
              <w:top w:val="single" w:color="000000" w:sz="4" w:space="0"/>
              <w:left w:val="single" w:color="000000" w:sz="4" w:space="0"/>
              <w:bottom w:val="single" w:color="000000" w:sz="4" w:space="0"/>
              <w:right w:val="single" w:color="000000" w:sz="4" w:space="0"/>
            </w:tcBorders>
            <w:vAlign w:val="center"/>
          </w:tcPr>
          <w:p w14:paraId="2196BA55">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46186DCF">
        <w:tblPrEx>
          <w:tblCellMar>
            <w:top w:w="0" w:type="dxa"/>
            <w:left w:w="108" w:type="dxa"/>
            <w:bottom w:w="0" w:type="dxa"/>
            <w:right w:w="108" w:type="dxa"/>
          </w:tblCellMar>
        </w:tblPrEx>
        <w:trPr>
          <w:trHeight w:val="27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1766B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1069B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D99CEB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云负载均衡</w:t>
            </w:r>
          </w:p>
        </w:tc>
        <w:tc>
          <w:tcPr>
            <w:tcW w:w="0" w:type="auto"/>
            <w:tcBorders>
              <w:top w:val="single" w:color="000000" w:sz="4" w:space="0"/>
              <w:left w:val="single" w:color="000000" w:sz="4" w:space="0"/>
              <w:bottom w:val="single" w:color="000000" w:sz="4" w:space="0"/>
              <w:right w:val="single" w:color="000000" w:sz="4" w:space="0"/>
            </w:tcBorders>
            <w:vAlign w:val="center"/>
          </w:tcPr>
          <w:p w14:paraId="154587F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以1个实例为单位</w:t>
            </w:r>
          </w:p>
        </w:tc>
        <w:tc>
          <w:tcPr>
            <w:tcW w:w="0" w:type="auto"/>
            <w:tcBorders>
              <w:top w:val="single" w:color="000000" w:sz="4" w:space="0"/>
              <w:left w:val="single" w:color="000000" w:sz="4" w:space="0"/>
              <w:bottom w:val="single" w:color="000000" w:sz="4" w:space="0"/>
              <w:right w:val="single" w:color="000000" w:sz="4" w:space="0"/>
            </w:tcBorders>
            <w:vAlign w:val="center"/>
          </w:tcPr>
          <w:p w14:paraId="37547000">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实例</w:t>
            </w:r>
          </w:p>
        </w:tc>
        <w:tc>
          <w:tcPr>
            <w:tcW w:w="0" w:type="auto"/>
            <w:tcBorders>
              <w:top w:val="single" w:color="000000" w:sz="4" w:space="0"/>
              <w:left w:val="single" w:color="000000" w:sz="4" w:space="0"/>
              <w:bottom w:val="single" w:color="000000" w:sz="4" w:space="0"/>
              <w:right w:val="single" w:color="000000" w:sz="4" w:space="0"/>
            </w:tcBorders>
            <w:vAlign w:val="center"/>
          </w:tcPr>
          <w:p w14:paraId="3E9E2258">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提供4层和7层负载均衡。支持包括全局负载均衡和服务器负载均衡的功能；支持轮询、加权轮询、加权最小连接、动态反馈、最快响应、最小流量、带宽比例、哈希、主备、首个可用、UDP强行负载等算法。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736C1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 xml:space="preserve">639 </w:t>
            </w:r>
          </w:p>
        </w:tc>
        <w:tc>
          <w:tcPr>
            <w:tcW w:w="0" w:type="auto"/>
            <w:tcBorders>
              <w:top w:val="single" w:color="000000" w:sz="4" w:space="0"/>
              <w:left w:val="single" w:color="000000" w:sz="4" w:space="0"/>
              <w:bottom w:val="single" w:color="000000" w:sz="4" w:space="0"/>
              <w:right w:val="single" w:color="000000" w:sz="4" w:space="0"/>
            </w:tcBorders>
            <w:vAlign w:val="center"/>
          </w:tcPr>
          <w:p w14:paraId="06CC870B">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支持包括全局负载均衡和服务器负载均衡的功能；支持轮询、加权轮询、加权最小连接、动态反馈、最快响应、最小流量、带宽比例、哈希、主备、首个可用、UDP强行负载等算法。</w:t>
            </w:r>
          </w:p>
        </w:tc>
      </w:tr>
      <w:tr w14:paraId="3E686AE0">
        <w:tblPrEx>
          <w:tblCellMar>
            <w:top w:w="0" w:type="dxa"/>
            <w:left w:w="108" w:type="dxa"/>
            <w:bottom w:w="0" w:type="dxa"/>
            <w:right w:w="108" w:type="dxa"/>
          </w:tblCellMar>
        </w:tblPrEx>
        <w:trPr>
          <w:trHeight w:val="310" w:hRule="atLeast"/>
        </w:trPr>
        <w:tc>
          <w:tcPr>
            <w:tcW w:w="0" w:type="auto"/>
            <w:gridSpan w:val="6"/>
            <w:tcBorders>
              <w:top w:val="single" w:color="000000" w:sz="4" w:space="0"/>
              <w:left w:val="single" w:color="000000" w:sz="4" w:space="0"/>
              <w:bottom w:val="single" w:color="000000" w:sz="4" w:space="0"/>
              <w:right w:val="single" w:color="000000" w:sz="4" w:space="0"/>
            </w:tcBorders>
            <w:vAlign w:val="center"/>
          </w:tcPr>
          <w:p w14:paraId="608B5C01">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b/>
                <w:bCs/>
                <w:color w:val="auto"/>
                <w:sz w:val="22"/>
                <w:szCs w:val="22"/>
                <w:highlight w:val="none"/>
              </w:rPr>
            </w:pPr>
            <w:r>
              <w:rPr>
                <w:rFonts w:hint="eastAsia" w:ascii="宋体" w:hAnsi="宋体" w:cs="仿宋_GB2312"/>
                <w:b/>
                <w:bCs/>
                <w:color w:val="auto"/>
                <w:kern w:val="0"/>
                <w:sz w:val="22"/>
                <w:szCs w:val="22"/>
                <w:highlight w:val="none"/>
              </w:rPr>
              <w:t>二、平台服务（PaaS）</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B7F7F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BCB3A49">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26127D3D">
        <w:tblPrEx>
          <w:tblCellMar>
            <w:top w:w="0" w:type="dxa"/>
            <w:left w:w="108" w:type="dxa"/>
            <w:bottom w:w="0" w:type="dxa"/>
            <w:right w:w="108" w:type="dxa"/>
          </w:tblCellMar>
        </w:tblPrEx>
        <w:trPr>
          <w:trHeight w:val="310"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AC5557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813A2F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数据库服务</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166ED7E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云数据库</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0B115B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My SQL数据库服务（最大连接数）</w:t>
            </w:r>
          </w:p>
        </w:tc>
        <w:tc>
          <w:tcPr>
            <w:tcW w:w="0" w:type="auto"/>
            <w:tcBorders>
              <w:top w:val="single" w:color="000000" w:sz="4" w:space="0"/>
              <w:left w:val="single" w:color="000000" w:sz="4" w:space="0"/>
              <w:bottom w:val="single" w:color="000000" w:sz="4" w:space="0"/>
              <w:right w:val="single" w:color="000000" w:sz="4" w:space="0"/>
            </w:tcBorders>
            <w:vAlign w:val="center"/>
          </w:tcPr>
          <w:p w14:paraId="7F37FD7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60</w:t>
            </w:r>
          </w:p>
        </w:tc>
        <w:tc>
          <w:tcPr>
            <w:tcW w:w="0" w:type="auto"/>
            <w:tcBorders>
              <w:top w:val="single" w:color="000000" w:sz="4" w:space="0"/>
              <w:left w:val="single" w:color="000000" w:sz="4" w:space="0"/>
              <w:bottom w:val="single" w:color="000000" w:sz="4" w:space="0"/>
              <w:right w:val="single" w:color="000000" w:sz="4" w:space="0"/>
            </w:tcBorders>
            <w:vAlign w:val="center"/>
          </w:tcPr>
          <w:p w14:paraId="6946FFCF">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约占用内存240MB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CD7BE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27</w:t>
            </w:r>
          </w:p>
        </w:tc>
        <w:tc>
          <w:tcPr>
            <w:tcW w:w="0" w:type="auto"/>
            <w:tcBorders>
              <w:top w:val="single" w:color="000000" w:sz="4" w:space="0"/>
              <w:left w:val="single" w:color="000000" w:sz="4" w:space="0"/>
              <w:bottom w:val="single" w:color="000000" w:sz="4" w:space="0"/>
              <w:right w:val="single" w:color="000000" w:sz="4" w:space="0"/>
            </w:tcBorders>
            <w:vAlign w:val="center"/>
          </w:tcPr>
          <w:p w14:paraId="1B7E3790">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0D13E887">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42F1F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B355E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1268B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8CA7A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22CEE67">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150</w:t>
            </w:r>
          </w:p>
        </w:tc>
        <w:tc>
          <w:tcPr>
            <w:tcW w:w="0" w:type="auto"/>
            <w:tcBorders>
              <w:top w:val="single" w:color="000000" w:sz="4" w:space="0"/>
              <w:left w:val="single" w:color="000000" w:sz="4" w:space="0"/>
              <w:bottom w:val="single" w:color="000000" w:sz="4" w:space="0"/>
              <w:right w:val="single" w:color="000000" w:sz="4" w:space="0"/>
            </w:tcBorders>
            <w:vAlign w:val="center"/>
          </w:tcPr>
          <w:p w14:paraId="7E05AFEE">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约占用内存600MB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6709C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67</w:t>
            </w:r>
          </w:p>
        </w:tc>
        <w:tc>
          <w:tcPr>
            <w:tcW w:w="0" w:type="auto"/>
            <w:tcBorders>
              <w:top w:val="single" w:color="000000" w:sz="4" w:space="0"/>
              <w:left w:val="single" w:color="000000" w:sz="4" w:space="0"/>
              <w:bottom w:val="single" w:color="000000" w:sz="4" w:space="0"/>
              <w:right w:val="single" w:color="000000" w:sz="4" w:space="0"/>
            </w:tcBorders>
            <w:vAlign w:val="center"/>
          </w:tcPr>
          <w:p w14:paraId="171187A1">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6B4BE371">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630C9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81B32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8C847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E77AF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57AAD1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300</w:t>
            </w:r>
          </w:p>
        </w:tc>
        <w:tc>
          <w:tcPr>
            <w:tcW w:w="0" w:type="auto"/>
            <w:tcBorders>
              <w:top w:val="single" w:color="000000" w:sz="4" w:space="0"/>
              <w:left w:val="single" w:color="000000" w:sz="4" w:space="0"/>
              <w:bottom w:val="single" w:color="000000" w:sz="4" w:space="0"/>
              <w:right w:val="single" w:color="000000" w:sz="4" w:space="0"/>
            </w:tcBorders>
            <w:vAlign w:val="center"/>
          </w:tcPr>
          <w:p w14:paraId="643EE59D">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约占用内存1200MB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94EFE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127</w:t>
            </w:r>
          </w:p>
        </w:tc>
        <w:tc>
          <w:tcPr>
            <w:tcW w:w="0" w:type="auto"/>
            <w:tcBorders>
              <w:top w:val="single" w:color="000000" w:sz="4" w:space="0"/>
              <w:left w:val="single" w:color="000000" w:sz="4" w:space="0"/>
              <w:bottom w:val="single" w:color="000000" w:sz="4" w:space="0"/>
              <w:right w:val="single" w:color="000000" w:sz="4" w:space="0"/>
            </w:tcBorders>
            <w:vAlign w:val="center"/>
          </w:tcPr>
          <w:p w14:paraId="2A9961DA">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76CF9960">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D9000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587A2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81421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CCB3D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B3AE2A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600</w:t>
            </w:r>
          </w:p>
        </w:tc>
        <w:tc>
          <w:tcPr>
            <w:tcW w:w="0" w:type="auto"/>
            <w:tcBorders>
              <w:top w:val="single" w:color="000000" w:sz="4" w:space="0"/>
              <w:left w:val="single" w:color="000000" w:sz="4" w:space="0"/>
              <w:bottom w:val="single" w:color="000000" w:sz="4" w:space="0"/>
              <w:right w:val="single" w:color="000000" w:sz="4" w:space="0"/>
            </w:tcBorders>
            <w:vAlign w:val="center"/>
          </w:tcPr>
          <w:p w14:paraId="2529AD6D">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约占用内存2400MB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5D165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247</w:t>
            </w:r>
          </w:p>
        </w:tc>
        <w:tc>
          <w:tcPr>
            <w:tcW w:w="0" w:type="auto"/>
            <w:tcBorders>
              <w:top w:val="single" w:color="000000" w:sz="4" w:space="0"/>
              <w:left w:val="single" w:color="000000" w:sz="4" w:space="0"/>
              <w:bottom w:val="single" w:color="000000" w:sz="4" w:space="0"/>
              <w:right w:val="single" w:color="000000" w:sz="4" w:space="0"/>
            </w:tcBorders>
            <w:vAlign w:val="center"/>
          </w:tcPr>
          <w:p w14:paraId="234E8B93">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4A62FFC5">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A3ADC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360A9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49533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68B46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69757D7">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1500</w:t>
            </w:r>
          </w:p>
        </w:tc>
        <w:tc>
          <w:tcPr>
            <w:tcW w:w="0" w:type="auto"/>
            <w:tcBorders>
              <w:top w:val="single" w:color="000000" w:sz="4" w:space="0"/>
              <w:left w:val="single" w:color="000000" w:sz="4" w:space="0"/>
              <w:bottom w:val="single" w:color="000000" w:sz="4" w:space="0"/>
              <w:right w:val="single" w:color="000000" w:sz="4" w:space="0"/>
            </w:tcBorders>
            <w:vAlign w:val="center"/>
          </w:tcPr>
          <w:p w14:paraId="66CDC66F">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约占用内存6000MB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BE49C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620</w:t>
            </w:r>
          </w:p>
        </w:tc>
        <w:tc>
          <w:tcPr>
            <w:tcW w:w="0" w:type="auto"/>
            <w:tcBorders>
              <w:top w:val="single" w:color="000000" w:sz="4" w:space="0"/>
              <w:left w:val="single" w:color="000000" w:sz="4" w:space="0"/>
              <w:bottom w:val="single" w:color="000000" w:sz="4" w:space="0"/>
              <w:right w:val="single" w:color="000000" w:sz="4" w:space="0"/>
            </w:tcBorders>
            <w:vAlign w:val="center"/>
          </w:tcPr>
          <w:p w14:paraId="26447255">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75981ECD">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BD074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E5B38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DCE96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7F175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74B3B07">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2000</w:t>
            </w:r>
          </w:p>
        </w:tc>
        <w:tc>
          <w:tcPr>
            <w:tcW w:w="0" w:type="auto"/>
            <w:tcBorders>
              <w:top w:val="single" w:color="000000" w:sz="4" w:space="0"/>
              <w:left w:val="single" w:color="000000" w:sz="4" w:space="0"/>
              <w:bottom w:val="single" w:color="000000" w:sz="4" w:space="0"/>
              <w:right w:val="single" w:color="000000" w:sz="4" w:space="0"/>
            </w:tcBorders>
            <w:vAlign w:val="center"/>
          </w:tcPr>
          <w:p w14:paraId="62269538">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约占用内存12000MB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661EB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1102</w:t>
            </w:r>
          </w:p>
        </w:tc>
        <w:tc>
          <w:tcPr>
            <w:tcW w:w="0" w:type="auto"/>
            <w:tcBorders>
              <w:top w:val="single" w:color="000000" w:sz="4" w:space="0"/>
              <w:left w:val="single" w:color="000000" w:sz="4" w:space="0"/>
              <w:bottom w:val="single" w:color="000000" w:sz="4" w:space="0"/>
              <w:right w:val="single" w:color="000000" w:sz="4" w:space="0"/>
            </w:tcBorders>
            <w:vAlign w:val="center"/>
          </w:tcPr>
          <w:p w14:paraId="477D46F1">
            <w:pPr>
              <w:keepNext w:val="0"/>
              <w:keepLines w:val="0"/>
              <w:suppressLineNumbers w:val="0"/>
              <w:spacing w:before="0" w:beforeAutospacing="0" w:after="0" w:afterAutospacing="0" w:line="280" w:lineRule="atLeast"/>
              <w:ind w:left="0" w:right="0"/>
              <w:jc w:val="left"/>
              <w:rPr>
                <w:rFonts w:hint="default" w:ascii="宋体" w:hAnsi="宋体" w:cs="仿宋_GB2312"/>
                <w:b/>
                <w:bCs/>
                <w:color w:val="auto"/>
                <w:sz w:val="22"/>
                <w:szCs w:val="22"/>
                <w:highlight w:val="none"/>
              </w:rPr>
            </w:pPr>
          </w:p>
        </w:tc>
      </w:tr>
      <w:tr w14:paraId="250C316D">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4E993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22AE0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FED53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9459D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677A48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2000</w:t>
            </w:r>
          </w:p>
        </w:tc>
        <w:tc>
          <w:tcPr>
            <w:tcW w:w="0" w:type="auto"/>
            <w:tcBorders>
              <w:top w:val="single" w:color="000000" w:sz="4" w:space="0"/>
              <w:left w:val="single" w:color="000000" w:sz="4" w:space="0"/>
              <w:bottom w:val="single" w:color="000000" w:sz="4" w:space="0"/>
              <w:right w:val="single" w:color="000000" w:sz="4" w:space="0"/>
            </w:tcBorders>
            <w:vAlign w:val="center"/>
          </w:tcPr>
          <w:p w14:paraId="2F2C20A6">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约占用内存24000MB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20592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2029</w:t>
            </w:r>
          </w:p>
        </w:tc>
        <w:tc>
          <w:tcPr>
            <w:tcW w:w="0" w:type="auto"/>
            <w:tcBorders>
              <w:top w:val="single" w:color="000000" w:sz="4" w:space="0"/>
              <w:left w:val="single" w:color="000000" w:sz="4" w:space="0"/>
              <w:bottom w:val="single" w:color="000000" w:sz="4" w:space="0"/>
              <w:right w:val="single" w:color="000000" w:sz="4" w:space="0"/>
            </w:tcBorders>
            <w:vAlign w:val="center"/>
          </w:tcPr>
          <w:p w14:paraId="463318F9">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0017AF30">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A1879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6E4C9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2B1DC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D3B8C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CFE495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2000</w:t>
            </w:r>
          </w:p>
        </w:tc>
        <w:tc>
          <w:tcPr>
            <w:tcW w:w="0" w:type="auto"/>
            <w:tcBorders>
              <w:top w:val="single" w:color="000000" w:sz="4" w:space="0"/>
              <w:left w:val="single" w:color="000000" w:sz="4" w:space="0"/>
              <w:bottom w:val="single" w:color="000000" w:sz="4" w:space="0"/>
              <w:right w:val="single" w:color="000000" w:sz="4" w:space="0"/>
            </w:tcBorders>
            <w:vAlign w:val="center"/>
          </w:tcPr>
          <w:p w14:paraId="4CA048D4">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约占用内存48000MB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EE52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3940</w:t>
            </w:r>
          </w:p>
        </w:tc>
        <w:tc>
          <w:tcPr>
            <w:tcW w:w="0" w:type="auto"/>
            <w:tcBorders>
              <w:top w:val="single" w:color="000000" w:sz="4" w:space="0"/>
              <w:left w:val="single" w:color="000000" w:sz="4" w:space="0"/>
              <w:bottom w:val="single" w:color="000000" w:sz="4" w:space="0"/>
              <w:right w:val="single" w:color="000000" w:sz="4" w:space="0"/>
            </w:tcBorders>
            <w:vAlign w:val="center"/>
          </w:tcPr>
          <w:p w14:paraId="37461388">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716E68DF">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3FFA5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3DA02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36AA3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4DCEAB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MS SQL Server数据库服务（最大连接数）</w:t>
            </w:r>
          </w:p>
        </w:tc>
        <w:tc>
          <w:tcPr>
            <w:tcW w:w="0" w:type="auto"/>
            <w:tcBorders>
              <w:top w:val="single" w:color="000000" w:sz="4" w:space="0"/>
              <w:left w:val="single" w:color="000000" w:sz="4" w:space="0"/>
              <w:bottom w:val="single" w:color="000000" w:sz="4" w:space="0"/>
              <w:right w:val="single" w:color="000000" w:sz="4" w:space="0"/>
            </w:tcBorders>
            <w:vAlign w:val="center"/>
          </w:tcPr>
          <w:p w14:paraId="36E2D14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2D1497E9">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约占用内存1000MB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9FF4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91</w:t>
            </w:r>
          </w:p>
        </w:tc>
        <w:tc>
          <w:tcPr>
            <w:tcW w:w="0" w:type="auto"/>
            <w:tcBorders>
              <w:top w:val="single" w:color="000000" w:sz="4" w:space="0"/>
              <w:left w:val="single" w:color="000000" w:sz="4" w:space="0"/>
              <w:bottom w:val="single" w:color="000000" w:sz="4" w:space="0"/>
              <w:right w:val="single" w:color="000000" w:sz="4" w:space="0"/>
            </w:tcBorders>
            <w:vAlign w:val="center"/>
          </w:tcPr>
          <w:p w14:paraId="1EDAAC42">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35A1D6E7">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DCAA6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4FA50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D15C2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E6C40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B1E64C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w:t>
            </w:r>
          </w:p>
        </w:tc>
        <w:tc>
          <w:tcPr>
            <w:tcW w:w="0" w:type="auto"/>
            <w:tcBorders>
              <w:top w:val="single" w:color="000000" w:sz="4" w:space="0"/>
              <w:left w:val="single" w:color="000000" w:sz="4" w:space="0"/>
              <w:bottom w:val="single" w:color="000000" w:sz="4" w:space="0"/>
              <w:right w:val="single" w:color="000000" w:sz="4" w:space="0"/>
            </w:tcBorders>
            <w:vAlign w:val="center"/>
          </w:tcPr>
          <w:p w14:paraId="034ACE0D">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约占用内存2000MB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CCD7D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183</w:t>
            </w:r>
          </w:p>
        </w:tc>
        <w:tc>
          <w:tcPr>
            <w:tcW w:w="0" w:type="auto"/>
            <w:tcBorders>
              <w:top w:val="single" w:color="000000" w:sz="4" w:space="0"/>
              <w:left w:val="single" w:color="000000" w:sz="4" w:space="0"/>
              <w:bottom w:val="single" w:color="000000" w:sz="4" w:space="0"/>
              <w:right w:val="single" w:color="000000" w:sz="4" w:space="0"/>
            </w:tcBorders>
            <w:vAlign w:val="center"/>
          </w:tcPr>
          <w:p w14:paraId="3DFEC34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47852E7">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EBB2C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B1F7E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166E8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5C6B6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A23296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400</w:t>
            </w:r>
          </w:p>
        </w:tc>
        <w:tc>
          <w:tcPr>
            <w:tcW w:w="0" w:type="auto"/>
            <w:tcBorders>
              <w:top w:val="single" w:color="000000" w:sz="4" w:space="0"/>
              <w:left w:val="single" w:color="000000" w:sz="4" w:space="0"/>
              <w:bottom w:val="single" w:color="000000" w:sz="4" w:space="0"/>
              <w:right w:val="single" w:color="000000" w:sz="4" w:space="0"/>
            </w:tcBorders>
            <w:vAlign w:val="center"/>
          </w:tcPr>
          <w:p w14:paraId="5F10A831">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约占用内存4000MB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423E95">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365</w:t>
            </w:r>
          </w:p>
        </w:tc>
        <w:tc>
          <w:tcPr>
            <w:tcW w:w="0" w:type="auto"/>
            <w:tcBorders>
              <w:top w:val="single" w:color="000000" w:sz="4" w:space="0"/>
              <w:left w:val="single" w:color="000000" w:sz="4" w:space="0"/>
              <w:bottom w:val="single" w:color="000000" w:sz="4" w:space="0"/>
              <w:right w:val="single" w:color="000000" w:sz="4" w:space="0"/>
            </w:tcBorders>
            <w:vAlign w:val="center"/>
          </w:tcPr>
          <w:p w14:paraId="546D7E0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2F7ED785">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9EC49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79796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8E44D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B1348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2D9E79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600</w:t>
            </w:r>
          </w:p>
        </w:tc>
        <w:tc>
          <w:tcPr>
            <w:tcW w:w="0" w:type="auto"/>
            <w:tcBorders>
              <w:top w:val="single" w:color="000000" w:sz="4" w:space="0"/>
              <w:left w:val="single" w:color="000000" w:sz="4" w:space="0"/>
              <w:bottom w:val="single" w:color="000000" w:sz="4" w:space="0"/>
              <w:right w:val="single" w:color="000000" w:sz="4" w:space="0"/>
            </w:tcBorders>
            <w:vAlign w:val="center"/>
          </w:tcPr>
          <w:p w14:paraId="7029668F">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约占用内存6000MB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7ED64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550</w:t>
            </w:r>
          </w:p>
        </w:tc>
        <w:tc>
          <w:tcPr>
            <w:tcW w:w="0" w:type="auto"/>
            <w:tcBorders>
              <w:top w:val="single" w:color="000000" w:sz="4" w:space="0"/>
              <w:left w:val="single" w:color="000000" w:sz="4" w:space="0"/>
              <w:bottom w:val="single" w:color="000000" w:sz="4" w:space="0"/>
              <w:right w:val="single" w:color="000000" w:sz="4" w:space="0"/>
            </w:tcBorders>
            <w:vAlign w:val="center"/>
          </w:tcPr>
          <w:p w14:paraId="754D0BE5">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2280A672">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42F72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74868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35E85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E77C5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9CA9A4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800</w:t>
            </w:r>
          </w:p>
        </w:tc>
        <w:tc>
          <w:tcPr>
            <w:tcW w:w="0" w:type="auto"/>
            <w:tcBorders>
              <w:top w:val="single" w:color="000000" w:sz="4" w:space="0"/>
              <w:left w:val="single" w:color="000000" w:sz="4" w:space="0"/>
              <w:bottom w:val="single" w:color="000000" w:sz="4" w:space="0"/>
              <w:right w:val="single" w:color="000000" w:sz="4" w:space="0"/>
            </w:tcBorders>
            <w:vAlign w:val="center"/>
          </w:tcPr>
          <w:p w14:paraId="7FF63853">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约占用内存8000MB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3B015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732</w:t>
            </w:r>
          </w:p>
        </w:tc>
        <w:tc>
          <w:tcPr>
            <w:tcW w:w="0" w:type="auto"/>
            <w:tcBorders>
              <w:top w:val="single" w:color="000000" w:sz="4" w:space="0"/>
              <w:left w:val="single" w:color="000000" w:sz="4" w:space="0"/>
              <w:bottom w:val="single" w:color="000000" w:sz="4" w:space="0"/>
              <w:right w:val="single" w:color="000000" w:sz="4" w:space="0"/>
            </w:tcBorders>
            <w:vAlign w:val="center"/>
          </w:tcPr>
          <w:p w14:paraId="2A0CF591">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6975D8E8">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9C180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49FD4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5A928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7F13A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B2FD6F9">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1200</w:t>
            </w:r>
          </w:p>
        </w:tc>
        <w:tc>
          <w:tcPr>
            <w:tcW w:w="0" w:type="auto"/>
            <w:tcBorders>
              <w:top w:val="single" w:color="000000" w:sz="4" w:space="0"/>
              <w:left w:val="single" w:color="000000" w:sz="4" w:space="0"/>
              <w:bottom w:val="single" w:color="000000" w:sz="4" w:space="0"/>
              <w:right w:val="single" w:color="000000" w:sz="4" w:space="0"/>
            </w:tcBorders>
            <w:vAlign w:val="center"/>
          </w:tcPr>
          <w:p w14:paraId="3B2B6C45">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约占用内存12000MB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BD6F8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1097</w:t>
            </w:r>
          </w:p>
        </w:tc>
        <w:tc>
          <w:tcPr>
            <w:tcW w:w="0" w:type="auto"/>
            <w:tcBorders>
              <w:top w:val="single" w:color="000000" w:sz="4" w:space="0"/>
              <w:left w:val="single" w:color="000000" w:sz="4" w:space="0"/>
              <w:bottom w:val="single" w:color="000000" w:sz="4" w:space="0"/>
              <w:right w:val="single" w:color="000000" w:sz="4" w:space="0"/>
            </w:tcBorders>
            <w:vAlign w:val="center"/>
          </w:tcPr>
          <w:p w14:paraId="645A42E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45607EAA">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23BE5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44EA4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0A41B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57E17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1FAE9FA">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2000</w:t>
            </w:r>
          </w:p>
        </w:tc>
        <w:tc>
          <w:tcPr>
            <w:tcW w:w="0" w:type="auto"/>
            <w:tcBorders>
              <w:top w:val="single" w:color="000000" w:sz="4" w:space="0"/>
              <w:left w:val="single" w:color="000000" w:sz="4" w:space="0"/>
              <w:bottom w:val="single" w:color="000000" w:sz="4" w:space="0"/>
              <w:right w:val="single" w:color="000000" w:sz="4" w:space="0"/>
            </w:tcBorders>
            <w:vAlign w:val="center"/>
          </w:tcPr>
          <w:p w14:paraId="2D1865D1">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约占用内存24000MB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F5271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1736</w:t>
            </w:r>
          </w:p>
        </w:tc>
        <w:tc>
          <w:tcPr>
            <w:tcW w:w="0" w:type="auto"/>
            <w:tcBorders>
              <w:top w:val="single" w:color="000000" w:sz="4" w:space="0"/>
              <w:left w:val="single" w:color="000000" w:sz="4" w:space="0"/>
              <w:bottom w:val="single" w:color="000000" w:sz="4" w:space="0"/>
              <w:right w:val="single" w:color="000000" w:sz="4" w:space="0"/>
            </w:tcBorders>
            <w:vAlign w:val="center"/>
          </w:tcPr>
          <w:p w14:paraId="3C09D7AE">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5BCE8F52">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87540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A7869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9F16B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8D5AB8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AA2E70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2000</w:t>
            </w:r>
          </w:p>
        </w:tc>
        <w:tc>
          <w:tcPr>
            <w:tcW w:w="0" w:type="auto"/>
            <w:tcBorders>
              <w:top w:val="single" w:color="000000" w:sz="4" w:space="0"/>
              <w:left w:val="single" w:color="000000" w:sz="4" w:space="0"/>
              <w:bottom w:val="single" w:color="000000" w:sz="4" w:space="0"/>
              <w:right w:val="single" w:color="000000" w:sz="4" w:space="0"/>
            </w:tcBorders>
            <w:vAlign w:val="center"/>
          </w:tcPr>
          <w:p w14:paraId="22C1D001">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约占用内存48000MB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E742F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3292</w:t>
            </w:r>
          </w:p>
        </w:tc>
        <w:tc>
          <w:tcPr>
            <w:tcW w:w="0" w:type="auto"/>
            <w:tcBorders>
              <w:top w:val="single" w:color="000000" w:sz="4" w:space="0"/>
              <w:left w:val="single" w:color="000000" w:sz="4" w:space="0"/>
              <w:bottom w:val="single" w:color="000000" w:sz="4" w:space="0"/>
              <w:right w:val="single" w:color="000000" w:sz="4" w:space="0"/>
            </w:tcBorders>
            <w:vAlign w:val="center"/>
          </w:tcPr>
          <w:p w14:paraId="481DD26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6B2B1F3">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BF5ED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24E9F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95125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6BB6FE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高性能数据库</w:t>
            </w:r>
          </w:p>
        </w:tc>
        <w:tc>
          <w:tcPr>
            <w:tcW w:w="0" w:type="auto"/>
            <w:tcBorders>
              <w:top w:val="single" w:color="000000" w:sz="4" w:space="0"/>
              <w:left w:val="single" w:color="000000" w:sz="4" w:space="0"/>
              <w:bottom w:val="single" w:color="000000" w:sz="4" w:space="0"/>
              <w:right w:val="single" w:color="000000" w:sz="4" w:space="0"/>
            </w:tcBorders>
            <w:vAlign w:val="center"/>
          </w:tcPr>
          <w:p w14:paraId="432FC52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2C8G</w:t>
            </w:r>
          </w:p>
        </w:tc>
        <w:tc>
          <w:tcPr>
            <w:tcW w:w="0" w:type="auto"/>
            <w:tcBorders>
              <w:top w:val="single" w:color="000000" w:sz="4" w:space="0"/>
              <w:left w:val="single" w:color="000000" w:sz="4" w:space="0"/>
              <w:bottom w:val="single" w:color="000000" w:sz="4" w:space="0"/>
              <w:right w:val="single" w:color="000000" w:sz="4" w:space="0"/>
            </w:tcBorders>
            <w:vAlign w:val="center"/>
          </w:tcPr>
          <w:p w14:paraId="5B660062">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24381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352</w:t>
            </w:r>
          </w:p>
        </w:tc>
        <w:tc>
          <w:tcPr>
            <w:tcW w:w="0" w:type="auto"/>
            <w:tcBorders>
              <w:top w:val="single" w:color="000000" w:sz="4" w:space="0"/>
              <w:left w:val="single" w:color="000000" w:sz="4" w:space="0"/>
              <w:bottom w:val="single" w:color="000000" w:sz="4" w:space="0"/>
              <w:right w:val="single" w:color="000000" w:sz="4" w:space="0"/>
            </w:tcBorders>
            <w:vAlign w:val="center"/>
          </w:tcPr>
          <w:p w14:paraId="0C27C73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70386A28">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CD71B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C7DF4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2C586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402DC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D9C5A7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4C16G</w:t>
            </w:r>
          </w:p>
        </w:tc>
        <w:tc>
          <w:tcPr>
            <w:tcW w:w="0" w:type="auto"/>
            <w:tcBorders>
              <w:top w:val="single" w:color="000000" w:sz="4" w:space="0"/>
              <w:left w:val="single" w:color="000000" w:sz="4" w:space="0"/>
              <w:bottom w:val="single" w:color="000000" w:sz="4" w:space="0"/>
              <w:right w:val="single" w:color="000000" w:sz="4" w:space="0"/>
            </w:tcBorders>
            <w:vAlign w:val="center"/>
          </w:tcPr>
          <w:p w14:paraId="3898A123">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2C1760">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700</w:t>
            </w:r>
          </w:p>
        </w:tc>
        <w:tc>
          <w:tcPr>
            <w:tcW w:w="0" w:type="auto"/>
            <w:tcBorders>
              <w:top w:val="single" w:color="000000" w:sz="4" w:space="0"/>
              <w:left w:val="single" w:color="000000" w:sz="4" w:space="0"/>
              <w:bottom w:val="single" w:color="000000" w:sz="4" w:space="0"/>
              <w:right w:val="single" w:color="000000" w:sz="4" w:space="0"/>
            </w:tcBorders>
            <w:vAlign w:val="center"/>
          </w:tcPr>
          <w:p w14:paraId="352AE5E3">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7AB84874">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8373B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7EDA4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46B6E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449BB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9E9437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4C32G</w:t>
            </w:r>
          </w:p>
        </w:tc>
        <w:tc>
          <w:tcPr>
            <w:tcW w:w="0" w:type="auto"/>
            <w:tcBorders>
              <w:top w:val="single" w:color="000000" w:sz="4" w:space="0"/>
              <w:left w:val="single" w:color="000000" w:sz="4" w:space="0"/>
              <w:bottom w:val="single" w:color="000000" w:sz="4" w:space="0"/>
              <w:right w:val="single" w:color="000000" w:sz="4" w:space="0"/>
            </w:tcBorders>
            <w:vAlign w:val="center"/>
          </w:tcPr>
          <w:p w14:paraId="17FC80A0">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086E2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1040</w:t>
            </w:r>
          </w:p>
        </w:tc>
        <w:tc>
          <w:tcPr>
            <w:tcW w:w="0" w:type="auto"/>
            <w:tcBorders>
              <w:top w:val="single" w:color="000000" w:sz="4" w:space="0"/>
              <w:left w:val="single" w:color="000000" w:sz="4" w:space="0"/>
              <w:bottom w:val="single" w:color="000000" w:sz="4" w:space="0"/>
              <w:right w:val="single" w:color="000000" w:sz="4" w:space="0"/>
            </w:tcBorders>
            <w:vAlign w:val="center"/>
          </w:tcPr>
          <w:p w14:paraId="027ADD54">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13DC117">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4DBD8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E4D1F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D21B6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A466E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BC65BA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8C32G</w:t>
            </w:r>
          </w:p>
        </w:tc>
        <w:tc>
          <w:tcPr>
            <w:tcW w:w="0" w:type="auto"/>
            <w:tcBorders>
              <w:top w:val="single" w:color="000000" w:sz="4" w:space="0"/>
              <w:left w:val="single" w:color="000000" w:sz="4" w:space="0"/>
              <w:bottom w:val="single" w:color="000000" w:sz="4" w:space="0"/>
              <w:right w:val="single" w:color="000000" w:sz="4" w:space="0"/>
            </w:tcBorders>
            <w:vAlign w:val="center"/>
          </w:tcPr>
          <w:p w14:paraId="30630359">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1D01F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1315</w:t>
            </w:r>
          </w:p>
        </w:tc>
        <w:tc>
          <w:tcPr>
            <w:tcW w:w="0" w:type="auto"/>
            <w:tcBorders>
              <w:top w:val="single" w:color="000000" w:sz="4" w:space="0"/>
              <w:left w:val="single" w:color="000000" w:sz="4" w:space="0"/>
              <w:bottom w:val="single" w:color="000000" w:sz="4" w:space="0"/>
              <w:right w:val="single" w:color="000000" w:sz="4" w:space="0"/>
            </w:tcBorders>
            <w:vAlign w:val="center"/>
          </w:tcPr>
          <w:p w14:paraId="1FD849D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38ABF067">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01671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86855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2D278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A265D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8D00AB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8C64G</w:t>
            </w:r>
          </w:p>
        </w:tc>
        <w:tc>
          <w:tcPr>
            <w:tcW w:w="0" w:type="auto"/>
            <w:tcBorders>
              <w:top w:val="single" w:color="000000" w:sz="4" w:space="0"/>
              <w:left w:val="single" w:color="000000" w:sz="4" w:space="0"/>
              <w:bottom w:val="single" w:color="000000" w:sz="4" w:space="0"/>
              <w:right w:val="single" w:color="000000" w:sz="4" w:space="0"/>
            </w:tcBorders>
            <w:vAlign w:val="center"/>
          </w:tcPr>
          <w:p w14:paraId="76748A82">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FE2EF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1960</w:t>
            </w:r>
          </w:p>
        </w:tc>
        <w:tc>
          <w:tcPr>
            <w:tcW w:w="0" w:type="auto"/>
            <w:tcBorders>
              <w:top w:val="single" w:color="000000" w:sz="4" w:space="0"/>
              <w:left w:val="single" w:color="000000" w:sz="4" w:space="0"/>
              <w:bottom w:val="single" w:color="000000" w:sz="4" w:space="0"/>
              <w:right w:val="single" w:color="000000" w:sz="4" w:space="0"/>
            </w:tcBorders>
            <w:vAlign w:val="center"/>
          </w:tcPr>
          <w:p w14:paraId="5498F84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7C116688">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10870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CD740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4B565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CBDBA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903436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8C128G</w:t>
            </w:r>
          </w:p>
        </w:tc>
        <w:tc>
          <w:tcPr>
            <w:tcW w:w="0" w:type="auto"/>
            <w:tcBorders>
              <w:top w:val="single" w:color="000000" w:sz="4" w:space="0"/>
              <w:left w:val="single" w:color="000000" w:sz="4" w:space="0"/>
              <w:bottom w:val="single" w:color="000000" w:sz="4" w:space="0"/>
              <w:right w:val="single" w:color="000000" w:sz="4" w:space="0"/>
            </w:tcBorders>
            <w:vAlign w:val="center"/>
          </w:tcPr>
          <w:p w14:paraId="5534AC1C">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D3B49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3970</w:t>
            </w:r>
          </w:p>
        </w:tc>
        <w:tc>
          <w:tcPr>
            <w:tcW w:w="0" w:type="auto"/>
            <w:tcBorders>
              <w:top w:val="single" w:color="000000" w:sz="4" w:space="0"/>
              <w:left w:val="single" w:color="000000" w:sz="4" w:space="0"/>
              <w:bottom w:val="single" w:color="000000" w:sz="4" w:space="0"/>
              <w:right w:val="single" w:color="000000" w:sz="4" w:space="0"/>
            </w:tcBorders>
            <w:vAlign w:val="center"/>
          </w:tcPr>
          <w:p w14:paraId="1C6ABBC3">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2A8CAE84">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2729D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A20DA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0DCB0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76C8D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FF354B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16C64G</w:t>
            </w:r>
          </w:p>
        </w:tc>
        <w:tc>
          <w:tcPr>
            <w:tcW w:w="0" w:type="auto"/>
            <w:tcBorders>
              <w:top w:val="single" w:color="000000" w:sz="4" w:space="0"/>
              <w:left w:val="single" w:color="000000" w:sz="4" w:space="0"/>
              <w:bottom w:val="single" w:color="000000" w:sz="4" w:space="0"/>
              <w:right w:val="single" w:color="000000" w:sz="4" w:space="0"/>
            </w:tcBorders>
            <w:vAlign w:val="center"/>
          </w:tcPr>
          <w:p w14:paraId="2E0FC01F">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35C4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2620</w:t>
            </w:r>
          </w:p>
        </w:tc>
        <w:tc>
          <w:tcPr>
            <w:tcW w:w="0" w:type="auto"/>
            <w:tcBorders>
              <w:top w:val="single" w:color="000000" w:sz="4" w:space="0"/>
              <w:left w:val="single" w:color="000000" w:sz="4" w:space="0"/>
              <w:bottom w:val="single" w:color="000000" w:sz="4" w:space="0"/>
              <w:right w:val="single" w:color="000000" w:sz="4" w:space="0"/>
            </w:tcBorders>
            <w:vAlign w:val="center"/>
          </w:tcPr>
          <w:p w14:paraId="204BEC7E">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0F015CF4">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59042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20DBC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96A1A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DEF71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1B7DA09">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16C128G</w:t>
            </w:r>
          </w:p>
        </w:tc>
        <w:tc>
          <w:tcPr>
            <w:tcW w:w="0" w:type="auto"/>
            <w:tcBorders>
              <w:top w:val="single" w:color="000000" w:sz="4" w:space="0"/>
              <w:left w:val="single" w:color="000000" w:sz="4" w:space="0"/>
              <w:bottom w:val="single" w:color="000000" w:sz="4" w:space="0"/>
              <w:right w:val="single" w:color="000000" w:sz="4" w:space="0"/>
            </w:tcBorders>
            <w:vAlign w:val="center"/>
          </w:tcPr>
          <w:p w14:paraId="0AA4177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4BEFF9">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4357</w:t>
            </w:r>
          </w:p>
        </w:tc>
        <w:tc>
          <w:tcPr>
            <w:tcW w:w="0" w:type="auto"/>
            <w:tcBorders>
              <w:top w:val="single" w:color="000000" w:sz="4" w:space="0"/>
              <w:left w:val="single" w:color="000000" w:sz="4" w:space="0"/>
              <w:bottom w:val="single" w:color="000000" w:sz="4" w:space="0"/>
              <w:right w:val="single" w:color="000000" w:sz="4" w:space="0"/>
            </w:tcBorders>
            <w:vAlign w:val="center"/>
          </w:tcPr>
          <w:p w14:paraId="25738113">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65DE56FB">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B9E6B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DE3B7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AAA1D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E706A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0A1A36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16C256G</w:t>
            </w:r>
          </w:p>
        </w:tc>
        <w:tc>
          <w:tcPr>
            <w:tcW w:w="0" w:type="auto"/>
            <w:tcBorders>
              <w:top w:val="single" w:color="000000" w:sz="4" w:space="0"/>
              <w:left w:val="single" w:color="000000" w:sz="4" w:space="0"/>
              <w:bottom w:val="single" w:color="000000" w:sz="4" w:space="0"/>
              <w:right w:val="single" w:color="000000" w:sz="4" w:space="0"/>
            </w:tcBorders>
            <w:vAlign w:val="center"/>
          </w:tcPr>
          <w:p w14:paraId="43059102">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80B3D9">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7957</w:t>
            </w:r>
          </w:p>
        </w:tc>
        <w:tc>
          <w:tcPr>
            <w:tcW w:w="0" w:type="auto"/>
            <w:tcBorders>
              <w:top w:val="single" w:color="000000" w:sz="4" w:space="0"/>
              <w:left w:val="single" w:color="000000" w:sz="4" w:space="0"/>
              <w:bottom w:val="single" w:color="000000" w:sz="4" w:space="0"/>
              <w:right w:val="single" w:color="000000" w:sz="4" w:space="0"/>
            </w:tcBorders>
            <w:vAlign w:val="center"/>
          </w:tcPr>
          <w:p w14:paraId="6DCFA08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07548D86">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34FAF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6FEEC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4231B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D4344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875228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32C128G</w:t>
            </w:r>
          </w:p>
        </w:tc>
        <w:tc>
          <w:tcPr>
            <w:tcW w:w="0" w:type="auto"/>
            <w:tcBorders>
              <w:top w:val="single" w:color="000000" w:sz="4" w:space="0"/>
              <w:left w:val="single" w:color="000000" w:sz="4" w:space="0"/>
              <w:bottom w:val="single" w:color="000000" w:sz="4" w:space="0"/>
              <w:right w:val="single" w:color="000000" w:sz="4" w:space="0"/>
            </w:tcBorders>
            <w:vAlign w:val="center"/>
          </w:tcPr>
          <w:p w14:paraId="4DB0283C">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E4EBF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5230</w:t>
            </w:r>
          </w:p>
        </w:tc>
        <w:tc>
          <w:tcPr>
            <w:tcW w:w="0" w:type="auto"/>
            <w:tcBorders>
              <w:top w:val="single" w:color="000000" w:sz="4" w:space="0"/>
              <w:left w:val="single" w:color="000000" w:sz="4" w:space="0"/>
              <w:bottom w:val="single" w:color="000000" w:sz="4" w:space="0"/>
              <w:right w:val="single" w:color="000000" w:sz="4" w:space="0"/>
            </w:tcBorders>
            <w:vAlign w:val="center"/>
          </w:tcPr>
          <w:p w14:paraId="530444C8">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2A934EF2">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CF55D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32990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958C5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95080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FB6DE1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32C256G</w:t>
            </w:r>
          </w:p>
        </w:tc>
        <w:tc>
          <w:tcPr>
            <w:tcW w:w="0" w:type="auto"/>
            <w:tcBorders>
              <w:top w:val="single" w:color="000000" w:sz="4" w:space="0"/>
              <w:left w:val="single" w:color="000000" w:sz="4" w:space="0"/>
              <w:bottom w:val="single" w:color="000000" w:sz="4" w:space="0"/>
              <w:right w:val="single" w:color="000000" w:sz="4" w:space="0"/>
            </w:tcBorders>
            <w:vAlign w:val="center"/>
          </w:tcPr>
          <w:p w14:paraId="35790B84">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B2B5A">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8830</w:t>
            </w:r>
          </w:p>
        </w:tc>
        <w:tc>
          <w:tcPr>
            <w:tcW w:w="0" w:type="auto"/>
            <w:tcBorders>
              <w:top w:val="single" w:color="000000" w:sz="4" w:space="0"/>
              <w:left w:val="single" w:color="000000" w:sz="4" w:space="0"/>
              <w:bottom w:val="single" w:color="000000" w:sz="4" w:space="0"/>
              <w:right w:val="single" w:color="000000" w:sz="4" w:space="0"/>
            </w:tcBorders>
            <w:vAlign w:val="center"/>
          </w:tcPr>
          <w:p w14:paraId="69F161B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144EDB4">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58BC7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8A885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CC8F5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CC35E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FE29B0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32C512G</w:t>
            </w:r>
          </w:p>
        </w:tc>
        <w:tc>
          <w:tcPr>
            <w:tcW w:w="0" w:type="auto"/>
            <w:tcBorders>
              <w:top w:val="single" w:color="000000" w:sz="4" w:space="0"/>
              <w:left w:val="single" w:color="000000" w:sz="4" w:space="0"/>
              <w:bottom w:val="single" w:color="000000" w:sz="4" w:space="0"/>
              <w:right w:val="single" w:color="000000" w:sz="4" w:space="0"/>
            </w:tcBorders>
            <w:vAlign w:val="center"/>
          </w:tcPr>
          <w:p w14:paraId="26D7BC1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5C1069">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16030</w:t>
            </w:r>
          </w:p>
        </w:tc>
        <w:tc>
          <w:tcPr>
            <w:tcW w:w="0" w:type="auto"/>
            <w:tcBorders>
              <w:top w:val="single" w:color="000000" w:sz="4" w:space="0"/>
              <w:left w:val="single" w:color="000000" w:sz="4" w:space="0"/>
              <w:bottom w:val="single" w:color="000000" w:sz="4" w:space="0"/>
              <w:right w:val="single" w:color="000000" w:sz="4" w:space="0"/>
            </w:tcBorders>
            <w:vAlign w:val="center"/>
          </w:tcPr>
          <w:p w14:paraId="40CDACFF">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6153C6E8">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D3CE7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AE587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E05F8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308219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数据库存储（以100GB为单价）</w:t>
            </w:r>
          </w:p>
        </w:tc>
        <w:tc>
          <w:tcPr>
            <w:tcW w:w="0" w:type="auto"/>
            <w:tcBorders>
              <w:top w:val="single" w:color="000000" w:sz="4" w:space="0"/>
              <w:left w:val="single" w:color="000000" w:sz="4" w:space="0"/>
              <w:bottom w:val="single" w:color="000000" w:sz="4" w:space="0"/>
              <w:right w:val="single" w:color="000000" w:sz="4" w:space="0"/>
            </w:tcBorders>
            <w:vAlign w:val="center"/>
          </w:tcPr>
          <w:p w14:paraId="1774E70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100GB</w:t>
            </w:r>
          </w:p>
        </w:tc>
        <w:tc>
          <w:tcPr>
            <w:tcW w:w="0" w:type="auto"/>
            <w:tcBorders>
              <w:top w:val="single" w:color="000000" w:sz="4" w:space="0"/>
              <w:left w:val="single" w:color="000000" w:sz="4" w:space="0"/>
              <w:bottom w:val="single" w:color="000000" w:sz="4" w:space="0"/>
              <w:right w:val="single" w:color="000000" w:sz="4" w:space="0"/>
            </w:tcBorders>
            <w:vAlign w:val="center"/>
          </w:tcPr>
          <w:p w14:paraId="55926170">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SSD存储，以100GB为单价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5DACF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70</w:t>
            </w:r>
          </w:p>
        </w:tc>
        <w:tc>
          <w:tcPr>
            <w:tcW w:w="0" w:type="auto"/>
            <w:tcBorders>
              <w:top w:val="single" w:color="000000" w:sz="4" w:space="0"/>
              <w:left w:val="single" w:color="000000" w:sz="4" w:space="0"/>
              <w:bottom w:val="single" w:color="000000" w:sz="4" w:space="0"/>
              <w:right w:val="single" w:color="000000" w:sz="4" w:space="0"/>
            </w:tcBorders>
            <w:vAlign w:val="center"/>
          </w:tcPr>
          <w:p w14:paraId="738EE3DD">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6014BF2">
        <w:tblPrEx>
          <w:tblCellMar>
            <w:top w:w="0" w:type="dxa"/>
            <w:left w:w="108" w:type="dxa"/>
            <w:bottom w:w="0" w:type="dxa"/>
            <w:right w:w="108" w:type="dxa"/>
          </w:tblCellMar>
        </w:tblPrEx>
        <w:trPr>
          <w:trHeight w:val="3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8E8E9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455EA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1A9DA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A8DBD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E390C0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100GB</w:t>
            </w:r>
          </w:p>
        </w:tc>
        <w:tc>
          <w:tcPr>
            <w:tcW w:w="0" w:type="auto"/>
            <w:tcBorders>
              <w:top w:val="single" w:color="000000" w:sz="4" w:space="0"/>
              <w:left w:val="single" w:color="000000" w:sz="4" w:space="0"/>
              <w:bottom w:val="single" w:color="000000" w:sz="4" w:space="0"/>
              <w:right w:val="single" w:color="000000" w:sz="4" w:space="0"/>
            </w:tcBorders>
            <w:vAlign w:val="center"/>
          </w:tcPr>
          <w:p w14:paraId="74CB0148">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SAS存储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03D26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41</w:t>
            </w:r>
          </w:p>
        </w:tc>
        <w:tc>
          <w:tcPr>
            <w:tcW w:w="0" w:type="auto"/>
            <w:tcBorders>
              <w:top w:val="single" w:color="000000" w:sz="4" w:space="0"/>
              <w:left w:val="single" w:color="000000" w:sz="4" w:space="0"/>
              <w:bottom w:val="single" w:color="000000" w:sz="4" w:space="0"/>
              <w:right w:val="single" w:color="000000" w:sz="4" w:space="0"/>
            </w:tcBorders>
            <w:vAlign w:val="center"/>
          </w:tcPr>
          <w:p w14:paraId="7CF5E76B">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261E318E">
        <w:tblPrEx>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A529A0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default" w:ascii="宋体" w:hAnsi="宋体" w:cs="仿宋_GB2312"/>
                <w:color w:val="auto"/>
                <w:kern w:val="0"/>
                <w:sz w:val="22"/>
                <w:szCs w:val="22"/>
                <w:highlight w:val="none"/>
              </w:rPr>
              <w:t>2</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732111E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大数据服务</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8FE44A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大数据服务</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30CAF6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大数据存储</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7CD9F29">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大数据存储</w:t>
            </w:r>
          </w:p>
        </w:tc>
        <w:tc>
          <w:tcPr>
            <w:tcW w:w="0" w:type="auto"/>
            <w:tcBorders>
              <w:top w:val="single" w:color="000000" w:sz="4" w:space="0"/>
              <w:left w:val="single" w:color="000000" w:sz="4" w:space="0"/>
              <w:bottom w:val="single" w:color="000000" w:sz="4" w:space="0"/>
              <w:right w:val="single" w:color="000000" w:sz="4" w:space="0"/>
            </w:tcBorders>
            <w:vAlign w:val="center"/>
          </w:tcPr>
          <w:p w14:paraId="71EA4E50">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不高于10G，以占用存储空间1GB位单价，1GB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1C28F0">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 xml:space="preserve">101 </w:t>
            </w:r>
          </w:p>
        </w:tc>
        <w:tc>
          <w:tcPr>
            <w:tcW w:w="0" w:type="auto"/>
            <w:tcBorders>
              <w:top w:val="single" w:color="000000" w:sz="4" w:space="0"/>
              <w:left w:val="single" w:color="000000" w:sz="4" w:space="0"/>
              <w:bottom w:val="single" w:color="000000" w:sz="4" w:space="0"/>
              <w:right w:val="single" w:color="000000" w:sz="4" w:space="0"/>
            </w:tcBorders>
            <w:vAlign w:val="center"/>
          </w:tcPr>
          <w:p w14:paraId="1EE34E95">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大数据存储空间</w:t>
            </w:r>
          </w:p>
        </w:tc>
      </w:tr>
      <w:tr w14:paraId="706C2F64">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19DBF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779C6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5DCD4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1C501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33AAF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39BB3A4">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不高于100G时，以占用存储空间1GB位单价，1GB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1A2DD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 xml:space="preserve">43 </w:t>
            </w:r>
          </w:p>
        </w:tc>
        <w:tc>
          <w:tcPr>
            <w:tcW w:w="0" w:type="auto"/>
            <w:tcBorders>
              <w:top w:val="single" w:color="000000" w:sz="4" w:space="0"/>
              <w:left w:val="single" w:color="000000" w:sz="4" w:space="0"/>
              <w:bottom w:val="single" w:color="000000" w:sz="4" w:space="0"/>
              <w:right w:val="single" w:color="000000" w:sz="4" w:space="0"/>
            </w:tcBorders>
            <w:vAlign w:val="center"/>
          </w:tcPr>
          <w:p w14:paraId="72F14F5C">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4E287754">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288B7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820B4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C472F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1814D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0371C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3A24AC1">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不高于1T，100G-1000G部分以占用存储空间1GB位单价，1GB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D1849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 xml:space="preserve">17 </w:t>
            </w:r>
          </w:p>
        </w:tc>
        <w:tc>
          <w:tcPr>
            <w:tcW w:w="0" w:type="auto"/>
            <w:tcBorders>
              <w:top w:val="single" w:color="000000" w:sz="4" w:space="0"/>
              <w:left w:val="single" w:color="000000" w:sz="4" w:space="0"/>
              <w:bottom w:val="single" w:color="000000" w:sz="4" w:space="0"/>
              <w:right w:val="single" w:color="000000" w:sz="4" w:space="0"/>
            </w:tcBorders>
            <w:vAlign w:val="center"/>
          </w:tcPr>
          <w:p w14:paraId="3593EB0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131AD2C">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A6CD9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79823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E40B1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50F0B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EBA79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09239C3">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高于1T，以占用存储空间1GB位单价，1GB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5B662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14:paraId="67F1C064">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0AF60257">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8E865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97D6B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36BA35">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0B404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C3B953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计算单元（CU）</w:t>
            </w:r>
          </w:p>
        </w:tc>
        <w:tc>
          <w:tcPr>
            <w:tcW w:w="0" w:type="auto"/>
            <w:tcBorders>
              <w:top w:val="single" w:color="000000" w:sz="4" w:space="0"/>
              <w:left w:val="single" w:color="000000" w:sz="4" w:space="0"/>
              <w:bottom w:val="single" w:color="000000" w:sz="4" w:space="0"/>
              <w:right w:val="single" w:color="000000" w:sz="4" w:space="0"/>
            </w:tcBorders>
            <w:vAlign w:val="center"/>
          </w:tcPr>
          <w:p w14:paraId="1A2CAF74">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1CU=1核4G（50个CU为一组，按组提供服务）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383A7">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 xml:space="preserve">148 </w:t>
            </w:r>
          </w:p>
        </w:tc>
        <w:tc>
          <w:tcPr>
            <w:tcW w:w="0" w:type="auto"/>
            <w:tcBorders>
              <w:top w:val="single" w:color="000000" w:sz="4" w:space="0"/>
              <w:left w:val="single" w:color="000000" w:sz="4" w:space="0"/>
              <w:bottom w:val="single" w:color="000000" w:sz="4" w:space="0"/>
              <w:right w:val="single" w:color="000000" w:sz="4" w:space="0"/>
            </w:tcBorders>
            <w:vAlign w:val="center"/>
          </w:tcPr>
          <w:p w14:paraId="7A7BDC43">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50个CU为一组，按组提供服务</w:t>
            </w:r>
          </w:p>
        </w:tc>
      </w:tr>
      <w:tr w14:paraId="4DDAF429">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CE57D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F5D1E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4FD6F8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7A75A0">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79E339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大数据ETL</w:t>
            </w:r>
          </w:p>
        </w:tc>
        <w:tc>
          <w:tcPr>
            <w:tcW w:w="0" w:type="auto"/>
            <w:tcBorders>
              <w:top w:val="single" w:color="000000" w:sz="4" w:space="0"/>
              <w:left w:val="single" w:color="000000" w:sz="4" w:space="0"/>
              <w:bottom w:val="single" w:color="000000" w:sz="4" w:space="0"/>
              <w:right w:val="single" w:color="000000" w:sz="4" w:space="0"/>
            </w:tcBorders>
            <w:vAlign w:val="center"/>
          </w:tcPr>
          <w:p w14:paraId="5E8973DF">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以导入数据1GB为步长增加1GB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569C86">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 xml:space="preserve">9 </w:t>
            </w:r>
          </w:p>
        </w:tc>
        <w:tc>
          <w:tcPr>
            <w:tcW w:w="0" w:type="auto"/>
            <w:tcBorders>
              <w:top w:val="single" w:color="000000" w:sz="4" w:space="0"/>
              <w:left w:val="single" w:color="000000" w:sz="4" w:space="0"/>
              <w:bottom w:val="single" w:color="000000" w:sz="4" w:space="0"/>
              <w:right w:val="single" w:color="000000" w:sz="4" w:space="0"/>
            </w:tcBorders>
            <w:vAlign w:val="center"/>
          </w:tcPr>
          <w:p w14:paraId="2469CFFA">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3FADA2F1">
        <w:tblPrEx>
          <w:tblCellMar>
            <w:top w:w="0" w:type="dxa"/>
            <w:left w:w="108" w:type="dxa"/>
            <w:bottom w:w="0" w:type="dxa"/>
            <w:right w:w="108" w:type="dxa"/>
          </w:tblCellMar>
        </w:tblPrEx>
        <w:trPr>
          <w:trHeight w:val="310" w:hRule="atLeast"/>
        </w:trPr>
        <w:tc>
          <w:tcPr>
            <w:tcW w:w="0" w:type="auto"/>
            <w:gridSpan w:val="6"/>
            <w:tcBorders>
              <w:top w:val="single" w:color="000000" w:sz="4" w:space="0"/>
              <w:left w:val="single" w:color="000000" w:sz="4" w:space="0"/>
              <w:bottom w:val="single" w:color="auto" w:sz="4" w:space="0"/>
              <w:right w:val="single" w:color="000000" w:sz="4" w:space="0"/>
            </w:tcBorders>
            <w:vAlign w:val="center"/>
          </w:tcPr>
          <w:p w14:paraId="60563B04">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b/>
                <w:bCs/>
                <w:color w:val="auto"/>
                <w:sz w:val="22"/>
                <w:szCs w:val="22"/>
                <w:highlight w:val="none"/>
              </w:rPr>
            </w:pPr>
            <w:r>
              <w:rPr>
                <w:rFonts w:hint="eastAsia" w:ascii="宋体" w:hAnsi="宋体" w:cs="仿宋_GB2312"/>
                <w:b/>
                <w:bCs/>
                <w:color w:val="auto"/>
                <w:kern w:val="0"/>
                <w:sz w:val="22"/>
                <w:szCs w:val="22"/>
                <w:highlight w:val="none"/>
              </w:rPr>
              <w:t>三、云安全服务</w:t>
            </w:r>
          </w:p>
        </w:tc>
        <w:tc>
          <w:tcPr>
            <w:tcW w:w="0" w:type="auto"/>
            <w:gridSpan w:val="2"/>
            <w:tcBorders>
              <w:top w:val="single" w:color="000000" w:sz="4" w:space="0"/>
              <w:left w:val="single" w:color="000000" w:sz="4" w:space="0"/>
              <w:bottom w:val="single" w:color="auto" w:sz="4" w:space="0"/>
              <w:right w:val="single" w:color="000000" w:sz="4" w:space="0"/>
            </w:tcBorders>
            <w:vAlign w:val="center"/>
          </w:tcPr>
          <w:p w14:paraId="3CEDE6A8">
            <w:pPr>
              <w:keepNext w:val="0"/>
              <w:keepLines w:val="0"/>
              <w:suppressLineNumbers w:val="0"/>
              <w:spacing w:before="0" w:beforeAutospacing="0" w:after="0" w:afterAutospacing="0" w:line="280" w:lineRule="atLeast"/>
              <w:ind w:left="0" w:right="0"/>
              <w:jc w:val="left"/>
              <w:rPr>
                <w:rFonts w:hint="default" w:ascii="宋体" w:hAnsi="宋体" w:cs="仿宋_GB2312"/>
                <w:b/>
                <w:bCs/>
                <w:color w:val="auto"/>
                <w:sz w:val="22"/>
                <w:szCs w:val="22"/>
                <w:highlight w:val="none"/>
              </w:rPr>
            </w:pPr>
          </w:p>
        </w:tc>
      </w:tr>
      <w:tr w14:paraId="1624D1D8">
        <w:tblPrEx>
          <w:tblCellMar>
            <w:top w:w="0" w:type="dxa"/>
            <w:left w:w="108" w:type="dxa"/>
            <w:bottom w:w="0" w:type="dxa"/>
            <w:right w:w="108" w:type="dxa"/>
          </w:tblCellMar>
        </w:tblPrEx>
        <w:trPr>
          <w:trHeight w:val="600" w:hRule="atLeast"/>
        </w:trPr>
        <w:tc>
          <w:tcPr>
            <w:tcW w:w="0" w:type="auto"/>
            <w:vMerge w:val="restart"/>
            <w:tcBorders>
              <w:top w:val="single" w:color="auto" w:sz="4" w:space="0"/>
              <w:left w:val="single" w:color="auto" w:sz="4" w:space="0"/>
              <w:bottom w:val="nil"/>
              <w:right w:val="single" w:color="000000" w:sz="4" w:space="0"/>
            </w:tcBorders>
            <w:noWrap/>
            <w:vAlign w:val="center"/>
          </w:tcPr>
          <w:p w14:paraId="7CBC3BEC">
            <w:pPr>
              <w:keepNext w:val="0"/>
              <w:keepLines w:val="0"/>
              <w:widowControl/>
              <w:suppressLineNumbers w:val="0"/>
              <w:spacing w:before="0" w:beforeAutospacing="0" w:after="0" w:afterAutospacing="0" w:line="280" w:lineRule="atLeast"/>
              <w:ind w:left="0" w:right="0"/>
              <w:jc w:val="center"/>
              <w:textAlignment w:val="center"/>
              <w:rPr>
                <w:rFonts w:hint="eastAsia" w:ascii="宋体" w:hAnsi="宋体" w:eastAsia="宋体" w:cs="仿宋_GB2312"/>
                <w:color w:val="auto"/>
                <w:sz w:val="22"/>
                <w:szCs w:val="22"/>
                <w:highlight w:val="none"/>
                <w:lang w:eastAsia="zh-CN"/>
              </w:rPr>
            </w:pPr>
            <w:r>
              <w:rPr>
                <w:rFonts w:hint="eastAsia" w:ascii="宋体" w:hAnsi="宋体" w:cs="仿宋_GB2312"/>
                <w:color w:val="auto"/>
                <w:kern w:val="0"/>
                <w:sz w:val="22"/>
                <w:szCs w:val="22"/>
                <w:highlight w:val="none"/>
                <w:lang w:val="en-US" w:eastAsia="zh-CN"/>
              </w:rPr>
              <w:t>1</w:t>
            </w:r>
          </w:p>
        </w:tc>
        <w:tc>
          <w:tcPr>
            <w:tcW w:w="0" w:type="auto"/>
            <w:vMerge w:val="restart"/>
            <w:tcBorders>
              <w:top w:val="single" w:color="auto" w:sz="4" w:space="0"/>
              <w:left w:val="single" w:color="000000" w:sz="4" w:space="0"/>
              <w:bottom w:val="nil"/>
              <w:right w:val="single" w:color="000000" w:sz="4" w:space="0"/>
            </w:tcBorders>
            <w:vAlign w:val="center"/>
          </w:tcPr>
          <w:p w14:paraId="40E2748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自主云安全服务</w:t>
            </w:r>
          </w:p>
        </w:tc>
        <w:tc>
          <w:tcPr>
            <w:tcW w:w="0" w:type="auto"/>
            <w:vMerge w:val="restart"/>
            <w:tcBorders>
              <w:top w:val="single" w:color="auto" w:sz="4" w:space="0"/>
              <w:left w:val="single" w:color="000000" w:sz="4" w:space="0"/>
              <w:bottom w:val="nil"/>
              <w:right w:val="single" w:color="000000" w:sz="4" w:space="0"/>
            </w:tcBorders>
            <w:vAlign w:val="center"/>
          </w:tcPr>
          <w:p w14:paraId="1207C6EF">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自主云安全服务</w:t>
            </w:r>
          </w:p>
        </w:tc>
        <w:tc>
          <w:tcPr>
            <w:tcW w:w="0" w:type="auto"/>
            <w:vMerge w:val="restart"/>
            <w:tcBorders>
              <w:top w:val="single" w:color="auto" w:sz="4" w:space="0"/>
              <w:left w:val="single" w:color="000000" w:sz="4" w:space="0"/>
              <w:bottom w:val="nil"/>
              <w:right w:val="single" w:color="000000" w:sz="4" w:space="0"/>
            </w:tcBorders>
            <w:vAlign w:val="center"/>
          </w:tcPr>
          <w:p w14:paraId="3B371DAB">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WAF</w:t>
            </w:r>
          </w:p>
        </w:tc>
        <w:tc>
          <w:tcPr>
            <w:tcW w:w="0" w:type="auto"/>
            <w:tcBorders>
              <w:top w:val="single" w:color="auto" w:sz="4" w:space="0"/>
              <w:left w:val="single" w:color="000000" w:sz="4" w:space="0"/>
              <w:bottom w:val="nil"/>
              <w:right w:val="single" w:color="000000" w:sz="4" w:space="0"/>
            </w:tcBorders>
            <w:vAlign w:val="center"/>
          </w:tcPr>
          <w:p w14:paraId="2D86150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25M</w:t>
            </w:r>
          </w:p>
        </w:tc>
        <w:tc>
          <w:tcPr>
            <w:tcW w:w="0" w:type="auto"/>
            <w:tcBorders>
              <w:top w:val="single" w:color="auto" w:sz="4" w:space="0"/>
              <w:left w:val="single" w:color="000000" w:sz="4" w:space="0"/>
              <w:bottom w:val="nil"/>
              <w:right w:val="single" w:color="000000" w:sz="4" w:space="0"/>
            </w:tcBorders>
            <w:vAlign w:val="center"/>
          </w:tcPr>
          <w:p w14:paraId="5C20370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1个一级域名和10个二级域名（流量上限为25M）</w:t>
            </w:r>
          </w:p>
        </w:tc>
        <w:tc>
          <w:tcPr>
            <w:tcW w:w="0" w:type="auto"/>
            <w:tcBorders>
              <w:top w:val="single" w:color="auto" w:sz="4" w:space="0"/>
              <w:left w:val="single" w:color="000000" w:sz="4" w:space="0"/>
              <w:bottom w:val="nil"/>
              <w:right w:val="single" w:color="000000" w:sz="4" w:space="0"/>
            </w:tcBorders>
            <w:noWrap/>
            <w:vAlign w:val="center"/>
          </w:tcPr>
          <w:p w14:paraId="304C222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702</w:t>
            </w:r>
          </w:p>
        </w:tc>
        <w:tc>
          <w:tcPr>
            <w:tcW w:w="0" w:type="auto"/>
            <w:tcBorders>
              <w:top w:val="single" w:color="auto" w:sz="4" w:space="0"/>
              <w:left w:val="single" w:color="000000" w:sz="4" w:space="0"/>
              <w:bottom w:val="nil"/>
              <w:right w:val="single" w:color="auto" w:sz="4" w:space="0"/>
            </w:tcBorders>
            <w:vAlign w:val="center"/>
          </w:tcPr>
          <w:p w14:paraId="4AAC3036">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防护流量25Mbps，HTTP最大新建连接数3000，HTTP最大并发连接数30000</w:t>
            </w:r>
          </w:p>
        </w:tc>
      </w:tr>
      <w:tr w14:paraId="2376B774">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right w:val="single" w:color="000000" w:sz="4" w:space="0"/>
            </w:tcBorders>
            <w:noWrap/>
            <w:vAlign w:val="center"/>
          </w:tcPr>
          <w:p w14:paraId="1DB249DA">
            <w:pPr>
              <w:keepNext w:val="0"/>
              <w:keepLines w:val="0"/>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p>
        </w:tc>
        <w:tc>
          <w:tcPr>
            <w:tcW w:w="0" w:type="auto"/>
            <w:vMerge w:val="continue"/>
            <w:tcBorders>
              <w:top w:val="nil"/>
              <w:left w:val="single" w:color="000000" w:sz="4" w:space="0"/>
              <w:bottom w:val="single" w:color="000000" w:sz="4" w:space="0"/>
              <w:right w:val="single" w:color="000000" w:sz="4" w:space="0"/>
            </w:tcBorders>
            <w:vAlign w:val="center"/>
          </w:tcPr>
          <w:p w14:paraId="1E43D316">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nil"/>
              <w:left w:val="single" w:color="000000" w:sz="4" w:space="0"/>
              <w:bottom w:val="single" w:color="000000" w:sz="4" w:space="0"/>
              <w:right w:val="single" w:color="000000" w:sz="4" w:space="0"/>
            </w:tcBorders>
            <w:vAlign w:val="center"/>
          </w:tcPr>
          <w:p w14:paraId="386A9BC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nil"/>
              <w:left w:val="single" w:color="000000" w:sz="4" w:space="0"/>
              <w:bottom w:val="single" w:color="000000" w:sz="4" w:space="0"/>
              <w:right w:val="single" w:color="000000" w:sz="4" w:space="0"/>
            </w:tcBorders>
            <w:vAlign w:val="center"/>
          </w:tcPr>
          <w:p w14:paraId="42E7DDF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nil"/>
              <w:left w:val="single" w:color="000000" w:sz="4" w:space="0"/>
              <w:bottom w:val="single" w:color="000000" w:sz="4" w:space="0"/>
              <w:right w:val="single" w:color="000000" w:sz="4" w:space="0"/>
            </w:tcBorders>
            <w:vAlign w:val="center"/>
          </w:tcPr>
          <w:p w14:paraId="7F5A651E">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50M</w:t>
            </w:r>
          </w:p>
        </w:tc>
        <w:tc>
          <w:tcPr>
            <w:tcW w:w="0" w:type="auto"/>
            <w:tcBorders>
              <w:top w:val="nil"/>
              <w:left w:val="single" w:color="000000" w:sz="4" w:space="0"/>
              <w:bottom w:val="single" w:color="000000" w:sz="4" w:space="0"/>
              <w:right w:val="single" w:color="000000" w:sz="4" w:space="0"/>
            </w:tcBorders>
            <w:vAlign w:val="center"/>
          </w:tcPr>
          <w:p w14:paraId="2D9A205C">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2个一级域名和20个二级域名（流量上限为50M）</w:t>
            </w:r>
          </w:p>
        </w:tc>
        <w:tc>
          <w:tcPr>
            <w:tcW w:w="0" w:type="auto"/>
            <w:tcBorders>
              <w:top w:val="nil"/>
              <w:left w:val="single" w:color="000000" w:sz="4" w:space="0"/>
              <w:bottom w:val="single" w:color="000000" w:sz="4" w:space="0"/>
              <w:right w:val="single" w:color="000000" w:sz="4" w:space="0"/>
            </w:tcBorders>
            <w:noWrap/>
            <w:vAlign w:val="center"/>
          </w:tcPr>
          <w:p w14:paraId="2EF03F5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1163</w:t>
            </w:r>
          </w:p>
        </w:tc>
        <w:tc>
          <w:tcPr>
            <w:tcW w:w="0" w:type="auto"/>
            <w:tcBorders>
              <w:top w:val="nil"/>
              <w:left w:val="single" w:color="000000" w:sz="4" w:space="0"/>
              <w:bottom w:val="single" w:color="000000" w:sz="4" w:space="0"/>
              <w:right w:val="single" w:color="000000" w:sz="4" w:space="0"/>
            </w:tcBorders>
            <w:vAlign w:val="center"/>
          </w:tcPr>
          <w:p w14:paraId="1A11B11A">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防护流量50Mbps，HTTP最大并发连接数50000，HTTP最大新建数5000</w:t>
            </w:r>
          </w:p>
        </w:tc>
      </w:tr>
      <w:tr w14:paraId="59225066">
        <w:tblPrEx>
          <w:tblCellMar>
            <w:top w:w="0" w:type="dxa"/>
            <w:left w:w="108" w:type="dxa"/>
            <w:bottom w:w="0" w:type="dxa"/>
            <w:right w:w="108" w:type="dxa"/>
          </w:tblCellMar>
        </w:tblPrEx>
        <w:trPr>
          <w:trHeight w:val="600" w:hRule="atLeast"/>
        </w:trPr>
        <w:tc>
          <w:tcPr>
            <w:tcW w:w="0" w:type="auto"/>
            <w:vMerge w:val="continue"/>
            <w:tcBorders>
              <w:left w:val="single" w:color="auto" w:sz="4" w:space="0"/>
              <w:right w:val="single" w:color="000000" w:sz="4" w:space="0"/>
            </w:tcBorders>
            <w:noWrap/>
            <w:vAlign w:val="center"/>
          </w:tcPr>
          <w:p w14:paraId="0927EB7C">
            <w:pPr>
              <w:keepNext w:val="0"/>
              <w:keepLines w:val="0"/>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CD155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7FE1DC">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7EE2C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957AD5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100M</w:t>
            </w:r>
          </w:p>
        </w:tc>
        <w:tc>
          <w:tcPr>
            <w:tcW w:w="0" w:type="auto"/>
            <w:tcBorders>
              <w:top w:val="single" w:color="000000" w:sz="4" w:space="0"/>
              <w:left w:val="single" w:color="000000" w:sz="4" w:space="0"/>
              <w:bottom w:val="single" w:color="000000" w:sz="4" w:space="0"/>
              <w:right w:val="single" w:color="000000" w:sz="4" w:space="0"/>
            </w:tcBorders>
            <w:vAlign w:val="center"/>
          </w:tcPr>
          <w:p w14:paraId="57D7B15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4个一级域名和40个二级域名（流量上限为100M）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CE549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1888</w:t>
            </w:r>
          </w:p>
        </w:tc>
        <w:tc>
          <w:tcPr>
            <w:tcW w:w="0" w:type="auto"/>
            <w:tcBorders>
              <w:top w:val="single" w:color="000000" w:sz="4" w:space="0"/>
              <w:left w:val="single" w:color="000000" w:sz="4" w:space="0"/>
              <w:bottom w:val="single" w:color="000000" w:sz="4" w:space="0"/>
              <w:right w:val="single" w:color="000000" w:sz="4" w:space="0"/>
            </w:tcBorders>
            <w:vAlign w:val="center"/>
          </w:tcPr>
          <w:p w14:paraId="0CC1AD16">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防护流量100Mbps、HTTP最大并发数180000、HTTP最大新建数10000</w:t>
            </w:r>
          </w:p>
        </w:tc>
      </w:tr>
      <w:tr w14:paraId="776F4847">
        <w:tblPrEx>
          <w:tblCellMar>
            <w:top w:w="0" w:type="dxa"/>
            <w:left w:w="108" w:type="dxa"/>
            <w:bottom w:w="0" w:type="dxa"/>
            <w:right w:w="108" w:type="dxa"/>
          </w:tblCellMar>
        </w:tblPrEx>
        <w:trPr>
          <w:trHeight w:val="600" w:hRule="atLeast"/>
        </w:trPr>
        <w:tc>
          <w:tcPr>
            <w:tcW w:w="0" w:type="auto"/>
            <w:vMerge w:val="continue"/>
            <w:tcBorders>
              <w:left w:val="single" w:color="auto" w:sz="4" w:space="0"/>
              <w:right w:val="single" w:color="000000" w:sz="4" w:space="0"/>
            </w:tcBorders>
            <w:noWrap/>
            <w:vAlign w:val="center"/>
          </w:tcPr>
          <w:p w14:paraId="2F5C69FA">
            <w:pPr>
              <w:keepNext w:val="0"/>
              <w:keepLines w:val="0"/>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23D9A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26FB9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73C7C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B797343">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200M</w:t>
            </w:r>
          </w:p>
        </w:tc>
        <w:tc>
          <w:tcPr>
            <w:tcW w:w="0" w:type="auto"/>
            <w:tcBorders>
              <w:top w:val="single" w:color="000000" w:sz="4" w:space="0"/>
              <w:left w:val="single" w:color="000000" w:sz="4" w:space="0"/>
              <w:bottom w:val="single" w:color="000000" w:sz="4" w:space="0"/>
              <w:right w:val="single" w:color="000000" w:sz="4" w:space="0"/>
            </w:tcBorders>
            <w:vAlign w:val="center"/>
          </w:tcPr>
          <w:p w14:paraId="0C0AE354">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8个一级域名和80个二级域名（流量上限为200M）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457B6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3097</w:t>
            </w:r>
          </w:p>
        </w:tc>
        <w:tc>
          <w:tcPr>
            <w:tcW w:w="0" w:type="auto"/>
            <w:tcBorders>
              <w:top w:val="single" w:color="000000" w:sz="4" w:space="0"/>
              <w:left w:val="single" w:color="000000" w:sz="4" w:space="0"/>
              <w:bottom w:val="single" w:color="000000" w:sz="4" w:space="0"/>
              <w:right w:val="single" w:color="000000" w:sz="4" w:space="0"/>
            </w:tcBorders>
            <w:vAlign w:val="center"/>
          </w:tcPr>
          <w:p w14:paraId="273C40E0">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防护流量200Mbps、HTTP最大并发数300000、HTTP最大新建数30000</w:t>
            </w:r>
          </w:p>
        </w:tc>
      </w:tr>
      <w:tr w14:paraId="706C0495">
        <w:tblPrEx>
          <w:tblCellMar>
            <w:top w:w="0" w:type="dxa"/>
            <w:left w:w="108" w:type="dxa"/>
            <w:bottom w:w="0" w:type="dxa"/>
            <w:right w:w="108" w:type="dxa"/>
          </w:tblCellMar>
        </w:tblPrEx>
        <w:trPr>
          <w:trHeight w:val="600" w:hRule="atLeast"/>
        </w:trPr>
        <w:tc>
          <w:tcPr>
            <w:tcW w:w="0" w:type="auto"/>
            <w:vMerge w:val="continue"/>
            <w:tcBorders>
              <w:left w:val="single" w:color="auto" w:sz="4" w:space="0"/>
              <w:right w:val="single" w:color="000000" w:sz="4" w:space="0"/>
            </w:tcBorders>
            <w:noWrap/>
            <w:vAlign w:val="center"/>
          </w:tcPr>
          <w:p w14:paraId="453A7714">
            <w:pPr>
              <w:keepNext w:val="0"/>
              <w:keepLines w:val="0"/>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DEDE5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ABBCB8">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6B1C9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F171CE9">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500M</w:t>
            </w:r>
          </w:p>
        </w:tc>
        <w:tc>
          <w:tcPr>
            <w:tcW w:w="0" w:type="auto"/>
            <w:tcBorders>
              <w:top w:val="single" w:color="000000" w:sz="4" w:space="0"/>
              <w:left w:val="single" w:color="000000" w:sz="4" w:space="0"/>
              <w:bottom w:val="single" w:color="000000" w:sz="4" w:space="0"/>
              <w:right w:val="single" w:color="000000" w:sz="4" w:space="0"/>
            </w:tcBorders>
            <w:vAlign w:val="center"/>
          </w:tcPr>
          <w:p w14:paraId="4CEA57D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6E572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4687</w:t>
            </w:r>
          </w:p>
        </w:tc>
        <w:tc>
          <w:tcPr>
            <w:tcW w:w="0" w:type="auto"/>
            <w:tcBorders>
              <w:top w:val="single" w:color="000000" w:sz="4" w:space="0"/>
              <w:left w:val="single" w:color="000000" w:sz="4" w:space="0"/>
              <w:bottom w:val="single" w:color="000000" w:sz="4" w:space="0"/>
              <w:right w:val="single" w:color="000000" w:sz="4" w:space="0"/>
            </w:tcBorders>
            <w:vAlign w:val="center"/>
          </w:tcPr>
          <w:p w14:paraId="4791EB94">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防护流量500Mbps、HTTP最大并发数500000、HTTP最大新建数40000</w:t>
            </w:r>
          </w:p>
        </w:tc>
      </w:tr>
      <w:tr w14:paraId="4B0F1233">
        <w:tblPrEx>
          <w:tblCellMar>
            <w:top w:w="0" w:type="dxa"/>
            <w:left w:w="108" w:type="dxa"/>
            <w:bottom w:w="0" w:type="dxa"/>
            <w:right w:w="108" w:type="dxa"/>
          </w:tblCellMar>
        </w:tblPrEx>
        <w:trPr>
          <w:trHeight w:val="310" w:hRule="atLeast"/>
        </w:trPr>
        <w:tc>
          <w:tcPr>
            <w:tcW w:w="0" w:type="auto"/>
            <w:vMerge w:val="continue"/>
            <w:tcBorders>
              <w:left w:val="single" w:color="auto" w:sz="4" w:space="0"/>
              <w:right w:val="single" w:color="000000" w:sz="4" w:space="0"/>
            </w:tcBorders>
            <w:noWrap/>
            <w:vAlign w:val="center"/>
          </w:tcPr>
          <w:p w14:paraId="40C782D2">
            <w:pPr>
              <w:keepNext w:val="0"/>
              <w:keepLines w:val="0"/>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D3C67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327B7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26CD50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防火墙</w:t>
            </w:r>
          </w:p>
        </w:tc>
        <w:tc>
          <w:tcPr>
            <w:tcW w:w="0" w:type="auto"/>
            <w:tcBorders>
              <w:top w:val="single" w:color="000000" w:sz="4" w:space="0"/>
              <w:left w:val="single" w:color="000000" w:sz="4" w:space="0"/>
              <w:bottom w:val="single" w:color="000000" w:sz="4" w:space="0"/>
              <w:right w:val="single" w:color="000000" w:sz="4" w:space="0"/>
            </w:tcBorders>
            <w:vAlign w:val="center"/>
          </w:tcPr>
          <w:p w14:paraId="2882D64C">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25M吞吐量</w:t>
            </w:r>
          </w:p>
        </w:tc>
        <w:tc>
          <w:tcPr>
            <w:tcW w:w="0" w:type="auto"/>
            <w:tcBorders>
              <w:top w:val="single" w:color="000000" w:sz="4" w:space="0"/>
              <w:left w:val="single" w:color="000000" w:sz="4" w:space="0"/>
              <w:bottom w:val="single" w:color="000000" w:sz="4" w:space="0"/>
              <w:right w:val="single" w:color="000000" w:sz="4" w:space="0"/>
            </w:tcBorders>
            <w:vAlign w:val="center"/>
          </w:tcPr>
          <w:p w14:paraId="6BEE1522">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3EC9F5">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703</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8588A33">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应用层性能支持：200M、500M和1000M；支持静态路由，ECMP等价路由，支持RIPv1/v2，OSPFv2/v3，BGP等动态路由协议，支持多播路由协议，支持路由异常告警功能；提供基本的安全防御；含预警及报表服务。</w:t>
            </w:r>
          </w:p>
        </w:tc>
      </w:tr>
      <w:tr w14:paraId="762C1792">
        <w:tblPrEx>
          <w:tblCellMar>
            <w:top w:w="0" w:type="dxa"/>
            <w:left w:w="108" w:type="dxa"/>
            <w:bottom w:w="0" w:type="dxa"/>
            <w:right w:w="108" w:type="dxa"/>
          </w:tblCellMar>
        </w:tblPrEx>
        <w:trPr>
          <w:trHeight w:val="310" w:hRule="atLeast"/>
        </w:trPr>
        <w:tc>
          <w:tcPr>
            <w:tcW w:w="0" w:type="auto"/>
            <w:vMerge w:val="continue"/>
            <w:tcBorders>
              <w:left w:val="single" w:color="auto" w:sz="4" w:space="0"/>
              <w:right w:val="single" w:color="000000" w:sz="4" w:space="0"/>
            </w:tcBorders>
            <w:noWrap/>
            <w:vAlign w:val="center"/>
          </w:tcPr>
          <w:p w14:paraId="15920AF6">
            <w:pPr>
              <w:keepNext w:val="0"/>
              <w:keepLines w:val="0"/>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4650E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22D01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5597E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A7001C6">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50M吞吐量</w:t>
            </w:r>
          </w:p>
        </w:tc>
        <w:tc>
          <w:tcPr>
            <w:tcW w:w="0" w:type="auto"/>
            <w:tcBorders>
              <w:top w:val="single" w:color="000000" w:sz="4" w:space="0"/>
              <w:left w:val="single" w:color="000000" w:sz="4" w:space="0"/>
              <w:bottom w:val="single" w:color="000000" w:sz="4" w:space="0"/>
              <w:right w:val="single" w:color="000000" w:sz="4" w:space="0"/>
            </w:tcBorders>
            <w:vAlign w:val="center"/>
          </w:tcPr>
          <w:p w14:paraId="03B93B5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FF5558">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757</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2AC72C">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0F1E2472">
        <w:tblPrEx>
          <w:tblCellMar>
            <w:top w:w="0" w:type="dxa"/>
            <w:left w:w="108" w:type="dxa"/>
            <w:bottom w:w="0" w:type="dxa"/>
            <w:right w:w="108" w:type="dxa"/>
          </w:tblCellMar>
        </w:tblPrEx>
        <w:trPr>
          <w:trHeight w:val="310" w:hRule="atLeast"/>
        </w:trPr>
        <w:tc>
          <w:tcPr>
            <w:tcW w:w="0" w:type="auto"/>
            <w:vMerge w:val="continue"/>
            <w:tcBorders>
              <w:left w:val="single" w:color="auto" w:sz="4" w:space="0"/>
              <w:right w:val="single" w:color="000000" w:sz="4" w:space="0"/>
            </w:tcBorders>
            <w:noWrap/>
            <w:vAlign w:val="center"/>
          </w:tcPr>
          <w:p w14:paraId="26615357">
            <w:pPr>
              <w:keepNext w:val="0"/>
              <w:keepLines w:val="0"/>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29233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781D2F">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77511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0572B2F">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100M吞吐量</w:t>
            </w:r>
          </w:p>
        </w:tc>
        <w:tc>
          <w:tcPr>
            <w:tcW w:w="0" w:type="auto"/>
            <w:tcBorders>
              <w:top w:val="single" w:color="000000" w:sz="4" w:space="0"/>
              <w:left w:val="single" w:color="000000" w:sz="4" w:space="0"/>
              <w:bottom w:val="single" w:color="000000" w:sz="4" w:space="0"/>
              <w:right w:val="single" w:color="000000" w:sz="4" w:space="0"/>
            </w:tcBorders>
            <w:vAlign w:val="center"/>
          </w:tcPr>
          <w:p w14:paraId="2592DF6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9E18F5">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909</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129B36">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1EE1DD0E">
        <w:tblPrEx>
          <w:tblCellMar>
            <w:top w:w="0" w:type="dxa"/>
            <w:left w:w="108" w:type="dxa"/>
            <w:bottom w:w="0" w:type="dxa"/>
            <w:right w:w="108" w:type="dxa"/>
          </w:tblCellMar>
        </w:tblPrEx>
        <w:trPr>
          <w:trHeight w:val="310" w:hRule="atLeast"/>
        </w:trPr>
        <w:tc>
          <w:tcPr>
            <w:tcW w:w="0" w:type="auto"/>
            <w:vMerge w:val="continue"/>
            <w:tcBorders>
              <w:left w:val="single" w:color="auto" w:sz="4" w:space="0"/>
              <w:right w:val="single" w:color="000000" w:sz="4" w:space="0"/>
            </w:tcBorders>
            <w:noWrap/>
            <w:vAlign w:val="center"/>
          </w:tcPr>
          <w:p w14:paraId="7716A95F">
            <w:pPr>
              <w:keepNext w:val="0"/>
              <w:keepLines w:val="0"/>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846A5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A79AAD">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FA0801">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3D8A354">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200M吞吐量</w:t>
            </w:r>
          </w:p>
        </w:tc>
        <w:tc>
          <w:tcPr>
            <w:tcW w:w="0" w:type="auto"/>
            <w:tcBorders>
              <w:top w:val="single" w:color="000000" w:sz="4" w:space="0"/>
              <w:left w:val="single" w:color="000000" w:sz="4" w:space="0"/>
              <w:bottom w:val="single" w:color="000000" w:sz="4" w:space="0"/>
              <w:right w:val="single" w:color="000000" w:sz="4" w:space="0"/>
            </w:tcBorders>
            <w:vAlign w:val="center"/>
          </w:tcPr>
          <w:p w14:paraId="1C21FE5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74EC2">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2410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1F5D77">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5F572A2A">
        <w:tblPrEx>
          <w:tblCellMar>
            <w:top w:w="0" w:type="dxa"/>
            <w:left w:w="108" w:type="dxa"/>
            <w:bottom w:w="0" w:type="dxa"/>
            <w:right w:w="108" w:type="dxa"/>
          </w:tblCellMar>
        </w:tblPrEx>
        <w:trPr>
          <w:trHeight w:val="310" w:hRule="atLeast"/>
        </w:trPr>
        <w:tc>
          <w:tcPr>
            <w:tcW w:w="0" w:type="auto"/>
            <w:vMerge w:val="continue"/>
            <w:tcBorders>
              <w:left w:val="single" w:color="auto" w:sz="4" w:space="0"/>
              <w:right w:val="single" w:color="000000" w:sz="4" w:space="0"/>
            </w:tcBorders>
            <w:noWrap/>
            <w:vAlign w:val="center"/>
          </w:tcPr>
          <w:p w14:paraId="12630159">
            <w:pPr>
              <w:keepNext w:val="0"/>
              <w:keepLines w:val="0"/>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2E2EF9">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61A23A">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774634">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B2A4E8B">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500M吞吐量</w:t>
            </w:r>
          </w:p>
        </w:tc>
        <w:tc>
          <w:tcPr>
            <w:tcW w:w="0" w:type="auto"/>
            <w:tcBorders>
              <w:top w:val="single" w:color="000000" w:sz="4" w:space="0"/>
              <w:left w:val="single" w:color="000000" w:sz="4" w:space="0"/>
              <w:bottom w:val="single" w:color="000000" w:sz="4" w:space="0"/>
              <w:right w:val="single" w:color="000000" w:sz="4" w:space="0"/>
            </w:tcBorders>
            <w:vAlign w:val="center"/>
          </w:tcPr>
          <w:p w14:paraId="7D027DAB">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14C461">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4638</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B280B2">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r w14:paraId="206A5828">
        <w:tblPrEx>
          <w:tblCellMar>
            <w:top w:w="0" w:type="dxa"/>
            <w:left w:w="108" w:type="dxa"/>
            <w:bottom w:w="0" w:type="dxa"/>
            <w:right w:w="108" w:type="dxa"/>
          </w:tblCellMar>
        </w:tblPrEx>
        <w:trPr>
          <w:trHeight w:val="310" w:hRule="atLeast"/>
        </w:trPr>
        <w:tc>
          <w:tcPr>
            <w:tcW w:w="0" w:type="auto"/>
            <w:vMerge w:val="continue"/>
            <w:tcBorders>
              <w:left w:val="single" w:color="auto" w:sz="4" w:space="0"/>
              <w:right w:val="single" w:color="000000" w:sz="4" w:space="0"/>
            </w:tcBorders>
            <w:noWrap/>
            <w:vAlign w:val="center"/>
          </w:tcPr>
          <w:p w14:paraId="4F049627">
            <w:pPr>
              <w:keepNext w:val="0"/>
              <w:keepLines w:val="0"/>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36748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1B0263">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590117">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F50AE7F">
            <w:pPr>
              <w:keepNext w:val="0"/>
              <w:keepLines w:val="0"/>
              <w:widowControl/>
              <w:suppressLineNumbers w:val="0"/>
              <w:spacing w:before="0" w:beforeAutospacing="0" w:after="0" w:afterAutospacing="0" w:line="28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1000M吞吐量</w:t>
            </w:r>
          </w:p>
        </w:tc>
        <w:tc>
          <w:tcPr>
            <w:tcW w:w="0" w:type="auto"/>
            <w:tcBorders>
              <w:top w:val="single" w:color="000000" w:sz="4" w:space="0"/>
              <w:left w:val="single" w:color="000000" w:sz="4" w:space="0"/>
              <w:bottom w:val="single" w:color="000000" w:sz="4" w:space="0"/>
              <w:right w:val="single" w:color="000000" w:sz="4" w:space="0"/>
            </w:tcBorders>
            <w:vAlign w:val="center"/>
          </w:tcPr>
          <w:p w14:paraId="462DA54E">
            <w:pPr>
              <w:keepNext w:val="0"/>
              <w:keepLines w:val="0"/>
              <w:suppressLineNumbers w:val="0"/>
              <w:spacing w:before="0" w:beforeAutospacing="0" w:after="0" w:afterAutospacing="0" w:line="280" w:lineRule="atLeast"/>
              <w:ind w:left="0" w:right="0"/>
              <w:jc w:val="center"/>
              <w:rPr>
                <w:rFonts w:hint="default" w:ascii="宋体" w:hAnsi="宋体" w:cs="仿宋_GB2312"/>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77B1AD">
            <w:pPr>
              <w:keepNext w:val="0"/>
              <w:keepLines w:val="0"/>
              <w:widowControl/>
              <w:suppressLineNumbers w:val="0"/>
              <w:spacing w:before="0" w:beforeAutospacing="0" w:after="0" w:afterAutospacing="0" w:line="28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8639</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62AC44">
            <w:pPr>
              <w:keepNext w:val="0"/>
              <w:keepLines w:val="0"/>
              <w:suppressLineNumbers w:val="0"/>
              <w:spacing w:before="0" w:beforeAutospacing="0" w:after="0" w:afterAutospacing="0" w:line="280" w:lineRule="atLeast"/>
              <w:ind w:left="0" w:right="0"/>
              <w:jc w:val="left"/>
              <w:rPr>
                <w:rFonts w:hint="default" w:ascii="宋体" w:hAnsi="宋体" w:cs="仿宋_GB2312"/>
                <w:color w:val="auto"/>
                <w:sz w:val="22"/>
                <w:szCs w:val="22"/>
                <w:highlight w:val="none"/>
              </w:rPr>
            </w:pPr>
          </w:p>
        </w:tc>
      </w:tr>
    </w:tbl>
    <w:p w14:paraId="33BCFC42">
      <w:pPr>
        <w:adjustRightInd w:val="0"/>
        <w:snapToGrid w:val="0"/>
        <w:spacing w:line="400" w:lineRule="atLeast"/>
        <w:rPr>
          <w:rFonts w:hint="eastAsia" w:ascii="宋体" w:hAnsi="宋体"/>
          <w:b/>
          <w:color w:val="auto"/>
          <w:kern w:val="0"/>
          <w:sz w:val="22"/>
          <w:szCs w:val="22"/>
          <w:highlight w:val="none"/>
        </w:rPr>
      </w:pPr>
      <w:r>
        <w:rPr>
          <w:rFonts w:hint="eastAsia" w:ascii="宋体" w:hAnsi="宋体"/>
          <w:b/>
          <w:color w:val="auto"/>
          <w:kern w:val="0"/>
          <w:sz w:val="22"/>
          <w:szCs w:val="22"/>
          <w:highlight w:val="none"/>
        </w:rPr>
        <w:t>标项二：洞头区政务云（私有云）</w:t>
      </w:r>
    </w:p>
    <w:p w14:paraId="69796F14">
      <w:pPr>
        <w:adjustRightInd w:val="0"/>
        <w:snapToGrid w:val="0"/>
        <w:spacing w:line="400" w:lineRule="atLeast"/>
        <w:rPr>
          <w:rFonts w:ascii="宋体" w:hAnsi="宋体"/>
          <w:b/>
          <w:color w:val="auto"/>
          <w:kern w:val="0"/>
          <w:sz w:val="22"/>
          <w:szCs w:val="22"/>
          <w:highlight w:val="none"/>
        </w:rPr>
      </w:pPr>
      <w:bookmarkStart w:id="56" w:name="_Toc10032555"/>
      <w:bookmarkStart w:id="57" w:name="_Toc47481002"/>
      <w:r>
        <w:rPr>
          <w:rFonts w:hint="eastAsia" w:ascii="宋体" w:hAnsi="宋体"/>
          <w:b/>
          <w:color w:val="auto"/>
          <w:kern w:val="0"/>
          <w:sz w:val="22"/>
          <w:szCs w:val="22"/>
          <w:highlight w:val="none"/>
        </w:rPr>
        <w:t>（一）采购内容</w:t>
      </w:r>
      <w:bookmarkEnd w:id="56"/>
      <w:bookmarkEnd w:id="57"/>
    </w:p>
    <w:p w14:paraId="0BC4661A">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根据温州市政府《关于推进政府大数据平台建设的实施意见》相关要求，温州市洞头区大数据管理中心组织进行洞头区政务云采购。其中，洞头区政务云（私有云）主要为全区各政务部门提供</w:t>
      </w:r>
      <w:r>
        <w:rPr>
          <w:rFonts w:ascii="宋体" w:hAnsi="宋体"/>
          <w:color w:val="auto"/>
          <w:sz w:val="22"/>
          <w:szCs w:val="22"/>
          <w:highlight w:val="none"/>
        </w:rPr>
        <w:t>高性能云主机、</w:t>
      </w:r>
      <w:r>
        <w:rPr>
          <w:rFonts w:hint="eastAsia" w:ascii="宋体" w:hAnsi="宋体"/>
          <w:color w:val="auto"/>
          <w:sz w:val="22"/>
          <w:szCs w:val="22"/>
          <w:highlight w:val="none"/>
        </w:rPr>
        <w:t>云计算、云应用、云安全</w:t>
      </w:r>
      <w:r>
        <w:rPr>
          <w:rFonts w:ascii="宋体" w:hAnsi="宋体"/>
          <w:color w:val="auto"/>
          <w:sz w:val="22"/>
          <w:szCs w:val="22"/>
          <w:highlight w:val="none"/>
        </w:rPr>
        <w:t>、异地备份</w:t>
      </w:r>
      <w:r>
        <w:rPr>
          <w:rFonts w:hint="eastAsia" w:ascii="宋体" w:hAnsi="宋体"/>
          <w:color w:val="auto"/>
          <w:sz w:val="22"/>
          <w:szCs w:val="22"/>
          <w:highlight w:val="none"/>
        </w:rPr>
        <w:t>等基础设施资源共享服务，为各政务部门私有业务系统上云提供基础平台支撑。</w:t>
      </w:r>
    </w:p>
    <w:p w14:paraId="08FCA17A">
      <w:pPr>
        <w:snapToGrid w:val="0"/>
        <w:spacing w:line="40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本项目采用企业建设和运维、政府按需购买服务方式进行，通过明确各项服务内容的采购单价和计价规则，对经准确登记云资源进行计费并支付费用。</w:t>
      </w:r>
    </w:p>
    <w:p w14:paraId="7B7BC634">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采购的服务内容主要包括：</w:t>
      </w:r>
    </w:p>
    <w:p w14:paraId="3E556DF7">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、云基础服务：包括云主机（含安全管理模块EDR）、</w:t>
      </w:r>
      <w:r>
        <w:rPr>
          <w:rFonts w:ascii="宋体" w:hAnsi="宋体"/>
          <w:color w:val="auto"/>
          <w:sz w:val="22"/>
          <w:szCs w:val="22"/>
          <w:highlight w:val="none"/>
        </w:rPr>
        <w:t>高性能云主机</w:t>
      </w:r>
      <w:r>
        <w:rPr>
          <w:rFonts w:hint="eastAsia" w:ascii="宋体" w:hAnsi="宋体"/>
          <w:color w:val="auto"/>
          <w:sz w:val="22"/>
          <w:szCs w:val="22"/>
          <w:highlight w:val="none"/>
        </w:rPr>
        <w:t>(含安全管理模块EDR）</w:t>
      </w:r>
      <w:r>
        <w:rPr>
          <w:rFonts w:ascii="宋体" w:hAnsi="宋体"/>
          <w:color w:val="auto"/>
          <w:sz w:val="22"/>
          <w:szCs w:val="22"/>
          <w:highlight w:val="none"/>
        </w:rPr>
        <w:t>、</w:t>
      </w:r>
      <w:r>
        <w:rPr>
          <w:rFonts w:hint="eastAsia" w:ascii="宋体" w:hAnsi="宋体"/>
          <w:color w:val="auto"/>
          <w:sz w:val="22"/>
          <w:szCs w:val="22"/>
          <w:highlight w:val="none"/>
        </w:rPr>
        <w:t>云主机数据盘、共享互联网出口带宽、云存储、云数据库、云负载均衡等。</w:t>
      </w:r>
    </w:p>
    <w:p w14:paraId="48A174B1">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、云应用服务：包括云管理服务、云备份、云网盘等。</w:t>
      </w:r>
    </w:p>
    <w:p w14:paraId="380B5DE3">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、云安全服务：包括统一基础云安全服务、共享云安全服务、自主云安全服务（独立虚拟设备）。</w:t>
      </w:r>
    </w:p>
    <w:p w14:paraId="08F5E842">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4、大数据服务：大数据计算服务、</w:t>
      </w:r>
      <w:r>
        <w:rPr>
          <w:rFonts w:ascii="宋体" w:hAnsi="宋体"/>
          <w:color w:val="auto"/>
          <w:sz w:val="22"/>
          <w:szCs w:val="22"/>
          <w:highlight w:val="none"/>
        </w:rPr>
        <w:t>数据治理服务、数据集成服务</w:t>
      </w:r>
      <w:r>
        <w:rPr>
          <w:rFonts w:hint="eastAsia" w:ascii="宋体" w:hAnsi="宋体"/>
          <w:color w:val="auto"/>
          <w:sz w:val="22"/>
          <w:szCs w:val="22"/>
          <w:highlight w:val="none"/>
        </w:rPr>
        <w:t>等。</w:t>
      </w:r>
    </w:p>
    <w:p w14:paraId="2E5003BE">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、云基础设施服务：包括</w:t>
      </w:r>
      <w:r>
        <w:rPr>
          <w:rFonts w:ascii="宋体" w:hAnsi="宋体"/>
          <w:color w:val="auto"/>
          <w:sz w:val="22"/>
          <w:szCs w:val="22"/>
          <w:highlight w:val="none"/>
        </w:rPr>
        <w:t>IDC</w:t>
      </w:r>
      <w:r>
        <w:rPr>
          <w:rFonts w:hint="eastAsia" w:ascii="宋体" w:hAnsi="宋体"/>
          <w:color w:val="auto"/>
          <w:sz w:val="22"/>
          <w:szCs w:val="22"/>
          <w:highlight w:val="none"/>
        </w:rPr>
        <w:t>托管服务。</w:t>
      </w:r>
      <w:r>
        <w:rPr>
          <w:rFonts w:ascii="宋体" w:hAnsi="宋体"/>
          <w:color w:val="auto"/>
          <w:sz w:val="22"/>
          <w:szCs w:val="22"/>
          <w:highlight w:val="none"/>
        </w:rPr>
        <w:t xml:space="preserve"> </w:t>
      </w:r>
    </w:p>
    <w:p w14:paraId="4A3DB7F2">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6、云管</w:t>
      </w:r>
      <w:r>
        <w:rPr>
          <w:rFonts w:ascii="宋体" w:hAnsi="宋体"/>
          <w:color w:val="auto"/>
          <w:sz w:val="22"/>
          <w:szCs w:val="22"/>
          <w:highlight w:val="none"/>
        </w:rPr>
        <w:t>系统：</w:t>
      </w:r>
      <w:r>
        <w:rPr>
          <w:rFonts w:hint="eastAsia" w:ascii="宋体" w:hAnsi="宋体"/>
          <w:color w:val="auto"/>
          <w:sz w:val="22"/>
          <w:szCs w:val="22"/>
          <w:highlight w:val="none"/>
        </w:rPr>
        <w:t>满足</w:t>
      </w:r>
      <w:r>
        <w:rPr>
          <w:rFonts w:ascii="宋体" w:hAnsi="宋体"/>
          <w:color w:val="auto"/>
          <w:sz w:val="22"/>
          <w:szCs w:val="22"/>
          <w:highlight w:val="none"/>
        </w:rPr>
        <w:t>租户对订购</w:t>
      </w:r>
      <w:r>
        <w:rPr>
          <w:rFonts w:hint="eastAsia" w:ascii="宋体" w:hAnsi="宋体"/>
          <w:color w:val="auto"/>
          <w:sz w:val="22"/>
          <w:szCs w:val="22"/>
          <w:highlight w:val="none"/>
        </w:rPr>
        <w:t>的云</w:t>
      </w:r>
      <w:r>
        <w:rPr>
          <w:rFonts w:ascii="宋体" w:hAnsi="宋体"/>
          <w:color w:val="auto"/>
          <w:sz w:val="22"/>
          <w:szCs w:val="22"/>
          <w:highlight w:val="none"/>
        </w:rPr>
        <w:t>资源清单、性能、运行状态查询导出功能</w:t>
      </w:r>
      <w:r>
        <w:rPr>
          <w:rFonts w:hint="eastAsia" w:ascii="宋体" w:hAnsi="宋体"/>
          <w:color w:val="auto"/>
          <w:sz w:val="22"/>
          <w:szCs w:val="22"/>
          <w:highlight w:val="none"/>
        </w:rPr>
        <w:t>，具备</w:t>
      </w:r>
      <w:r>
        <w:rPr>
          <w:rFonts w:ascii="宋体" w:hAnsi="宋体"/>
          <w:color w:val="auto"/>
          <w:sz w:val="22"/>
          <w:szCs w:val="22"/>
          <w:highlight w:val="none"/>
        </w:rPr>
        <w:t>与内跑平台资源开通流程进行对接。</w:t>
      </w:r>
    </w:p>
    <w:p w14:paraId="55ACC8A9">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7、异地备份：对</w:t>
      </w:r>
      <w:r>
        <w:rPr>
          <w:rFonts w:ascii="宋体" w:hAnsi="宋体"/>
          <w:color w:val="auto"/>
          <w:sz w:val="22"/>
          <w:szCs w:val="22"/>
          <w:highlight w:val="none"/>
        </w:rPr>
        <w:t>现有云资源和数据库</w:t>
      </w:r>
      <w:r>
        <w:rPr>
          <w:rFonts w:hint="eastAsia" w:ascii="宋体" w:hAnsi="宋体"/>
          <w:color w:val="auto"/>
          <w:sz w:val="22"/>
          <w:szCs w:val="22"/>
          <w:highlight w:val="none"/>
        </w:rPr>
        <w:t>重要数据进行异地备份。</w:t>
      </w:r>
    </w:p>
    <w:p w14:paraId="51349932">
      <w:pPr>
        <w:adjustRightInd w:val="0"/>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（二）服务交付期</w:t>
      </w:r>
    </w:p>
    <w:p w14:paraId="52D80015">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rPr>
        <w:t>▲本项目在收到成交通知书后</w:t>
      </w:r>
      <w:r>
        <w:rPr>
          <w:rFonts w:ascii="宋体" w:hAnsi="宋体"/>
          <w:color w:val="auto"/>
          <w:sz w:val="22"/>
          <w:szCs w:val="22"/>
          <w:highlight w:val="none"/>
          <w:u w:val="single"/>
        </w:rPr>
        <w:t>按各条实际需求审核完成后</w:t>
      </w:r>
      <w:r>
        <w:rPr>
          <w:rFonts w:hint="eastAsia" w:ascii="宋体" w:hAnsi="宋体"/>
          <w:color w:val="auto"/>
          <w:sz w:val="22"/>
          <w:szCs w:val="22"/>
          <w:highlight w:val="none"/>
          <w:u w:val="single"/>
        </w:rPr>
        <w:t>7</w:t>
      </w:r>
      <w:r>
        <w:rPr>
          <w:rFonts w:ascii="宋体" w:hAnsi="宋体"/>
          <w:color w:val="auto"/>
          <w:sz w:val="22"/>
          <w:szCs w:val="22"/>
          <w:highlight w:val="none"/>
          <w:u w:val="single"/>
        </w:rPr>
        <w:t>天</w:t>
      </w:r>
      <w:r>
        <w:rPr>
          <w:rFonts w:hint="eastAsia" w:ascii="宋体" w:hAnsi="宋体"/>
          <w:color w:val="auto"/>
          <w:sz w:val="22"/>
          <w:szCs w:val="22"/>
          <w:highlight w:val="none"/>
          <w:u w:val="single"/>
        </w:rPr>
        <w:t>内提供本地化的</w:t>
      </w:r>
      <w:r>
        <w:rPr>
          <w:rFonts w:ascii="宋体" w:hAnsi="宋体"/>
          <w:color w:val="auto"/>
          <w:sz w:val="22"/>
          <w:szCs w:val="22"/>
          <w:highlight w:val="none"/>
          <w:u w:val="single"/>
        </w:rPr>
        <w:t>高性能云主机、</w:t>
      </w:r>
      <w:r>
        <w:rPr>
          <w:rFonts w:hint="eastAsia" w:ascii="宋体" w:hAnsi="宋体"/>
          <w:color w:val="auto"/>
          <w:sz w:val="22"/>
          <w:szCs w:val="22"/>
          <w:highlight w:val="none"/>
          <w:u w:val="single"/>
        </w:rPr>
        <w:t>云主机、云存储、云负载均衡、云数据库、互联网出口、政务外网互联链路等服务。</w:t>
      </w:r>
      <w:r>
        <w:rPr>
          <w:rFonts w:hint="eastAsia" w:ascii="宋体" w:hAnsi="宋体"/>
          <w:color w:val="auto"/>
          <w:sz w:val="22"/>
          <w:szCs w:val="22"/>
          <w:highlight w:val="none"/>
        </w:rPr>
        <w:t>如若未按规定执行，采购人上报采购监管部门后有权取消其中标资格，并重新组织招标或将合同授予第二候选人。</w:t>
      </w:r>
    </w:p>
    <w:p w14:paraId="25BA70B9">
      <w:pPr>
        <w:adjustRightInd w:val="0"/>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（三）云服务基本要求</w:t>
      </w:r>
    </w:p>
    <w:p w14:paraId="39813737">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投标供应商提供的云服务需要满足以下基本条件：</w:t>
      </w:r>
    </w:p>
    <w:p w14:paraId="5C95A574">
      <w:pPr>
        <w:snapToGrid w:val="0"/>
        <w:spacing w:line="40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（1）</w:t>
      </w:r>
      <w:r>
        <w:rPr>
          <w:rFonts w:hint="eastAsia" w:ascii="宋体" w:hAnsi="宋体"/>
          <w:b/>
          <w:color w:val="auto"/>
          <w:sz w:val="22"/>
          <w:szCs w:val="22"/>
          <w:highlight w:val="none"/>
        </w:rPr>
        <w:t>政务专用要求</w:t>
      </w:r>
    </w:p>
    <w:p w14:paraId="02CA2806">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要求提供的云平台为洞头区政务外网用户专用，</w:t>
      </w:r>
      <w:r>
        <w:rPr>
          <w:rFonts w:hint="eastAsia" w:ascii="宋体" w:hAnsi="宋体" w:cs="宋体"/>
          <w:bCs/>
          <w:color w:val="auto"/>
          <w:kern w:val="0"/>
          <w:sz w:val="22"/>
          <w:szCs w:val="22"/>
          <w:highlight w:val="none"/>
        </w:rPr>
        <w:t>洞头区各级党政机关、事业单位</w:t>
      </w:r>
      <w:r>
        <w:rPr>
          <w:rFonts w:hint="eastAsia" w:ascii="宋体" w:hAnsi="宋体"/>
          <w:color w:val="auto"/>
          <w:sz w:val="22"/>
          <w:szCs w:val="22"/>
          <w:highlight w:val="none"/>
        </w:rPr>
        <w:t>申请使用政务云服务的应由采购方或采购方指定的部门统一受理、审核。未经采购方或采购方指定的部门审核同意，云服务提供商不得擅自对外提供或开放任何政务云服务。</w:t>
      </w:r>
    </w:p>
    <w:p w14:paraId="107BDF66">
      <w:pPr>
        <w:snapToGrid w:val="0"/>
        <w:spacing w:line="40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（2）</w:t>
      </w:r>
      <w:r>
        <w:rPr>
          <w:rFonts w:hint="eastAsia" w:ascii="宋体" w:hAnsi="宋体"/>
          <w:b/>
          <w:color w:val="auto"/>
          <w:sz w:val="22"/>
          <w:szCs w:val="22"/>
          <w:highlight w:val="none"/>
        </w:rPr>
        <w:t>机房地点要求</w:t>
      </w:r>
    </w:p>
    <w:p w14:paraId="2CC5E86B">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要求提供云服务的机房地点必须在温州市范围内。</w:t>
      </w:r>
    </w:p>
    <w:p w14:paraId="13BD9738">
      <w:pPr>
        <w:snapToGrid w:val="0"/>
        <w:spacing w:line="40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（3）</w:t>
      </w:r>
      <w:r>
        <w:rPr>
          <w:rFonts w:hint="eastAsia" w:ascii="宋体" w:hAnsi="宋体"/>
          <w:b/>
          <w:color w:val="auto"/>
          <w:sz w:val="22"/>
          <w:szCs w:val="22"/>
          <w:highlight w:val="none"/>
        </w:rPr>
        <w:t>政务云平台的带宽基本要求</w:t>
      </w:r>
    </w:p>
    <w:p w14:paraId="002D429D">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要求提供的政务云平台与市本级以及12个区县政务外网的专用互联光纤带宽不小于1G</w:t>
      </w:r>
      <w:r>
        <w:rPr>
          <w:rFonts w:hint="eastAsia" w:ascii="宋体" w:hAnsi="宋体" w:cs="宋体"/>
          <w:bCs/>
          <w:color w:val="auto"/>
          <w:kern w:val="0"/>
          <w:sz w:val="22"/>
          <w:szCs w:val="22"/>
          <w:highlight w:val="none"/>
        </w:rPr>
        <w:t>，</w:t>
      </w:r>
      <w:r>
        <w:rPr>
          <w:rFonts w:hint="eastAsia" w:ascii="宋体" w:hAnsi="宋体"/>
          <w:color w:val="auto"/>
          <w:sz w:val="22"/>
          <w:szCs w:val="22"/>
          <w:highlight w:val="none"/>
        </w:rPr>
        <w:t>以满足网络互访的要求，并提供高可靠的双物理路由保护措施。</w:t>
      </w:r>
    </w:p>
    <w:p w14:paraId="55B1EBC9">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要求提供的政务云平台和互联网独享出口总带宽不少于</w:t>
      </w:r>
      <w:r>
        <w:rPr>
          <w:rFonts w:ascii="宋体" w:hAnsi="宋体"/>
          <w:color w:val="auto"/>
          <w:sz w:val="22"/>
          <w:szCs w:val="22"/>
          <w:highlight w:val="none"/>
        </w:rPr>
        <w:t>2G</w:t>
      </w:r>
      <w:r>
        <w:rPr>
          <w:rFonts w:hint="eastAsia" w:ascii="宋体" w:hAnsi="宋体"/>
          <w:color w:val="auto"/>
          <w:sz w:val="22"/>
          <w:szCs w:val="22"/>
          <w:highlight w:val="none"/>
        </w:rPr>
        <w:t>，可扩充到</w:t>
      </w:r>
      <w:r>
        <w:rPr>
          <w:rFonts w:ascii="宋体" w:hAnsi="宋体"/>
          <w:color w:val="auto"/>
          <w:sz w:val="22"/>
          <w:szCs w:val="22"/>
          <w:highlight w:val="none"/>
        </w:rPr>
        <w:t>20G</w:t>
      </w:r>
      <w:r>
        <w:rPr>
          <w:rFonts w:hint="eastAsia" w:ascii="宋体" w:hAnsi="宋体"/>
          <w:color w:val="auto"/>
          <w:sz w:val="22"/>
          <w:szCs w:val="22"/>
          <w:highlight w:val="none"/>
        </w:rPr>
        <w:t>。</w:t>
      </w:r>
    </w:p>
    <w:p w14:paraId="18948F66">
      <w:pPr>
        <w:snapToGrid w:val="0"/>
        <w:spacing w:line="40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（4）</w:t>
      </w:r>
      <w:r>
        <w:rPr>
          <w:rFonts w:hint="eastAsia" w:ascii="宋体" w:hAnsi="宋体"/>
          <w:b/>
          <w:color w:val="auto"/>
          <w:sz w:val="22"/>
          <w:szCs w:val="22"/>
          <w:highlight w:val="none"/>
        </w:rPr>
        <w:t>服务区域划分要求</w:t>
      </w:r>
    </w:p>
    <w:p w14:paraId="03B80507">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本次采购要求提供包括政务云政务外网资源共享专网、政务外网公共服务专网等不同网络环境，同时提供满足对不同安全级别、不同业务及不同业务专网的需要，并提供应用测试区域等环境。支持虚拟专有域功能（</w:t>
      </w:r>
      <w:r>
        <w:rPr>
          <w:rFonts w:ascii="宋体" w:hAnsi="宋体"/>
          <w:color w:val="auto"/>
          <w:sz w:val="22"/>
          <w:szCs w:val="22"/>
          <w:highlight w:val="none"/>
        </w:rPr>
        <w:t>VPC）</w:t>
      </w:r>
      <w:r>
        <w:rPr>
          <w:rFonts w:hint="eastAsia" w:ascii="宋体" w:hAnsi="宋体"/>
          <w:color w:val="auto"/>
          <w:sz w:val="22"/>
          <w:szCs w:val="22"/>
          <w:highlight w:val="none"/>
        </w:rPr>
        <w:t>，</w:t>
      </w:r>
      <w:r>
        <w:rPr>
          <w:rFonts w:ascii="宋体" w:hAnsi="宋体"/>
          <w:color w:val="auto"/>
          <w:sz w:val="22"/>
          <w:szCs w:val="22"/>
          <w:highlight w:val="none"/>
        </w:rPr>
        <w:t>能够划分隔离的区域为特定的用户提供云服务，区域内的资源与别的用户完全隔离，完全为该用户使用。各局办可通过专线方式接入私有云平台，实现与原有业务专网互通，IP地址自定义划分，与云上其他局办业务隔离。</w:t>
      </w:r>
    </w:p>
    <w:p w14:paraId="6342AB9B">
      <w:pPr>
        <w:snapToGrid w:val="0"/>
        <w:spacing w:line="40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（5）</w:t>
      </w:r>
      <w:r>
        <w:rPr>
          <w:rFonts w:hint="eastAsia" w:ascii="宋体" w:hAnsi="宋体"/>
          <w:b/>
          <w:color w:val="auto"/>
          <w:sz w:val="22"/>
          <w:szCs w:val="22"/>
          <w:highlight w:val="none"/>
        </w:rPr>
        <w:t>安全等级要求</w:t>
      </w:r>
    </w:p>
    <w:p w14:paraId="2C36567F">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要求对于核心业务应能实现应用级容灾保护，非关键性业务实现数据级容灾保护。</w:t>
      </w:r>
    </w:p>
    <w:p w14:paraId="09DFF95D">
      <w:pPr>
        <w:snapToGrid w:val="0"/>
        <w:spacing w:line="40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（6）</w:t>
      </w:r>
      <w:r>
        <w:rPr>
          <w:rFonts w:hint="eastAsia" w:ascii="宋体" w:hAnsi="宋体"/>
          <w:b/>
          <w:color w:val="auto"/>
          <w:sz w:val="22"/>
          <w:szCs w:val="22"/>
          <w:highlight w:val="none"/>
        </w:rPr>
        <w:t>服务支撑要求</w:t>
      </w:r>
    </w:p>
    <w:p w14:paraId="317DD88E">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为保证政务云稳定可靠运行，供应商须提供且不低于下列服务支撑要求：</w:t>
      </w:r>
    </w:p>
    <w:p w14:paraId="264A4E3C">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、要求本期至少</w:t>
      </w:r>
      <w:r>
        <w:rPr>
          <w:rFonts w:ascii="宋体" w:hAnsi="宋体"/>
          <w:color w:val="auto"/>
          <w:sz w:val="22"/>
          <w:szCs w:val="22"/>
          <w:highlight w:val="none"/>
        </w:rPr>
        <w:t>4</w:t>
      </w:r>
      <w:r>
        <w:rPr>
          <w:rFonts w:hint="eastAsia" w:ascii="宋体" w:hAnsi="宋体"/>
          <w:color w:val="auto"/>
          <w:sz w:val="22"/>
          <w:szCs w:val="22"/>
          <w:highlight w:val="none"/>
        </w:rPr>
        <w:t>人次常驻机房服务，提供</w:t>
      </w:r>
      <w:r>
        <w:rPr>
          <w:rFonts w:ascii="宋体" w:hAnsi="宋体"/>
          <w:color w:val="auto"/>
          <w:sz w:val="22"/>
          <w:szCs w:val="22"/>
          <w:highlight w:val="none"/>
        </w:rPr>
        <w:t>7*24</w:t>
      </w:r>
      <w:r>
        <w:rPr>
          <w:rFonts w:hint="eastAsia" w:ascii="宋体" w:hAnsi="宋体"/>
          <w:color w:val="auto"/>
          <w:sz w:val="22"/>
          <w:szCs w:val="22"/>
          <w:highlight w:val="none"/>
        </w:rPr>
        <w:t>小时运行值班监控服务；同时要求</w:t>
      </w:r>
      <w:r>
        <w:rPr>
          <w:rFonts w:ascii="宋体" w:hAnsi="宋体"/>
          <w:color w:val="auto"/>
          <w:sz w:val="22"/>
          <w:szCs w:val="22"/>
          <w:highlight w:val="none"/>
        </w:rPr>
        <w:t>指定</w:t>
      </w:r>
      <w:r>
        <w:rPr>
          <w:rFonts w:hint="eastAsia" w:ascii="宋体" w:hAnsi="宋体"/>
          <w:color w:val="auto"/>
          <w:sz w:val="22"/>
          <w:szCs w:val="22"/>
          <w:highlight w:val="none"/>
        </w:rPr>
        <w:t>一名</w:t>
      </w:r>
      <w:r>
        <w:rPr>
          <w:rFonts w:ascii="宋体" w:hAnsi="宋体"/>
          <w:color w:val="auto"/>
          <w:sz w:val="22"/>
          <w:szCs w:val="22"/>
          <w:highlight w:val="none"/>
        </w:rPr>
        <w:t>专职人员</w:t>
      </w:r>
      <w:r>
        <w:rPr>
          <w:rFonts w:hint="eastAsia" w:ascii="宋体" w:hAnsi="宋体"/>
          <w:color w:val="auto"/>
          <w:sz w:val="22"/>
          <w:szCs w:val="22"/>
          <w:highlight w:val="none"/>
        </w:rPr>
        <w:t>负责协调处理各类有关业务</w:t>
      </w:r>
      <w:r>
        <w:rPr>
          <w:rFonts w:ascii="宋体" w:hAnsi="宋体"/>
          <w:color w:val="auto"/>
          <w:sz w:val="22"/>
          <w:szCs w:val="22"/>
          <w:highlight w:val="none"/>
        </w:rPr>
        <w:t>，并配备服务终端两台</w:t>
      </w:r>
      <w:r>
        <w:rPr>
          <w:rFonts w:hint="eastAsia" w:ascii="宋体" w:hAnsi="宋体"/>
          <w:color w:val="auto"/>
          <w:sz w:val="22"/>
          <w:szCs w:val="22"/>
          <w:highlight w:val="none"/>
        </w:rPr>
        <w:t>。相关人员必须具备</w:t>
      </w:r>
      <w:r>
        <w:rPr>
          <w:rFonts w:ascii="宋体" w:hAnsi="宋体"/>
          <w:color w:val="auto"/>
          <w:sz w:val="22"/>
          <w:szCs w:val="22"/>
          <w:highlight w:val="none"/>
        </w:rPr>
        <w:t>2</w:t>
      </w:r>
      <w:r>
        <w:rPr>
          <w:rFonts w:hint="eastAsia" w:ascii="宋体" w:hAnsi="宋体"/>
          <w:color w:val="auto"/>
          <w:sz w:val="22"/>
          <w:szCs w:val="22"/>
          <w:highlight w:val="none"/>
        </w:rPr>
        <w:t>年以上网络及云平台维护经验，并需提供相关资质证明，相关人员资质及技术能力须由采购方认可。</w:t>
      </w:r>
    </w:p>
    <w:p w14:paraId="6AFF91F8">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、要求组建本地专业政务云维护团队，人员组成必须包含网络、数据库、信息安全、</w:t>
      </w:r>
      <w:r>
        <w:rPr>
          <w:rFonts w:ascii="宋体" w:hAnsi="宋体"/>
          <w:color w:val="auto"/>
          <w:sz w:val="22"/>
          <w:szCs w:val="22"/>
          <w:highlight w:val="none"/>
        </w:rPr>
        <w:t>IT</w:t>
      </w:r>
      <w:r>
        <w:rPr>
          <w:rFonts w:hint="eastAsia" w:ascii="宋体" w:hAnsi="宋体"/>
          <w:color w:val="auto"/>
          <w:sz w:val="22"/>
          <w:szCs w:val="22"/>
          <w:highlight w:val="none"/>
        </w:rPr>
        <w:t>管理等领域专业人员组成，并需提供人员相关资质证明，相关人员资质及技术能力须由采购方认可。</w:t>
      </w:r>
    </w:p>
    <w:p w14:paraId="740240F8">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、要求定期举办现场或网络视频培训，免费提供仿真的开发与测试环境，供各级部门应用系统上线前的开发与测试，测试时间内不得收费。</w:t>
      </w:r>
    </w:p>
    <w:p w14:paraId="61590C24">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要求对应用系统上线、迁移、测试进行规划、设计，协助采购方制定建设方案，协助采购方完成相应应用系统的功能、性能、安全等测试，测试未通过严禁系统上线。免费协助采购方进行新开发应用系统部署，并协助完成相关原有应用系统迁移到政务云平台。</w:t>
      </w:r>
    </w:p>
    <w:p w14:paraId="444A67EB">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要求交付云服务时提供详细的云服务租用清单，并定期（一般按月）提供云服务使用量报表和政务云平台运维日志（包含各类云服务总体的运维工作日志，云安全服务的管理、升级与配置记录，以及采购人认为需要掌握的其他信息）。</w:t>
      </w:r>
    </w:p>
    <w:p w14:paraId="3FB5FE55">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6、要求云</w:t>
      </w:r>
      <w:r>
        <w:rPr>
          <w:rFonts w:ascii="宋体" w:hAnsi="宋体"/>
          <w:color w:val="auto"/>
          <w:sz w:val="22"/>
          <w:szCs w:val="22"/>
          <w:highlight w:val="none"/>
        </w:rPr>
        <w:t>服务商协助</w:t>
      </w:r>
      <w:r>
        <w:rPr>
          <w:rFonts w:hint="eastAsia" w:ascii="宋体" w:hAnsi="宋体"/>
          <w:color w:val="auto"/>
          <w:sz w:val="22"/>
          <w:szCs w:val="22"/>
          <w:highlight w:val="none"/>
        </w:rPr>
        <w:t>局办</w:t>
      </w:r>
      <w:r>
        <w:rPr>
          <w:rFonts w:ascii="宋体" w:hAnsi="宋体"/>
          <w:color w:val="auto"/>
          <w:sz w:val="22"/>
          <w:szCs w:val="22"/>
          <w:highlight w:val="none"/>
        </w:rPr>
        <w:t>单位开展每年不少于</w:t>
      </w:r>
      <w:r>
        <w:rPr>
          <w:rFonts w:hint="eastAsia" w:ascii="宋体" w:hAnsi="宋体"/>
          <w:color w:val="auto"/>
          <w:sz w:val="22"/>
          <w:szCs w:val="22"/>
          <w:highlight w:val="none"/>
        </w:rPr>
        <w:t>1次</w:t>
      </w:r>
      <w:r>
        <w:rPr>
          <w:rFonts w:ascii="宋体" w:hAnsi="宋体"/>
          <w:color w:val="auto"/>
          <w:sz w:val="22"/>
          <w:szCs w:val="22"/>
          <w:highlight w:val="none"/>
        </w:rPr>
        <w:t>的</w:t>
      </w:r>
      <w:r>
        <w:rPr>
          <w:rFonts w:hint="eastAsia" w:ascii="宋体" w:hAnsi="宋体"/>
          <w:color w:val="auto"/>
          <w:sz w:val="22"/>
          <w:szCs w:val="22"/>
          <w:highlight w:val="none"/>
        </w:rPr>
        <w:t>云</w:t>
      </w:r>
      <w:r>
        <w:rPr>
          <w:rFonts w:ascii="宋体" w:hAnsi="宋体"/>
          <w:color w:val="auto"/>
          <w:sz w:val="22"/>
          <w:szCs w:val="22"/>
          <w:highlight w:val="none"/>
        </w:rPr>
        <w:t>平台应急演练</w:t>
      </w:r>
      <w:r>
        <w:rPr>
          <w:rFonts w:hint="eastAsia" w:ascii="宋体" w:hAnsi="宋体"/>
          <w:color w:val="auto"/>
          <w:sz w:val="22"/>
          <w:szCs w:val="22"/>
          <w:highlight w:val="none"/>
        </w:rPr>
        <w:t>；每月</w:t>
      </w:r>
      <w:r>
        <w:rPr>
          <w:rFonts w:ascii="宋体" w:hAnsi="宋体"/>
          <w:color w:val="auto"/>
          <w:sz w:val="22"/>
          <w:szCs w:val="22"/>
          <w:highlight w:val="none"/>
        </w:rPr>
        <w:t>对</w:t>
      </w:r>
      <w:r>
        <w:rPr>
          <w:rFonts w:hint="eastAsia" w:ascii="宋体" w:hAnsi="宋体"/>
          <w:color w:val="auto"/>
          <w:sz w:val="22"/>
          <w:szCs w:val="22"/>
          <w:highlight w:val="none"/>
        </w:rPr>
        <w:t>云</w:t>
      </w:r>
      <w:r>
        <w:rPr>
          <w:rFonts w:ascii="宋体" w:hAnsi="宋体"/>
          <w:color w:val="auto"/>
          <w:sz w:val="22"/>
          <w:szCs w:val="22"/>
          <w:highlight w:val="none"/>
        </w:rPr>
        <w:t>上政务系统</w:t>
      </w:r>
      <w:r>
        <w:rPr>
          <w:rFonts w:hint="eastAsia" w:ascii="宋体" w:hAnsi="宋体"/>
          <w:color w:val="auto"/>
          <w:sz w:val="22"/>
          <w:szCs w:val="22"/>
          <w:highlight w:val="none"/>
        </w:rPr>
        <w:t>开展</w:t>
      </w:r>
      <w:r>
        <w:rPr>
          <w:rFonts w:ascii="宋体" w:hAnsi="宋体"/>
          <w:color w:val="auto"/>
          <w:sz w:val="22"/>
          <w:szCs w:val="22"/>
          <w:highlight w:val="none"/>
        </w:rPr>
        <w:t>安全漏洞扫描工作，并出具相关报告</w:t>
      </w:r>
      <w:r>
        <w:rPr>
          <w:rFonts w:hint="eastAsia" w:ascii="宋体" w:hAnsi="宋体"/>
          <w:color w:val="auto"/>
          <w:sz w:val="22"/>
          <w:szCs w:val="22"/>
          <w:highlight w:val="none"/>
        </w:rPr>
        <w:t>；积极配合测评</w:t>
      </w:r>
      <w:r>
        <w:rPr>
          <w:rFonts w:ascii="宋体" w:hAnsi="宋体"/>
          <w:color w:val="auto"/>
          <w:sz w:val="22"/>
          <w:szCs w:val="22"/>
          <w:highlight w:val="none"/>
        </w:rPr>
        <w:t>公司</w:t>
      </w:r>
      <w:r>
        <w:rPr>
          <w:rFonts w:hint="eastAsia" w:ascii="宋体" w:hAnsi="宋体"/>
          <w:color w:val="auto"/>
          <w:sz w:val="22"/>
          <w:szCs w:val="22"/>
          <w:highlight w:val="none"/>
        </w:rPr>
        <w:t>落实租户</w:t>
      </w:r>
      <w:r>
        <w:rPr>
          <w:rFonts w:ascii="宋体" w:hAnsi="宋体"/>
          <w:color w:val="auto"/>
          <w:sz w:val="22"/>
          <w:szCs w:val="22"/>
          <w:highlight w:val="none"/>
        </w:rPr>
        <w:t>业务系统等保测评</w:t>
      </w:r>
      <w:r>
        <w:rPr>
          <w:rFonts w:hint="eastAsia" w:ascii="宋体" w:hAnsi="宋体"/>
          <w:color w:val="auto"/>
          <w:sz w:val="22"/>
          <w:szCs w:val="22"/>
          <w:highlight w:val="none"/>
        </w:rPr>
        <w:t>工作</w:t>
      </w:r>
      <w:r>
        <w:rPr>
          <w:rFonts w:ascii="宋体" w:hAnsi="宋体"/>
          <w:color w:val="auto"/>
          <w:sz w:val="22"/>
          <w:szCs w:val="22"/>
          <w:highlight w:val="none"/>
        </w:rPr>
        <w:t>。</w:t>
      </w:r>
      <w:r>
        <w:rPr>
          <w:rFonts w:hint="eastAsia" w:ascii="宋体" w:hAnsi="宋体"/>
          <w:color w:val="auto"/>
          <w:sz w:val="22"/>
          <w:szCs w:val="22"/>
          <w:highlight w:val="none"/>
        </w:rPr>
        <w:t>对上云</w:t>
      </w:r>
      <w:r>
        <w:rPr>
          <w:rFonts w:ascii="宋体" w:hAnsi="宋体"/>
          <w:color w:val="auto"/>
          <w:sz w:val="22"/>
          <w:szCs w:val="22"/>
          <w:highlight w:val="none"/>
        </w:rPr>
        <w:t>的政务系统要求</w:t>
      </w:r>
      <w:r>
        <w:rPr>
          <w:rFonts w:hint="eastAsia" w:ascii="宋体" w:hAnsi="宋体"/>
          <w:color w:val="auto"/>
          <w:sz w:val="22"/>
          <w:szCs w:val="22"/>
          <w:highlight w:val="none"/>
        </w:rPr>
        <w:t>定制</w:t>
      </w:r>
      <w:r>
        <w:rPr>
          <w:rFonts w:ascii="宋体" w:hAnsi="宋体"/>
          <w:color w:val="auto"/>
          <w:sz w:val="22"/>
          <w:szCs w:val="22"/>
          <w:highlight w:val="none"/>
        </w:rPr>
        <w:t>快照备份策略</w:t>
      </w:r>
      <w:r>
        <w:rPr>
          <w:rFonts w:hint="eastAsia" w:ascii="宋体" w:hAnsi="宋体"/>
          <w:color w:val="auto"/>
          <w:sz w:val="22"/>
          <w:szCs w:val="22"/>
          <w:highlight w:val="none"/>
        </w:rPr>
        <w:t>，</w:t>
      </w:r>
      <w:r>
        <w:rPr>
          <w:rFonts w:ascii="宋体" w:hAnsi="宋体"/>
          <w:color w:val="auto"/>
          <w:sz w:val="22"/>
          <w:szCs w:val="22"/>
          <w:highlight w:val="none"/>
        </w:rPr>
        <w:t>做好数据备份</w:t>
      </w:r>
      <w:r>
        <w:rPr>
          <w:rFonts w:hint="eastAsia" w:ascii="宋体" w:hAnsi="宋体"/>
          <w:color w:val="auto"/>
          <w:sz w:val="22"/>
          <w:szCs w:val="22"/>
          <w:highlight w:val="none"/>
        </w:rPr>
        <w:t>。</w:t>
      </w:r>
    </w:p>
    <w:p w14:paraId="0A12A295">
      <w:pPr>
        <w:snapToGrid w:val="0"/>
        <w:spacing w:line="40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（7）</w:t>
      </w:r>
      <w:r>
        <w:rPr>
          <w:rFonts w:ascii="宋体" w:hAnsi="宋体"/>
          <w:b/>
          <w:color w:val="auto"/>
          <w:sz w:val="22"/>
          <w:szCs w:val="22"/>
          <w:highlight w:val="none"/>
        </w:rPr>
        <w:t>安全要求</w:t>
      </w:r>
    </w:p>
    <w:p w14:paraId="5D2E6E7C">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要求云服务商保证政务云平台的整体安全，如果云平台出现安全问题，由云服务商承担相应的安全责任。</w:t>
      </w:r>
    </w:p>
    <w:p w14:paraId="5A18568C">
      <w:pPr>
        <w:snapToGrid w:val="0"/>
        <w:spacing w:line="400" w:lineRule="atLeast"/>
        <w:rPr>
          <w:rFonts w:ascii="宋体" w:hAnsi="宋体"/>
          <w:b/>
          <w:color w:val="auto"/>
          <w:sz w:val="22"/>
          <w:szCs w:val="22"/>
          <w:highlight w:val="none"/>
        </w:rPr>
      </w:pPr>
      <w:r>
        <w:rPr>
          <w:rFonts w:hint="eastAsia" w:ascii="宋体" w:hAnsi="宋体"/>
          <w:b/>
          <w:color w:val="auto"/>
          <w:sz w:val="22"/>
          <w:szCs w:val="22"/>
          <w:highlight w:val="none"/>
        </w:rPr>
        <w:t>（四）政务云平台要求</w:t>
      </w:r>
    </w:p>
    <w:p w14:paraId="65FD50B9">
      <w:pPr>
        <w:snapToGrid w:val="0"/>
        <w:spacing w:line="400" w:lineRule="atLeast"/>
        <w:ind w:left="420"/>
        <w:rPr>
          <w:rFonts w:ascii="宋体" w:hAnsi="宋体"/>
          <w:b/>
          <w:color w:val="auto"/>
          <w:sz w:val="22"/>
          <w:szCs w:val="22"/>
          <w:highlight w:val="none"/>
        </w:rPr>
      </w:pPr>
      <w:r>
        <w:rPr>
          <w:rFonts w:hint="eastAsia" w:ascii="宋体" w:hAnsi="宋体"/>
          <w:b/>
          <w:color w:val="auto"/>
          <w:sz w:val="22"/>
          <w:szCs w:val="22"/>
          <w:highlight w:val="none"/>
        </w:rPr>
        <w:t>（1）</w:t>
      </w:r>
      <w:r>
        <w:rPr>
          <w:rFonts w:ascii="宋体" w:hAnsi="宋体"/>
          <w:b/>
          <w:color w:val="auto"/>
          <w:sz w:val="22"/>
          <w:szCs w:val="22"/>
          <w:highlight w:val="none"/>
        </w:rPr>
        <w:t>云平台机房环境及相关物理硬件要求</w:t>
      </w:r>
    </w:p>
    <w:p w14:paraId="3C0EFD55">
      <w:pPr>
        <w:snapToGrid w:val="0"/>
        <w:spacing w:line="400" w:lineRule="atLeast"/>
        <w:ind w:left="420"/>
        <w:rPr>
          <w:rFonts w:ascii="宋体" w:hAnsi="宋体"/>
          <w:color w:val="auto"/>
          <w:sz w:val="22"/>
          <w:szCs w:val="22"/>
          <w:highlight w:val="none"/>
        </w:rPr>
      </w:pPr>
      <w:r>
        <w:rPr>
          <w:rFonts w:hint="eastAsia" w:ascii="宋体" w:hAnsi="宋体"/>
          <w:color w:val="auto"/>
          <w:sz w:val="22"/>
          <w:szCs w:val="22"/>
          <w:highlight w:val="none"/>
        </w:rPr>
        <w:t>1、云平台数据中心机房标准要求</w:t>
      </w:r>
    </w:p>
    <w:p w14:paraId="30B970EC">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要求机房符合国际标准的数据中心机房，能够稳定的</w:t>
      </w:r>
      <w:r>
        <w:rPr>
          <w:rFonts w:ascii="宋体" w:hAnsi="宋体"/>
          <w:color w:val="auto"/>
          <w:sz w:val="22"/>
          <w:szCs w:val="22"/>
          <w:highlight w:val="none"/>
        </w:rPr>
        <w:t>365</w:t>
      </w:r>
      <w:r>
        <w:rPr>
          <w:rFonts w:hint="eastAsia" w:ascii="宋体" w:hAnsi="宋体"/>
          <w:color w:val="auto"/>
          <w:sz w:val="22"/>
          <w:szCs w:val="22"/>
          <w:highlight w:val="none"/>
        </w:rPr>
        <w:t>天全天候的提供优质的电力、空调、消防、监控、机架、空气清风系统等服务，保证</w:t>
      </w:r>
      <w:r>
        <w:rPr>
          <w:rFonts w:ascii="宋体" w:hAnsi="宋体"/>
          <w:color w:val="auto"/>
          <w:sz w:val="22"/>
          <w:szCs w:val="22"/>
          <w:highlight w:val="none"/>
        </w:rPr>
        <w:t>7*24</w:t>
      </w:r>
      <w:r>
        <w:rPr>
          <w:rFonts w:hint="eastAsia" w:ascii="宋体" w:hAnsi="宋体"/>
          <w:color w:val="auto"/>
          <w:sz w:val="22"/>
          <w:szCs w:val="22"/>
          <w:highlight w:val="none"/>
        </w:rPr>
        <w:t>小时电力供应，供电保障系统需配置保障油机</w:t>
      </w:r>
      <w:r>
        <w:rPr>
          <w:rFonts w:ascii="宋体" w:hAnsi="宋体"/>
          <w:color w:val="auto"/>
          <w:sz w:val="22"/>
          <w:szCs w:val="22"/>
          <w:highlight w:val="none"/>
        </w:rPr>
        <w:t>1500KWA</w:t>
      </w:r>
      <w:r>
        <w:rPr>
          <w:rFonts w:hint="eastAsia" w:ascii="宋体" w:hAnsi="宋体"/>
          <w:color w:val="auto"/>
          <w:sz w:val="22"/>
          <w:szCs w:val="22"/>
          <w:highlight w:val="none"/>
        </w:rPr>
        <w:t>或更高的规格，并实现油机</w:t>
      </w:r>
      <w:r>
        <w:rPr>
          <w:rFonts w:ascii="宋体" w:hAnsi="宋体"/>
          <w:color w:val="auto"/>
          <w:sz w:val="22"/>
          <w:szCs w:val="22"/>
          <w:highlight w:val="none"/>
        </w:rPr>
        <w:t>1+1</w:t>
      </w:r>
      <w:r>
        <w:rPr>
          <w:rFonts w:hint="eastAsia" w:ascii="宋体" w:hAnsi="宋体"/>
          <w:color w:val="auto"/>
          <w:sz w:val="22"/>
          <w:szCs w:val="22"/>
          <w:highlight w:val="none"/>
        </w:rPr>
        <w:t>备份、不间断电源系统需配置</w:t>
      </w:r>
      <w:r>
        <w:rPr>
          <w:rFonts w:ascii="宋体" w:hAnsi="宋体"/>
          <w:color w:val="auto"/>
          <w:sz w:val="22"/>
          <w:szCs w:val="22"/>
          <w:highlight w:val="none"/>
        </w:rPr>
        <w:t>400KVA</w:t>
      </w:r>
      <w:r>
        <w:rPr>
          <w:rFonts w:hint="eastAsia" w:ascii="宋体" w:hAnsi="宋体"/>
          <w:color w:val="auto"/>
          <w:sz w:val="22"/>
          <w:szCs w:val="22"/>
          <w:highlight w:val="none"/>
        </w:rPr>
        <w:t>（</w:t>
      </w:r>
      <w:r>
        <w:rPr>
          <w:rFonts w:ascii="宋体" w:hAnsi="宋体"/>
          <w:color w:val="auto"/>
          <w:sz w:val="22"/>
          <w:szCs w:val="22"/>
          <w:highlight w:val="none"/>
        </w:rPr>
        <w:t>1+1</w:t>
      </w:r>
      <w:r>
        <w:rPr>
          <w:rFonts w:hint="eastAsia" w:ascii="宋体" w:hAnsi="宋体"/>
          <w:color w:val="auto"/>
          <w:sz w:val="22"/>
          <w:szCs w:val="22"/>
          <w:highlight w:val="none"/>
        </w:rPr>
        <w:t>）或更高的</w:t>
      </w:r>
      <w:r>
        <w:rPr>
          <w:rFonts w:ascii="宋体" w:hAnsi="宋体"/>
          <w:color w:val="auto"/>
          <w:sz w:val="22"/>
          <w:szCs w:val="22"/>
          <w:highlight w:val="none"/>
        </w:rPr>
        <w:t>UPS</w:t>
      </w:r>
      <w:r>
        <w:rPr>
          <w:rFonts w:hint="eastAsia" w:ascii="宋体" w:hAnsi="宋体"/>
          <w:color w:val="auto"/>
          <w:sz w:val="22"/>
          <w:szCs w:val="22"/>
          <w:highlight w:val="none"/>
        </w:rPr>
        <w:t>规格，机房基础安全设施需配置管网式气体消防、早期烟雾告警、门禁系统等系统。</w:t>
      </w:r>
    </w:p>
    <w:p w14:paraId="3BC75337">
      <w:pPr>
        <w:snapToGrid w:val="0"/>
        <w:spacing w:line="400" w:lineRule="atLeast"/>
        <w:ind w:left="420"/>
        <w:rPr>
          <w:rFonts w:ascii="宋体" w:hAnsi="宋体"/>
          <w:color w:val="auto"/>
          <w:sz w:val="22"/>
          <w:szCs w:val="22"/>
          <w:highlight w:val="none"/>
        </w:rPr>
      </w:pPr>
      <w:r>
        <w:rPr>
          <w:rFonts w:hint="eastAsia" w:ascii="宋体" w:hAnsi="宋体"/>
          <w:color w:val="auto"/>
          <w:sz w:val="22"/>
          <w:szCs w:val="22"/>
          <w:highlight w:val="none"/>
        </w:rPr>
        <w:t>2、物理服务器要求</w:t>
      </w:r>
    </w:p>
    <w:p w14:paraId="20AB67C0">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物理服务器数量不少于</w:t>
      </w:r>
      <w:r>
        <w:rPr>
          <w:rFonts w:ascii="宋体" w:hAnsi="宋体"/>
          <w:color w:val="auto"/>
          <w:sz w:val="22"/>
          <w:szCs w:val="22"/>
          <w:highlight w:val="none"/>
        </w:rPr>
        <w:t>180</w:t>
      </w:r>
      <w:r>
        <w:rPr>
          <w:rFonts w:hint="eastAsia" w:ascii="宋体" w:hAnsi="宋体"/>
          <w:color w:val="auto"/>
          <w:sz w:val="22"/>
          <w:szCs w:val="22"/>
          <w:highlight w:val="none"/>
        </w:rPr>
        <w:t>台，主要用于承载业务系统的ECS云主机服务（不包括RDS、对象存储等云产品）。服务器不低于如下配置：</w:t>
      </w:r>
      <w:r>
        <w:rPr>
          <w:rFonts w:ascii="宋体" w:hAnsi="宋体"/>
          <w:color w:val="auto"/>
          <w:sz w:val="22"/>
          <w:szCs w:val="22"/>
          <w:highlight w:val="none"/>
        </w:rPr>
        <w:t>2</w:t>
      </w:r>
      <w:r>
        <w:rPr>
          <w:rFonts w:hint="eastAsia" w:ascii="宋体" w:hAnsi="宋体"/>
          <w:color w:val="auto"/>
          <w:sz w:val="22"/>
          <w:szCs w:val="22"/>
          <w:highlight w:val="none"/>
        </w:rPr>
        <w:t>路</w:t>
      </w:r>
      <w:r>
        <w:rPr>
          <w:rFonts w:ascii="宋体" w:hAnsi="宋体"/>
          <w:color w:val="auto"/>
          <w:sz w:val="22"/>
          <w:szCs w:val="22"/>
          <w:highlight w:val="none"/>
        </w:rPr>
        <w:t>INTEL XeonE5-2650V2 CPU</w:t>
      </w:r>
      <w:r>
        <w:rPr>
          <w:rFonts w:hint="eastAsia" w:ascii="宋体" w:hAnsi="宋体"/>
          <w:color w:val="auto"/>
          <w:sz w:val="22"/>
          <w:szCs w:val="22"/>
          <w:highlight w:val="none"/>
        </w:rPr>
        <w:t>（核数</w:t>
      </w:r>
      <w:r>
        <w:rPr>
          <w:rFonts w:ascii="宋体" w:hAnsi="宋体"/>
          <w:color w:val="auto"/>
          <w:sz w:val="22"/>
          <w:szCs w:val="22"/>
          <w:highlight w:val="none"/>
        </w:rPr>
        <w:t>8</w:t>
      </w:r>
      <w:r>
        <w:rPr>
          <w:rFonts w:hint="eastAsia" w:ascii="宋体" w:hAnsi="宋体"/>
          <w:color w:val="auto"/>
          <w:sz w:val="22"/>
          <w:szCs w:val="22"/>
          <w:highlight w:val="none"/>
        </w:rPr>
        <w:t>核，主频</w:t>
      </w:r>
      <w:r>
        <w:rPr>
          <w:rFonts w:ascii="宋体" w:hAnsi="宋体"/>
          <w:color w:val="auto"/>
          <w:sz w:val="22"/>
          <w:szCs w:val="22"/>
          <w:highlight w:val="none"/>
        </w:rPr>
        <w:t>2.6GHz</w:t>
      </w:r>
      <w:r>
        <w:rPr>
          <w:rFonts w:hint="eastAsia" w:ascii="宋体" w:hAnsi="宋体"/>
          <w:color w:val="auto"/>
          <w:sz w:val="22"/>
          <w:szCs w:val="22"/>
          <w:highlight w:val="none"/>
        </w:rPr>
        <w:t>），内存≥</w:t>
      </w:r>
      <w:r>
        <w:rPr>
          <w:rFonts w:ascii="宋体" w:hAnsi="宋体"/>
          <w:color w:val="auto"/>
          <w:sz w:val="22"/>
          <w:szCs w:val="22"/>
          <w:highlight w:val="none"/>
        </w:rPr>
        <w:t>128G</w:t>
      </w:r>
      <w:r>
        <w:rPr>
          <w:rFonts w:hint="eastAsia" w:ascii="宋体" w:hAnsi="宋体"/>
          <w:color w:val="auto"/>
          <w:sz w:val="22"/>
          <w:szCs w:val="22"/>
          <w:highlight w:val="none"/>
        </w:rPr>
        <w:t>，双电源。要求可根据用户使用情况进行扩展，不会导致业务中断。云平台单集群支持不少于</w:t>
      </w:r>
      <w:r>
        <w:rPr>
          <w:rFonts w:ascii="宋体" w:hAnsi="宋体"/>
          <w:color w:val="auto"/>
          <w:sz w:val="22"/>
          <w:szCs w:val="22"/>
          <w:highlight w:val="none"/>
        </w:rPr>
        <w:t>5000</w:t>
      </w:r>
      <w:r>
        <w:rPr>
          <w:rFonts w:hint="eastAsia" w:ascii="宋体" w:hAnsi="宋体"/>
          <w:color w:val="auto"/>
          <w:sz w:val="22"/>
          <w:szCs w:val="22"/>
          <w:highlight w:val="none"/>
        </w:rPr>
        <w:t>台物理服务器。</w:t>
      </w:r>
    </w:p>
    <w:p w14:paraId="52A9D5FF">
      <w:pPr>
        <w:snapToGrid w:val="0"/>
        <w:spacing w:line="400" w:lineRule="atLeast"/>
        <w:ind w:left="420"/>
        <w:rPr>
          <w:rFonts w:ascii="宋体" w:hAnsi="宋体"/>
          <w:color w:val="auto"/>
          <w:sz w:val="22"/>
          <w:szCs w:val="22"/>
          <w:highlight w:val="none"/>
        </w:rPr>
      </w:pPr>
      <w:r>
        <w:rPr>
          <w:rFonts w:hint="eastAsia" w:ascii="宋体" w:hAnsi="宋体"/>
          <w:color w:val="auto"/>
          <w:sz w:val="22"/>
          <w:szCs w:val="22"/>
          <w:highlight w:val="none"/>
        </w:rPr>
        <w:t>3、物理存储设备要求</w:t>
      </w:r>
    </w:p>
    <w:p w14:paraId="38272572">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物理存储初期容量不少于</w:t>
      </w:r>
      <w:r>
        <w:rPr>
          <w:rFonts w:ascii="宋体" w:hAnsi="宋体"/>
          <w:color w:val="auto"/>
          <w:sz w:val="22"/>
          <w:szCs w:val="22"/>
          <w:highlight w:val="none"/>
        </w:rPr>
        <w:t>1</w:t>
      </w:r>
      <w:r>
        <w:rPr>
          <w:rFonts w:hint="eastAsia" w:ascii="宋体" w:hAnsi="宋体"/>
          <w:color w:val="auto"/>
          <w:sz w:val="22"/>
          <w:szCs w:val="22"/>
          <w:highlight w:val="none"/>
        </w:rPr>
        <w:t xml:space="preserve"> PB，要求可根据用户使用情况进行扩展，扩展过程中不会导致业务中断。云存储采用分布式文件系统。</w:t>
      </w:r>
    </w:p>
    <w:p w14:paraId="359220EA">
      <w:pPr>
        <w:snapToGrid w:val="0"/>
        <w:spacing w:line="400" w:lineRule="atLeast"/>
        <w:ind w:left="420"/>
        <w:rPr>
          <w:rFonts w:ascii="宋体" w:hAnsi="宋体"/>
          <w:color w:val="auto"/>
          <w:sz w:val="22"/>
          <w:szCs w:val="22"/>
          <w:highlight w:val="none"/>
        </w:rPr>
      </w:pPr>
      <w:r>
        <w:rPr>
          <w:rFonts w:hint="eastAsia" w:ascii="宋体" w:hAnsi="宋体"/>
          <w:color w:val="auto"/>
          <w:sz w:val="22"/>
          <w:szCs w:val="22"/>
          <w:highlight w:val="none"/>
        </w:rPr>
        <w:t>4、物理网络要求</w:t>
      </w:r>
    </w:p>
    <w:p w14:paraId="15BA5E99">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为保证网络高可靠性、高可用性、高扩展性、冗余性，要求采用双核心和接入两层扁平化的组网架构，分别构建独立的业务网、管理网、存储网，核心接入之间万兆捆绑互联；所有服务器分别双归属接入业务网、管理网、存储网。</w:t>
      </w:r>
    </w:p>
    <w:p w14:paraId="7B166DAE">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要求保证产品成熟可靠。为了适应云计算中心出现的</w:t>
      </w:r>
      <w:r>
        <w:rPr>
          <w:rFonts w:ascii="宋体" w:hAnsi="宋体"/>
          <w:color w:val="auto"/>
          <w:sz w:val="22"/>
          <w:szCs w:val="22"/>
          <w:highlight w:val="none"/>
        </w:rPr>
        <w:t>40GE</w:t>
      </w:r>
      <w:r>
        <w:rPr>
          <w:rFonts w:hint="eastAsia" w:ascii="宋体" w:hAnsi="宋体"/>
          <w:color w:val="auto"/>
          <w:sz w:val="22"/>
          <w:szCs w:val="22"/>
          <w:highlight w:val="none"/>
        </w:rPr>
        <w:t>和</w:t>
      </w:r>
      <w:r>
        <w:rPr>
          <w:rFonts w:ascii="宋体" w:hAnsi="宋体"/>
          <w:color w:val="auto"/>
          <w:sz w:val="22"/>
          <w:szCs w:val="22"/>
          <w:highlight w:val="none"/>
        </w:rPr>
        <w:t>100GE</w:t>
      </w:r>
      <w:r>
        <w:rPr>
          <w:rFonts w:hint="eastAsia" w:ascii="宋体" w:hAnsi="宋体"/>
          <w:color w:val="auto"/>
          <w:sz w:val="22"/>
          <w:szCs w:val="22"/>
          <w:highlight w:val="none"/>
        </w:rPr>
        <w:t>以太网标准，并且充分满足数据中心级的应用及发展需求，核心层设备应采用具有新一代交换架构的产品。</w:t>
      </w:r>
    </w:p>
    <w:p w14:paraId="5A5B3FBC">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要求满足今后</w:t>
      </w:r>
      <w:r>
        <w:rPr>
          <w:rFonts w:ascii="宋体" w:hAnsi="宋体"/>
          <w:color w:val="auto"/>
          <w:sz w:val="22"/>
          <w:szCs w:val="22"/>
          <w:highlight w:val="none"/>
        </w:rPr>
        <w:t>5</w:t>
      </w:r>
      <w:r>
        <w:rPr>
          <w:rFonts w:hint="eastAsia" w:ascii="宋体" w:hAnsi="宋体"/>
          <w:color w:val="auto"/>
          <w:sz w:val="22"/>
          <w:szCs w:val="22"/>
          <w:highlight w:val="none"/>
        </w:rPr>
        <w:t>年内</w:t>
      </w:r>
      <w:r>
        <w:rPr>
          <w:rFonts w:hint="eastAsia" w:ascii="宋体" w:hAnsi="宋体" w:cs="宋体"/>
          <w:bCs/>
          <w:color w:val="auto"/>
          <w:kern w:val="0"/>
          <w:sz w:val="22"/>
          <w:szCs w:val="22"/>
          <w:highlight w:val="none"/>
        </w:rPr>
        <w:t>洞头各地各部门（单位）</w:t>
      </w:r>
      <w:r>
        <w:rPr>
          <w:rFonts w:hint="eastAsia" w:ascii="宋体" w:hAnsi="宋体"/>
          <w:color w:val="auto"/>
          <w:sz w:val="22"/>
          <w:szCs w:val="22"/>
          <w:highlight w:val="none"/>
        </w:rPr>
        <w:t>对政务云平台中业务应用网络带宽、业务平稳、持续不间断运行等应用需要。</w:t>
      </w:r>
    </w:p>
    <w:p w14:paraId="265429BE">
      <w:pPr>
        <w:snapToGrid w:val="0"/>
        <w:spacing w:line="400" w:lineRule="atLeast"/>
        <w:ind w:left="420"/>
        <w:rPr>
          <w:rFonts w:ascii="宋体" w:hAnsi="宋体"/>
          <w:b/>
          <w:color w:val="auto"/>
          <w:sz w:val="22"/>
          <w:szCs w:val="22"/>
          <w:highlight w:val="none"/>
        </w:rPr>
      </w:pPr>
      <w:r>
        <w:rPr>
          <w:rFonts w:ascii="宋体" w:hAnsi="宋体"/>
          <w:b/>
          <w:color w:val="auto"/>
          <w:sz w:val="22"/>
          <w:szCs w:val="22"/>
          <w:highlight w:val="none"/>
        </w:rPr>
        <w:t>（2）云平台软件要求</w:t>
      </w:r>
    </w:p>
    <w:p w14:paraId="1F476DE8">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供应商的云平台软件需要基于成熟、大规模商用、安全的云平台，有成功应用案例。</w:t>
      </w:r>
    </w:p>
    <w:p w14:paraId="675A8C8A">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基本要求</w:t>
      </w:r>
      <w:r>
        <w:rPr>
          <w:rFonts w:hint="eastAsia" w:ascii="宋体" w:hAnsi="宋体"/>
          <w:color w:val="auto"/>
          <w:sz w:val="22"/>
          <w:szCs w:val="22"/>
          <w:highlight w:val="none"/>
        </w:rPr>
        <w:t>：</w:t>
      </w:r>
    </w:p>
    <w:p w14:paraId="7854970C">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w:t>
      </w:r>
      <w:r>
        <w:rPr>
          <w:rFonts w:ascii="宋体" w:hAnsi="宋体"/>
          <w:color w:val="auto"/>
          <w:sz w:val="22"/>
          <w:szCs w:val="22"/>
          <w:highlight w:val="none"/>
        </w:rPr>
        <w:t>云平台自主知识产权</w:t>
      </w:r>
    </w:p>
    <w:p w14:paraId="563C5FD9">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云平台软件，必须提供原厂知识产权证明，并能够不依赖于第三方，具备对全部软件代码的自主研发、升级、及时的</w:t>
      </w:r>
      <w:r>
        <w:rPr>
          <w:rFonts w:ascii="宋体" w:hAnsi="宋体"/>
          <w:color w:val="auto"/>
          <w:sz w:val="22"/>
          <w:szCs w:val="22"/>
          <w:highlight w:val="none"/>
        </w:rPr>
        <w:t>bug修复能力。</w:t>
      </w:r>
    </w:p>
    <w:p w14:paraId="6AC150FA">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w:t>
      </w:r>
      <w:r>
        <w:rPr>
          <w:rFonts w:ascii="宋体" w:hAnsi="宋体"/>
          <w:color w:val="auto"/>
          <w:sz w:val="22"/>
          <w:szCs w:val="22"/>
          <w:highlight w:val="none"/>
        </w:rPr>
        <w:t>大数据服务能力</w:t>
      </w:r>
    </w:p>
    <w:p w14:paraId="076317FB">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云平台需具备分布式大数据服务能力，提供成熟大规模数据处理平台案例。提供统一的数据开发平台，云平台集成统一的大数据运维管理。</w:t>
      </w:r>
    </w:p>
    <w:p w14:paraId="142A5213">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w:t>
      </w:r>
      <w:r>
        <w:rPr>
          <w:rFonts w:ascii="宋体" w:hAnsi="宋体"/>
          <w:color w:val="auto"/>
          <w:sz w:val="22"/>
          <w:szCs w:val="22"/>
          <w:highlight w:val="none"/>
        </w:rPr>
        <w:t>云平台安全合规</w:t>
      </w:r>
    </w:p>
    <w:p w14:paraId="78C1C8E4">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云平台需通过工信部可信云认证。</w:t>
      </w:r>
    </w:p>
    <w:p w14:paraId="20FDFAB7">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与现有云平台的兼容性</w:t>
      </w:r>
    </w:p>
    <w:p w14:paraId="6613D7A3">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新的云平台要求与现有市政务云（私有云）平台全面兼容，如与现平台采用不同的技术路线，则要求能在业务不中断的情况下实现所有云资源的整体迁移。</w:t>
      </w:r>
    </w:p>
    <w:p w14:paraId="6F6EAE0A">
      <w:pPr>
        <w:snapToGrid w:val="0"/>
        <w:spacing w:line="400" w:lineRule="atLeast"/>
        <w:ind w:left="420"/>
        <w:rPr>
          <w:rFonts w:ascii="宋体" w:hAnsi="宋体"/>
          <w:b/>
          <w:color w:val="auto"/>
          <w:sz w:val="22"/>
          <w:szCs w:val="22"/>
          <w:highlight w:val="none"/>
        </w:rPr>
      </w:pPr>
      <w:r>
        <w:rPr>
          <w:rFonts w:hint="eastAsia" w:ascii="宋体" w:hAnsi="宋体"/>
          <w:b/>
          <w:color w:val="auto"/>
          <w:sz w:val="22"/>
          <w:szCs w:val="22"/>
          <w:highlight w:val="none"/>
        </w:rPr>
        <w:t>（3）</w:t>
      </w:r>
      <w:r>
        <w:rPr>
          <w:rFonts w:ascii="宋体" w:hAnsi="宋体"/>
          <w:b/>
          <w:color w:val="auto"/>
          <w:sz w:val="22"/>
          <w:szCs w:val="22"/>
          <w:highlight w:val="none"/>
        </w:rPr>
        <w:t>云平台架构要求</w:t>
      </w:r>
    </w:p>
    <w:tbl>
      <w:tblPr>
        <w:tblStyle w:val="46"/>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04"/>
        <w:gridCol w:w="1491"/>
      </w:tblGrid>
      <w:tr w14:paraId="0867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0AA71AEB">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指标项</w:t>
            </w:r>
          </w:p>
        </w:tc>
        <w:tc>
          <w:tcPr>
            <w:tcW w:w="6804" w:type="dxa"/>
            <w:tcBorders>
              <w:top w:val="single" w:color="auto" w:sz="4" w:space="0"/>
              <w:left w:val="single" w:color="auto" w:sz="4" w:space="0"/>
              <w:bottom w:val="single" w:color="auto" w:sz="4" w:space="0"/>
              <w:right w:val="single" w:color="auto" w:sz="4" w:space="0"/>
            </w:tcBorders>
            <w:noWrap/>
            <w:vAlign w:val="center"/>
          </w:tcPr>
          <w:p w14:paraId="5FFC0447">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规格要求</w:t>
            </w:r>
          </w:p>
        </w:tc>
        <w:tc>
          <w:tcPr>
            <w:tcW w:w="1491" w:type="dxa"/>
            <w:tcBorders>
              <w:top w:val="single" w:color="auto" w:sz="4" w:space="0"/>
              <w:left w:val="single" w:color="auto" w:sz="4" w:space="0"/>
              <w:bottom w:val="single" w:color="auto" w:sz="4" w:space="0"/>
              <w:right w:val="single" w:color="auto" w:sz="4" w:space="0"/>
            </w:tcBorders>
            <w:vAlign w:val="center"/>
          </w:tcPr>
          <w:p w14:paraId="3A3791EA">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52C5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vMerge w:val="restart"/>
            <w:tcBorders>
              <w:top w:val="single" w:color="auto" w:sz="4" w:space="0"/>
              <w:left w:val="single" w:color="auto" w:sz="4" w:space="0"/>
              <w:bottom w:val="single" w:color="auto" w:sz="4" w:space="0"/>
              <w:right w:val="single" w:color="auto" w:sz="4" w:space="0"/>
            </w:tcBorders>
            <w:noWrap/>
            <w:vAlign w:val="center"/>
          </w:tcPr>
          <w:p w14:paraId="204DB9C1">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标准规范</w:t>
            </w:r>
          </w:p>
        </w:tc>
        <w:tc>
          <w:tcPr>
            <w:tcW w:w="6804" w:type="dxa"/>
            <w:tcBorders>
              <w:top w:val="single" w:color="auto" w:sz="4" w:space="0"/>
              <w:left w:val="single" w:color="auto" w:sz="4" w:space="0"/>
              <w:bottom w:val="single" w:color="auto" w:sz="4" w:space="0"/>
              <w:right w:val="single" w:color="auto" w:sz="4" w:space="0"/>
            </w:tcBorders>
            <w:noWrap/>
            <w:vAlign w:val="center"/>
          </w:tcPr>
          <w:p w14:paraId="4E0AD3F0">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采用统一管理集群资源，统一管理集群内的CPU、内存、磁盘和网络资源使得这些关键资源可以被高效地使用。</w:t>
            </w:r>
          </w:p>
        </w:tc>
        <w:tc>
          <w:tcPr>
            <w:tcW w:w="1491" w:type="dxa"/>
            <w:tcBorders>
              <w:top w:val="single" w:color="auto" w:sz="4" w:space="0"/>
              <w:left w:val="single" w:color="auto" w:sz="4" w:space="0"/>
              <w:bottom w:val="single" w:color="auto" w:sz="4" w:space="0"/>
              <w:right w:val="single" w:color="auto" w:sz="4" w:space="0"/>
            </w:tcBorders>
            <w:vAlign w:val="center"/>
          </w:tcPr>
          <w:p w14:paraId="63A5C555">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0DC7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23A49B3C">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1311A99E">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具备分布式系统底层服务、分布式文件系统、任务调度、集群监控和部署能力并提供技术白皮佐证。</w:t>
            </w:r>
          </w:p>
        </w:tc>
        <w:tc>
          <w:tcPr>
            <w:tcW w:w="1491" w:type="dxa"/>
            <w:tcBorders>
              <w:top w:val="single" w:color="auto" w:sz="4" w:space="0"/>
              <w:left w:val="single" w:color="auto" w:sz="4" w:space="0"/>
              <w:bottom w:val="single" w:color="auto" w:sz="4" w:space="0"/>
              <w:right w:val="single" w:color="auto" w:sz="4" w:space="0"/>
            </w:tcBorders>
            <w:vAlign w:val="center"/>
          </w:tcPr>
          <w:p w14:paraId="51698C4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155E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7A1BE07A">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6970A7D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根据应用对资源进行全局的调度，提高资源的利用率。</w:t>
            </w:r>
          </w:p>
        </w:tc>
        <w:tc>
          <w:tcPr>
            <w:tcW w:w="1491" w:type="dxa"/>
            <w:tcBorders>
              <w:top w:val="single" w:color="auto" w:sz="4" w:space="0"/>
              <w:left w:val="single" w:color="auto" w:sz="4" w:space="0"/>
              <w:bottom w:val="single" w:color="auto" w:sz="4" w:space="0"/>
              <w:right w:val="single" w:color="auto" w:sz="4" w:space="0"/>
            </w:tcBorders>
            <w:vAlign w:val="center"/>
          </w:tcPr>
          <w:p w14:paraId="16AF8D7C">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19BA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2E7CAA67">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648F5E6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采用自动故障切换提高系统整体的可用性。</w:t>
            </w:r>
          </w:p>
        </w:tc>
        <w:tc>
          <w:tcPr>
            <w:tcW w:w="1491" w:type="dxa"/>
            <w:tcBorders>
              <w:top w:val="single" w:color="auto" w:sz="4" w:space="0"/>
              <w:left w:val="single" w:color="auto" w:sz="4" w:space="0"/>
              <w:bottom w:val="single" w:color="auto" w:sz="4" w:space="0"/>
              <w:right w:val="single" w:color="auto" w:sz="4" w:space="0"/>
            </w:tcBorders>
            <w:vAlign w:val="center"/>
          </w:tcPr>
          <w:p w14:paraId="65E65765">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12A3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2622D7EF">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55F4CCC1">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采用统一的安全措施，保证用户数据的安全性。</w:t>
            </w:r>
          </w:p>
        </w:tc>
        <w:tc>
          <w:tcPr>
            <w:tcW w:w="1491" w:type="dxa"/>
            <w:tcBorders>
              <w:top w:val="single" w:color="auto" w:sz="4" w:space="0"/>
              <w:left w:val="single" w:color="auto" w:sz="4" w:space="0"/>
              <w:bottom w:val="single" w:color="auto" w:sz="4" w:space="0"/>
              <w:right w:val="single" w:color="auto" w:sz="4" w:space="0"/>
            </w:tcBorders>
            <w:vAlign w:val="center"/>
          </w:tcPr>
          <w:p w14:paraId="7F9CBF3F">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0324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1ECBCFD6">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456E6A57">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采用统一运维的方式，提高系统的安全并降低成本。</w:t>
            </w:r>
          </w:p>
        </w:tc>
        <w:tc>
          <w:tcPr>
            <w:tcW w:w="1491" w:type="dxa"/>
            <w:tcBorders>
              <w:top w:val="single" w:color="auto" w:sz="4" w:space="0"/>
              <w:left w:val="single" w:color="auto" w:sz="4" w:space="0"/>
              <w:bottom w:val="single" w:color="auto" w:sz="4" w:space="0"/>
              <w:right w:val="single" w:color="auto" w:sz="4" w:space="0"/>
            </w:tcBorders>
            <w:vAlign w:val="center"/>
          </w:tcPr>
          <w:p w14:paraId="64472941">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76F9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restart"/>
            <w:tcBorders>
              <w:top w:val="single" w:color="auto" w:sz="4" w:space="0"/>
              <w:left w:val="single" w:color="auto" w:sz="4" w:space="0"/>
              <w:bottom w:val="single" w:color="auto" w:sz="4" w:space="0"/>
              <w:right w:val="single" w:color="auto" w:sz="4" w:space="0"/>
            </w:tcBorders>
            <w:noWrap/>
            <w:vAlign w:val="center"/>
          </w:tcPr>
          <w:p w14:paraId="28A012A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扩展规模</w:t>
            </w:r>
          </w:p>
        </w:tc>
        <w:tc>
          <w:tcPr>
            <w:tcW w:w="6804" w:type="dxa"/>
            <w:tcBorders>
              <w:top w:val="single" w:color="auto" w:sz="4" w:space="0"/>
              <w:left w:val="single" w:color="auto" w:sz="4" w:space="0"/>
              <w:bottom w:val="single" w:color="auto" w:sz="4" w:space="0"/>
              <w:right w:val="single" w:color="auto" w:sz="4" w:space="0"/>
            </w:tcBorders>
            <w:noWrap/>
            <w:vAlign w:val="center"/>
          </w:tcPr>
          <w:p w14:paraId="2B4679B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支持在线集群扩容和应用服务的在线升级。</w:t>
            </w:r>
          </w:p>
        </w:tc>
        <w:tc>
          <w:tcPr>
            <w:tcW w:w="1491" w:type="dxa"/>
            <w:tcBorders>
              <w:top w:val="single" w:color="auto" w:sz="4" w:space="0"/>
              <w:left w:val="single" w:color="auto" w:sz="4" w:space="0"/>
              <w:bottom w:val="single" w:color="auto" w:sz="4" w:space="0"/>
              <w:right w:val="single" w:color="auto" w:sz="4" w:space="0"/>
            </w:tcBorders>
            <w:vAlign w:val="center"/>
          </w:tcPr>
          <w:p w14:paraId="1D3D0FAE">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3D06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53C00FCD">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047E0A31">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单个集群最大规模可达到5000台物理服务器并行作业。</w:t>
            </w:r>
          </w:p>
        </w:tc>
        <w:tc>
          <w:tcPr>
            <w:tcW w:w="1491" w:type="dxa"/>
            <w:tcBorders>
              <w:top w:val="single" w:color="auto" w:sz="4" w:space="0"/>
              <w:left w:val="single" w:color="auto" w:sz="4" w:space="0"/>
              <w:bottom w:val="single" w:color="auto" w:sz="4" w:space="0"/>
              <w:right w:val="single" w:color="auto" w:sz="4" w:space="0"/>
            </w:tcBorders>
            <w:vAlign w:val="center"/>
          </w:tcPr>
          <w:p w14:paraId="3CC58CE1">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99D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restart"/>
            <w:tcBorders>
              <w:top w:val="single" w:color="auto" w:sz="4" w:space="0"/>
              <w:left w:val="single" w:color="auto" w:sz="4" w:space="0"/>
              <w:bottom w:val="single" w:color="auto" w:sz="4" w:space="0"/>
              <w:right w:val="single" w:color="auto" w:sz="4" w:space="0"/>
            </w:tcBorders>
            <w:noWrap/>
            <w:vAlign w:val="center"/>
          </w:tcPr>
          <w:p w14:paraId="1DA5C5E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资源管理</w:t>
            </w:r>
          </w:p>
        </w:tc>
        <w:tc>
          <w:tcPr>
            <w:tcW w:w="6804" w:type="dxa"/>
            <w:tcBorders>
              <w:top w:val="single" w:color="auto" w:sz="4" w:space="0"/>
              <w:left w:val="single" w:color="auto" w:sz="4" w:space="0"/>
              <w:bottom w:val="single" w:color="auto" w:sz="4" w:space="0"/>
              <w:right w:val="single" w:color="auto" w:sz="4" w:space="0"/>
            </w:tcBorders>
            <w:noWrap/>
            <w:vAlign w:val="center"/>
          </w:tcPr>
          <w:p w14:paraId="1798575C">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提供计算存储设备，网络设备和安全设备等物理设备的管理功能。</w:t>
            </w:r>
          </w:p>
        </w:tc>
        <w:tc>
          <w:tcPr>
            <w:tcW w:w="1491" w:type="dxa"/>
            <w:tcBorders>
              <w:top w:val="single" w:color="auto" w:sz="4" w:space="0"/>
              <w:left w:val="single" w:color="auto" w:sz="4" w:space="0"/>
              <w:bottom w:val="single" w:color="auto" w:sz="4" w:space="0"/>
              <w:right w:val="single" w:color="auto" w:sz="4" w:space="0"/>
            </w:tcBorders>
            <w:vAlign w:val="center"/>
          </w:tcPr>
          <w:p w14:paraId="67006300">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B67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567892D0">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7B3C3D47">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提供虚拟化后的“分布式计算资源池”、“网络资源池”和“存储资源池”的管理功能。</w:t>
            </w:r>
          </w:p>
        </w:tc>
        <w:tc>
          <w:tcPr>
            <w:tcW w:w="1491" w:type="dxa"/>
            <w:tcBorders>
              <w:top w:val="single" w:color="auto" w:sz="4" w:space="0"/>
              <w:left w:val="single" w:color="auto" w:sz="4" w:space="0"/>
              <w:bottom w:val="single" w:color="auto" w:sz="4" w:space="0"/>
              <w:right w:val="single" w:color="auto" w:sz="4" w:space="0"/>
            </w:tcBorders>
            <w:vAlign w:val="center"/>
          </w:tcPr>
          <w:p w14:paraId="5D14A6DA">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ACB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777312FF">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217E2861">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提供对网络资源的管理功能，包括：IP地址资源和带宽资源的管理。</w:t>
            </w:r>
          </w:p>
        </w:tc>
        <w:tc>
          <w:tcPr>
            <w:tcW w:w="1491" w:type="dxa"/>
            <w:tcBorders>
              <w:top w:val="single" w:color="auto" w:sz="4" w:space="0"/>
              <w:left w:val="single" w:color="auto" w:sz="4" w:space="0"/>
              <w:bottom w:val="single" w:color="auto" w:sz="4" w:space="0"/>
              <w:right w:val="single" w:color="auto" w:sz="4" w:space="0"/>
            </w:tcBorders>
            <w:vAlign w:val="center"/>
          </w:tcPr>
          <w:p w14:paraId="41F21459">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40B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4CF18F58">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7D667CB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提供资源协同能力，包括资源的注册、创建、销毁、回收、状态同步、分布式锁服务，支持分布式共识协议。</w:t>
            </w:r>
          </w:p>
        </w:tc>
        <w:tc>
          <w:tcPr>
            <w:tcW w:w="1491" w:type="dxa"/>
            <w:tcBorders>
              <w:top w:val="single" w:color="auto" w:sz="4" w:space="0"/>
              <w:left w:val="single" w:color="auto" w:sz="4" w:space="0"/>
              <w:bottom w:val="single" w:color="auto" w:sz="4" w:space="0"/>
              <w:right w:val="single" w:color="auto" w:sz="4" w:space="0"/>
            </w:tcBorders>
            <w:vAlign w:val="center"/>
          </w:tcPr>
          <w:p w14:paraId="2549B110">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462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54B7296B">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531FD2FD">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提供集群并行作业能力，实现资源的高可用和集群的负载均衡能力。</w:t>
            </w:r>
          </w:p>
        </w:tc>
        <w:tc>
          <w:tcPr>
            <w:tcW w:w="1491" w:type="dxa"/>
            <w:tcBorders>
              <w:top w:val="single" w:color="auto" w:sz="4" w:space="0"/>
              <w:left w:val="single" w:color="auto" w:sz="4" w:space="0"/>
              <w:bottom w:val="single" w:color="auto" w:sz="4" w:space="0"/>
              <w:right w:val="single" w:color="auto" w:sz="4" w:space="0"/>
            </w:tcBorders>
            <w:vAlign w:val="center"/>
          </w:tcPr>
          <w:p w14:paraId="0DA71E34">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D72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3629519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远程过程调用</w:t>
            </w:r>
          </w:p>
        </w:tc>
        <w:tc>
          <w:tcPr>
            <w:tcW w:w="6804" w:type="dxa"/>
            <w:tcBorders>
              <w:top w:val="single" w:color="auto" w:sz="4" w:space="0"/>
              <w:left w:val="single" w:color="auto" w:sz="4" w:space="0"/>
              <w:bottom w:val="single" w:color="auto" w:sz="4" w:space="0"/>
              <w:right w:val="single" w:color="auto" w:sz="4" w:space="0"/>
            </w:tcBorders>
            <w:noWrap/>
            <w:vAlign w:val="center"/>
          </w:tcPr>
          <w:p w14:paraId="64E58A6B">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提供可靠高效的进程间远程调用服务，支持通讯信道的数据压缩和一致性校验。</w:t>
            </w:r>
          </w:p>
        </w:tc>
        <w:tc>
          <w:tcPr>
            <w:tcW w:w="1491" w:type="dxa"/>
            <w:tcBorders>
              <w:top w:val="single" w:color="auto" w:sz="4" w:space="0"/>
              <w:left w:val="single" w:color="auto" w:sz="4" w:space="0"/>
              <w:bottom w:val="single" w:color="auto" w:sz="4" w:space="0"/>
              <w:right w:val="single" w:color="auto" w:sz="4" w:space="0"/>
            </w:tcBorders>
            <w:vAlign w:val="center"/>
          </w:tcPr>
          <w:p w14:paraId="54B7C935">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7AC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restart"/>
            <w:tcBorders>
              <w:top w:val="single" w:color="auto" w:sz="4" w:space="0"/>
              <w:left w:val="single" w:color="auto" w:sz="4" w:space="0"/>
              <w:bottom w:val="single" w:color="auto" w:sz="4" w:space="0"/>
              <w:right w:val="single" w:color="auto" w:sz="4" w:space="0"/>
            </w:tcBorders>
            <w:noWrap/>
            <w:vAlign w:val="center"/>
          </w:tcPr>
          <w:p w14:paraId="23EEC52C">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虚拟化功能</w:t>
            </w:r>
          </w:p>
        </w:tc>
        <w:tc>
          <w:tcPr>
            <w:tcW w:w="6804" w:type="dxa"/>
            <w:tcBorders>
              <w:top w:val="single" w:color="auto" w:sz="4" w:space="0"/>
              <w:left w:val="single" w:color="auto" w:sz="4" w:space="0"/>
              <w:bottom w:val="single" w:color="auto" w:sz="4" w:space="0"/>
              <w:right w:val="single" w:color="auto" w:sz="4" w:space="0"/>
            </w:tcBorders>
            <w:noWrap/>
            <w:vAlign w:val="center"/>
          </w:tcPr>
          <w:p w14:paraId="509CC589">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支持并配置计算资源虚拟化，形成“分布式计算资源池”。硬件采用标准X86服务器，不使用IP SAN和FC SAN等专用存储作为存储资源。</w:t>
            </w:r>
          </w:p>
        </w:tc>
        <w:tc>
          <w:tcPr>
            <w:tcW w:w="1491" w:type="dxa"/>
            <w:tcBorders>
              <w:top w:val="single" w:color="auto" w:sz="4" w:space="0"/>
              <w:left w:val="single" w:color="auto" w:sz="4" w:space="0"/>
              <w:bottom w:val="single" w:color="auto" w:sz="4" w:space="0"/>
              <w:right w:val="single" w:color="auto" w:sz="4" w:space="0"/>
            </w:tcBorders>
            <w:vAlign w:val="center"/>
          </w:tcPr>
          <w:p w14:paraId="09E81D71">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4D12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64CF5B5A">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2929DAFF">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支持并配置计算设备“一虚多”，同一台物理主机上同时支持多种操作系统，或是相同操作系统的不同版本。分区与分区之间相互独立，互不影响。</w:t>
            </w:r>
          </w:p>
        </w:tc>
        <w:tc>
          <w:tcPr>
            <w:tcW w:w="1491" w:type="dxa"/>
            <w:tcBorders>
              <w:top w:val="single" w:color="auto" w:sz="4" w:space="0"/>
              <w:left w:val="single" w:color="auto" w:sz="4" w:space="0"/>
              <w:bottom w:val="single" w:color="auto" w:sz="4" w:space="0"/>
              <w:right w:val="single" w:color="auto" w:sz="4" w:space="0"/>
            </w:tcBorders>
            <w:vAlign w:val="center"/>
          </w:tcPr>
          <w:p w14:paraId="565AFAF0">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334B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49F8F878">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3B88B62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支持并配置资源的动态调配与弹性可伸缩，资源池具备各级资源的按需获取功能，提高资源消费者的可用性、容错与扩展能力。</w:t>
            </w:r>
          </w:p>
        </w:tc>
        <w:tc>
          <w:tcPr>
            <w:tcW w:w="1491" w:type="dxa"/>
            <w:tcBorders>
              <w:top w:val="single" w:color="auto" w:sz="4" w:space="0"/>
              <w:left w:val="single" w:color="auto" w:sz="4" w:space="0"/>
              <w:bottom w:val="single" w:color="auto" w:sz="4" w:space="0"/>
              <w:right w:val="single" w:color="auto" w:sz="4" w:space="0"/>
            </w:tcBorders>
            <w:vAlign w:val="center"/>
          </w:tcPr>
          <w:p w14:paraId="4D323DF1">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B29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vMerge w:val="restart"/>
            <w:tcBorders>
              <w:top w:val="single" w:color="auto" w:sz="4" w:space="0"/>
              <w:left w:val="single" w:color="auto" w:sz="4" w:space="0"/>
              <w:bottom w:val="single" w:color="auto" w:sz="4" w:space="0"/>
              <w:right w:val="single" w:color="auto" w:sz="4" w:space="0"/>
            </w:tcBorders>
            <w:noWrap/>
            <w:vAlign w:val="center"/>
          </w:tcPr>
          <w:p w14:paraId="429BDAB7">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分布式文件系统</w:t>
            </w:r>
          </w:p>
        </w:tc>
        <w:tc>
          <w:tcPr>
            <w:tcW w:w="6804" w:type="dxa"/>
            <w:tcBorders>
              <w:top w:val="single" w:color="auto" w:sz="4" w:space="0"/>
              <w:left w:val="single" w:color="auto" w:sz="4" w:space="0"/>
              <w:bottom w:val="single" w:color="auto" w:sz="4" w:space="0"/>
              <w:right w:val="single" w:color="auto" w:sz="4" w:space="0"/>
            </w:tcBorders>
            <w:noWrap/>
            <w:vAlign w:val="center"/>
          </w:tcPr>
          <w:p w14:paraId="43A01DE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云平台操作系统支持分布式文件系统，支持存储资源虚拟化,形成“存储资源池”。</w:t>
            </w:r>
          </w:p>
        </w:tc>
        <w:tc>
          <w:tcPr>
            <w:tcW w:w="1491" w:type="dxa"/>
            <w:tcBorders>
              <w:top w:val="single" w:color="auto" w:sz="4" w:space="0"/>
              <w:left w:val="single" w:color="auto" w:sz="4" w:space="0"/>
              <w:bottom w:val="single" w:color="auto" w:sz="4" w:space="0"/>
              <w:right w:val="single" w:color="auto" w:sz="4" w:space="0"/>
            </w:tcBorders>
            <w:vAlign w:val="center"/>
          </w:tcPr>
          <w:p w14:paraId="39F441E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317A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4908D6CC">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5A6FE2B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数据存储在不同机架的多个节点上，集群中的节点出现硬件、软件故障,集群系统能够自动进行数据的备份和迁移,保证数据的高可用性在并提供技术白皮书佐证。</w:t>
            </w:r>
          </w:p>
        </w:tc>
        <w:tc>
          <w:tcPr>
            <w:tcW w:w="1491" w:type="dxa"/>
            <w:tcBorders>
              <w:top w:val="single" w:color="auto" w:sz="4" w:space="0"/>
              <w:left w:val="single" w:color="auto" w:sz="4" w:space="0"/>
              <w:bottom w:val="single" w:color="auto" w:sz="4" w:space="0"/>
              <w:right w:val="single" w:color="auto" w:sz="4" w:space="0"/>
            </w:tcBorders>
            <w:vAlign w:val="center"/>
          </w:tcPr>
          <w:p w14:paraId="62B137F8">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148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2B595E93">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733F66B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支持IO优先级控制和QoS保证；</w:t>
            </w:r>
          </w:p>
        </w:tc>
        <w:tc>
          <w:tcPr>
            <w:tcW w:w="1491" w:type="dxa"/>
            <w:tcBorders>
              <w:top w:val="single" w:color="auto" w:sz="4" w:space="0"/>
              <w:left w:val="single" w:color="auto" w:sz="4" w:space="0"/>
              <w:bottom w:val="single" w:color="auto" w:sz="4" w:space="0"/>
              <w:right w:val="single" w:color="auto" w:sz="4" w:space="0"/>
            </w:tcBorders>
            <w:vAlign w:val="center"/>
          </w:tcPr>
          <w:p w14:paraId="72B30831">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B46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28533F2F">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3BB3494B">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支持增量扩容和自动数据平衡能力，允许用户定制数据分布策略；</w:t>
            </w:r>
          </w:p>
        </w:tc>
        <w:tc>
          <w:tcPr>
            <w:tcW w:w="1491" w:type="dxa"/>
            <w:tcBorders>
              <w:top w:val="single" w:color="auto" w:sz="4" w:space="0"/>
              <w:left w:val="single" w:color="auto" w:sz="4" w:space="0"/>
              <w:bottom w:val="single" w:color="auto" w:sz="4" w:space="0"/>
              <w:right w:val="single" w:color="auto" w:sz="4" w:space="0"/>
            </w:tcBorders>
            <w:vAlign w:val="center"/>
          </w:tcPr>
          <w:p w14:paraId="75A932E6">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4C0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17434623">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371A5FF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具备高可扩展性，可支持上亿个文件和100PB以上量级的文件存储；支持不重启系统，增加物理服务器后自动扩容；</w:t>
            </w:r>
          </w:p>
        </w:tc>
        <w:tc>
          <w:tcPr>
            <w:tcW w:w="1491" w:type="dxa"/>
            <w:tcBorders>
              <w:top w:val="single" w:color="auto" w:sz="4" w:space="0"/>
              <w:left w:val="single" w:color="auto" w:sz="4" w:space="0"/>
              <w:bottom w:val="single" w:color="auto" w:sz="4" w:space="0"/>
              <w:right w:val="single" w:color="auto" w:sz="4" w:space="0"/>
            </w:tcBorders>
            <w:vAlign w:val="center"/>
          </w:tcPr>
          <w:p w14:paraId="7B971B5F">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1194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6B56AF26">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4E95F17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在不依赖RAID卡和NAS等特殊硬件设备的条件下，提供高可用性和高可靠性；</w:t>
            </w:r>
          </w:p>
        </w:tc>
        <w:tc>
          <w:tcPr>
            <w:tcW w:w="1491" w:type="dxa"/>
            <w:tcBorders>
              <w:top w:val="single" w:color="auto" w:sz="4" w:space="0"/>
              <w:left w:val="single" w:color="auto" w:sz="4" w:space="0"/>
              <w:bottom w:val="single" w:color="auto" w:sz="4" w:space="0"/>
              <w:right w:val="single" w:color="auto" w:sz="4" w:space="0"/>
            </w:tcBorders>
            <w:vAlign w:val="center"/>
          </w:tcPr>
          <w:p w14:paraId="0815B897">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7A54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6FF1419C">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2249888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支持SATA磁盘块存储和SSD高性能块存储两种分布式存储规格。</w:t>
            </w:r>
          </w:p>
        </w:tc>
        <w:tc>
          <w:tcPr>
            <w:tcW w:w="1491" w:type="dxa"/>
            <w:tcBorders>
              <w:top w:val="single" w:color="auto" w:sz="4" w:space="0"/>
              <w:left w:val="single" w:color="auto" w:sz="4" w:space="0"/>
              <w:bottom w:val="single" w:color="auto" w:sz="4" w:space="0"/>
              <w:right w:val="single" w:color="auto" w:sz="4" w:space="0"/>
            </w:tcBorders>
            <w:vAlign w:val="center"/>
          </w:tcPr>
          <w:p w14:paraId="76F1B5CD">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1F4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21AB1B9D">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61A15367">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普通分布式存储吞吐大于等80M/s，高性能分布式存储吞吐大于等于280M/s，随机IOPS大于等于20000。</w:t>
            </w:r>
          </w:p>
        </w:tc>
        <w:tc>
          <w:tcPr>
            <w:tcW w:w="1491" w:type="dxa"/>
            <w:tcBorders>
              <w:top w:val="single" w:color="auto" w:sz="4" w:space="0"/>
              <w:left w:val="single" w:color="auto" w:sz="4" w:space="0"/>
              <w:bottom w:val="single" w:color="auto" w:sz="4" w:space="0"/>
              <w:right w:val="single" w:color="auto" w:sz="4" w:space="0"/>
            </w:tcBorders>
            <w:vAlign w:val="center"/>
          </w:tcPr>
          <w:p w14:paraId="08E127F4">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CC6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6BF2DC8E">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16E4681D">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采用多管理节点设计，为避免集群单点故障，分布式文件系统必须支持多Master设计，至少有3个及以上的存储Master控制节点。</w:t>
            </w:r>
          </w:p>
        </w:tc>
        <w:tc>
          <w:tcPr>
            <w:tcW w:w="1491" w:type="dxa"/>
            <w:tcBorders>
              <w:top w:val="single" w:color="auto" w:sz="4" w:space="0"/>
              <w:left w:val="single" w:color="auto" w:sz="4" w:space="0"/>
              <w:bottom w:val="single" w:color="auto" w:sz="4" w:space="0"/>
              <w:right w:val="single" w:color="auto" w:sz="4" w:space="0"/>
            </w:tcBorders>
            <w:vAlign w:val="center"/>
          </w:tcPr>
          <w:p w14:paraId="12F5BE46">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4D23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1E709669">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1FAEE5F0">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分布式文件系统上创建出的单个存储盘，能够被多个虚机同时挂载，实现共享存储功能。</w:t>
            </w:r>
          </w:p>
        </w:tc>
        <w:tc>
          <w:tcPr>
            <w:tcW w:w="1491" w:type="dxa"/>
            <w:tcBorders>
              <w:top w:val="single" w:color="auto" w:sz="4" w:space="0"/>
              <w:left w:val="single" w:color="auto" w:sz="4" w:space="0"/>
              <w:bottom w:val="single" w:color="auto" w:sz="4" w:space="0"/>
              <w:right w:val="single" w:color="auto" w:sz="4" w:space="0"/>
            </w:tcBorders>
            <w:vAlign w:val="center"/>
          </w:tcPr>
          <w:p w14:paraId="3F88EFE7">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176A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vMerge w:val="restart"/>
            <w:tcBorders>
              <w:top w:val="single" w:color="auto" w:sz="4" w:space="0"/>
              <w:left w:val="single" w:color="auto" w:sz="4" w:space="0"/>
              <w:bottom w:val="single" w:color="auto" w:sz="4" w:space="0"/>
              <w:right w:val="single" w:color="auto" w:sz="4" w:space="0"/>
            </w:tcBorders>
            <w:noWrap/>
            <w:vAlign w:val="center"/>
          </w:tcPr>
          <w:p w14:paraId="4090CD08">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任务调度</w:t>
            </w:r>
          </w:p>
        </w:tc>
        <w:tc>
          <w:tcPr>
            <w:tcW w:w="6804" w:type="dxa"/>
            <w:tcBorders>
              <w:top w:val="single" w:color="auto" w:sz="4" w:space="0"/>
              <w:left w:val="single" w:color="auto" w:sz="4" w:space="0"/>
              <w:bottom w:val="single" w:color="auto" w:sz="4" w:space="0"/>
              <w:right w:val="single" w:color="auto" w:sz="4" w:space="0"/>
            </w:tcBorders>
            <w:noWrap/>
            <w:vAlign w:val="center"/>
          </w:tcPr>
          <w:p w14:paraId="527886DF">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提供并行任务调度能力，且具备高可扩展性，最高可支持十万以上级的并行任务调度。</w:t>
            </w:r>
          </w:p>
        </w:tc>
        <w:tc>
          <w:tcPr>
            <w:tcW w:w="1491" w:type="dxa"/>
            <w:tcBorders>
              <w:top w:val="single" w:color="auto" w:sz="4" w:space="0"/>
              <w:left w:val="single" w:color="auto" w:sz="4" w:space="0"/>
              <w:bottom w:val="single" w:color="auto" w:sz="4" w:space="0"/>
              <w:right w:val="single" w:color="auto" w:sz="4" w:space="0"/>
            </w:tcBorders>
            <w:vAlign w:val="center"/>
          </w:tcPr>
          <w:p w14:paraId="188F0BF4">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532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14:paraId="62B4C7C7">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04" w:type="dxa"/>
            <w:tcBorders>
              <w:top w:val="single" w:color="auto" w:sz="4" w:space="0"/>
              <w:left w:val="single" w:color="auto" w:sz="4" w:space="0"/>
              <w:bottom w:val="single" w:color="auto" w:sz="4" w:space="0"/>
              <w:right w:val="single" w:color="auto" w:sz="4" w:space="0"/>
            </w:tcBorders>
            <w:noWrap/>
            <w:vAlign w:val="center"/>
          </w:tcPr>
          <w:p w14:paraId="07D2F02C">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实现自动检测故障和系统热点，重试失败任务，保证作业稳定可靠运行完成。</w:t>
            </w:r>
          </w:p>
        </w:tc>
        <w:tc>
          <w:tcPr>
            <w:tcW w:w="1491" w:type="dxa"/>
            <w:tcBorders>
              <w:top w:val="single" w:color="auto" w:sz="4" w:space="0"/>
              <w:left w:val="single" w:color="auto" w:sz="4" w:space="0"/>
              <w:bottom w:val="single" w:color="auto" w:sz="4" w:space="0"/>
              <w:right w:val="single" w:color="auto" w:sz="4" w:space="0"/>
            </w:tcBorders>
            <w:vAlign w:val="center"/>
          </w:tcPr>
          <w:p w14:paraId="49EB6739">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bl>
    <w:p w14:paraId="0258930D">
      <w:pPr>
        <w:snapToGrid w:val="0"/>
        <w:spacing w:line="400" w:lineRule="atLeast"/>
        <w:rPr>
          <w:rFonts w:ascii="宋体" w:hAnsi="宋体"/>
          <w:b/>
          <w:color w:val="auto"/>
          <w:sz w:val="22"/>
          <w:szCs w:val="22"/>
          <w:highlight w:val="none"/>
        </w:rPr>
      </w:pPr>
      <w:r>
        <w:rPr>
          <w:rFonts w:hint="eastAsia" w:ascii="宋体" w:hAnsi="宋体"/>
          <w:b/>
          <w:color w:val="auto"/>
          <w:sz w:val="22"/>
          <w:szCs w:val="22"/>
          <w:highlight w:val="none"/>
        </w:rPr>
        <w:t>（五）采购服务内容要求</w:t>
      </w:r>
    </w:p>
    <w:p w14:paraId="383BFB17">
      <w:pPr>
        <w:snapToGrid w:val="0"/>
        <w:spacing w:line="40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1、云基础服务要求</w:t>
      </w:r>
    </w:p>
    <w:p w14:paraId="47EFE54D">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（1）</w:t>
      </w:r>
      <w:r>
        <w:rPr>
          <w:rFonts w:ascii="宋体" w:hAnsi="宋体"/>
          <w:b/>
          <w:color w:val="auto"/>
          <w:sz w:val="22"/>
          <w:szCs w:val="22"/>
          <w:highlight w:val="none"/>
        </w:rPr>
        <w:t>云主机要求</w:t>
      </w:r>
      <w:r>
        <w:rPr>
          <w:rFonts w:hint="eastAsia" w:ascii="宋体" w:hAnsi="宋体"/>
          <w:b/>
          <w:color w:val="auto"/>
          <w:sz w:val="22"/>
          <w:szCs w:val="22"/>
          <w:highlight w:val="none"/>
        </w:rPr>
        <w:t>（含安全管理模块EDR）</w:t>
      </w:r>
    </w:p>
    <w:tbl>
      <w:tblPr>
        <w:tblStyle w:val="46"/>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151"/>
        <w:gridCol w:w="1429"/>
      </w:tblGrid>
      <w:tr w14:paraId="7838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62" w:type="dxa"/>
            <w:tcBorders>
              <w:top w:val="single" w:color="auto" w:sz="4" w:space="0"/>
              <w:left w:val="single" w:color="auto" w:sz="4" w:space="0"/>
              <w:bottom w:val="single" w:color="auto" w:sz="4" w:space="0"/>
              <w:right w:val="single" w:color="auto" w:sz="4" w:space="0"/>
            </w:tcBorders>
            <w:noWrap/>
            <w:vAlign w:val="center"/>
          </w:tcPr>
          <w:p w14:paraId="14049DEC">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指标项</w:t>
            </w:r>
          </w:p>
        </w:tc>
        <w:tc>
          <w:tcPr>
            <w:tcW w:w="7151" w:type="dxa"/>
            <w:tcBorders>
              <w:top w:val="single" w:color="auto" w:sz="4" w:space="0"/>
              <w:left w:val="single" w:color="auto" w:sz="4" w:space="0"/>
              <w:bottom w:val="single" w:color="auto" w:sz="4" w:space="0"/>
              <w:right w:val="single" w:color="auto" w:sz="4" w:space="0"/>
            </w:tcBorders>
            <w:noWrap/>
            <w:vAlign w:val="center"/>
          </w:tcPr>
          <w:p w14:paraId="4CD1B21F">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规格要求</w:t>
            </w:r>
          </w:p>
        </w:tc>
        <w:tc>
          <w:tcPr>
            <w:tcW w:w="1429" w:type="dxa"/>
            <w:tcBorders>
              <w:top w:val="single" w:color="auto" w:sz="4" w:space="0"/>
              <w:left w:val="single" w:color="auto" w:sz="4" w:space="0"/>
              <w:bottom w:val="single" w:color="auto" w:sz="4" w:space="0"/>
              <w:right w:val="single" w:color="auto" w:sz="4" w:space="0"/>
            </w:tcBorders>
            <w:vAlign w:val="center"/>
          </w:tcPr>
          <w:p w14:paraId="4134477F">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508D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62" w:type="dxa"/>
            <w:vMerge w:val="restart"/>
            <w:tcBorders>
              <w:top w:val="single" w:color="auto" w:sz="4" w:space="0"/>
              <w:left w:val="single" w:color="auto" w:sz="4" w:space="0"/>
              <w:right w:val="single" w:color="auto" w:sz="4" w:space="0"/>
            </w:tcBorders>
            <w:vAlign w:val="center"/>
          </w:tcPr>
          <w:p w14:paraId="4A22B01C">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基本功能</w:t>
            </w:r>
          </w:p>
        </w:tc>
        <w:tc>
          <w:tcPr>
            <w:tcW w:w="7151" w:type="dxa"/>
            <w:tcBorders>
              <w:top w:val="single" w:color="auto" w:sz="4" w:space="0"/>
              <w:left w:val="single" w:color="auto" w:sz="4" w:space="0"/>
              <w:bottom w:val="single" w:color="auto" w:sz="4" w:space="0"/>
              <w:right w:val="single" w:color="auto" w:sz="4" w:space="0"/>
            </w:tcBorders>
            <w:noWrap/>
            <w:vAlign w:val="center"/>
          </w:tcPr>
          <w:p w14:paraId="43335F6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云主机CPU核数可选范围1-16核， 64G内存、8TB数据盘。</w:t>
            </w:r>
          </w:p>
        </w:tc>
        <w:tc>
          <w:tcPr>
            <w:tcW w:w="1429" w:type="dxa"/>
            <w:tcBorders>
              <w:top w:val="single" w:color="auto" w:sz="4" w:space="0"/>
              <w:left w:val="single" w:color="auto" w:sz="4" w:space="0"/>
              <w:bottom w:val="single" w:color="auto" w:sz="4" w:space="0"/>
              <w:right w:val="single" w:color="auto" w:sz="4" w:space="0"/>
            </w:tcBorders>
            <w:vAlign w:val="center"/>
          </w:tcPr>
          <w:p w14:paraId="512BE3E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4D94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62" w:type="dxa"/>
            <w:vMerge w:val="continue"/>
            <w:tcBorders>
              <w:left w:val="single" w:color="auto" w:sz="4" w:space="0"/>
              <w:right w:val="single" w:color="auto" w:sz="4" w:space="0"/>
            </w:tcBorders>
            <w:vAlign w:val="center"/>
          </w:tcPr>
          <w:p w14:paraId="0480E66E">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1B55725B">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互联网出口独享带宽可选范围2-100Mb。</w:t>
            </w:r>
          </w:p>
        </w:tc>
        <w:tc>
          <w:tcPr>
            <w:tcW w:w="1429" w:type="dxa"/>
            <w:tcBorders>
              <w:top w:val="single" w:color="auto" w:sz="4" w:space="0"/>
              <w:left w:val="single" w:color="auto" w:sz="4" w:space="0"/>
              <w:bottom w:val="single" w:color="auto" w:sz="4" w:space="0"/>
              <w:right w:val="single" w:color="auto" w:sz="4" w:space="0"/>
            </w:tcBorders>
            <w:vAlign w:val="center"/>
          </w:tcPr>
          <w:p w14:paraId="6976168B">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4AF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62" w:type="dxa"/>
            <w:vMerge w:val="continue"/>
            <w:tcBorders>
              <w:left w:val="single" w:color="auto" w:sz="4" w:space="0"/>
              <w:right w:val="single" w:color="auto" w:sz="4" w:space="0"/>
            </w:tcBorders>
            <w:vAlign w:val="center"/>
          </w:tcPr>
          <w:p w14:paraId="053F0EA8">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6CFA9A4D">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虚拟主机支持主流的WINDOWS、LINUX等操作系统，兼容常见的操作系统</w:t>
            </w:r>
          </w:p>
        </w:tc>
        <w:tc>
          <w:tcPr>
            <w:tcW w:w="1429" w:type="dxa"/>
            <w:tcBorders>
              <w:top w:val="single" w:color="auto" w:sz="4" w:space="0"/>
              <w:left w:val="single" w:color="auto" w:sz="4" w:space="0"/>
              <w:bottom w:val="single" w:color="auto" w:sz="4" w:space="0"/>
              <w:right w:val="single" w:color="auto" w:sz="4" w:space="0"/>
            </w:tcBorders>
            <w:vAlign w:val="center"/>
          </w:tcPr>
          <w:p w14:paraId="207A5955">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31D3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Merge w:val="continue"/>
            <w:tcBorders>
              <w:left w:val="single" w:color="auto" w:sz="4" w:space="0"/>
              <w:bottom w:val="single" w:color="auto" w:sz="4" w:space="0"/>
              <w:right w:val="single" w:color="auto" w:sz="4" w:space="0"/>
            </w:tcBorders>
            <w:noWrap/>
            <w:vAlign w:val="center"/>
          </w:tcPr>
          <w:p w14:paraId="57C1013D">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516FCC4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支持SATA磁盘块存储和SSD高性能块存储两种分布式存储规格。</w:t>
            </w:r>
          </w:p>
        </w:tc>
        <w:tc>
          <w:tcPr>
            <w:tcW w:w="1429" w:type="dxa"/>
            <w:tcBorders>
              <w:top w:val="single" w:color="auto" w:sz="4" w:space="0"/>
              <w:left w:val="single" w:color="auto" w:sz="4" w:space="0"/>
              <w:bottom w:val="single" w:color="auto" w:sz="4" w:space="0"/>
              <w:right w:val="single" w:color="auto" w:sz="4" w:space="0"/>
            </w:tcBorders>
            <w:vAlign w:val="center"/>
          </w:tcPr>
          <w:p w14:paraId="744CDE65">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F43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Merge w:val="restart"/>
            <w:tcBorders>
              <w:top w:val="single" w:color="auto" w:sz="4" w:space="0"/>
              <w:left w:val="single" w:color="auto" w:sz="4" w:space="0"/>
              <w:bottom w:val="single" w:color="auto" w:sz="4" w:space="0"/>
              <w:right w:val="single" w:color="auto" w:sz="4" w:space="0"/>
            </w:tcBorders>
            <w:noWrap/>
            <w:vAlign w:val="center"/>
          </w:tcPr>
          <w:p w14:paraId="182D6D2A">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扩展功能</w:t>
            </w:r>
          </w:p>
        </w:tc>
        <w:tc>
          <w:tcPr>
            <w:tcW w:w="7151" w:type="dxa"/>
            <w:tcBorders>
              <w:top w:val="single" w:color="auto" w:sz="4" w:space="0"/>
              <w:left w:val="single" w:color="auto" w:sz="4" w:space="0"/>
              <w:bottom w:val="single" w:color="auto" w:sz="4" w:space="0"/>
              <w:right w:val="single" w:color="auto" w:sz="4" w:space="0"/>
            </w:tcBorders>
            <w:noWrap/>
            <w:vAlign w:val="center"/>
          </w:tcPr>
          <w:p w14:paraId="404BC52C">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按需开通。根据用户的需求动态的创建和分配计算、存储、网络带宽等资源；用户可以在线按时长购买云主机，并支持任意时刻的续费管理。</w:t>
            </w:r>
          </w:p>
        </w:tc>
        <w:tc>
          <w:tcPr>
            <w:tcW w:w="1429" w:type="dxa"/>
            <w:tcBorders>
              <w:top w:val="single" w:color="auto" w:sz="4" w:space="0"/>
              <w:left w:val="single" w:color="auto" w:sz="4" w:space="0"/>
              <w:bottom w:val="single" w:color="auto" w:sz="4" w:space="0"/>
              <w:right w:val="single" w:color="auto" w:sz="4" w:space="0"/>
            </w:tcBorders>
            <w:vAlign w:val="center"/>
          </w:tcPr>
          <w:p w14:paraId="1AF8F9FE">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3DBE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0770E6F0">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583C18D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云主机创建。创建后，云主机已包含有操作系统，可立即使用，从创建到启动在5分钟以内。</w:t>
            </w:r>
          </w:p>
        </w:tc>
        <w:tc>
          <w:tcPr>
            <w:tcW w:w="1429" w:type="dxa"/>
            <w:tcBorders>
              <w:top w:val="single" w:color="auto" w:sz="4" w:space="0"/>
              <w:left w:val="single" w:color="auto" w:sz="4" w:space="0"/>
              <w:bottom w:val="single" w:color="auto" w:sz="4" w:space="0"/>
              <w:right w:val="single" w:color="auto" w:sz="4" w:space="0"/>
            </w:tcBorders>
            <w:vAlign w:val="center"/>
          </w:tcPr>
          <w:p w14:paraId="71BA0A16">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11C5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6F156C82">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3FB101F0">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云主机升级。当云主机现有配置不满足要求时，用户可自主进行云主机配置快速升级，可升级配置包括：CPU，内存，网络带宽等；配置升级生效时间在10分钟以内。</w:t>
            </w:r>
          </w:p>
        </w:tc>
        <w:tc>
          <w:tcPr>
            <w:tcW w:w="1429" w:type="dxa"/>
            <w:tcBorders>
              <w:top w:val="single" w:color="auto" w:sz="4" w:space="0"/>
              <w:left w:val="single" w:color="auto" w:sz="4" w:space="0"/>
              <w:bottom w:val="single" w:color="auto" w:sz="4" w:space="0"/>
              <w:right w:val="single" w:color="auto" w:sz="4" w:space="0"/>
            </w:tcBorders>
            <w:vAlign w:val="center"/>
          </w:tcPr>
          <w:p w14:paraId="2FB243B7">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37C0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42BDF86A">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77C6A28E">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云主机克隆。指创建一台跟现有云主机一模一样的机器，根据云主机数据盘的大小整个克隆过程一般在15分钟以内。</w:t>
            </w:r>
          </w:p>
        </w:tc>
        <w:tc>
          <w:tcPr>
            <w:tcW w:w="1429" w:type="dxa"/>
            <w:tcBorders>
              <w:top w:val="single" w:color="auto" w:sz="4" w:space="0"/>
              <w:left w:val="single" w:color="auto" w:sz="4" w:space="0"/>
              <w:bottom w:val="single" w:color="auto" w:sz="4" w:space="0"/>
              <w:right w:val="single" w:color="auto" w:sz="4" w:space="0"/>
            </w:tcBorders>
            <w:vAlign w:val="center"/>
          </w:tcPr>
          <w:p w14:paraId="142BC83B">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A73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52481230">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3D4FC5F7">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云主机迁移。云平台根据物理主机负载情况综合调度，将云主机在不停机状态下从一台物理主机迁移到另外一台物理主机；在线迁移时，云主机应用完全不中断，用户完全无感知。</w:t>
            </w:r>
          </w:p>
        </w:tc>
        <w:tc>
          <w:tcPr>
            <w:tcW w:w="1429" w:type="dxa"/>
            <w:tcBorders>
              <w:top w:val="single" w:color="auto" w:sz="4" w:space="0"/>
              <w:left w:val="single" w:color="auto" w:sz="4" w:space="0"/>
              <w:bottom w:val="single" w:color="auto" w:sz="4" w:space="0"/>
              <w:right w:val="single" w:color="auto" w:sz="4" w:space="0"/>
            </w:tcBorders>
            <w:vAlign w:val="center"/>
          </w:tcPr>
          <w:p w14:paraId="02467CC8">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D42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Merge w:val="restart"/>
            <w:tcBorders>
              <w:top w:val="single" w:color="auto" w:sz="4" w:space="0"/>
              <w:left w:val="single" w:color="auto" w:sz="4" w:space="0"/>
              <w:bottom w:val="single" w:color="auto" w:sz="4" w:space="0"/>
              <w:right w:val="single" w:color="auto" w:sz="4" w:space="0"/>
            </w:tcBorders>
            <w:noWrap/>
            <w:vAlign w:val="center"/>
          </w:tcPr>
          <w:p w14:paraId="2D68874D">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管理功能</w:t>
            </w:r>
          </w:p>
        </w:tc>
        <w:tc>
          <w:tcPr>
            <w:tcW w:w="7151" w:type="dxa"/>
            <w:tcBorders>
              <w:top w:val="single" w:color="auto" w:sz="4" w:space="0"/>
              <w:left w:val="single" w:color="auto" w:sz="4" w:space="0"/>
              <w:bottom w:val="single" w:color="auto" w:sz="4" w:space="0"/>
              <w:right w:val="single" w:color="auto" w:sz="4" w:space="0"/>
            </w:tcBorders>
            <w:noWrap/>
            <w:vAlign w:val="center"/>
          </w:tcPr>
          <w:p w14:paraId="1AF5FD2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提供用户自服务门户和API接口，用户可自行创建不同规格的虚拟主机，自定义CPU、内存、网络、磁盘等属性。</w:t>
            </w:r>
          </w:p>
        </w:tc>
        <w:tc>
          <w:tcPr>
            <w:tcW w:w="1429" w:type="dxa"/>
            <w:tcBorders>
              <w:top w:val="single" w:color="auto" w:sz="4" w:space="0"/>
              <w:left w:val="single" w:color="auto" w:sz="4" w:space="0"/>
              <w:bottom w:val="single" w:color="auto" w:sz="4" w:space="0"/>
              <w:right w:val="single" w:color="auto" w:sz="4" w:space="0"/>
            </w:tcBorders>
            <w:vAlign w:val="center"/>
          </w:tcPr>
          <w:p w14:paraId="3D92FC84">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018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373B72F2">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1A3E4EBF">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提供虚拟主机的动态升级、快照备份、性能监测分析、异常告警、日志管理等功能。</w:t>
            </w:r>
          </w:p>
        </w:tc>
        <w:tc>
          <w:tcPr>
            <w:tcW w:w="1429" w:type="dxa"/>
            <w:tcBorders>
              <w:top w:val="single" w:color="auto" w:sz="4" w:space="0"/>
              <w:left w:val="single" w:color="auto" w:sz="4" w:space="0"/>
              <w:bottom w:val="single" w:color="auto" w:sz="4" w:space="0"/>
              <w:right w:val="single" w:color="auto" w:sz="4" w:space="0"/>
            </w:tcBorders>
            <w:vAlign w:val="center"/>
          </w:tcPr>
          <w:p w14:paraId="60F0E177">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AB8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5E8F2280">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6EED38F9">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提供快照和自定义镜像能力，支持对运行或停止状态的虚拟主机生成快照，应提供分钟级别快照回滚功能。</w:t>
            </w:r>
          </w:p>
        </w:tc>
        <w:tc>
          <w:tcPr>
            <w:tcW w:w="1429" w:type="dxa"/>
            <w:tcBorders>
              <w:top w:val="single" w:color="auto" w:sz="4" w:space="0"/>
              <w:left w:val="single" w:color="auto" w:sz="4" w:space="0"/>
              <w:bottom w:val="single" w:color="auto" w:sz="4" w:space="0"/>
              <w:right w:val="single" w:color="auto" w:sz="4" w:space="0"/>
            </w:tcBorders>
            <w:vAlign w:val="center"/>
          </w:tcPr>
          <w:p w14:paraId="193875B2">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EFB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62" w:type="dxa"/>
            <w:vMerge w:val="restart"/>
            <w:tcBorders>
              <w:top w:val="single" w:color="auto" w:sz="4" w:space="0"/>
              <w:left w:val="single" w:color="auto" w:sz="4" w:space="0"/>
              <w:bottom w:val="single" w:color="auto" w:sz="4" w:space="0"/>
              <w:right w:val="single" w:color="auto" w:sz="4" w:space="0"/>
            </w:tcBorders>
            <w:noWrap/>
            <w:vAlign w:val="center"/>
          </w:tcPr>
          <w:p w14:paraId="469001A9">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可靠性</w:t>
            </w:r>
          </w:p>
        </w:tc>
        <w:tc>
          <w:tcPr>
            <w:tcW w:w="7151" w:type="dxa"/>
            <w:tcBorders>
              <w:top w:val="single" w:color="auto" w:sz="4" w:space="0"/>
              <w:left w:val="single" w:color="auto" w:sz="4" w:space="0"/>
              <w:bottom w:val="single" w:color="auto" w:sz="4" w:space="0"/>
              <w:right w:val="single" w:color="auto" w:sz="4" w:space="0"/>
            </w:tcBorders>
            <w:noWrap/>
            <w:vAlign w:val="center"/>
          </w:tcPr>
          <w:p w14:paraId="2153C0B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数据备份。云主机数据在云计算平台有三份（含）以上数据拷贝，单份数据损坏对云主机使用没任何影响，且一份数据损坏后，后台系统会自动拷贝，使数据始终保证三重备份。</w:t>
            </w:r>
          </w:p>
        </w:tc>
        <w:tc>
          <w:tcPr>
            <w:tcW w:w="1429" w:type="dxa"/>
            <w:tcBorders>
              <w:top w:val="single" w:color="auto" w:sz="4" w:space="0"/>
              <w:left w:val="single" w:color="auto" w:sz="4" w:space="0"/>
              <w:bottom w:val="single" w:color="auto" w:sz="4" w:space="0"/>
              <w:right w:val="single" w:color="auto" w:sz="4" w:space="0"/>
            </w:tcBorders>
            <w:vAlign w:val="center"/>
          </w:tcPr>
          <w:p w14:paraId="14355F2B">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3539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274208E9">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06A4E7CB">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磁盘快照。需要提供云主机任一时刻的磁盘快照功能，含快照制作，快照回滚，快照恢复等。</w:t>
            </w:r>
          </w:p>
        </w:tc>
        <w:tc>
          <w:tcPr>
            <w:tcW w:w="1429" w:type="dxa"/>
            <w:tcBorders>
              <w:top w:val="single" w:color="auto" w:sz="4" w:space="0"/>
              <w:left w:val="single" w:color="auto" w:sz="4" w:space="0"/>
              <w:bottom w:val="single" w:color="auto" w:sz="4" w:space="0"/>
              <w:right w:val="single" w:color="auto" w:sz="4" w:space="0"/>
            </w:tcBorders>
            <w:vAlign w:val="center"/>
          </w:tcPr>
          <w:p w14:paraId="2E02559D">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4D7E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358B1D3D">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112315C7">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故障恢复。云主机发生故障后，切换恢复时间在30分钟以内。</w:t>
            </w:r>
          </w:p>
        </w:tc>
        <w:tc>
          <w:tcPr>
            <w:tcW w:w="1429" w:type="dxa"/>
            <w:tcBorders>
              <w:top w:val="single" w:color="auto" w:sz="4" w:space="0"/>
              <w:left w:val="single" w:color="auto" w:sz="4" w:space="0"/>
              <w:bottom w:val="single" w:color="auto" w:sz="4" w:space="0"/>
              <w:right w:val="single" w:color="auto" w:sz="4" w:space="0"/>
            </w:tcBorders>
            <w:vAlign w:val="center"/>
          </w:tcPr>
          <w:p w14:paraId="7EC63AEE">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3209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560351DF">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4BEB85C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虚拟主机服务采用全冗余架构，无单点故障，平均可用性不低于99.9%。</w:t>
            </w:r>
          </w:p>
        </w:tc>
        <w:tc>
          <w:tcPr>
            <w:tcW w:w="1429" w:type="dxa"/>
            <w:tcBorders>
              <w:top w:val="single" w:color="auto" w:sz="4" w:space="0"/>
              <w:left w:val="single" w:color="auto" w:sz="4" w:space="0"/>
              <w:bottom w:val="single" w:color="auto" w:sz="4" w:space="0"/>
              <w:right w:val="single" w:color="auto" w:sz="4" w:space="0"/>
            </w:tcBorders>
            <w:vAlign w:val="center"/>
          </w:tcPr>
          <w:p w14:paraId="2A2DFFFE">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78C9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62" w:type="dxa"/>
            <w:vMerge w:val="restart"/>
            <w:tcBorders>
              <w:top w:val="single" w:color="auto" w:sz="4" w:space="0"/>
              <w:left w:val="single" w:color="auto" w:sz="4" w:space="0"/>
              <w:bottom w:val="single" w:color="auto" w:sz="4" w:space="0"/>
              <w:right w:val="single" w:color="auto" w:sz="4" w:space="0"/>
            </w:tcBorders>
            <w:noWrap/>
            <w:vAlign w:val="center"/>
          </w:tcPr>
          <w:p w14:paraId="2FCBFF0D">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安全性</w:t>
            </w:r>
          </w:p>
        </w:tc>
        <w:tc>
          <w:tcPr>
            <w:tcW w:w="7151" w:type="dxa"/>
            <w:tcBorders>
              <w:top w:val="single" w:color="auto" w:sz="4" w:space="0"/>
              <w:left w:val="single" w:color="auto" w:sz="4" w:space="0"/>
              <w:bottom w:val="single" w:color="auto" w:sz="4" w:space="0"/>
              <w:right w:val="single" w:color="auto" w:sz="4" w:space="0"/>
            </w:tcBorders>
            <w:noWrap/>
            <w:vAlign w:val="center"/>
          </w:tcPr>
          <w:p w14:paraId="361EA14E">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防ARP欺骗，防DDos攻击，提供流量清洗服务</w:t>
            </w:r>
          </w:p>
        </w:tc>
        <w:tc>
          <w:tcPr>
            <w:tcW w:w="1429" w:type="dxa"/>
            <w:tcBorders>
              <w:top w:val="single" w:color="auto" w:sz="4" w:space="0"/>
              <w:left w:val="single" w:color="auto" w:sz="4" w:space="0"/>
              <w:bottom w:val="single" w:color="auto" w:sz="4" w:space="0"/>
              <w:right w:val="single" w:color="auto" w:sz="4" w:space="0"/>
            </w:tcBorders>
            <w:vAlign w:val="center"/>
          </w:tcPr>
          <w:p w14:paraId="00E5861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C32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vMerge w:val="continue"/>
            <w:tcBorders>
              <w:top w:val="single" w:color="auto" w:sz="4" w:space="0"/>
              <w:left w:val="single" w:color="auto" w:sz="4" w:space="0"/>
              <w:bottom w:val="single" w:color="auto" w:sz="4" w:space="0"/>
              <w:right w:val="single" w:color="auto" w:sz="4" w:space="0"/>
            </w:tcBorders>
            <w:vAlign w:val="center"/>
          </w:tcPr>
          <w:p w14:paraId="7E4B30B8">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7151" w:type="dxa"/>
            <w:tcBorders>
              <w:top w:val="single" w:color="auto" w:sz="4" w:space="0"/>
              <w:left w:val="single" w:color="auto" w:sz="4" w:space="0"/>
              <w:bottom w:val="single" w:color="auto" w:sz="4" w:space="0"/>
              <w:right w:val="single" w:color="auto" w:sz="4" w:space="0"/>
            </w:tcBorders>
            <w:noWrap/>
            <w:vAlign w:val="center"/>
          </w:tcPr>
          <w:p w14:paraId="38F950C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用户可自助开通安全组，并定义安全组规则。</w:t>
            </w:r>
          </w:p>
        </w:tc>
        <w:tc>
          <w:tcPr>
            <w:tcW w:w="1429" w:type="dxa"/>
            <w:tcBorders>
              <w:top w:val="single" w:color="auto" w:sz="4" w:space="0"/>
              <w:left w:val="single" w:color="auto" w:sz="4" w:space="0"/>
              <w:bottom w:val="single" w:color="auto" w:sz="4" w:space="0"/>
              <w:right w:val="single" w:color="auto" w:sz="4" w:space="0"/>
            </w:tcBorders>
            <w:vAlign w:val="center"/>
          </w:tcPr>
          <w:p w14:paraId="4F35769F">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bl>
    <w:p w14:paraId="6CA3B163">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（2）高性能云主机要求（含安全管理模块EDR）</w:t>
      </w:r>
    </w:p>
    <w:tbl>
      <w:tblPr>
        <w:tblStyle w:val="46"/>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7186"/>
        <w:gridCol w:w="1429"/>
      </w:tblGrid>
      <w:tr w14:paraId="00D0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2B3D5051">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指标项</w:t>
            </w:r>
          </w:p>
        </w:tc>
        <w:tc>
          <w:tcPr>
            <w:tcW w:w="7186" w:type="dxa"/>
            <w:vAlign w:val="center"/>
          </w:tcPr>
          <w:p w14:paraId="4BF0B647">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指标要求</w:t>
            </w:r>
          </w:p>
        </w:tc>
        <w:tc>
          <w:tcPr>
            <w:tcW w:w="1429" w:type="dxa"/>
            <w:vAlign w:val="center"/>
          </w:tcPr>
          <w:p w14:paraId="57B1874E">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4AF2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38B88C87">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设备商资质</w:t>
            </w:r>
          </w:p>
        </w:tc>
        <w:tc>
          <w:tcPr>
            <w:tcW w:w="7186" w:type="dxa"/>
            <w:vAlign w:val="center"/>
          </w:tcPr>
          <w:p w14:paraId="4960ED8B">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提供中国信息安全认证中心《信息安全应急处理服务资质（一级）》和《信息系统安全集成服务资质（一级）》认证证书</w:t>
            </w:r>
          </w:p>
        </w:tc>
        <w:tc>
          <w:tcPr>
            <w:tcW w:w="1429" w:type="dxa"/>
            <w:vAlign w:val="center"/>
          </w:tcPr>
          <w:p w14:paraId="00DB53DE">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256A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vAlign w:val="center"/>
          </w:tcPr>
          <w:p w14:paraId="019F2FF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投标品牌</w:t>
            </w:r>
          </w:p>
        </w:tc>
        <w:tc>
          <w:tcPr>
            <w:tcW w:w="7186" w:type="dxa"/>
            <w:vAlign w:val="center"/>
          </w:tcPr>
          <w:p w14:paraId="2E02B76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国产自主品牌，非OEM机型，投标机型能够在中国官方网站下载到完整的中文资料，包含产品彩页、规格白皮书、兼容性列表、用户指南、安装升级指南等</w:t>
            </w:r>
          </w:p>
        </w:tc>
        <w:tc>
          <w:tcPr>
            <w:tcW w:w="1429" w:type="dxa"/>
            <w:vAlign w:val="center"/>
          </w:tcPr>
          <w:p w14:paraId="5A7F44A8">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27EC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vAlign w:val="center"/>
          </w:tcPr>
          <w:p w14:paraId="1E6348C1">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p>
        </w:tc>
        <w:tc>
          <w:tcPr>
            <w:tcW w:w="7186" w:type="dxa"/>
            <w:vAlign w:val="center"/>
          </w:tcPr>
          <w:p w14:paraId="4F6BA96F">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可提供与服务器同品牌的交换机、存储等基础设施</w:t>
            </w:r>
          </w:p>
        </w:tc>
        <w:tc>
          <w:tcPr>
            <w:tcW w:w="1429" w:type="dxa"/>
            <w:vAlign w:val="center"/>
          </w:tcPr>
          <w:p w14:paraId="16E2ECCB">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2AE4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27" w:type="dxa"/>
            <w:vAlign w:val="center"/>
          </w:tcPr>
          <w:p w14:paraId="51E6FE0D">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产品资质</w:t>
            </w:r>
          </w:p>
        </w:tc>
        <w:tc>
          <w:tcPr>
            <w:tcW w:w="7186" w:type="dxa"/>
            <w:vAlign w:val="center"/>
          </w:tcPr>
          <w:p w14:paraId="36A0EB7F">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提供中国环境标志产品认证证书</w:t>
            </w:r>
            <w:r>
              <w:rPr>
                <w:rFonts w:hint="default" w:ascii="宋体" w:hAnsi="宋体" w:cs="宋体"/>
                <w:color w:val="auto"/>
                <w:sz w:val="22"/>
                <w:szCs w:val="22"/>
                <w:highlight w:val="none"/>
                <w:woUserID w:val="1"/>
              </w:rPr>
              <w:t>，</w:t>
            </w:r>
            <w:r>
              <w:rPr>
                <w:rFonts w:hint="eastAsia" w:ascii="宋体" w:hAnsi="宋体" w:cs="宋体"/>
                <w:color w:val="auto"/>
                <w:sz w:val="22"/>
                <w:szCs w:val="22"/>
                <w:highlight w:val="none"/>
              </w:rPr>
              <w:t>提供证明材料</w:t>
            </w:r>
          </w:p>
        </w:tc>
        <w:tc>
          <w:tcPr>
            <w:tcW w:w="1429" w:type="dxa"/>
            <w:vAlign w:val="center"/>
          </w:tcPr>
          <w:p w14:paraId="13B5327C">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2479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vAlign w:val="center"/>
          </w:tcPr>
          <w:p w14:paraId="5A2EB856">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可管理性</w:t>
            </w:r>
          </w:p>
        </w:tc>
        <w:tc>
          <w:tcPr>
            <w:tcW w:w="7186" w:type="dxa"/>
            <w:vAlign w:val="center"/>
          </w:tcPr>
          <w:p w14:paraId="537E82B0">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olor w:val="auto"/>
                <w:sz w:val="22"/>
                <w:szCs w:val="22"/>
                <w:highlight w:val="none"/>
              </w:rPr>
              <w:t>★</w:t>
            </w:r>
            <w:r>
              <w:rPr>
                <w:rFonts w:hint="eastAsia" w:ascii="宋体" w:hAnsi="宋体" w:cs="宋体"/>
                <w:color w:val="auto"/>
                <w:sz w:val="22"/>
                <w:szCs w:val="22"/>
                <w:highlight w:val="none"/>
              </w:rPr>
              <w:t>具备带外故障检测功能，不依赖于OS，对CPU故障；I2C和 IPMB总线故障；内存故障；PCIe设备故障；硬盘故障，系统宕机等进行分析和定位，提供白皮书或官网证明材料</w:t>
            </w:r>
          </w:p>
        </w:tc>
        <w:tc>
          <w:tcPr>
            <w:tcW w:w="1429" w:type="dxa"/>
            <w:vAlign w:val="center"/>
          </w:tcPr>
          <w:p w14:paraId="40C2CC88">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6ED7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vAlign w:val="center"/>
          </w:tcPr>
          <w:p w14:paraId="4B19BD86">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p>
        </w:tc>
        <w:tc>
          <w:tcPr>
            <w:tcW w:w="7186" w:type="dxa"/>
            <w:vAlign w:val="center"/>
          </w:tcPr>
          <w:p w14:paraId="450E593C">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olor w:val="auto"/>
                <w:sz w:val="22"/>
                <w:szCs w:val="22"/>
                <w:highlight w:val="none"/>
              </w:rPr>
              <w:t>★</w:t>
            </w:r>
            <w:r>
              <w:rPr>
                <w:rFonts w:hint="eastAsia" w:ascii="宋体" w:hAnsi="宋体" w:cs="宋体"/>
                <w:color w:val="auto"/>
                <w:sz w:val="22"/>
                <w:szCs w:val="22"/>
                <w:highlight w:val="none"/>
              </w:rPr>
              <w:t>支持最后一屏、中文BIOS界面功能，提供官方截图证明</w:t>
            </w:r>
          </w:p>
        </w:tc>
        <w:tc>
          <w:tcPr>
            <w:tcW w:w="1429" w:type="dxa"/>
            <w:vAlign w:val="center"/>
          </w:tcPr>
          <w:p w14:paraId="1D8D36C5">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7C3A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vAlign w:val="center"/>
          </w:tcPr>
          <w:p w14:paraId="7C3B30A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p>
        </w:tc>
        <w:tc>
          <w:tcPr>
            <w:tcW w:w="7186" w:type="dxa"/>
            <w:vAlign w:val="center"/>
          </w:tcPr>
          <w:p w14:paraId="2026D75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olor w:val="auto"/>
                <w:sz w:val="22"/>
                <w:szCs w:val="22"/>
                <w:highlight w:val="none"/>
              </w:rPr>
              <w:t>★</w:t>
            </w:r>
            <w:r>
              <w:rPr>
                <w:rFonts w:hint="eastAsia" w:ascii="宋体" w:hAnsi="宋体" w:cs="宋体"/>
                <w:color w:val="auto"/>
                <w:sz w:val="22"/>
                <w:szCs w:val="22"/>
                <w:highlight w:val="none"/>
              </w:rPr>
              <w:t>支持使用客户端证书和证书密码的双因素认证方式登录单板管理系统，提供白皮书或官网证明材料</w:t>
            </w:r>
          </w:p>
        </w:tc>
        <w:tc>
          <w:tcPr>
            <w:tcW w:w="1429" w:type="dxa"/>
            <w:vAlign w:val="center"/>
          </w:tcPr>
          <w:p w14:paraId="39942B06">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0E2F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vAlign w:val="center"/>
          </w:tcPr>
          <w:p w14:paraId="7F5CE10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p>
        </w:tc>
        <w:tc>
          <w:tcPr>
            <w:tcW w:w="7186" w:type="dxa"/>
            <w:vAlign w:val="center"/>
          </w:tcPr>
          <w:p w14:paraId="504A37EF">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olor w:val="auto"/>
                <w:sz w:val="22"/>
                <w:szCs w:val="22"/>
                <w:highlight w:val="none"/>
              </w:rPr>
              <w:t>★</w:t>
            </w:r>
            <w:r>
              <w:rPr>
                <w:rFonts w:hint="eastAsia" w:ascii="宋体" w:hAnsi="宋体" w:cs="宋体"/>
                <w:color w:val="auto"/>
                <w:sz w:val="22"/>
                <w:szCs w:val="22"/>
                <w:highlight w:val="none"/>
              </w:rPr>
              <w:t>支持黑匣子功能，支持linux系统内核panic时的内核栈信息记录和导出，便于记录的系统故障数据，方便问题定位，提供白皮书或官网证明材料</w:t>
            </w:r>
          </w:p>
        </w:tc>
        <w:tc>
          <w:tcPr>
            <w:tcW w:w="1429" w:type="dxa"/>
            <w:vAlign w:val="center"/>
          </w:tcPr>
          <w:p w14:paraId="1AB84A44">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617A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1491C62B">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安全特性</w:t>
            </w:r>
          </w:p>
        </w:tc>
        <w:tc>
          <w:tcPr>
            <w:tcW w:w="7186" w:type="dxa"/>
            <w:vAlign w:val="center"/>
          </w:tcPr>
          <w:p w14:paraId="78285FEE">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为保障数据安全，服务器管理系统配置国产自研管理芯片，提供对应证明材料</w:t>
            </w:r>
          </w:p>
        </w:tc>
        <w:tc>
          <w:tcPr>
            <w:tcW w:w="1429" w:type="dxa"/>
            <w:vAlign w:val="center"/>
          </w:tcPr>
          <w:p w14:paraId="77F69259">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6F0C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0257E2BC">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体系架构</w:t>
            </w:r>
          </w:p>
        </w:tc>
        <w:tc>
          <w:tcPr>
            <w:tcW w:w="7186" w:type="dxa"/>
          </w:tcPr>
          <w:p w14:paraId="0F4AE32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实配SAN与NAS统一存储，配置NAS协议（包括NFS和CIFS）、IP SAN和FC SAN协议，不需额外配置NAS网关，存储操作界面同时支持块存储和文件存储功能（须提供相关截图证明）</w:t>
            </w:r>
          </w:p>
        </w:tc>
        <w:tc>
          <w:tcPr>
            <w:tcW w:w="1429" w:type="dxa"/>
            <w:vAlign w:val="center"/>
          </w:tcPr>
          <w:p w14:paraId="3DCE4CD9">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58E6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64680B29">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控制器扩展能力</w:t>
            </w:r>
          </w:p>
        </w:tc>
        <w:tc>
          <w:tcPr>
            <w:tcW w:w="7186" w:type="dxa"/>
            <w:vAlign w:val="center"/>
          </w:tcPr>
          <w:p w14:paraId="70BD726B">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支持控制器扩展，最大支持≥8控；</w:t>
            </w:r>
          </w:p>
        </w:tc>
        <w:tc>
          <w:tcPr>
            <w:tcW w:w="1429" w:type="dxa"/>
          </w:tcPr>
          <w:p w14:paraId="4000277B">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5461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11C5C34F">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控制器配置</w:t>
            </w:r>
          </w:p>
        </w:tc>
        <w:tc>
          <w:tcPr>
            <w:tcW w:w="7186" w:type="dxa"/>
          </w:tcPr>
          <w:p w14:paraId="1B89865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配置双Active-Active控制器；</w:t>
            </w:r>
          </w:p>
        </w:tc>
        <w:tc>
          <w:tcPr>
            <w:tcW w:w="1429" w:type="dxa"/>
          </w:tcPr>
          <w:p w14:paraId="13774C22">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60E2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155BC68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控制器处理器</w:t>
            </w:r>
          </w:p>
        </w:tc>
        <w:tc>
          <w:tcPr>
            <w:tcW w:w="7186" w:type="dxa"/>
            <w:vAlign w:val="center"/>
          </w:tcPr>
          <w:p w14:paraId="125E70D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采用多核处理器，配置控制器处理器总物理核心数≥96核</w:t>
            </w:r>
          </w:p>
        </w:tc>
        <w:tc>
          <w:tcPr>
            <w:tcW w:w="1429" w:type="dxa"/>
          </w:tcPr>
          <w:p w14:paraId="2B2EA571">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1AB0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072B5A5E">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存储缓存容量</w:t>
            </w:r>
          </w:p>
        </w:tc>
        <w:tc>
          <w:tcPr>
            <w:tcW w:w="7186" w:type="dxa"/>
          </w:tcPr>
          <w:p w14:paraId="3FFD0D5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系统内总一级缓存容量配置≥512GB，且任意控制器一级缓存容量≥256GB（不含任何性能加速模块、FlashCache、PAM卡，SSD Cache、SCM等）</w:t>
            </w:r>
          </w:p>
          <w:p w14:paraId="3AA6A377">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s="宋体"/>
                <w:color w:val="auto"/>
                <w:sz w:val="22"/>
                <w:szCs w:val="22"/>
                <w:highlight w:val="none"/>
              </w:rPr>
              <w:t>控制器缓存均具备断电保护功能， 在出现电源故障时，可提供充足的电源，将高速缓存内容转储至非易失性内部存储设备上（非通用服务器架构）</w:t>
            </w:r>
          </w:p>
        </w:tc>
        <w:tc>
          <w:tcPr>
            <w:tcW w:w="1429" w:type="dxa"/>
          </w:tcPr>
          <w:p w14:paraId="5F8DA15A">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1F46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72D21D80">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后端磁盘通道</w:t>
            </w:r>
          </w:p>
        </w:tc>
        <w:tc>
          <w:tcPr>
            <w:tcW w:w="7186" w:type="dxa"/>
            <w:vAlign w:val="center"/>
          </w:tcPr>
          <w:p w14:paraId="2D7E0040">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配置后端磁盘通道带宽≥192Gbps</w:t>
            </w:r>
          </w:p>
        </w:tc>
        <w:tc>
          <w:tcPr>
            <w:tcW w:w="1429" w:type="dxa"/>
          </w:tcPr>
          <w:p w14:paraId="42F9FCF2">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588B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2F98C6CC">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配置硬盘</w:t>
            </w:r>
          </w:p>
        </w:tc>
        <w:tc>
          <w:tcPr>
            <w:tcW w:w="7186" w:type="dxa"/>
          </w:tcPr>
          <w:p w14:paraId="4C97654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配置≥8个3.84TB 企业级双端口TLC SAS SSD硬盘（非单端口），配置≥31个2.4TB 10K SAS硬盘</w:t>
            </w:r>
          </w:p>
        </w:tc>
        <w:tc>
          <w:tcPr>
            <w:tcW w:w="1429" w:type="dxa"/>
          </w:tcPr>
          <w:p w14:paraId="4B734ADA">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7C39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2F19C1C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Gartner魔力四象限</w:t>
            </w:r>
          </w:p>
        </w:tc>
        <w:tc>
          <w:tcPr>
            <w:tcW w:w="7186" w:type="dxa"/>
          </w:tcPr>
          <w:p w14:paraId="5A2D3EA0">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投标存储厂商（不含OEM原厂商）近四年（2017~2020年）入选Gartner通用磁盘阵列存储魔力四象限领导者象限；</w:t>
            </w:r>
          </w:p>
        </w:tc>
        <w:tc>
          <w:tcPr>
            <w:tcW w:w="1429" w:type="dxa"/>
          </w:tcPr>
          <w:p w14:paraId="5697AF7F">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r w14:paraId="6ADA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Align w:val="center"/>
          </w:tcPr>
          <w:p w14:paraId="7CB10C1A">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中国区销售排名</w:t>
            </w:r>
          </w:p>
        </w:tc>
        <w:tc>
          <w:tcPr>
            <w:tcW w:w="7186" w:type="dxa"/>
          </w:tcPr>
          <w:p w14:paraId="1FD4EC6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投标存储厂商（不含OEM原厂商）连续四年国内企业存储市场收入排名前五（2017至2020年）的专业存储厂商</w:t>
            </w:r>
          </w:p>
        </w:tc>
        <w:tc>
          <w:tcPr>
            <w:tcW w:w="1429" w:type="dxa"/>
          </w:tcPr>
          <w:p w14:paraId="749D74BA">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u w:val="wave"/>
              </w:rPr>
            </w:pPr>
          </w:p>
        </w:tc>
      </w:tr>
    </w:tbl>
    <w:p w14:paraId="35A33715">
      <w:pPr>
        <w:snapToGrid w:val="0"/>
        <w:spacing w:line="400" w:lineRule="atLeast"/>
        <w:ind w:firstLine="221" w:firstLineChars="100"/>
        <w:rPr>
          <w:rFonts w:ascii="宋体" w:hAnsi="宋体"/>
          <w:b/>
          <w:bCs/>
          <w:color w:val="auto"/>
          <w:sz w:val="22"/>
          <w:szCs w:val="22"/>
          <w:highlight w:val="none"/>
        </w:rPr>
      </w:pPr>
      <w:r>
        <w:rPr>
          <w:rFonts w:hint="eastAsia" w:ascii="宋体" w:hAnsi="宋体"/>
          <w:b/>
          <w:bCs/>
          <w:color w:val="auto"/>
          <w:kern w:val="0"/>
          <w:sz w:val="22"/>
          <w:szCs w:val="22"/>
          <w:highlight w:val="none"/>
        </w:rPr>
        <w:t>（3）安全管理模块</w:t>
      </w:r>
      <w:r>
        <w:rPr>
          <w:rFonts w:hint="eastAsia" w:ascii="宋体" w:hAnsi="宋体"/>
          <w:b/>
          <w:bCs/>
          <w:color w:val="auto"/>
          <w:sz w:val="22"/>
          <w:szCs w:val="22"/>
          <w:highlight w:val="none"/>
        </w:rPr>
        <w:t>EDR要求</w:t>
      </w:r>
    </w:p>
    <w:tbl>
      <w:tblPr>
        <w:tblStyle w:val="46"/>
        <w:tblW w:w="10042" w:type="dxa"/>
        <w:tblInd w:w="0" w:type="dxa"/>
        <w:tblLayout w:type="fixed"/>
        <w:tblCellMar>
          <w:top w:w="0" w:type="dxa"/>
          <w:left w:w="108" w:type="dxa"/>
          <w:bottom w:w="0" w:type="dxa"/>
          <w:right w:w="108" w:type="dxa"/>
        </w:tblCellMar>
      </w:tblPr>
      <w:tblGrid>
        <w:gridCol w:w="1464"/>
        <w:gridCol w:w="7149"/>
        <w:gridCol w:w="1429"/>
      </w:tblGrid>
      <w:tr w14:paraId="7125B4A5">
        <w:tblPrEx>
          <w:tblCellMar>
            <w:top w:w="0" w:type="dxa"/>
            <w:left w:w="108" w:type="dxa"/>
            <w:bottom w:w="0" w:type="dxa"/>
            <w:right w:w="108" w:type="dxa"/>
          </w:tblCellMar>
        </w:tblPrEx>
        <w:trPr>
          <w:trHeight w:val="280" w:hRule="atLeast"/>
        </w:trPr>
        <w:tc>
          <w:tcPr>
            <w:tcW w:w="1464"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128F4788">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指标项</w:t>
            </w:r>
          </w:p>
        </w:tc>
        <w:tc>
          <w:tcPr>
            <w:tcW w:w="7149" w:type="dxa"/>
            <w:tcBorders>
              <w:top w:val="single" w:color="auto" w:sz="4" w:space="0"/>
              <w:left w:val="nil"/>
              <w:bottom w:val="single" w:color="auto" w:sz="4" w:space="0"/>
              <w:right w:val="single" w:color="auto" w:sz="4" w:space="0"/>
            </w:tcBorders>
            <w:shd w:val="clear" w:color="auto" w:fill="FFFFFF"/>
            <w:vAlign w:val="bottom"/>
          </w:tcPr>
          <w:p w14:paraId="4503EF43">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技术参数</w:t>
            </w:r>
          </w:p>
        </w:tc>
        <w:tc>
          <w:tcPr>
            <w:tcW w:w="1429" w:type="dxa"/>
            <w:tcBorders>
              <w:top w:val="single" w:color="auto" w:sz="4" w:space="0"/>
              <w:left w:val="nil"/>
              <w:bottom w:val="single" w:color="auto" w:sz="4" w:space="0"/>
              <w:right w:val="single" w:color="auto" w:sz="4" w:space="0"/>
            </w:tcBorders>
            <w:shd w:val="clear" w:color="auto" w:fill="FFFFFF"/>
            <w:vAlign w:val="bottom"/>
          </w:tcPr>
          <w:p w14:paraId="42587A7F">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5F73F291">
        <w:tblPrEx>
          <w:tblCellMar>
            <w:top w:w="0" w:type="dxa"/>
            <w:left w:w="108" w:type="dxa"/>
            <w:bottom w:w="0" w:type="dxa"/>
            <w:right w:w="108" w:type="dxa"/>
          </w:tblCellMar>
        </w:tblPrEx>
        <w:trPr>
          <w:trHeight w:val="280" w:hRule="atLeast"/>
        </w:trPr>
        <w:tc>
          <w:tcPr>
            <w:tcW w:w="1464" w:type="dxa"/>
            <w:vMerge w:val="restart"/>
            <w:tcBorders>
              <w:top w:val="single" w:color="auto" w:sz="8" w:space="0"/>
              <w:left w:val="single" w:color="auto" w:sz="4" w:space="0"/>
              <w:right w:val="single" w:color="auto" w:sz="4" w:space="0"/>
            </w:tcBorders>
            <w:noWrap/>
            <w:vAlign w:val="center"/>
          </w:tcPr>
          <w:p w14:paraId="0F4F506A">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产品资质</w:t>
            </w:r>
          </w:p>
        </w:tc>
        <w:tc>
          <w:tcPr>
            <w:tcW w:w="7149" w:type="dxa"/>
            <w:tcBorders>
              <w:top w:val="single" w:color="auto" w:sz="8" w:space="0"/>
              <w:left w:val="nil"/>
              <w:bottom w:val="single" w:color="auto" w:sz="4" w:space="0"/>
              <w:right w:val="single" w:color="auto" w:sz="4" w:space="0"/>
            </w:tcBorders>
            <w:vAlign w:val="center"/>
          </w:tcPr>
          <w:p w14:paraId="4B7D9B8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color w:val="auto"/>
                <w:highlight w:val="none"/>
              </w:rPr>
              <w:t>★具由列入《承担网络关键设备和网络安全专用产品安全认证和安全检测任务机构名录》且认证检测范围包含网络安全专用产品的机构出具的安全认证合格或安全检测符合要求的有效证明文件。</w:t>
            </w:r>
          </w:p>
        </w:tc>
        <w:tc>
          <w:tcPr>
            <w:tcW w:w="1429" w:type="dxa"/>
            <w:tcBorders>
              <w:top w:val="single" w:color="auto" w:sz="8" w:space="0"/>
              <w:left w:val="nil"/>
              <w:bottom w:val="single" w:color="auto" w:sz="4" w:space="0"/>
              <w:right w:val="single" w:color="auto" w:sz="4" w:space="0"/>
            </w:tcBorders>
            <w:vAlign w:val="center"/>
          </w:tcPr>
          <w:p w14:paraId="510C08A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5A6E2D80">
        <w:tblPrEx>
          <w:tblCellMar>
            <w:top w:w="0" w:type="dxa"/>
            <w:left w:w="108" w:type="dxa"/>
            <w:bottom w:w="0" w:type="dxa"/>
            <w:right w:w="108" w:type="dxa"/>
          </w:tblCellMar>
        </w:tblPrEx>
        <w:trPr>
          <w:trHeight w:val="280" w:hRule="atLeast"/>
        </w:trPr>
        <w:tc>
          <w:tcPr>
            <w:tcW w:w="1464" w:type="dxa"/>
            <w:vMerge w:val="continue"/>
            <w:tcBorders>
              <w:left w:val="single" w:color="auto" w:sz="4" w:space="0"/>
              <w:right w:val="single" w:color="auto" w:sz="4" w:space="0"/>
            </w:tcBorders>
            <w:vAlign w:val="center"/>
          </w:tcPr>
          <w:p w14:paraId="344AC03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nil"/>
              <w:left w:val="nil"/>
              <w:bottom w:val="single" w:color="auto" w:sz="4" w:space="0"/>
              <w:right w:val="single" w:color="auto" w:sz="4" w:space="0"/>
            </w:tcBorders>
            <w:vAlign w:val="center"/>
          </w:tcPr>
          <w:p w14:paraId="2048191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color w:val="auto"/>
                <w:highlight w:val="none"/>
              </w:rPr>
              <w:t>★具备中国国家版权局颁布的《计算机软件著作权证书》</w:t>
            </w:r>
          </w:p>
        </w:tc>
        <w:tc>
          <w:tcPr>
            <w:tcW w:w="1429" w:type="dxa"/>
            <w:tcBorders>
              <w:top w:val="nil"/>
              <w:left w:val="nil"/>
              <w:bottom w:val="single" w:color="auto" w:sz="4" w:space="0"/>
              <w:right w:val="single" w:color="auto" w:sz="4" w:space="0"/>
            </w:tcBorders>
            <w:vAlign w:val="center"/>
          </w:tcPr>
          <w:p w14:paraId="5668D1A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1AAA6DE3">
        <w:tblPrEx>
          <w:tblCellMar>
            <w:top w:w="0" w:type="dxa"/>
            <w:left w:w="108" w:type="dxa"/>
            <w:bottom w:w="0" w:type="dxa"/>
            <w:right w:w="108" w:type="dxa"/>
          </w:tblCellMar>
        </w:tblPrEx>
        <w:trPr>
          <w:trHeight w:val="584" w:hRule="atLeast"/>
        </w:trPr>
        <w:tc>
          <w:tcPr>
            <w:tcW w:w="1464" w:type="dxa"/>
            <w:vMerge w:val="continue"/>
            <w:tcBorders>
              <w:left w:val="single" w:color="auto" w:sz="4" w:space="0"/>
              <w:right w:val="single" w:color="auto" w:sz="4" w:space="0"/>
            </w:tcBorders>
            <w:vAlign w:val="center"/>
          </w:tcPr>
          <w:p w14:paraId="031B872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nil"/>
              <w:left w:val="nil"/>
              <w:bottom w:val="single" w:color="auto" w:sz="4" w:space="0"/>
              <w:right w:val="single" w:color="auto" w:sz="4" w:space="0"/>
            </w:tcBorders>
            <w:vAlign w:val="center"/>
          </w:tcPr>
          <w:p w14:paraId="3B92DF0D">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color w:val="auto"/>
                <w:highlight w:val="none"/>
              </w:rPr>
              <w:t>★通过IPv6论坛IPv6 Ready Logo委员会认证并获得认证证书，提供证书</w:t>
            </w:r>
            <w:r>
              <w:rPr>
                <w:rFonts w:hint="eastAsia"/>
                <w:color w:val="auto"/>
                <w:highlight w:val="none"/>
                <w:lang w:val="en-US" w:eastAsia="zh-CN"/>
              </w:rPr>
              <w:t>扫描</w:t>
            </w:r>
            <w:r>
              <w:rPr>
                <w:rFonts w:hint="eastAsia"/>
                <w:color w:val="auto"/>
                <w:highlight w:val="none"/>
              </w:rPr>
              <w:t>件</w:t>
            </w:r>
          </w:p>
        </w:tc>
        <w:tc>
          <w:tcPr>
            <w:tcW w:w="1429" w:type="dxa"/>
            <w:tcBorders>
              <w:top w:val="nil"/>
              <w:left w:val="nil"/>
              <w:bottom w:val="single" w:color="auto" w:sz="4" w:space="0"/>
              <w:right w:val="single" w:color="auto" w:sz="4" w:space="0"/>
            </w:tcBorders>
            <w:vAlign w:val="center"/>
          </w:tcPr>
          <w:p w14:paraId="3874527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6A96E28B">
        <w:tblPrEx>
          <w:tblCellMar>
            <w:top w:w="0" w:type="dxa"/>
            <w:left w:w="108" w:type="dxa"/>
            <w:bottom w:w="0" w:type="dxa"/>
            <w:right w:w="108" w:type="dxa"/>
          </w:tblCellMar>
        </w:tblPrEx>
        <w:trPr>
          <w:trHeight w:val="732" w:hRule="atLeast"/>
        </w:trPr>
        <w:tc>
          <w:tcPr>
            <w:tcW w:w="1464" w:type="dxa"/>
            <w:vMerge w:val="continue"/>
            <w:tcBorders>
              <w:left w:val="single" w:color="auto" w:sz="4" w:space="0"/>
              <w:bottom w:val="single" w:color="auto" w:sz="4" w:space="0"/>
              <w:right w:val="single" w:color="auto" w:sz="4" w:space="0"/>
            </w:tcBorders>
            <w:vAlign w:val="center"/>
          </w:tcPr>
          <w:p w14:paraId="76C64CC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nil"/>
              <w:left w:val="nil"/>
              <w:bottom w:val="single" w:color="auto" w:sz="4" w:space="0"/>
              <w:right w:val="single" w:color="auto" w:sz="4" w:space="0"/>
            </w:tcBorders>
            <w:vAlign w:val="center"/>
          </w:tcPr>
          <w:p w14:paraId="167FBC9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软件要求在中华人民共和国境内开发，具备自主知识产权，提供软件著作权登记证书扫描件；</w:t>
            </w:r>
          </w:p>
        </w:tc>
        <w:tc>
          <w:tcPr>
            <w:tcW w:w="1429" w:type="dxa"/>
            <w:tcBorders>
              <w:top w:val="nil"/>
              <w:left w:val="nil"/>
              <w:bottom w:val="single" w:color="auto" w:sz="4" w:space="0"/>
              <w:right w:val="single" w:color="auto" w:sz="4" w:space="0"/>
            </w:tcBorders>
            <w:vAlign w:val="center"/>
          </w:tcPr>
          <w:p w14:paraId="3EB2F69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08967DBC">
        <w:tblPrEx>
          <w:tblCellMar>
            <w:top w:w="0" w:type="dxa"/>
            <w:left w:w="108" w:type="dxa"/>
            <w:bottom w:w="0" w:type="dxa"/>
            <w:right w:w="108" w:type="dxa"/>
          </w:tblCellMar>
        </w:tblPrEx>
        <w:trPr>
          <w:trHeight w:val="280" w:hRule="atLeast"/>
        </w:trPr>
        <w:tc>
          <w:tcPr>
            <w:tcW w:w="1464" w:type="dxa"/>
            <w:vMerge w:val="restart"/>
            <w:tcBorders>
              <w:left w:val="single" w:color="auto" w:sz="4" w:space="0"/>
              <w:right w:val="single" w:color="auto" w:sz="4" w:space="0"/>
            </w:tcBorders>
            <w:vAlign w:val="center"/>
          </w:tcPr>
          <w:p w14:paraId="7EA582E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基本要求</w:t>
            </w:r>
          </w:p>
        </w:tc>
        <w:tc>
          <w:tcPr>
            <w:tcW w:w="7149" w:type="dxa"/>
            <w:tcBorders>
              <w:top w:val="nil"/>
              <w:left w:val="nil"/>
              <w:bottom w:val="single" w:color="auto" w:sz="4" w:space="0"/>
              <w:right w:val="single" w:color="auto" w:sz="4" w:space="0"/>
            </w:tcBorders>
            <w:vAlign w:val="center"/>
          </w:tcPr>
          <w:p w14:paraId="704DEB7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支持通过云安全管理平台自动化部署管理端，防护端通过软件代理的方式部署在主机上；</w:t>
            </w:r>
          </w:p>
        </w:tc>
        <w:tc>
          <w:tcPr>
            <w:tcW w:w="1429" w:type="dxa"/>
            <w:tcBorders>
              <w:top w:val="nil"/>
              <w:left w:val="nil"/>
              <w:bottom w:val="single" w:color="auto" w:sz="4" w:space="0"/>
              <w:right w:val="single" w:color="auto" w:sz="4" w:space="0"/>
            </w:tcBorders>
            <w:vAlign w:val="center"/>
          </w:tcPr>
          <w:p w14:paraId="1A94A1A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5742EEAD">
        <w:tblPrEx>
          <w:tblCellMar>
            <w:top w:w="0" w:type="dxa"/>
            <w:left w:w="108" w:type="dxa"/>
            <w:bottom w:w="0" w:type="dxa"/>
            <w:right w:w="108" w:type="dxa"/>
          </w:tblCellMar>
        </w:tblPrEx>
        <w:trPr>
          <w:trHeight w:val="280" w:hRule="atLeast"/>
        </w:trPr>
        <w:tc>
          <w:tcPr>
            <w:tcW w:w="1464" w:type="dxa"/>
            <w:vMerge w:val="continue"/>
            <w:tcBorders>
              <w:left w:val="single" w:color="auto" w:sz="4" w:space="0"/>
              <w:bottom w:val="single" w:color="auto" w:sz="4" w:space="0"/>
              <w:right w:val="single" w:color="auto" w:sz="4" w:space="0"/>
            </w:tcBorders>
            <w:vAlign w:val="center"/>
          </w:tcPr>
          <w:p w14:paraId="11173CA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nil"/>
              <w:left w:val="nil"/>
              <w:bottom w:val="single" w:color="auto" w:sz="4" w:space="0"/>
              <w:right w:val="single" w:color="auto" w:sz="4" w:space="0"/>
            </w:tcBorders>
            <w:vAlign w:val="center"/>
          </w:tcPr>
          <w:p w14:paraId="0F9EDE7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支持的操作系统：Windows server 2003、Windows server 2008、Windows server 2012、Windows server 2016、win xp 、win 7、win 8、win 10、Centos 5.0 +、Redhat 5.0 + 、Suse11 +、Ubuntu 14 +等；</w:t>
            </w:r>
          </w:p>
        </w:tc>
        <w:tc>
          <w:tcPr>
            <w:tcW w:w="1429" w:type="dxa"/>
            <w:tcBorders>
              <w:top w:val="nil"/>
              <w:left w:val="nil"/>
              <w:bottom w:val="single" w:color="auto" w:sz="4" w:space="0"/>
              <w:right w:val="single" w:color="auto" w:sz="4" w:space="0"/>
            </w:tcBorders>
            <w:vAlign w:val="center"/>
          </w:tcPr>
          <w:p w14:paraId="5D8B893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337C7A1C">
        <w:tblPrEx>
          <w:tblCellMar>
            <w:top w:w="0" w:type="dxa"/>
            <w:left w:w="108" w:type="dxa"/>
            <w:bottom w:w="0" w:type="dxa"/>
            <w:right w:w="108" w:type="dxa"/>
          </w:tblCellMar>
        </w:tblPrEx>
        <w:trPr>
          <w:trHeight w:val="280" w:hRule="atLeast"/>
        </w:trPr>
        <w:tc>
          <w:tcPr>
            <w:tcW w:w="1464" w:type="dxa"/>
            <w:tcBorders>
              <w:top w:val="single" w:color="auto" w:sz="4" w:space="0"/>
              <w:left w:val="single" w:color="auto" w:sz="4" w:space="0"/>
              <w:bottom w:val="single" w:color="auto" w:sz="4" w:space="0"/>
              <w:right w:val="single" w:color="auto" w:sz="4" w:space="0"/>
            </w:tcBorders>
            <w:vAlign w:val="center"/>
          </w:tcPr>
          <w:p w14:paraId="20B3DC2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性能监控</w:t>
            </w:r>
          </w:p>
        </w:tc>
        <w:tc>
          <w:tcPr>
            <w:tcW w:w="7149" w:type="dxa"/>
            <w:tcBorders>
              <w:top w:val="single" w:color="auto" w:sz="4" w:space="0"/>
              <w:left w:val="single" w:color="auto" w:sz="4" w:space="0"/>
              <w:bottom w:val="single" w:color="auto" w:sz="4" w:space="0"/>
              <w:right w:val="single" w:color="auto" w:sz="4" w:space="0"/>
            </w:tcBorders>
            <w:vAlign w:val="center"/>
          </w:tcPr>
          <w:p w14:paraId="740B5F0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支持对防护资产的CPU使用率、内存使用率、磁盘使用情况、网络上下行流量进行性能监控，并支持对性能监控项设置阈值，达到阈值后告警；支持对CPU、内存达到一定阈值时客户端进行熔断。</w:t>
            </w:r>
          </w:p>
        </w:tc>
        <w:tc>
          <w:tcPr>
            <w:tcW w:w="1429" w:type="dxa"/>
            <w:tcBorders>
              <w:top w:val="single" w:color="auto" w:sz="4" w:space="0"/>
              <w:left w:val="single" w:color="auto" w:sz="4" w:space="0"/>
              <w:bottom w:val="single" w:color="auto" w:sz="4" w:space="0"/>
              <w:right w:val="single" w:color="auto" w:sz="4" w:space="0"/>
            </w:tcBorders>
            <w:vAlign w:val="center"/>
          </w:tcPr>
          <w:p w14:paraId="0F4CA56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35C3014F">
        <w:tblPrEx>
          <w:tblCellMar>
            <w:top w:w="0" w:type="dxa"/>
            <w:left w:w="108" w:type="dxa"/>
            <w:bottom w:w="0" w:type="dxa"/>
            <w:right w:w="108" w:type="dxa"/>
          </w:tblCellMar>
        </w:tblPrEx>
        <w:trPr>
          <w:trHeight w:val="280" w:hRule="atLeast"/>
        </w:trPr>
        <w:tc>
          <w:tcPr>
            <w:tcW w:w="1464" w:type="dxa"/>
            <w:vMerge w:val="restart"/>
            <w:tcBorders>
              <w:top w:val="single" w:color="auto" w:sz="4" w:space="0"/>
              <w:left w:val="single" w:color="auto" w:sz="4" w:space="0"/>
              <w:right w:val="single" w:color="auto" w:sz="4" w:space="0"/>
            </w:tcBorders>
            <w:vAlign w:val="center"/>
          </w:tcPr>
          <w:p w14:paraId="7C84B51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高级威胁防护模块</w:t>
            </w:r>
          </w:p>
        </w:tc>
        <w:tc>
          <w:tcPr>
            <w:tcW w:w="7149" w:type="dxa"/>
            <w:tcBorders>
              <w:top w:val="single" w:color="auto" w:sz="4" w:space="0"/>
              <w:left w:val="single" w:color="auto" w:sz="4" w:space="0"/>
              <w:bottom w:val="single" w:color="auto" w:sz="4" w:space="0"/>
              <w:right w:val="single" w:color="auto" w:sz="4" w:space="0"/>
            </w:tcBorders>
            <w:vAlign w:val="center"/>
          </w:tcPr>
          <w:p w14:paraId="75FAA3A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支持对本机的扩展行为（信息收集、权限提升）进行监测，防止提权行为和信息泄露</w:t>
            </w:r>
          </w:p>
        </w:tc>
        <w:tc>
          <w:tcPr>
            <w:tcW w:w="1429" w:type="dxa"/>
            <w:tcBorders>
              <w:top w:val="single" w:color="auto" w:sz="4" w:space="0"/>
              <w:left w:val="single" w:color="auto" w:sz="4" w:space="0"/>
              <w:bottom w:val="single" w:color="auto" w:sz="4" w:space="0"/>
              <w:right w:val="single" w:color="auto" w:sz="4" w:space="0"/>
            </w:tcBorders>
            <w:vAlign w:val="center"/>
          </w:tcPr>
          <w:p w14:paraId="46BCA76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26CAB0DE">
        <w:tblPrEx>
          <w:tblCellMar>
            <w:top w:w="0" w:type="dxa"/>
            <w:left w:w="108" w:type="dxa"/>
            <w:bottom w:w="0" w:type="dxa"/>
            <w:right w:w="108" w:type="dxa"/>
          </w:tblCellMar>
        </w:tblPrEx>
        <w:trPr>
          <w:trHeight w:val="280" w:hRule="atLeast"/>
        </w:trPr>
        <w:tc>
          <w:tcPr>
            <w:tcW w:w="1464" w:type="dxa"/>
            <w:vMerge w:val="continue"/>
            <w:tcBorders>
              <w:left w:val="single" w:color="auto" w:sz="4" w:space="0"/>
              <w:right w:val="single" w:color="auto" w:sz="4" w:space="0"/>
            </w:tcBorders>
            <w:vAlign w:val="center"/>
          </w:tcPr>
          <w:p w14:paraId="4DD85EB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nil"/>
              <w:bottom w:val="single" w:color="auto" w:sz="4" w:space="0"/>
              <w:right w:val="single" w:color="auto" w:sz="4" w:space="0"/>
            </w:tcBorders>
            <w:vAlign w:val="center"/>
          </w:tcPr>
          <w:p w14:paraId="2D701FC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识别渗透过程中的隧道代理（端口映射、端口转发、内网代理），可阻断隧道代理搭建行为</w:t>
            </w:r>
          </w:p>
        </w:tc>
        <w:tc>
          <w:tcPr>
            <w:tcW w:w="1429" w:type="dxa"/>
            <w:tcBorders>
              <w:top w:val="single" w:color="auto" w:sz="4" w:space="0"/>
              <w:left w:val="nil"/>
              <w:bottom w:val="single" w:color="auto" w:sz="4" w:space="0"/>
              <w:right w:val="single" w:color="auto" w:sz="4" w:space="0"/>
            </w:tcBorders>
            <w:vAlign w:val="center"/>
          </w:tcPr>
          <w:p w14:paraId="68D79D9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2D7B30FE">
        <w:tblPrEx>
          <w:tblCellMar>
            <w:top w:w="0" w:type="dxa"/>
            <w:left w:w="108" w:type="dxa"/>
            <w:bottom w:w="0" w:type="dxa"/>
            <w:right w:w="108" w:type="dxa"/>
          </w:tblCellMar>
        </w:tblPrEx>
        <w:trPr>
          <w:trHeight w:val="280" w:hRule="atLeast"/>
        </w:trPr>
        <w:tc>
          <w:tcPr>
            <w:tcW w:w="1464" w:type="dxa"/>
            <w:vMerge w:val="continue"/>
            <w:tcBorders>
              <w:left w:val="single" w:color="auto" w:sz="4" w:space="0"/>
              <w:right w:val="single" w:color="auto" w:sz="4" w:space="0"/>
            </w:tcBorders>
            <w:vAlign w:val="center"/>
          </w:tcPr>
          <w:p w14:paraId="41FB4C7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nil"/>
              <w:left w:val="nil"/>
              <w:bottom w:val="single" w:color="auto" w:sz="4" w:space="0"/>
              <w:right w:val="single" w:color="auto" w:sz="4" w:space="0"/>
            </w:tcBorders>
            <w:vAlign w:val="center"/>
          </w:tcPr>
          <w:p w14:paraId="5BB3DF2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识别渗透过程中的隧道代理（端口映射、端口转发、内网代理），可阻断隧道代理搭建行为</w:t>
            </w:r>
          </w:p>
        </w:tc>
        <w:tc>
          <w:tcPr>
            <w:tcW w:w="1429" w:type="dxa"/>
            <w:tcBorders>
              <w:top w:val="nil"/>
              <w:left w:val="nil"/>
              <w:bottom w:val="single" w:color="auto" w:sz="4" w:space="0"/>
              <w:right w:val="single" w:color="auto" w:sz="4" w:space="0"/>
            </w:tcBorders>
            <w:vAlign w:val="center"/>
          </w:tcPr>
          <w:p w14:paraId="4E2DEBE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2B55CF0D">
        <w:tblPrEx>
          <w:tblCellMar>
            <w:top w:w="0" w:type="dxa"/>
            <w:left w:w="108" w:type="dxa"/>
            <w:bottom w:w="0" w:type="dxa"/>
            <w:right w:w="108" w:type="dxa"/>
          </w:tblCellMar>
        </w:tblPrEx>
        <w:trPr>
          <w:trHeight w:val="280" w:hRule="atLeast"/>
        </w:trPr>
        <w:tc>
          <w:tcPr>
            <w:tcW w:w="1464" w:type="dxa"/>
            <w:vMerge w:val="continue"/>
            <w:tcBorders>
              <w:left w:val="single" w:color="auto" w:sz="4" w:space="0"/>
              <w:right w:val="single" w:color="auto" w:sz="4" w:space="0"/>
            </w:tcBorders>
            <w:vAlign w:val="center"/>
          </w:tcPr>
          <w:p w14:paraId="31AB470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nil"/>
              <w:left w:val="nil"/>
              <w:bottom w:val="single" w:color="auto" w:sz="4" w:space="0"/>
              <w:right w:val="single" w:color="auto" w:sz="4" w:space="0"/>
            </w:tcBorders>
            <w:vAlign w:val="center"/>
          </w:tcPr>
          <w:p w14:paraId="7F5C424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识别渗透过程中的隧道代理（端口映射、端口转发、内网代理），可阻断隧道代理搭建行为</w:t>
            </w:r>
          </w:p>
        </w:tc>
        <w:tc>
          <w:tcPr>
            <w:tcW w:w="1429" w:type="dxa"/>
            <w:tcBorders>
              <w:top w:val="nil"/>
              <w:left w:val="nil"/>
              <w:bottom w:val="single" w:color="auto" w:sz="4" w:space="0"/>
              <w:right w:val="single" w:color="auto" w:sz="4" w:space="0"/>
            </w:tcBorders>
            <w:vAlign w:val="center"/>
          </w:tcPr>
          <w:p w14:paraId="56C3F29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11F1041A">
        <w:tblPrEx>
          <w:tblCellMar>
            <w:top w:w="0" w:type="dxa"/>
            <w:left w:w="108" w:type="dxa"/>
            <w:bottom w:w="0" w:type="dxa"/>
            <w:right w:w="108" w:type="dxa"/>
          </w:tblCellMar>
        </w:tblPrEx>
        <w:trPr>
          <w:trHeight w:val="280" w:hRule="atLeast"/>
        </w:trPr>
        <w:tc>
          <w:tcPr>
            <w:tcW w:w="1464" w:type="dxa"/>
            <w:vMerge w:val="continue"/>
            <w:tcBorders>
              <w:left w:val="single" w:color="auto" w:sz="4" w:space="0"/>
              <w:bottom w:val="single" w:color="auto" w:sz="4" w:space="0"/>
              <w:right w:val="single" w:color="auto" w:sz="4" w:space="0"/>
            </w:tcBorders>
            <w:vAlign w:val="center"/>
          </w:tcPr>
          <w:p w14:paraId="1009DB0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nil"/>
              <w:left w:val="nil"/>
              <w:bottom w:val="single" w:color="auto" w:sz="4" w:space="0"/>
              <w:right w:val="single" w:color="auto" w:sz="4" w:space="0"/>
            </w:tcBorders>
            <w:vAlign w:val="center"/>
          </w:tcPr>
          <w:p w14:paraId="0D54E60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可对渗透的收尾阶段的数据清除行为进行识别和阻断</w:t>
            </w:r>
          </w:p>
        </w:tc>
        <w:tc>
          <w:tcPr>
            <w:tcW w:w="1429" w:type="dxa"/>
            <w:tcBorders>
              <w:top w:val="nil"/>
              <w:left w:val="nil"/>
              <w:bottom w:val="single" w:color="auto" w:sz="4" w:space="0"/>
              <w:right w:val="single" w:color="auto" w:sz="4" w:space="0"/>
            </w:tcBorders>
            <w:vAlign w:val="center"/>
          </w:tcPr>
          <w:p w14:paraId="392C27F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466116CC">
        <w:tblPrEx>
          <w:tblCellMar>
            <w:top w:w="0" w:type="dxa"/>
            <w:left w:w="108" w:type="dxa"/>
            <w:bottom w:w="0" w:type="dxa"/>
            <w:right w:w="108" w:type="dxa"/>
          </w:tblCellMar>
        </w:tblPrEx>
        <w:trPr>
          <w:trHeight w:val="280" w:hRule="atLeast"/>
        </w:trPr>
        <w:tc>
          <w:tcPr>
            <w:tcW w:w="1464" w:type="dxa"/>
            <w:vMerge w:val="restart"/>
            <w:tcBorders>
              <w:top w:val="single" w:color="auto" w:sz="4" w:space="0"/>
              <w:left w:val="single" w:color="auto" w:sz="4" w:space="0"/>
              <w:bottom w:val="nil"/>
              <w:right w:val="single" w:color="auto" w:sz="4" w:space="0"/>
            </w:tcBorders>
            <w:noWrap/>
            <w:vAlign w:val="center"/>
          </w:tcPr>
          <w:p w14:paraId="3EA86915">
            <w:pPr>
              <w:keepNext w:val="0"/>
              <w:keepLines w:val="0"/>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功能要求</w:t>
            </w:r>
          </w:p>
        </w:tc>
        <w:tc>
          <w:tcPr>
            <w:tcW w:w="7149" w:type="dxa"/>
            <w:tcBorders>
              <w:top w:val="single" w:color="auto" w:sz="4" w:space="0"/>
              <w:left w:val="single" w:color="auto" w:sz="4" w:space="0"/>
              <w:bottom w:val="single" w:color="auto" w:sz="4" w:space="0"/>
              <w:right w:val="single" w:color="auto" w:sz="4" w:space="0"/>
            </w:tcBorders>
            <w:vAlign w:val="center"/>
          </w:tcPr>
          <w:p w14:paraId="55F8C3D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支持占用系统资源低，网络版杀毒软件的客户端程序在监控状态占用系统资源CPU不高于3%，内存占用不超过30MB；</w:t>
            </w:r>
          </w:p>
        </w:tc>
        <w:tc>
          <w:tcPr>
            <w:tcW w:w="1429" w:type="dxa"/>
            <w:tcBorders>
              <w:top w:val="nil"/>
              <w:left w:val="nil"/>
              <w:bottom w:val="single" w:color="auto" w:sz="4" w:space="0"/>
              <w:right w:val="single" w:color="auto" w:sz="4" w:space="0"/>
            </w:tcBorders>
            <w:vAlign w:val="center"/>
          </w:tcPr>
          <w:p w14:paraId="4C49698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1FD2C018">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noWrap/>
            <w:vAlign w:val="bottom"/>
          </w:tcPr>
          <w:p w14:paraId="35096EE6">
            <w:pPr>
              <w:keepNext w:val="0"/>
              <w:keepLines w:val="0"/>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2FE11CA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提供包括Web安装在内的多种安装方式，以适应大型网络的安装部署工作，而且要求采用Web安装过程中，可以不需要客户端进行任何干预；</w:t>
            </w:r>
          </w:p>
        </w:tc>
        <w:tc>
          <w:tcPr>
            <w:tcW w:w="1429" w:type="dxa"/>
            <w:tcBorders>
              <w:top w:val="nil"/>
              <w:left w:val="nil"/>
              <w:bottom w:val="single" w:color="auto" w:sz="4" w:space="0"/>
              <w:right w:val="single" w:color="auto" w:sz="4" w:space="0"/>
            </w:tcBorders>
            <w:vAlign w:val="center"/>
          </w:tcPr>
          <w:p w14:paraId="28B952E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07F6FA71">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noWrap/>
            <w:vAlign w:val="center"/>
          </w:tcPr>
          <w:p w14:paraId="5FDDCF2D">
            <w:pPr>
              <w:keepNext w:val="0"/>
              <w:keepLines w:val="0"/>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1A40525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提供基于Web的B/S移动管理架构，管理员可以在网内任意一台计算机上通过web方式随时随地登录控制台实现全网管理，而勿须在实现该功能的客户机上安装特定的管理组件；</w:t>
            </w:r>
          </w:p>
        </w:tc>
        <w:tc>
          <w:tcPr>
            <w:tcW w:w="1429" w:type="dxa"/>
            <w:tcBorders>
              <w:top w:val="nil"/>
              <w:left w:val="nil"/>
              <w:bottom w:val="single" w:color="auto" w:sz="4" w:space="0"/>
              <w:right w:val="single" w:color="auto" w:sz="4" w:space="0"/>
            </w:tcBorders>
            <w:vAlign w:val="center"/>
          </w:tcPr>
          <w:p w14:paraId="76DB9B1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2AA88D20">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vAlign w:val="center"/>
          </w:tcPr>
          <w:p w14:paraId="206E8351">
            <w:pPr>
              <w:keepNext w:val="0"/>
              <w:keepLines w:val="0"/>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0EEAB4C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支持文件实时监控，在进程启动、文件创建、存储介质连接时自动触发；</w:t>
            </w:r>
          </w:p>
        </w:tc>
        <w:tc>
          <w:tcPr>
            <w:tcW w:w="1429" w:type="dxa"/>
            <w:tcBorders>
              <w:top w:val="nil"/>
              <w:left w:val="nil"/>
              <w:bottom w:val="single" w:color="auto" w:sz="4" w:space="0"/>
              <w:right w:val="single" w:color="auto" w:sz="4" w:space="0"/>
            </w:tcBorders>
            <w:vAlign w:val="center"/>
          </w:tcPr>
          <w:p w14:paraId="2338206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60552E01">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vAlign w:val="center"/>
          </w:tcPr>
          <w:p w14:paraId="3C687E4F">
            <w:pPr>
              <w:keepNext w:val="0"/>
              <w:keepLines w:val="0"/>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1DE1A34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支持自定义病毒处理方式，包括自动处理、记录、删除。优先对病毒文件进行修复，并且将修复前的病毒文件进行备份；</w:t>
            </w:r>
          </w:p>
        </w:tc>
        <w:tc>
          <w:tcPr>
            <w:tcW w:w="1429" w:type="dxa"/>
            <w:tcBorders>
              <w:top w:val="nil"/>
              <w:left w:val="nil"/>
              <w:bottom w:val="single" w:color="auto" w:sz="4" w:space="0"/>
              <w:right w:val="single" w:color="auto" w:sz="4" w:space="0"/>
            </w:tcBorders>
            <w:vAlign w:val="center"/>
          </w:tcPr>
          <w:p w14:paraId="26932BE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7CFFC7C9">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noWrap/>
            <w:vAlign w:val="center"/>
          </w:tcPr>
          <w:p w14:paraId="3A0C3F7A">
            <w:pPr>
              <w:keepNext w:val="0"/>
              <w:keepLines w:val="0"/>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6433136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提供专门的勒索风险评估功能。包括弱口令检测、系统漏洞检测、恶意进程检测、高危端口检测等能力；</w:t>
            </w:r>
          </w:p>
        </w:tc>
        <w:tc>
          <w:tcPr>
            <w:tcW w:w="1429" w:type="dxa"/>
            <w:tcBorders>
              <w:top w:val="nil"/>
              <w:left w:val="nil"/>
              <w:bottom w:val="single" w:color="auto" w:sz="4" w:space="0"/>
              <w:right w:val="single" w:color="auto" w:sz="4" w:space="0"/>
            </w:tcBorders>
            <w:vAlign w:val="center"/>
          </w:tcPr>
          <w:p w14:paraId="05F4235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5F875EB2">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noWrap/>
            <w:vAlign w:val="center"/>
          </w:tcPr>
          <w:p w14:paraId="28BFABC1">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7BD5A0F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提供专门的挖矿实时防御工具，并提供功能开关；</w:t>
            </w:r>
          </w:p>
        </w:tc>
        <w:tc>
          <w:tcPr>
            <w:tcW w:w="1429" w:type="dxa"/>
            <w:tcBorders>
              <w:top w:val="nil"/>
              <w:left w:val="nil"/>
              <w:bottom w:val="single" w:color="auto" w:sz="4" w:space="0"/>
              <w:right w:val="single" w:color="auto" w:sz="4" w:space="0"/>
            </w:tcBorders>
            <w:vAlign w:val="center"/>
          </w:tcPr>
          <w:p w14:paraId="4B19615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08C1903B">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vAlign w:val="center"/>
          </w:tcPr>
          <w:p w14:paraId="6592D9C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1C37C17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支持强力查杀，对于无法普通隔离的病毒文件强制停止进程并隔离或动态移除到删除队列；</w:t>
            </w:r>
          </w:p>
        </w:tc>
        <w:tc>
          <w:tcPr>
            <w:tcW w:w="1429" w:type="dxa"/>
            <w:tcBorders>
              <w:top w:val="nil"/>
              <w:left w:val="nil"/>
              <w:bottom w:val="single" w:color="auto" w:sz="4" w:space="0"/>
              <w:right w:val="single" w:color="auto" w:sz="4" w:space="0"/>
            </w:tcBorders>
            <w:vAlign w:val="center"/>
          </w:tcPr>
          <w:p w14:paraId="733C2E8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66355446">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vAlign w:val="center"/>
          </w:tcPr>
          <w:p w14:paraId="2832AB7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232A9CA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支持部分病毒感染文件的修复功能，对于二进制文件可剥离感染部分，保证应用正常使用；</w:t>
            </w:r>
          </w:p>
        </w:tc>
        <w:tc>
          <w:tcPr>
            <w:tcW w:w="1429" w:type="dxa"/>
            <w:tcBorders>
              <w:top w:val="nil"/>
              <w:left w:val="nil"/>
              <w:bottom w:val="single" w:color="auto" w:sz="4" w:space="0"/>
              <w:right w:val="single" w:color="auto" w:sz="4" w:space="0"/>
            </w:tcBorders>
            <w:vAlign w:val="center"/>
          </w:tcPr>
          <w:p w14:paraId="000293C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63C87550">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vAlign w:val="center"/>
          </w:tcPr>
          <w:p w14:paraId="246E33B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11F4E04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支持查杀映像劫持类型的病毒；</w:t>
            </w:r>
          </w:p>
        </w:tc>
        <w:tc>
          <w:tcPr>
            <w:tcW w:w="1429" w:type="dxa"/>
            <w:tcBorders>
              <w:top w:val="single" w:color="auto" w:sz="4" w:space="0"/>
              <w:left w:val="nil"/>
              <w:bottom w:val="single" w:color="auto" w:sz="4" w:space="0"/>
              <w:right w:val="single" w:color="auto" w:sz="4" w:space="0"/>
            </w:tcBorders>
            <w:vAlign w:val="center"/>
          </w:tcPr>
          <w:p w14:paraId="10E2D15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4A661570">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vAlign w:val="center"/>
          </w:tcPr>
          <w:p w14:paraId="35C5666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7DD4A57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支持对压缩文件、打包文件查、杀毒（默认支持9层压缩扫描，可根据客户需求增加扫描层数）；</w:t>
            </w:r>
          </w:p>
        </w:tc>
        <w:tc>
          <w:tcPr>
            <w:tcW w:w="1429" w:type="dxa"/>
            <w:tcBorders>
              <w:top w:val="single" w:color="auto" w:sz="4" w:space="0"/>
              <w:left w:val="nil"/>
              <w:bottom w:val="single" w:color="auto" w:sz="4" w:space="0"/>
              <w:right w:val="single" w:color="auto" w:sz="4" w:space="0"/>
            </w:tcBorders>
            <w:vAlign w:val="center"/>
          </w:tcPr>
          <w:p w14:paraId="16C85CE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52AAE0F2">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vAlign w:val="center"/>
          </w:tcPr>
          <w:p w14:paraId="1F104D6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527763A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支持查杀各类Office文档中的宏病毒、夹带型木马；</w:t>
            </w:r>
          </w:p>
        </w:tc>
        <w:tc>
          <w:tcPr>
            <w:tcW w:w="1429" w:type="dxa"/>
            <w:tcBorders>
              <w:top w:val="single" w:color="auto" w:sz="4" w:space="0"/>
              <w:left w:val="nil"/>
              <w:bottom w:val="single" w:color="auto" w:sz="4" w:space="0"/>
              <w:right w:val="single" w:color="auto" w:sz="4" w:space="0"/>
            </w:tcBorders>
            <w:vAlign w:val="center"/>
          </w:tcPr>
          <w:p w14:paraId="02B6FE0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17F3C2D5">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nil"/>
              <w:right w:val="single" w:color="auto" w:sz="4" w:space="0"/>
            </w:tcBorders>
            <w:vAlign w:val="center"/>
          </w:tcPr>
          <w:p w14:paraId="716DF90D">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48E54B9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支持在线、离线病毒库升级；</w:t>
            </w:r>
          </w:p>
        </w:tc>
        <w:tc>
          <w:tcPr>
            <w:tcW w:w="1429" w:type="dxa"/>
            <w:tcBorders>
              <w:top w:val="single" w:color="auto" w:sz="4" w:space="0"/>
              <w:left w:val="nil"/>
              <w:bottom w:val="single" w:color="auto" w:sz="4" w:space="0"/>
              <w:right w:val="single" w:color="auto" w:sz="4" w:space="0"/>
            </w:tcBorders>
            <w:vAlign w:val="center"/>
          </w:tcPr>
          <w:p w14:paraId="180F91E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10A70D3D">
        <w:tblPrEx>
          <w:tblCellMar>
            <w:top w:w="0" w:type="dxa"/>
            <w:left w:w="108" w:type="dxa"/>
            <w:bottom w:w="0" w:type="dxa"/>
            <w:right w:w="108" w:type="dxa"/>
          </w:tblCellMar>
        </w:tblPrEx>
        <w:trPr>
          <w:trHeight w:val="280" w:hRule="atLeast"/>
        </w:trPr>
        <w:tc>
          <w:tcPr>
            <w:tcW w:w="1464" w:type="dxa"/>
            <w:vMerge w:val="continue"/>
            <w:tcBorders>
              <w:top w:val="nil"/>
              <w:left w:val="single" w:color="auto" w:sz="4" w:space="0"/>
              <w:bottom w:val="single" w:color="auto" w:sz="4" w:space="0"/>
              <w:right w:val="single" w:color="auto" w:sz="4" w:space="0"/>
            </w:tcBorders>
            <w:vAlign w:val="center"/>
          </w:tcPr>
          <w:p w14:paraId="3581F9BD">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single" w:color="auto" w:sz="4" w:space="0"/>
              <w:bottom w:val="single" w:color="auto" w:sz="4" w:space="0"/>
              <w:right w:val="single" w:color="auto" w:sz="4" w:space="0"/>
            </w:tcBorders>
            <w:vAlign w:val="center"/>
          </w:tcPr>
          <w:p w14:paraId="4E89EB7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支持管理员通过控制台，集中地实现所有节点上防毒软件的监控、配置、查询等管理工作，包括Windows、Linux、虚拟化、移动端等系统上的防病毒软件。</w:t>
            </w:r>
          </w:p>
        </w:tc>
        <w:tc>
          <w:tcPr>
            <w:tcW w:w="1429" w:type="dxa"/>
            <w:tcBorders>
              <w:top w:val="single" w:color="auto" w:sz="4" w:space="0"/>
              <w:left w:val="nil"/>
              <w:bottom w:val="single" w:color="auto" w:sz="4" w:space="0"/>
              <w:right w:val="single" w:color="auto" w:sz="4" w:space="0"/>
            </w:tcBorders>
            <w:vAlign w:val="center"/>
          </w:tcPr>
          <w:p w14:paraId="274BA77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2D0EAFA1">
        <w:tblPrEx>
          <w:tblCellMar>
            <w:top w:w="0" w:type="dxa"/>
            <w:left w:w="108" w:type="dxa"/>
            <w:bottom w:w="0" w:type="dxa"/>
            <w:right w:w="108" w:type="dxa"/>
          </w:tblCellMar>
        </w:tblPrEx>
        <w:trPr>
          <w:trHeight w:val="280" w:hRule="atLeast"/>
        </w:trPr>
        <w:tc>
          <w:tcPr>
            <w:tcW w:w="1464" w:type="dxa"/>
            <w:vMerge w:val="restart"/>
            <w:tcBorders>
              <w:top w:val="single" w:color="auto" w:sz="4" w:space="0"/>
              <w:left w:val="single" w:color="auto" w:sz="4" w:space="0"/>
              <w:right w:val="single" w:color="auto" w:sz="4" w:space="0"/>
            </w:tcBorders>
            <w:vAlign w:val="center"/>
          </w:tcPr>
          <w:p w14:paraId="4A2D25C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安全防护模块</w:t>
            </w:r>
          </w:p>
        </w:tc>
        <w:tc>
          <w:tcPr>
            <w:tcW w:w="7149" w:type="dxa"/>
            <w:tcBorders>
              <w:top w:val="single" w:color="auto" w:sz="4" w:space="0"/>
              <w:left w:val="nil"/>
              <w:bottom w:val="single" w:color="auto" w:sz="4" w:space="0"/>
              <w:right w:val="single" w:color="auto" w:sz="4" w:space="0"/>
            </w:tcBorders>
            <w:vAlign w:val="center"/>
          </w:tcPr>
          <w:p w14:paraId="7BBCA4A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kern w:val="0"/>
                <w:sz w:val="22"/>
                <w:szCs w:val="22"/>
                <w:highlight w:val="none"/>
              </w:rPr>
              <w:t>支持防端口扫描，防违规外联，锁定恶意的端口扫描及外联行为，并记录告警</w:t>
            </w:r>
          </w:p>
        </w:tc>
        <w:tc>
          <w:tcPr>
            <w:tcW w:w="1429" w:type="dxa"/>
            <w:tcBorders>
              <w:top w:val="single" w:color="auto" w:sz="4" w:space="0"/>
              <w:left w:val="nil"/>
              <w:bottom w:val="single" w:color="auto" w:sz="4" w:space="0"/>
              <w:right w:val="single" w:color="auto" w:sz="4" w:space="0"/>
            </w:tcBorders>
            <w:vAlign w:val="center"/>
          </w:tcPr>
          <w:p w14:paraId="284A845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16EDC5B4">
        <w:tblPrEx>
          <w:tblCellMar>
            <w:top w:w="0" w:type="dxa"/>
            <w:left w:w="108" w:type="dxa"/>
            <w:bottom w:w="0" w:type="dxa"/>
            <w:right w:w="108" w:type="dxa"/>
          </w:tblCellMar>
        </w:tblPrEx>
        <w:trPr>
          <w:trHeight w:val="280" w:hRule="atLeast"/>
        </w:trPr>
        <w:tc>
          <w:tcPr>
            <w:tcW w:w="1464" w:type="dxa"/>
            <w:vMerge w:val="continue"/>
            <w:tcBorders>
              <w:left w:val="single" w:color="auto" w:sz="4" w:space="0"/>
              <w:right w:val="single" w:color="auto" w:sz="4" w:space="0"/>
            </w:tcBorders>
            <w:vAlign w:val="center"/>
          </w:tcPr>
          <w:p w14:paraId="6CB3E73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nil"/>
              <w:bottom w:val="single" w:color="auto" w:sz="4" w:space="0"/>
              <w:right w:val="single" w:color="auto" w:sz="4" w:space="0"/>
            </w:tcBorders>
            <w:vAlign w:val="center"/>
          </w:tcPr>
          <w:p w14:paraId="789B261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kern w:val="0"/>
                <w:sz w:val="22"/>
                <w:szCs w:val="22"/>
                <w:highlight w:val="none"/>
              </w:rPr>
              <w:t>违规外联支持黑、白名单双模式，白名单模式下可选择断开互联网模式，一键添加三类私有地址；黑名单模式可自定义IP，支持黑名单告警和阻断；</w:t>
            </w:r>
          </w:p>
        </w:tc>
        <w:tc>
          <w:tcPr>
            <w:tcW w:w="1429" w:type="dxa"/>
            <w:tcBorders>
              <w:top w:val="single" w:color="auto" w:sz="4" w:space="0"/>
              <w:left w:val="nil"/>
              <w:bottom w:val="single" w:color="auto" w:sz="4" w:space="0"/>
              <w:right w:val="single" w:color="auto" w:sz="4" w:space="0"/>
            </w:tcBorders>
            <w:vAlign w:val="center"/>
          </w:tcPr>
          <w:p w14:paraId="65A6130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361F574F">
        <w:tblPrEx>
          <w:tblCellMar>
            <w:top w:w="0" w:type="dxa"/>
            <w:left w:w="108" w:type="dxa"/>
            <w:bottom w:w="0" w:type="dxa"/>
            <w:right w:w="108" w:type="dxa"/>
          </w:tblCellMar>
        </w:tblPrEx>
        <w:trPr>
          <w:trHeight w:val="280" w:hRule="atLeast"/>
        </w:trPr>
        <w:tc>
          <w:tcPr>
            <w:tcW w:w="1464" w:type="dxa"/>
            <w:vMerge w:val="continue"/>
            <w:tcBorders>
              <w:left w:val="single" w:color="auto" w:sz="4" w:space="0"/>
              <w:right w:val="single" w:color="auto" w:sz="4" w:space="0"/>
            </w:tcBorders>
            <w:vAlign w:val="center"/>
          </w:tcPr>
          <w:p w14:paraId="374C661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nil"/>
              <w:bottom w:val="single" w:color="auto" w:sz="4" w:space="0"/>
              <w:right w:val="single" w:color="auto" w:sz="4" w:space="0"/>
            </w:tcBorders>
            <w:vAlign w:val="center"/>
          </w:tcPr>
          <w:p w14:paraId="630A8AD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kern w:val="0"/>
                <w:sz w:val="22"/>
                <w:szCs w:val="22"/>
                <w:highlight w:val="none"/>
              </w:rPr>
              <w:t>支持网站防护，包括SQL注入、XSS、Web应用漏洞防护、访问控制、屏蔽扫描器等</w:t>
            </w:r>
          </w:p>
        </w:tc>
        <w:tc>
          <w:tcPr>
            <w:tcW w:w="1429" w:type="dxa"/>
            <w:tcBorders>
              <w:top w:val="single" w:color="auto" w:sz="4" w:space="0"/>
              <w:left w:val="nil"/>
              <w:bottom w:val="single" w:color="auto" w:sz="4" w:space="0"/>
              <w:right w:val="single" w:color="auto" w:sz="4" w:space="0"/>
            </w:tcBorders>
            <w:vAlign w:val="center"/>
          </w:tcPr>
          <w:p w14:paraId="4D16A60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14213C18">
        <w:tblPrEx>
          <w:tblCellMar>
            <w:top w:w="0" w:type="dxa"/>
            <w:left w:w="108" w:type="dxa"/>
            <w:bottom w:w="0" w:type="dxa"/>
            <w:right w:w="108" w:type="dxa"/>
          </w:tblCellMar>
        </w:tblPrEx>
        <w:trPr>
          <w:trHeight w:val="280" w:hRule="atLeast"/>
        </w:trPr>
        <w:tc>
          <w:tcPr>
            <w:tcW w:w="1464" w:type="dxa"/>
            <w:vMerge w:val="continue"/>
            <w:tcBorders>
              <w:left w:val="single" w:color="auto" w:sz="4" w:space="0"/>
              <w:right w:val="single" w:color="auto" w:sz="4" w:space="0"/>
            </w:tcBorders>
            <w:vAlign w:val="center"/>
          </w:tcPr>
          <w:p w14:paraId="573E1BA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nil"/>
              <w:bottom w:val="single" w:color="auto" w:sz="4" w:space="0"/>
              <w:right w:val="single" w:color="auto" w:sz="4" w:space="0"/>
            </w:tcBorders>
            <w:vAlign w:val="center"/>
          </w:tcPr>
          <w:p w14:paraId="180A3A0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支持智能检测防御CC攻击，并可进行高、中、低三档设置。</w:t>
            </w:r>
          </w:p>
        </w:tc>
        <w:tc>
          <w:tcPr>
            <w:tcW w:w="1429" w:type="dxa"/>
            <w:tcBorders>
              <w:top w:val="single" w:color="auto" w:sz="4" w:space="0"/>
              <w:left w:val="nil"/>
              <w:bottom w:val="single" w:color="auto" w:sz="4" w:space="0"/>
              <w:right w:val="single" w:color="auto" w:sz="4" w:space="0"/>
            </w:tcBorders>
            <w:vAlign w:val="center"/>
          </w:tcPr>
          <w:p w14:paraId="3000F1A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71941617">
        <w:tblPrEx>
          <w:tblCellMar>
            <w:top w:w="0" w:type="dxa"/>
            <w:left w:w="108" w:type="dxa"/>
            <w:bottom w:w="0" w:type="dxa"/>
            <w:right w:w="108" w:type="dxa"/>
          </w:tblCellMar>
        </w:tblPrEx>
        <w:trPr>
          <w:trHeight w:val="280" w:hRule="atLeast"/>
        </w:trPr>
        <w:tc>
          <w:tcPr>
            <w:tcW w:w="1464" w:type="dxa"/>
            <w:vMerge w:val="continue"/>
            <w:tcBorders>
              <w:left w:val="single" w:color="auto" w:sz="4" w:space="0"/>
              <w:right w:val="single" w:color="auto" w:sz="4" w:space="0"/>
            </w:tcBorders>
            <w:vAlign w:val="center"/>
          </w:tcPr>
          <w:p w14:paraId="5D309E5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nil"/>
              <w:bottom w:val="single" w:color="auto" w:sz="4" w:space="0"/>
              <w:right w:val="single" w:color="auto" w:sz="4" w:space="0"/>
            </w:tcBorders>
            <w:vAlign w:val="center"/>
          </w:tcPr>
          <w:p w14:paraId="08A1577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kern w:val="0"/>
                <w:sz w:val="22"/>
                <w:szCs w:val="22"/>
                <w:highlight w:val="none"/>
              </w:rPr>
              <w:t>内核级防火墙（业务间流量东西向隔离）功能，包括IP、端口、协议、流向等细粒度权限控制</w:t>
            </w:r>
          </w:p>
        </w:tc>
        <w:tc>
          <w:tcPr>
            <w:tcW w:w="1429" w:type="dxa"/>
            <w:tcBorders>
              <w:top w:val="single" w:color="auto" w:sz="4" w:space="0"/>
              <w:left w:val="nil"/>
              <w:bottom w:val="single" w:color="auto" w:sz="4" w:space="0"/>
              <w:right w:val="single" w:color="auto" w:sz="4" w:space="0"/>
            </w:tcBorders>
            <w:vAlign w:val="center"/>
          </w:tcPr>
          <w:p w14:paraId="6A7BCDD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054873AE">
        <w:tblPrEx>
          <w:tblCellMar>
            <w:top w:w="0" w:type="dxa"/>
            <w:left w:w="108" w:type="dxa"/>
            <w:bottom w:w="0" w:type="dxa"/>
            <w:right w:w="108" w:type="dxa"/>
          </w:tblCellMar>
        </w:tblPrEx>
        <w:trPr>
          <w:trHeight w:val="280" w:hRule="atLeast"/>
        </w:trPr>
        <w:tc>
          <w:tcPr>
            <w:tcW w:w="1464" w:type="dxa"/>
            <w:vMerge w:val="continue"/>
            <w:tcBorders>
              <w:left w:val="single" w:color="auto" w:sz="4" w:space="0"/>
              <w:right w:val="single" w:color="auto" w:sz="4" w:space="0"/>
            </w:tcBorders>
            <w:vAlign w:val="center"/>
          </w:tcPr>
          <w:p w14:paraId="278B171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nil"/>
              <w:bottom w:val="single" w:color="auto" w:sz="4" w:space="0"/>
              <w:right w:val="single" w:color="auto" w:sz="4" w:space="0"/>
            </w:tcBorders>
            <w:vAlign w:val="center"/>
          </w:tcPr>
          <w:p w14:paraId="4AC717B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kern w:val="0"/>
                <w:sz w:val="22"/>
                <w:szCs w:val="22"/>
                <w:highlight w:val="none"/>
              </w:rPr>
              <w:t>支持流量画像，支持全网流量可视化、应用级流量可视化；支持威胁横向扩散路径可视化与一键阻断；支持违规外联路径可视化与一键阻断</w:t>
            </w:r>
          </w:p>
        </w:tc>
        <w:tc>
          <w:tcPr>
            <w:tcW w:w="1429" w:type="dxa"/>
            <w:tcBorders>
              <w:top w:val="single" w:color="auto" w:sz="4" w:space="0"/>
              <w:left w:val="nil"/>
              <w:bottom w:val="single" w:color="auto" w:sz="4" w:space="0"/>
              <w:right w:val="single" w:color="auto" w:sz="4" w:space="0"/>
            </w:tcBorders>
            <w:vAlign w:val="center"/>
          </w:tcPr>
          <w:p w14:paraId="3ED65E6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43159552">
        <w:tblPrEx>
          <w:tblCellMar>
            <w:top w:w="0" w:type="dxa"/>
            <w:left w:w="108" w:type="dxa"/>
            <w:bottom w:w="0" w:type="dxa"/>
            <w:right w:w="108" w:type="dxa"/>
          </w:tblCellMar>
        </w:tblPrEx>
        <w:trPr>
          <w:trHeight w:val="280" w:hRule="atLeast"/>
        </w:trPr>
        <w:tc>
          <w:tcPr>
            <w:tcW w:w="1464" w:type="dxa"/>
            <w:vMerge w:val="continue"/>
            <w:tcBorders>
              <w:left w:val="single" w:color="auto" w:sz="4" w:space="0"/>
              <w:bottom w:val="single" w:color="auto" w:sz="4" w:space="0"/>
              <w:right w:val="single" w:color="auto" w:sz="4" w:space="0"/>
            </w:tcBorders>
            <w:vAlign w:val="center"/>
          </w:tcPr>
          <w:p w14:paraId="3DBD80F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7149" w:type="dxa"/>
            <w:tcBorders>
              <w:top w:val="single" w:color="auto" w:sz="4" w:space="0"/>
              <w:left w:val="nil"/>
              <w:bottom w:val="single" w:color="auto" w:sz="4" w:space="0"/>
              <w:right w:val="single" w:color="auto" w:sz="4" w:space="0"/>
            </w:tcBorders>
            <w:vAlign w:val="center"/>
          </w:tcPr>
          <w:p w14:paraId="16C1E8F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kern w:val="0"/>
                <w:sz w:val="22"/>
                <w:szCs w:val="22"/>
                <w:highlight w:val="none"/>
              </w:rPr>
              <w:t>支持登录防护，包括以系统账号为粒度的异常登录防护、支持五个任意维度(任意地理位置，任意IP，任意域名，任意计算机名，任意时间)的系统登录访问策略设置。</w:t>
            </w:r>
          </w:p>
        </w:tc>
        <w:tc>
          <w:tcPr>
            <w:tcW w:w="1429" w:type="dxa"/>
            <w:tcBorders>
              <w:top w:val="single" w:color="auto" w:sz="4" w:space="0"/>
              <w:left w:val="nil"/>
              <w:bottom w:val="single" w:color="auto" w:sz="4" w:space="0"/>
              <w:right w:val="single" w:color="auto" w:sz="4" w:space="0"/>
            </w:tcBorders>
            <w:vAlign w:val="center"/>
          </w:tcPr>
          <w:p w14:paraId="5AB5599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6C51AD53">
        <w:tblPrEx>
          <w:tblCellMar>
            <w:top w:w="0" w:type="dxa"/>
            <w:left w:w="108" w:type="dxa"/>
            <w:bottom w:w="0" w:type="dxa"/>
            <w:right w:w="108" w:type="dxa"/>
          </w:tblCellMar>
        </w:tblPrEx>
        <w:trPr>
          <w:trHeight w:val="280" w:hRule="atLeast"/>
        </w:trPr>
        <w:tc>
          <w:tcPr>
            <w:tcW w:w="1464" w:type="dxa"/>
            <w:tcBorders>
              <w:top w:val="single" w:color="auto" w:sz="4" w:space="0"/>
              <w:left w:val="single" w:color="auto" w:sz="4" w:space="0"/>
              <w:bottom w:val="single" w:color="auto" w:sz="4" w:space="0"/>
              <w:right w:val="single" w:color="auto" w:sz="4" w:space="0"/>
            </w:tcBorders>
            <w:vAlign w:val="center"/>
          </w:tcPr>
          <w:p w14:paraId="14A889E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文件推送</w:t>
            </w:r>
          </w:p>
        </w:tc>
        <w:tc>
          <w:tcPr>
            <w:tcW w:w="7149" w:type="dxa"/>
            <w:tcBorders>
              <w:top w:val="single" w:color="auto" w:sz="4" w:space="0"/>
              <w:left w:val="nil"/>
              <w:bottom w:val="single" w:color="auto" w:sz="4" w:space="0"/>
              <w:right w:val="single" w:color="auto" w:sz="4" w:space="0"/>
            </w:tcBorders>
            <w:vAlign w:val="center"/>
          </w:tcPr>
          <w:p w14:paraId="6D17BAC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支持下发文件、安装应用程序、远程执行命令</w:t>
            </w:r>
          </w:p>
        </w:tc>
        <w:tc>
          <w:tcPr>
            <w:tcW w:w="1429" w:type="dxa"/>
            <w:tcBorders>
              <w:top w:val="single" w:color="auto" w:sz="4" w:space="0"/>
              <w:left w:val="nil"/>
              <w:bottom w:val="single" w:color="auto" w:sz="4" w:space="0"/>
              <w:right w:val="single" w:color="auto" w:sz="4" w:space="0"/>
            </w:tcBorders>
            <w:vAlign w:val="center"/>
          </w:tcPr>
          <w:p w14:paraId="30D82B8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36344953">
        <w:tblPrEx>
          <w:tblCellMar>
            <w:top w:w="0" w:type="dxa"/>
            <w:left w:w="108" w:type="dxa"/>
            <w:bottom w:w="0" w:type="dxa"/>
            <w:right w:w="108" w:type="dxa"/>
          </w:tblCellMar>
        </w:tblPrEx>
        <w:trPr>
          <w:trHeight w:val="280" w:hRule="atLeast"/>
        </w:trPr>
        <w:tc>
          <w:tcPr>
            <w:tcW w:w="1464" w:type="dxa"/>
            <w:tcBorders>
              <w:top w:val="single" w:color="auto" w:sz="4" w:space="0"/>
              <w:left w:val="single" w:color="auto" w:sz="4" w:space="0"/>
              <w:bottom w:val="single" w:color="auto" w:sz="4" w:space="0"/>
              <w:right w:val="single" w:color="auto" w:sz="4" w:space="0"/>
            </w:tcBorders>
            <w:vAlign w:val="center"/>
          </w:tcPr>
          <w:p w14:paraId="5986A43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告警功能</w:t>
            </w:r>
          </w:p>
        </w:tc>
        <w:tc>
          <w:tcPr>
            <w:tcW w:w="7149" w:type="dxa"/>
            <w:tcBorders>
              <w:top w:val="single" w:color="auto" w:sz="4" w:space="0"/>
              <w:left w:val="nil"/>
              <w:bottom w:val="single" w:color="auto" w:sz="4" w:space="0"/>
              <w:right w:val="single" w:color="auto" w:sz="4" w:space="0"/>
            </w:tcBorders>
            <w:vAlign w:val="center"/>
          </w:tcPr>
          <w:p w14:paraId="1142018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告警类型包括：高级威胁、系统防护、网络防护、Web应用防护。</w:t>
            </w:r>
          </w:p>
        </w:tc>
        <w:tc>
          <w:tcPr>
            <w:tcW w:w="1429" w:type="dxa"/>
            <w:tcBorders>
              <w:top w:val="single" w:color="auto" w:sz="4" w:space="0"/>
              <w:left w:val="nil"/>
              <w:bottom w:val="single" w:color="auto" w:sz="4" w:space="0"/>
              <w:right w:val="single" w:color="auto" w:sz="4" w:space="0"/>
            </w:tcBorders>
            <w:vAlign w:val="center"/>
          </w:tcPr>
          <w:p w14:paraId="50F1E9B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bl>
    <w:p w14:paraId="4E112963">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（4）</w:t>
      </w:r>
      <w:r>
        <w:rPr>
          <w:rFonts w:ascii="宋体" w:hAnsi="宋体"/>
          <w:b/>
          <w:color w:val="auto"/>
          <w:sz w:val="22"/>
          <w:szCs w:val="22"/>
          <w:highlight w:val="none"/>
        </w:rPr>
        <w:t>云数据库要求</w:t>
      </w:r>
    </w:p>
    <w:tbl>
      <w:tblPr>
        <w:tblStyle w:val="4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864"/>
        <w:gridCol w:w="1701"/>
      </w:tblGrid>
      <w:tr w14:paraId="206E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66" w:type="dxa"/>
            <w:tcBorders>
              <w:top w:val="single" w:color="auto" w:sz="4" w:space="0"/>
              <w:left w:val="single" w:color="auto" w:sz="4" w:space="0"/>
              <w:bottom w:val="single" w:color="auto" w:sz="4" w:space="0"/>
              <w:right w:val="single" w:color="auto" w:sz="4" w:space="0"/>
            </w:tcBorders>
            <w:vAlign w:val="center"/>
          </w:tcPr>
          <w:p w14:paraId="426CA208">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指标项</w:t>
            </w:r>
          </w:p>
        </w:tc>
        <w:tc>
          <w:tcPr>
            <w:tcW w:w="6864" w:type="dxa"/>
            <w:tcBorders>
              <w:top w:val="single" w:color="auto" w:sz="4" w:space="0"/>
              <w:left w:val="single" w:color="auto" w:sz="4" w:space="0"/>
              <w:bottom w:val="single" w:color="auto" w:sz="4" w:space="0"/>
              <w:right w:val="single" w:color="auto" w:sz="4" w:space="0"/>
            </w:tcBorders>
            <w:vAlign w:val="center"/>
          </w:tcPr>
          <w:p w14:paraId="52043600">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规格要求</w:t>
            </w:r>
          </w:p>
        </w:tc>
        <w:tc>
          <w:tcPr>
            <w:tcW w:w="1701" w:type="dxa"/>
            <w:tcBorders>
              <w:top w:val="single" w:color="auto" w:sz="4" w:space="0"/>
              <w:left w:val="single" w:color="auto" w:sz="4" w:space="0"/>
              <w:bottom w:val="single" w:color="auto" w:sz="4" w:space="0"/>
              <w:right w:val="single" w:color="auto" w:sz="4" w:space="0"/>
            </w:tcBorders>
            <w:vAlign w:val="center"/>
          </w:tcPr>
          <w:p w14:paraId="60B445A6">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38EE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466" w:type="dxa"/>
            <w:vMerge w:val="restart"/>
            <w:tcBorders>
              <w:top w:val="single" w:color="auto" w:sz="4" w:space="0"/>
              <w:left w:val="single" w:color="auto" w:sz="4" w:space="0"/>
              <w:bottom w:val="single" w:color="auto" w:sz="4" w:space="0"/>
              <w:right w:val="single" w:color="auto" w:sz="4" w:space="0"/>
            </w:tcBorders>
            <w:vAlign w:val="center"/>
          </w:tcPr>
          <w:p w14:paraId="74A59B1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基本功能</w:t>
            </w:r>
          </w:p>
        </w:tc>
        <w:tc>
          <w:tcPr>
            <w:tcW w:w="6864" w:type="dxa"/>
            <w:tcBorders>
              <w:top w:val="single" w:color="auto" w:sz="4" w:space="0"/>
              <w:left w:val="single" w:color="auto" w:sz="4" w:space="0"/>
              <w:bottom w:val="single" w:color="auto" w:sz="4" w:space="0"/>
              <w:right w:val="single" w:color="auto" w:sz="4" w:space="0"/>
            </w:tcBorders>
            <w:vAlign w:val="center"/>
          </w:tcPr>
          <w:p w14:paraId="0A161E9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基于高效的调度、备份、HA控制、在线迁移以及监控系统，为用户提供为专业的云数据库服务。</w:t>
            </w:r>
          </w:p>
        </w:tc>
        <w:tc>
          <w:tcPr>
            <w:tcW w:w="1701" w:type="dxa"/>
            <w:tcBorders>
              <w:top w:val="single" w:color="auto" w:sz="4" w:space="0"/>
              <w:left w:val="single" w:color="auto" w:sz="4" w:space="0"/>
              <w:bottom w:val="single" w:color="auto" w:sz="4" w:space="0"/>
              <w:right w:val="single" w:color="auto" w:sz="4" w:space="0"/>
            </w:tcBorders>
            <w:vAlign w:val="center"/>
          </w:tcPr>
          <w:p w14:paraId="43875CE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7D3D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26A19F54">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178EF496">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支持关系型数据库的基本功能，并进行优化服务。</w:t>
            </w:r>
          </w:p>
        </w:tc>
        <w:tc>
          <w:tcPr>
            <w:tcW w:w="1701" w:type="dxa"/>
            <w:tcBorders>
              <w:top w:val="single" w:color="auto" w:sz="4" w:space="0"/>
              <w:left w:val="single" w:color="auto" w:sz="4" w:space="0"/>
              <w:bottom w:val="single" w:color="auto" w:sz="4" w:space="0"/>
              <w:right w:val="single" w:color="auto" w:sz="4" w:space="0"/>
            </w:tcBorders>
            <w:vAlign w:val="center"/>
          </w:tcPr>
          <w:p w14:paraId="619B4ADF">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301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5AEF49A0">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199D0A2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云平台提供MsSqlserver、Mysql主流关系型数据库服务；云主机上可安装Oracle数据库。</w:t>
            </w:r>
          </w:p>
        </w:tc>
        <w:tc>
          <w:tcPr>
            <w:tcW w:w="1701" w:type="dxa"/>
            <w:tcBorders>
              <w:top w:val="single" w:color="auto" w:sz="4" w:space="0"/>
              <w:left w:val="single" w:color="auto" w:sz="4" w:space="0"/>
              <w:bottom w:val="single" w:color="auto" w:sz="4" w:space="0"/>
              <w:right w:val="single" w:color="auto" w:sz="4" w:space="0"/>
            </w:tcBorders>
            <w:vAlign w:val="center"/>
          </w:tcPr>
          <w:p w14:paraId="323D15B7">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70B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52CA46D4">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4E4E3DA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单数据库实例内存可达24G，IOPS可达12000次，并发连接数可达2000。</w:t>
            </w:r>
          </w:p>
        </w:tc>
        <w:tc>
          <w:tcPr>
            <w:tcW w:w="1701" w:type="dxa"/>
            <w:tcBorders>
              <w:top w:val="single" w:color="auto" w:sz="4" w:space="0"/>
              <w:left w:val="single" w:color="auto" w:sz="4" w:space="0"/>
              <w:bottom w:val="single" w:color="auto" w:sz="4" w:space="0"/>
              <w:right w:val="single" w:color="auto" w:sz="4" w:space="0"/>
            </w:tcBorders>
            <w:vAlign w:val="center"/>
          </w:tcPr>
          <w:p w14:paraId="3520D7EC">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3F19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2F3684AB">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00A2AE6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MsSqlserver单数据库实例可创建的数据库数量达20个，用户数达20个。</w:t>
            </w:r>
          </w:p>
        </w:tc>
        <w:tc>
          <w:tcPr>
            <w:tcW w:w="1701" w:type="dxa"/>
            <w:tcBorders>
              <w:top w:val="single" w:color="auto" w:sz="4" w:space="0"/>
              <w:left w:val="single" w:color="auto" w:sz="4" w:space="0"/>
              <w:bottom w:val="single" w:color="auto" w:sz="4" w:space="0"/>
              <w:right w:val="single" w:color="auto" w:sz="4" w:space="0"/>
            </w:tcBorders>
            <w:vAlign w:val="center"/>
          </w:tcPr>
          <w:p w14:paraId="636310BB">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C1D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0CAB6CC0">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2413DCD8">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Mysql单数据库实例可创建的数据库数量达200个，用户数达50个。</w:t>
            </w:r>
          </w:p>
        </w:tc>
        <w:tc>
          <w:tcPr>
            <w:tcW w:w="1701" w:type="dxa"/>
            <w:tcBorders>
              <w:top w:val="single" w:color="auto" w:sz="4" w:space="0"/>
              <w:left w:val="single" w:color="auto" w:sz="4" w:space="0"/>
              <w:bottom w:val="single" w:color="auto" w:sz="4" w:space="0"/>
              <w:right w:val="single" w:color="auto" w:sz="4" w:space="0"/>
            </w:tcBorders>
            <w:vAlign w:val="center"/>
          </w:tcPr>
          <w:p w14:paraId="20C20F52">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8A7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53D29F16">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674315F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每份数据都保留两份并可实时切换。</w:t>
            </w:r>
          </w:p>
        </w:tc>
        <w:tc>
          <w:tcPr>
            <w:tcW w:w="1701" w:type="dxa"/>
            <w:tcBorders>
              <w:top w:val="single" w:color="auto" w:sz="4" w:space="0"/>
              <w:left w:val="single" w:color="auto" w:sz="4" w:space="0"/>
              <w:bottom w:val="single" w:color="auto" w:sz="4" w:space="0"/>
              <w:right w:val="single" w:color="auto" w:sz="4" w:space="0"/>
            </w:tcBorders>
            <w:vAlign w:val="center"/>
          </w:tcPr>
          <w:p w14:paraId="7B609D0B">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3E0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4A1F1D9A">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72A02AD4">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支持数据库在线升级、云内动态迁移、故障自动切换，实现业务秒级无缝切换，不中断用户服务。</w:t>
            </w:r>
          </w:p>
        </w:tc>
        <w:tc>
          <w:tcPr>
            <w:tcW w:w="1701" w:type="dxa"/>
            <w:tcBorders>
              <w:top w:val="single" w:color="auto" w:sz="4" w:space="0"/>
              <w:left w:val="single" w:color="auto" w:sz="4" w:space="0"/>
              <w:bottom w:val="single" w:color="auto" w:sz="4" w:space="0"/>
              <w:right w:val="single" w:color="auto" w:sz="4" w:space="0"/>
            </w:tcBorders>
            <w:vAlign w:val="center"/>
          </w:tcPr>
          <w:p w14:paraId="36D866F0">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45E9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11668A7B">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59316698">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自动多重备份数据库，支持从备份文件创建临时实例，支持从备份文件恢复到实例，可下载备份文件，</w:t>
            </w:r>
          </w:p>
        </w:tc>
        <w:tc>
          <w:tcPr>
            <w:tcW w:w="1701" w:type="dxa"/>
            <w:tcBorders>
              <w:top w:val="single" w:color="auto" w:sz="4" w:space="0"/>
              <w:left w:val="single" w:color="auto" w:sz="4" w:space="0"/>
              <w:bottom w:val="single" w:color="auto" w:sz="4" w:space="0"/>
              <w:right w:val="single" w:color="auto" w:sz="4" w:space="0"/>
            </w:tcBorders>
            <w:vAlign w:val="center"/>
          </w:tcPr>
          <w:p w14:paraId="6A400B1C">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E2B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6" w:type="dxa"/>
            <w:vMerge w:val="restart"/>
            <w:tcBorders>
              <w:top w:val="single" w:color="auto" w:sz="4" w:space="0"/>
              <w:left w:val="single" w:color="auto" w:sz="4" w:space="0"/>
              <w:bottom w:val="single" w:color="auto" w:sz="4" w:space="0"/>
              <w:right w:val="single" w:color="auto" w:sz="4" w:space="0"/>
            </w:tcBorders>
            <w:vAlign w:val="center"/>
          </w:tcPr>
          <w:p w14:paraId="343014FD">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扩展功能</w:t>
            </w:r>
          </w:p>
        </w:tc>
        <w:tc>
          <w:tcPr>
            <w:tcW w:w="6864" w:type="dxa"/>
            <w:tcBorders>
              <w:top w:val="single" w:color="auto" w:sz="4" w:space="0"/>
              <w:left w:val="single" w:color="auto" w:sz="4" w:space="0"/>
              <w:bottom w:val="single" w:color="auto" w:sz="4" w:space="0"/>
              <w:right w:val="single" w:color="auto" w:sz="4" w:space="0"/>
            </w:tcBorders>
            <w:vAlign w:val="center"/>
          </w:tcPr>
          <w:p w14:paraId="1A6BB76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按需开通，即开即用，按需计费，为用户提供方便的Web管理界面。</w:t>
            </w:r>
          </w:p>
        </w:tc>
        <w:tc>
          <w:tcPr>
            <w:tcW w:w="1701" w:type="dxa"/>
            <w:tcBorders>
              <w:top w:val="single" w:color="auto" w:sz="4" w:space="0"/>
              <w:left w:val="single" w:color="auto" w:sz="4" w:space="0"/>
              <w:bottom w:val="single" w:color="auto" w:sz="4" w:space="0"/>
              <w:right w:val="single" w:color="auto" w:sz="4" w:space="0"/>
            </w:tcBorders>
            <w:vAlign w:val="center"/>
          </w:tcPr>
          <w:p w14:paraId="5497AB08">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49C1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41943DAF">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53CB75A9">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随着用户数和访问量的变化，可以弹性的调整数据库的规格，包含内存、连接数、IOPS、存储容量等，调整时服务不间断。</w:t>
            </w:r>
          </w:p>
        </w:tc>
        <w:tc>
          <w:tcPr>
            <w:tcW w:w="1701" w:type="dxa"/>
            <w:tcBorders>
              <w:top w:val="single" w:color="auto" w:sz="4" w:space="0"/>
              <w:left w:val="single" w:color="auto" w:sz="4" w:space="0"/>
              <w:bottom w:val="single" w:color="auto" w:sz="4" w:space="0"/>
              <w:right w:val="single" w:color="auto" w:sz="4" w:space="0"/>
            </w:tcBorders>
            <w:vAlign w:val="center"/>
          </w:tcPr>
          <w:p w14:paraId="1625BDE5">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0FCD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23E0A600">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08069B3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提供数据导入、导出工具，方便用户进行数据迁移。</w:t>
            </w:r>
          </w:p>
        </w:tc>
        <w:tc>
          <w:tcPr>
            <w:tcW w:w="1701" w:type="dxa"/>
            <w:tcBorders>
              <w:top w:val="single" w:color="auto" w:sz="4" w:space="0"/>
              <w:left w:val="single" w:color="auto" w:sz="4" w:space="0"/>
              <w:bottom w:val="single" w:color="auto" w:sz="4" w:space="0"/>
              <w:right w:val="single" w:color="auto" w:sz="4" w:space="0"/>
            </w:tcBorders>
            <w:vAlign w:val="center"/>
          </w:tcPr>
          <w:p w14:paraId="5030B9DD">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3052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1A619310">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4F692AEA">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提供完整的API接口、SDK开发包、文档说明。</w:t>
            </w:r>
          </w:p>
        </w:tc>
        <w:tc>
          <w:tcPr>
            <w:tcW w:w="1701" w:type="dxa"/>
            <w:tcBorders>
              <w:top w:val="single" w:color="auto" w:sz="4" w:space="0"/>
              <w:left w:val="single" w:color="auto" w:sz="4" w:space="0"/>
              <w:bottom w:val="single" w:color="auto" w:sz="4" w:space="0"/>
              <w:right w:val="single" w:color="auto" w:sz="4" w:space="0"/>
            </w:tcBorders>
            <w:vAlign w:val="center"/>
          </w:tcPr>
          <w:p w14:paraId="79A32809">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402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2AE49815">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459FEF46">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提供日志记录功能，包括错误日志、操作日志、访问日志等，可追查访问来源以及进行多维度的统计分析。</w:t>
            </w:r>
          </w:p>
        </w:tc>
        <w:tc>
          <w:tcPr>
            <w:tcW w:w="1701" w:type="dxa"/>
            <w:tcBorders>
              <w:top w:val="single" w:color="auto" w:sz="4" w:space="0"/>
              <w:left w:val="single" w:color="auto" w:sz="4" w:space="0"/>
              <w:bottom w:val="single" w:color="auto" w:sz="4" w:space="0"/>
              <w:right w:val="single" w:color="auto" w:sz="4" w:space="0"/>
            </w:tcBorders>
            <w:vAlign w:val="center"/>
          </w:tcPr>
          <w:p w14:paraId="480C8E1F">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05F4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66" w:type="dxa"/>
            <w:vMerge w:val="restart"/>
            <w:tcBorders>
              <w:top w:val="single" w:color="auto" w:sz="4" w:space="0"/>
              <w:left w:val="single" w:color="auto" w:sz="4" w:space="0"/>
              <w:bottom w:val="single" w:color="auto" w:sz="4" w:space="0"/>
              <w:right w:val="single" w:color="auto" w:sz="4" w:space="0"/>
            </w:tcBorders>
            <w:vAlign w:val="center"/>
          </w:tcPr>
          <w:p w14:paraId="5B0EDB5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安全性</w:t>
            </w:r>
          </w:p>
        </w:tc>
        <w:tc>
          <w:tcPr>
            <w:tcW w:w="6864" w:type="dxa"/>
            <w:tcBorders>
              <w:top w:val="single" w:color="auto" w:sz="4" w:space="0"/>
              <w:left w:val="single" w:color="auto" w:sz="4" w:space="0"/>
              <w:bottom w:val="single" w:color="auto" w:sz="4" w:space="0"/>
              <w:right w:val="single" w:color="auto" w:sz="4" w:space="0"/>
            </w:tcBorders>
            <w:vAlign w:val="center"/>
          </w:tcPr>
          <w:p w14:paraId="1218D335">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支持IP授权访问。</w:t>
            </w:r>
          </w:p>
        </w:tc>
        <w:tc>
          <w:tcPr>
            <w:tcW w:w="1701" w:type="dxa"/>
            <w:tcBorders>
              <w:top w:val="single" w:color="auto" w:sz="4" w:space="0"/>
              <w:left w:val="single" w:color="auto" w:sz="4" w:space="0"/>
              <w:bottom w:val="single" w:color="auto" w:sz="4" w:space="0"/>
              <w:right w:val="single" w:color="auto" w:sz="4" w:space="0"/>
            </w:tcBorders>
            <w:vAlign w:val="center"/>
          </w:tcPr>
          <w:p w14:paraId="5670E8EE">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5650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0AF48014">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2354D1C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云服务端提供加密用户身份验证，提供不同的访问权限控制。</w:t>
            </w:r>
          </w:p>
        </w:tc>
        <w:tc>
          <w:tcPr>
            <w:tcW w:w="1701" w:type="dxa"/>
            <w:tcBorders>
              <w:top w:val="single" w:color="auto" w:sz="4" w:space="0"/>
              <w:left w:val="single" w:color="auto" w:sz="4" w:space="0"/>
              <w:bottom w:val="single" w:color="auto" w:sz="4" w:space="0"/>
              <w:right w:val="single" w:color="auto" w:sz="4" w:space="0"/>
            </w:tcBorders>
            <w:vAlign w:val="center"/>
          </w:tcPr>
          <w:p w14:paraId="25F73247">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7B9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3C9542A8">
            <w:pPr>
              <w:keepNext w:val="0"/>
              <w:keepLines w:val="0"/>
              <w:widowControl/>
              <w:suppressLineNumbers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864" w:type="dxa"/>
            <w:tcBorders>
              <w:top w:val="single" w:color="auto" w:sz="4" w:space="0"/>
              <w:left w:val="single" w:color="auto" w:sz="4" w:space="0"/>
              <w:bottom w:val="single" w:color="auto" w:sz="4" w:space="0"/>
              <w:right w:val="single" w:color="auto" w:sz="4" w:space="0"/>
            </w:tcBorders>
            <w:vAlign w:val="center"/>
          </w:tcPr>
          <w:p w14:paraId="781CCE20">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提供数据库存储加密服务。</w:t>
            </w:r>
          </w:p>
        </w:tc>
        <w:tc>
          <w:tcPr>
            <w:tcW w:w="1701" w:type="dxa"/>
            <w:tcBorders>
              <w:top w:val="single" w:color="auto" w:sz="4" w:space="0"/>
              <w:left w:val="single" w:color="auto" w:sz="4" w:space="0"/>
              <w:bottom w:val="single" w:color="auto" w:sz="4" w:space="0"/>
              <w:right w:val="single" w:color="auto" w:sz="4" w:space="0"/>
            </w:tcBorders>
            <w:vAlign w:val="center"/>
          </w:tcPr>
          <w:p w14:paraId="18DB29AB">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bl>
    <w:p w14:paraId="1352DD3C">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（5）云存储（对象存储）要求</w:t>
      </w:r>
    </w:p>
    <w:tbl>
      <w:tblPr>
        <w:tblStyle w:val="46"/>
        <w:tblW w:w="10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6695"/>
        <w:gridCol w:w="1709"/>
      </w:tblGrid>
      <w:tr w14:paraId="17AB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442518AC">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指标项</w:t>
            </w:r>
          </w:p>
        </w:tc>
        <w:tc>
          <w:tcPr>
            <w:tcW w:w="6695" w:type="dxa"/>
            <w:tcBorders>
              <w:top w:val="single" w:color="auto" w:sz="4" w:space="0"/>
              <w:left w:val="single" w:color="auto" w:sz="4" w:space="0"/>
              <w:bottom w:val="single" w:color="auto" w:sz="4" w:space="0"/>
              <w:right w:val="single" w:color="auto" w:sz="4" w:space="0"/>
            </w:tcBorders>
            <w:noWrap/>
            <w:vAlign w:val="center"/>
          </w:tcPr>
          <w:p w14:paraId="14CBF91D">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规格要求</w:t>
            </w:r>
          </w:p>
        </w:tc>
        <w:tc>
          <w:tcPr>
            <w:tcW w:w="1709" w:type="dxa"/>
            <w:tcBorders>
              <w:top w:val="single" w:color="auto" w:sz="4" w:space="0"/>
              <w:left w:val="single" w:color="auto" w:sz="4" w:space="0"/>
              <w:bottom w:val="single" w:color="auto" w:sz="4" w:space="0"/>
              <w:right w:val="single" w:color="auto" w:sz="4" w:space="0"/>
            </w:tcBorders>
            <w:vAlign w:val="center"/>
          </w:tcPr>
          <w:p w14:paraId="584652CF">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40A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30" w:type="dxa"/>
            <w:vMerge w:val="restart"/>
            <w:tcBorders>
              <w:top w:val="single" w:color="auto" w:sz="4" w:space="0"/>
              <w:left w:val="single" w:color="auto" w:sz="4" w:space="0"/>
              <w:bottom w:val="single" w:color="auto" w:sz="4" w:space="0"/>
              <w:right w:val="single" w:color="auto" w:sz="4" w:space="0"/>
            </w:tcBorders>
            <w:noWrap/>
            <w:vAlign w:val="center"/>
          </w:tcPr>
          <w:p w14:paraId="44FAF937">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基本功能</w:t>
            </w:r>
          </w:p>
        </w:tc>
        <w:tc>
          <w:tcPr>
            <w:tcW w:w="6695" w:type="dxa"/>
            <w:tcBorders>
              <w:top w:val="single" w:color="auto" w:sz="4" w:space="0"/>
              <w:left w:val="single" w:color="auto" w:sz="4" w:space="0"/>
              <w:bottom w:val="single" w:color="auto" w:sz="4" w:space="0"/>
              <w:right w:val="single" w:color="auto" w:sz="4" w:space="0"/>
            </w:tcBorders>
            <w:noWrap/>
            <w:vAlign w:val="center"/>
          </w:tcPr>
          <w:p w14:paraId="75D10A02">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支持海量存储，文件数量无限制，容量按用户需求扩展。</w:t>
            </w:r>
          </w:p>
        </w:tc>
        <w:tc>
          <w:tcPr>
            <w:tcW w:w="1709" w:type="dxa"/>
            <w:tcBorders>
              <w:top w:val="single" w:color="auto" w:sz="4" w:space="0"/>
              <w:left w:val="single" w:color="auto" w:sz="4" w:space="0"/>
              <w:bottom w:val="single" w:color="auto" w:sz="4" w:space="0"/>
              <w:right w:val="single" w:color="auto" w:sz="4" w:space="0"/>
            </w:tcBorders>
            <w:vAlign w:val="center"/>
          </w:tcPr>
          <w:p w14:paraId="1D7D956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4CE4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30" w:type="dxa"/>
            <w:vMerge w:val="continue"/>
            <w:tcBorders>
              <w:top w:val="single" w:color="auto" w:sz="4" w:space="0"/>
              <w:left w:val="single" w:color="auto" w:sz="4" w:space="0"/>
              <w:bottom w:val="single" w:color="auto" w:sz="4" w:space="0"/>
              <w:right w:val="single" w:color="auto" w:sz="4" w:space="0"/>
            </w:tcBorders>
            <w:vAlign w:val="center"/>
          </w:tcPr>
          <w:p w14:paraId="00D721DC">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695" w:type="dxa"/>
            <w:tcBorders>
              <w:top w:val="single" w:color="auto" w:sz="4" w:space="0"/>
              <w:left w:val="single" w:color="auto" w:sz="4" w:space="0"/>
              <w:bottom w:val="single" w:color="auto" w:sz="4" w:space="0"/>
              <w:right w:val="single" w:color="auto" w:sz="4" w:space="0"/>
            </w:tcBorders>
            <w:noWrap/>
            <w:vAlign w:val="center"/>
          </w:tcPr>
          <w:p w14:paraId="458F713A">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采用分布式存储，一份数据在不同的物理服务器上存三份备份。</w:t>
            </w:r>
          </w:p>
        </w:tc>
        <w:tc>
          <w:tcPr>
            <w:tcW w:w="1709" w:type="dxa"/>
            <w:tcBorders>
              <w:top w:val="single" w:color="auto" w:sz="4" w:space="0"/>
              <w:left w:val="single" w:color="auto" w:sz="4" w:space="0"/>
              <w:bottom w:val="single" w:color="auto" w:sz="4" w:space="0"/>
              <w:right w:val="single" w:color="auto" w:sz="4" w:space="0"/>
            </w:tcBorders>
            <w:vAlign w:val="center"/>
          </w:tcPr>
          <w:p w14:paraId="61F20A8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0656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0" w:type="dxa"/>
            <w:vMerge w:val="continue"/>
            <w:tcBorders>
              <w:top w:val="single" w:color="auto" w:sz="4" w:space="0"/>
              <w:left w:val="single" w:color="auto" w:sz="4" w:space="0"/>
              <w:bottom w:val="single" w:color="auto" w:sz="4" w:space="0"/>
              <w:right w:val="single" w:color="auto" w:sz="4" w:space="0"/>
            </w:tcBorders>
            <w:vAlign w:val="center"/>
          </w:tcPr>
          <w:p w14:paraId="1012851E">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695" w:type="dxa"/>
            <w:tcBorders>
              <w:top w:val="single" w:color="auto" w:sz="4" w:space="0"/>
              <w:left w:val="single" w:color="auto" w:sz="4" w:space="0"/>
              <w:bottom w:val="single" w:color="auto" w:sz="4" w:space="0"/>
              <w:right w:val="single" w:color="auto" w:sz="4" w:space="0"/>
            </w:tcBorders>
            <w:noWrap/>
            <w:vAlign w:val="center"/>
          </w:tcPr>
          <w:p w14:paraId="1C5C1107">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采用分布式存储系统，支持大规模强结构化数据存储，如SQL关系性数据库，单库容量可达1TB。</w:t>
            </w:r>
          </w:p>
        </w:tc>
        <w:tc>
          <w:tcPr>
            <w:tcW w:w="1709" w:type="dxa"/>
            <w:tcBorders>
              <w:top w:val="single" w:color="auto" w:sz="4" w:space="0"/>
              <w:left w:val="single" w:color="auto" w:sz="4" w:space="0"/>
              <w:bottom w:val="single" w:color="auto" w:sz="4" w:space="0"/>
              <w:right w:val="single" w:color="auto" w:sz="4" w:space="0"/>
            </w:tcBorders>
            <w:vAlign w:val="center"/>
          </w:tcPr>
          <w:p w14:paraId="0196812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786E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30" w:type="dxa"/>
            <w:vMerge w:val="continue"/>
            <w:tcBorders>
              <w:top w:val="single" w:color="auto" w:sz="4" w:space="0"/>
              <w:left w:val="single" w:color="auto" w:sz="4" w:space="0"/>
              <w:bottom w:val="single" w:color="auto" w:sz="4" w:space="0"/>
              <w:right w:val="single" w:color="auto" w:sz="4" w:space="0"/>
            </w:tcBorders>
            <w:vAlign w:val="center"/>
          </w:tcPr>
          <w:p w14:paraId="252AD0E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695" w:type="dxa"/>
            <w:tcBorders>
              <w:top w:val="single" w:color="auto" w:sz="4" w:space="0"/>
              <w:left w:val="single" w:color="auto" w:sz="4" w:space="0"/>
              <w:bottom w:val="single" w:color="auto" w:sz="4" w:space="0"/>
              <w:right w:val="single" w:color="auto" w:sz="4" w:space="0"/>
            </w:tcBorders>
            <w:noWrap/>
            <w:vAlign w:val="center"/>
          </w:tcPr>
          <w:p w14:paraId="45835640">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采用分布式存储系统，支持大规模结构、半结构化数据存储，如NOSQL数据库,单表支持的存储空间可达100TB。</w:t>
            </w:r>
          </w:p>
        </w:tc>
        <w:tc>
          <w:tcPr>
            <w:tcW w:w="1709" w:type="dxa"/>
            <w:tcBorders>
              <w:top w:val="single" w:color="auto" w:sz="4" w:space="0"/>
              <w:left w:val="single" w:color="auto" w:sz="4" w:space="0"/>
              <w:bottom w:val="single" w:color="auto" w:sz="4" w:space="0"/>
              <w:right w:val="single" w:color="auto" w:sz="4" w:space="0"/>
            </w:tcBorders>
            <w:vAlign w:val="center"/>
          </w:tcPr>
          <w:p w14:paraId="5A3568EB">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1349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30" w:type="dxa"/>
            <w:vMerge w:val="restart"/>
            <w:tcBorders>
              <w:top w:val="single" w:color="auto" w:sz="4" w:space="0"/>
              <w:left w:val="single" w:color="auto" w:sz="4" w:space="0"/>
              <w:bottom w:val="single" w:color="auto" w:sz="4" w:space="0"/>
              <w:right w:val="single" w:color="auto" w:sz="4" w:space="0"/>
            </w:tcBorders>
            <w:noWrap/>
            <w:vAlign w:val="center"/>
          </w:tcPr>
          <w:p w14:paraId="045769A2">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扩展功能</w:t>
            </w:r>
          </w:p>
        </w:tc>
        <w:tc>
          <w:tcPr>
            <w:tcW w:w="6695" w:type="dxa"/>
            <w:tcBorders>
              <w:top w:val="single" w:color="auto" w:sz="4" w:space="0"/>
              <w:left w:val="single" w:color="auto" w:sz="4" w:space="0"/>
              <w:bottom w:val="single" w:color="auto" w:sz="4" w:space="0"/>
              <w:right w:val="single" w:color="auto" w:sz="4" w:space="0"/>
            </w:tcBorders>
            <w:noWrap/>
            <w:vAlign w:val="center"/>
          </w:tcPr>
          <w:p w14:paraId="2339C8CD">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提供存储对象的读、写、删除、拷贝、查找等基本功能。</w:t>
            </w:r>
          </w:p>
        </w:tc>
        <w:tc>
          <w:tcPr>
            <w:tcW w:w="1709" w:type="dxa"/>
            <w:tcBorders>
              <w:top w:val="single" w:color="auto" w:sz="4" w:space="0"/>
              <w:left w:val="single" w:color="auto" w:sz="4" w:space="0"/>
              <w:bottom w:val="single" w:color="auto" w:sz="4" w:space="0"/>
              <w:right w:val="single" w:color="auto" w:sz="4" w:space="0"/>
            </w:tcBorders>
            <w:vAlign w:val="center"/>
          </w:tcPr>
          <w:p w14:paraId="388AD4BE">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890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30" w:type="dxa"/>
            <w:vMerge w:val="continue"/>
            <w:tcBorders>
              <w:top w:val="single" w:color="auto" w:sz="4" w:space="0"/>
              <w:left w:val="single" w:color="auto" w:sz="4" w:space="0"/>
              <w:bottom w:val="single" w:color="auto" w:sz="4" w:space="0"/>
              <w:right w:val="single" w:color="auto" w:sz="4" w:space="0"/>
            </w:tcBorders>
            <w:vAlign w:val="center"/>
          </w:tcPr>
          <w:p w14:paraId="3058DA20">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695" w:type="dxa"/>
            <w:tcBorders>
              <w:top w:val="single" w:color="auto" w:sz="4" w:space="0"/>
              <w:left w:val="single" w:color="auto" w:sz="4" w:space="0"/>
              <w:bottom w:val="single" w:color="auto" w:sz="4" w:space="0"/>
              <w:right w:val="single" w:color="auto" w:sz="4" w:space="0"/>
            </w:tcBorders>
            <w:noWrap/>
            <w:vAlign w:val="center"/>
          </w:tcPr>
          <w:p w14:paraId="7611D67B">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支持大存储对象的分片并发上传和下载，支持断点续传。</w:t>
            </w:r>
          </w:p>
        </w:tc>
        <w:tc>
          <w:tcPr>
            <w:tcW w:w="1709" w:type="dxa"/>
            <w:tcBorders>
              <w:top w:val="single" w:color="auto" w:sz="4" w:space="0"/>
              <w:left w:val="single" w:color="auto" w:sz="4" w:space="0"/>
              <w:bottom w:val="single" w:color="auto" w:sz="4" w:space="0"/>
              <w:right w:val="single" w:color="auto" w:sz="4" w:space="0"/>
            </w:tcBorders>
            <w:vAlign w:val="center"/>
          </w:tcPr>
          <w:p w14:paraId="16CF923D">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11F4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30" w:type="dxa"/>
            <w:vMerge w:val="continue"/>
            <w:tcBorders>
              <w:top w:val="single" w:color="auto" w:sz="4" w:space="0"/>
              <w:left w:val="single" w:color="auto" w:sz="4" w:space="0"/>
              <w:bottom w:val="single" w:color="auto" w:sz="4" w:space="0"/>
              <w:right w:val="single" w:color="auto" w:sz="4" w:space="0"/>
            </w:tcBorders>
            <w:vAlign w:val="center"/>
          </w:tcPr>
          <w:p w14:paraId="267DEE22">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695" w:type="dxa"/>
            <w:tcBorders>
              <w:top w:val="single" w:color="auto" w:sz="4" w:space="0"/>
              <w:left w:val="single" w:color="auto" w:sz="4" w:space="0"/>
              <w:bottom w:val="single" w:color="auto" w:sz="4" w:space="0"/>
              <w:right w:val="single" w:color="auto" w:sz="4" w:space="0"/>
            </w:tcBorders>
            <w:noWrap/>
            <w:vAlign w:val="center"/>
          </w:tcPr>
          <w:p w14:paraId="0DC395EF">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提供易用的用户Web控制台文件管理界面，与更多第三方工具、插件，满足各种应用需求。</w:t>
            </w:r>
          </w:p>
        </w:tc>
        <w:tc>
          <w:tcPr>
            <w:tcW w:w="1709" w:type="dxa"/>
            <w:tcBorders>
              <w:top w:val="single" w:color="auto" w:sz="4" w:space="0"/>
              <w:left w:val="single" w:color="auto" w:sz="4" w:space="0"/>
              <w:bottom w:val="single" w:color="auto" w:sz="4" w:space="0"/>
              <w:right w:val="single" w:color="auto" w:sz="4" w:space="0"/>
            </w:tcBorders>
            <w:vAlign w:val="center"/>
          </w:tcPr>
          <w:p w14:paraId="5B4FCB50">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C35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30" w:type="dxa"/>
            <w:vMerge w:val="continue"/>
            <w:tcBorders>
              <w:top w:val="single" w:color="auto" w:sz="4" w:space="0"/>
              <w:left w:val="single" w:color="auto" w:sz="4" w:space="0"/>
              <w:bottom w:val="single" w:color="auto" w:sz="4" w:space="0"/>
              <w:right w:val="single" w:color="auto" w:sz="4" w:space="0"/>
            </w:tcBorders>
            <w:vAlign w:val="center"/>
          </w:tcPr>
          <w:p w14:paraId="52E1EE3B">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695" w:type="dxa"/>
            <w:tcBorders>
              <w:top w:val="single" w:color="auto" w:sz="4" w:space="0"/>
              <w:left w:val="single" w:color="auto" w:sz="4" w:space="0"/>
              <w:bottom w:val="single" w:color="auto" w:sz="4" w:space="0"/>
              <w:right w:val="single" w:color="auto" w:sz="4" w:space="0"/>
            </w:tcBorders>
            <w:noWrap/>
            <w:vAlign w:val="center"/>
          </w:tcPr>
          <w:p w14:paraId="72F2146A">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提供完整的API接口、SDK开发包、文档说明。</w:t>
            </w:r>
          </w:p>
        </w:tc>
        <w:tc>
          <w:tcPr>
            <w:tcW w:w="1709" w:type="dxa"/>
            <w:tcBorders>
              <w:top w:val="single" w:color="auto" w:sz="4" w:space="0"/>
              <w:left w:val="single" w:color="auto" w:sz="4" w:space="0"/>
              <w:bottom w:val="single" w:color="auto" w:sz="4" w:space="0"/>
              <w:right w:val="single" w:color="auto" w:sz="4" w:space="0"/>
            </w:tcBorders>
            <w:vAlign w:val="center"/>
          </w:tcPr>
          <w:p w14:paraId="0D0F8CF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938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71BC3AAB">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存储管理</w:t>
            </w:r>
          </w:p>
        </w:tc>
        <w:tc>
          <w:tcPr>
            <w:tcW w:w="6695" w:type="dxa"/>
            <w:tcBorders>
              <w:top w:val="single" w:color="auto" w:sz="4" w:space="0"/>
              <w:left w:val="single" w:color="auto" w:sz="4" w:space="0"/>
              <w:bottom w:val="single" w:color="auto" w:sz="4" w:space="0"/>
              <w:right w:val="single" w:color="auto" w:sz="4" w:space="0"/>
            </w:tcBorders>
            <w:noWrap/>
            <w:vAlign w:val="center"/>
          </w:tcPr>
          <w:p w14:paraId="5A8109EE">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支持将数据以对象方式进行存储，用户可以通过调用API以对象为单位操纵存储的数据，实现在任何应用、任何时间、任何地点上传和下载数据，也可以通过用户Web控制台对数据进行简单的管理。</w:t>
            </w:r>
          </w:p>
        </w:tc>
        <w:tc>
          <w:tcPr>
            <w:tcW w:w="1709" w:type="dxa"/>
            <w:tcBorders>
              <w:top w:val="single" w:color="auto" w:sz="4" w:space="0"/>
              <w:left w:val="single" w:color="auto" w:sz="4" w:space="0"/>
              <w:bottom w:val="single" w:color="auto" w:sz="4" w:space="0"/>
              <w:right w:val="single" w:color="auto" w:sz="4" w:space="0"/>
            </w:tcBorders>
            <w:vAlign w:val="center"/>
          </w:tcPr>
          <w:p w14:paraId="733D31D4">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7E89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32BAADC3">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大文件支持</w:t>
            </w:r>
          </w:p>
        </w:tc>
        <w:tc>
          <w:tcPr>
            <w:tcW w:w="6695" w:type="dxa"/>
            <w:tcBorders>
              <w:top w:val="single" w:color="auto" w:sz="4" w:space="0"/>
              <w:left w:val="single" w:color="auto" w:sz="4" w:space="0"/>
              <w:bottom w:val="single" w:color="auto" w:sz="4" w:space="0"/>
              <w:right w:val="single" w:color="auto" w:sz="4" w:space="0"/>
            </w:tcBorders>
            <w:noWrap/>
            <w:vAlign w:val="center"/>
          </w:tcPr>
          <w:p w14:paraId="2E735AAE">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支持并配置分段上传大文件，单个分段最大5GB，最大分段数≥5000段。支持断点续传。</w:t>
            </w:r>
          </w:p>
        </w:tc>
        <w:tc>
          <w:tcPr>
            <w:tcW w:w="1709" w:type="dxa"/>
            <w:tcBorders>
              <w:top w:val="single" w:color="auto" w:sz="4" w:space="0"/>
              <w:left w:val="single" w:color="auto" w:sz="4" w:space="0"/>
              <w:bottom w:val="single" w:color="auto" w:sz="4" w:space="0"/>
              <w:right w:val="single" w:color="auto" w:sz="4" w:space="0"/>
            </w:tcBorders>
            <w:vAlign w:val="center"/>
          </w:tcPr>
          <w:p w14:paraId="292ECC23">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6458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0" w:type="dxa"/>
            <w:vMerge w:val="restart"/>
            <w:tcBorders>
              <w:top w:val="single" w:color="auto" w:sz="4" w:space="0"/>
              <w:left w:val="single" w:color="auto" w:sz="4" w:space="0"/>
              <w:bottom w:val="single" w:color="auto" w:sz="4" w:space="0"/>
              <w:right w:val="single" w:color="auto" w:sz="4" w:space="0"/>
            </w:tcBorders>
            <w:noWrap/>
            <w:vAlign w:val="center"/>
          </w:tcPr>
          <w:p w14:paraId="2E19AF1E">
            <w:pPr>
              <w:keepNext w:val="0"/>
              <w:keepLines w:val="0"/>
              <w:suppressLineNumbers w:val="0"/>
              <w:snapToGrid w:val="0"/>
              <w:spacing w:before="100" w:beforeAutospacing="1" w:after="100" w:afterAutospacing="1"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安全性</w:t>
            </w:r>
          </w:p>
        </w:tc>
        <w:tc>
          <w:tcPr>
            <w:tcW w:w="6695" w:type="dxa"/>
            <w:tcBorders>
              <w:top w:val="single" w:color="auto" w:sz="4" w:space="0"/>
              <w:left w:val="single" w:color="auto" w:sz="4" w:space="0"/>
              <w:bottom w:val="single" w:color="auto" w:sz="4" w:space="0"/>
              <w:right w:val="single" w:color="auto" w:sz="4" w:space="0"/>
            </w:tcBorders>
            <w:noWrap/>
            <w:vAlign w:val="center"/>
          </w:tcPr>
          <w:p w14:paraId="48627430">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具备完善的多用户隔离机制，保障用户数据的私密性。</w:t>
            </w:r>
          </w:p>
        </w:tc>
        <w:tc>
          <w:tcPr>
            <w:tcW w:w="1709" w:type="dxa"/>
            <w:tcBorders>
              <w:top w:val="single" w:color="auto" w:sz="4" w:space="0"/>
              <w:left w:val="single" w:color="auto" w:sz="4" w:space="0"/>
              <w:bottom w:val="single" w:color="auto" w:sz="4" w:space="0"/>
              <w:right w:val="single" w:color="auto" w:sz="4" w:space="0"/>
            </w:tcBorders>
            <w:vAlign w:val="center"/>
          </w:tcPr>
          <w:p w14:paraId="03F768AF">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r w14:paraId="28C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0" w:type="dxa"/>
            <w:vMerge w:val="continue"/>
            <w:tcBorders>
              <w:top w:val="single" w:color="auto" w:sz="4" w:space="0"/>
              <w:left w:val="single" w:color="auto" w:sz="4" w:space="0"/>
              <w:bottom w:val="single" w:color="auto" w:sz="4" w:space="0"/>
              <w:right w:val="single" w:color="auto" w:sz="4" w:space="0"/>
            </w:tcBorders>
            <w:vAlign w:val="center"/>
          </w:tcPr>
          <w:p w14:paraId="7E83A069">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c>
          <w:tcPr>
            <w:tcW w:w="6695" w:type="dxa"/>
            <w:tcBorders>
              <w:top w:val="single" w:color="auto" w:sz="4" w:space="0"/>
              <w:left w:val="single" w:color="auto" w:sz="4" w:space="0"/>
              <w:bottom w:val="single" w:color="auto" w:sz="4" w:space="0"/>
              <w:right w:val="single" w:color="auto" w:sz="4" w:space="0"/>
            </w:tcBorders>
            <w:noWrap/>
            <w:vAlign w:val="center"/>
          </w:tcPr>
          <w:p w14:paraId="4ED98F1E">
            <w:pPr>
              <w:keepNext w:val="0"/>
              <w:keepLines w:val="0"/>
              <w:suppressLineNumbers w:val="0"/>
              <w:snapToGrid w:val="0"/>
              <w:spacing w:before="100" w:beforeAutospacing="1" w:after="100" w:afterAutospacing="1"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云服务端提供加密用户身份验证，提供签名权限控制与防盗链功能。</w:t>
            </w:r>
          </w:p>
        </w:tc>
        <w:tc>
          <w:tcPr>
            <w:tcW w:w="1709" w:type="dxa"/>
            <w:tcBorders>
              <w:top w:val="single" w:color="auto" w:sz="4" w:space="0"/>
              <w:left w:val="single" w:color="auto" w:sz="4" w:space="0"/>
              <w:bottom w:val="single" w:color="auto" w:sz="4" w:space="0"/>
              <w:right w:val="single" w:color="auto" w:sz="4" w:space="0"/>
            </w:tcBorders>
            <w:vAlign w:val="center"/>
          </w:tcPr>
          <w:p w14:paraId="3BAA88E1">
            <w:pPr>
              <w:keepNext w:val="0"/>
              <w:keepLines w:val="0"/>
              <w:suppressLineNumbers w:val="0"/>
              <w:snapToGrid w:val="0"/>
              <w:spacing w:before="100" w:beforeAutospacing="1" w:after="100" w:afterAutospacing="1" w:line="360" w:lineRule="atLeast"/>
              <w:ind w:left="0" w:right="0"/>
              <w:jc w:val="center"/>
              <w:rPr>
                <w:rFonts w:hint="default" w:ascii="宋体" w:hAnsi="宋体" w:cs="宋体"/>
                <w:color w:val="auto"/>
                <w:sz w:val="22"/>
                <w:szCs w:val="22"/>
                <w:highlight w:val="none"/>
              </w:rPr>
            </w:pPr>
          </w:p>
        </w:tc>
      </w:tr>
    </w:tbl>
    <w:p w14:paraId="004375A6">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（6）共享互联网出口</w:t>
      </w:r>
    </w:p>
    <w:p w14:paraId="5D53E496">
      <w:pPr>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服务提供商必须保证政务云互联网出口不出现流量拥塞，在出口流量峰值达到</w:t>
      </w:r>
      <w:r>
        <w:rPr>
          <w:rFonts w:ascii="宋体" w:hAnsi="宋体"/>
          <w:color w:val="auto"/>
          <w:sz w:val="22"/>
          <w:szCs w:val="22"/>
          <w:highlight w:val="none"/>
        </w:rPr>
        <w:t>90%时应立即安排出口带宽扩容。</w:t>
      </w:r>
    </w:p>
    <w:p w14:paraId="4FEBF748">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（7）</w:t>
      </w:r>
      <w:r>
        <w:rPr>
          <w:rFonts w:ascii="宋体" w:hAnsi="宋体"/>
          <w:b/>
          <w:color w:val="auto"/>
          <w:sz w:val="22"/>
          <w:szCs w:val="22"/>
          <w:highlight w:val="none"/>
        </w:rPr>
        <w:t>云负载均衡要求</w:t>
      </w:r>
    </w:p>
    <w:tbl>
      <w:tblPr>
        <w:tblStyle w:val="46"/>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6700"/>
        <w:gridCol w:w="1712"/>
      </w:tblGrid>
      <w:tr w14:paraId="0BC3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116BD997">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指标项</w:t>
            </w:r>
          </w:p>
        </w:tc>
        <w:tc>
          <w:tcPr>
            <w:tcW w:w="6700" w:type="dxa"/>
            <w:tcBorders>
              <w:top w:val="single" w:color="auto" w:sz="4" w:space="0"/>
              <w:left w:val="single" w:color="auto" w:sz="4" w:space="0"/>
              <w:bottom w:val="single" w:color="auto" w:sz="4" w:space="0"/>
              <w:right w:val="single" w:color="auto" w:sz="4" w:space="0"/>
            </w:tcBorders>
            <w:noWrap/>
            <w:vAlign w:val="center"/>
          </w:tcPr>
          <w:p w14:paraId="1CB0D26A">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规格要求</w:t>
            </w:r>
          </w:p>
        </w:tc>
        <w:tc>
          <w:tcPr>
            <w:tcW w:w="1712" w:type="dxa"/>
            <w:tcBorders>
              <w:top w:val="single" w:color="auto" w:sz="4" w:space="0"/>
              <w:left w:val="single" w:color="auto" w:sz="4" w:space="0"/>
              <w:bottom w:val="single" w:color="auto" w:sz="4" w:space="0"/>
              <w:right w:val="single" w:color="auto" w:sz="4" w:space="0"/>
            </w:tcBorders>
            <w:vAlign w:val="center"/>
          </w:tcPr>
          <w:p w14:paraId="13F1D3D7">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备注</w:t>
            </w:r>
          </w:p>
        </w:tc>
      </w:tr>
      <w:tr w14:paraId="4C26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40676726">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安全稳定</w:t>
            </w:r>
          </w:p>
        </w:tc>
        <w:tc>
          <w:tcPr>
            <w:tcW w:w="6700" w:type="dxa"/>
            <w:tcBorders>
              <w:top w:val="single" w:color="auto" w:sz="4" w:space="0"/>
              <w:left w:val="single" w:color="auto" w:sz="4" w:space="0"/>
              <w:bottom w:val="single" w:color="auto" w:sz="4" w:space="0"/>
              <w:right w:val="single" w:color="auto" w:sz="4" w:space="0"/>
            </w:tcBorders>
            <w:noWrap/>
            <w:vAlign w:val="center"/>
          </w:tcPr>
          <w:p w14:paraId="7B3C9587">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采用分布式结构，具有高度的冗余和可靠性，可根据系统负载弹性扩容。</w:t>
            </w:r>
          </w:p>
        </w:tc>
        <w:tc>
          <w:tcPr>
            <w:tcW w:w="1712" w:type="dxa"/>
            <w:tcBorders>
              <w:top w:val="single" w:color="auto" w:sz="4" w:space="0"/>
              <w:left w:val="single" w:color="auto" w:sz="4" w:space="0"/>
              <w:bottom w:val="single" w:color="auto" w:sz="4" w:space="0"/>
              <w:right w:val="single" w:color="auto" w:sz="4" w:space="0"/>
            </w:tcBorders>
            <w:vAlign w:val="center"/>
          </w:tcPr>
          <w:p w14:paraId="5B95A3F3">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7225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3B48DE2F">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透明接入</w:t>
            </w:r>
          </w:p>
        </w:tc>
        <w:tc>
          <w:tcPr>
            <w:tcW w:w="6700" w:type="dxa"/>
            <w:tcBorders>
              <w:top w:val="single" w:color="auto" w:sz="4" w:space="0"/>
              <w:left w:val="single" w:color="auto" w:sz="4" w:space="0"/>
              <w:bottom w:val="single" w:color="auto" w:sz="4" w:space="0"/>
              <w:right w:val="single" w:color="auto" w:sz="4" w:space="0"/>
            </w:tcBorders>
            <w:noWrap/>
            <w:vAlign w:val="center"/>
          </w:tcPr>
          <w:p w14:paraId="5CBFB4F5">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提供4层和7层的负载均衡；Web和中间件服务器，无需更改配置即可透明接入</w:t>
            </w:r>
          </w:p>
        </w:tc>
        <w:tc>
          <w:tcPr>
            <w:tcW w:w="1712" w:type="dxa"/>
            <w:tcBorders>
              <w:top w:val="single" w:color="auto" w:sz="4" w:space="0"/>
              <w:left w:val="single" w:color="auto" w:sz="4" w:space="0"/>
              <w:bottom w:val="single" w:color="auto" w:sz="4" w:space="0"/>
              <w:right w:val="single" w:color="auto" w:sz="4" w:space="0"/>
            </w:tcBorders>
            <w:vAlign w:val="center"/>
          </w:tcPr>
          <w:p w14:paraId="1571C82C">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3552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09094E75">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健康检查</w:t>
            </w:r>
          </w:p>
        </w:tc>
        <w:tc>
          <w:tcPr>
            <w:tcW w:w="6700" w:type="dxa"/>
            <w:tcBorders>
              <w:top w:val="single" w:color="auto" w:sz="4" w:space="0"/>
              <w:left w:val="single" w:color="auto" w:sz="4" w:space="0"/>
              <w:bottom w:val="single" w:color="auto" w:sz="4" w:space="0"/>
              <w:right w:val="single" w:color="auto" w:sz="4" w:space="0"/>
            </w:tcBorders>
            <w:noWrap/>
            <w:vAlign w:val="center"/>
          </w:tcPr>
          <w:p w14:paraId="7A9C11C4">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可以按照指定规则进行健康检查，自动隔离异常状态云主机，并迅速将服务切换，服务切换时间秒级。</w:t>
            </w:r>
          </w:p>
        </w:tc>
        <w:tc>
          <w:tcPr>
            <w:tcW w:w="1712" w:type="dxa"/>
            <w:tcBorders>
              <w:top w:val="single" w:color="auto" w:sz="4" w:space="0"/>
              <w:left w:val="single" w:color="auto" w:sz="4" w:space="0"/>
              <w:bottom w:val="single" w:color="auto" w:sz="4" w:space="0"/>
              <w:right w:val="single" w:color="auto" w:sz="4" w:space="0"/>
            </w:tcBorders>
            <w:vAlign w:val="center"/>
          </w:tcPr>
          <w:p w14:paraId="16CFBBA2">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3DBD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7A7A78E8">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会话保持</w:t>
            </w:r>
          </w:p>
        </w:tc>
        <w:tc>
          <w:tcPr>
            <w:tcW w:w="6700" w:type="dxa"/>
            <w:tcBorders>
              <w:top w:val="single" w:color="auto" w:sz="4" w:space="0"/>
              <w:left w:val="single" w:color="auto" w:sz="4" w:space="0"/>
              <w:bottom w:val="single" w:color="auto" w:sz="4" w:space="0"/>
              <w:right w:val="single" w:color="auto" w:sz="4" w:space="0"/>
            </w:tcBorders>
            <w:noWrap/>
            <w:vAlign w:val="center"/>
          </w:tcPr>
          <w:p w14:paraId="27552E90">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可以将用户和后台服务器绑定到同一会话，确保会话不中断。其中4层负载均衡可以设置连接持久时间。</w:t>
            </w:r>
          </w:p>
        </w:tc>
        <w:tc>
          <w:tcPr>
            <w:tcW w:w="1712" w:type="dxa"/>
            <w:tcBorders>
              <w:top w:val="single" w:color="auto" w:sz="4" w:space="0"/>
              <w:left w:val="single" w:color="auto" w:sz="4" w:space="0"/>
              <w:bottom w:val="single" w:color="auto" w:sz="4" w:space="0"/>
              <w:right w:val="single" w:color="auto" w:sz="4" w:space="0"/>
            </w:tcBorders>
            <w:vAlign w:val="center"/>
          </w:tcPr>
          <w:p w14:paraId="68EE2D27">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6A3E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5B0EC2AB">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权重转发</w:t>
            </w:r>
          </w:p>
        </w:tc>
        <w:tc>
          <w:tcPr>
            <w:tcW w:w="6700" w:type="dxa"/>
            <w:tcBorders>
              <w:top w:val="single" w:color="auto" w:sz="4" w:space="0"/>
              <w:left w:val="single" w:color="auto" w:sz="4" w:space="0"/>
              <w:bottom w:val="single" w:color="auto" w:sz="4" w:space="0"/>
              <w:right w:val="single" w:color="auto" w:sz="4" w:space="0"/>
            </w:tcBorders>
            <w:noWrap/>
            <w:vAlign w:val="center"/>
          </w:tcPr>
          <w:p w14:paraId="3F6FF5BD">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可根据后台云服务器的性能设置不同的转发权重，权重支持轮询，最小连接数转发等方式。</w:t>
            </w:r>
          </w:p>
        </w:tc>
        <w:tc>
          <w:tcPr>
            <w:tcW w:w="1712" w:type="dxa"/>
            <w:tcBorders>
              <w:top w:val="single" w:color="auto" w:sz="4" w:space="0"/>
              <w:left w:val="single" w:color="auto" w:sz="4" w:space="0"/>
              <w:bottom w:val="single" w:color="auto" w:sz="4" w:space="0"/>
              <w:right w:val="single" w:color="auto" w:sz="4" w:space="0"/>
            </w:tcBorders>
            <w:vAlign w:val="center"/>
          </w:tcPr>
          <w:p w14:paraId="4CEDFEBF">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2AD4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7428F458">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易用简单</w:t>
            </w:r>
          </w:p>
        </w:tc>
        <w:tc>
          <w:tcPr>
            <w:tcW w:w="6700" w:type="dxa"/>
            <w:tcBorders>
              <w:top w:val="single" w:color="auto" w:sz="4" w:space="0"/>
              <w:left w:val="single" w:color="auto" w:sz="4" w:space="0"/>
              <w:bottom w:val="single" w:color="auto" w:sz="4" w:space="0"/>
              <w:right w:val="single" w:color="auto" w:sz="4" w:space="0"/>
            </w:tcBorders>
            <w:noWrap/>
            <w:vAlign w:val="center"/>
          </w:tcPr>
          <w:p w14:paraId="501CAB44">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提供API或控制台调用方式，可以随时开启，关闭负载均衡，立即生效，灵活简单。</w:t>
            </w:r>
          </w:p>
        </w:tc>
        <w:tc>
          <w:tcPr>
            <w:tcW w:w="1712" w:type="dxa"/>
            <w:tcBorders>
              <w:top w:val="single" w:color="auto" w:sz="4" w:space="0"/>
              <w:left w:val="single" w:color="auto" w:sz="4" w:space="0"/>
              <w:bottom w:val="single" w:color="auto" w:sz="4" w:space="0"/>
              <w:right w:val="single" w:color="auto" w:sz="4" w:space="0"/>
            </w:tcBorders>
            <w:vAlign w:val="center"/>
          </w:tcPr>
          <w:p w14:paraId="33F4169F">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5FDF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30" w:type="dxa"/>
            <w:tcBorders>
              <w:top w:val="single" w:color="auto" w:sz="4" w:space="0"/>
              <w:left w:val="single" w:color="auto" w:sz="4" w:space="0"/>
              <w:bottom w:val="single" w:color="auto" w:sz="4" w:space="0"/>
              <w:right w:val="single" w:color="auto" w:sz="4" w:space="0"/>
            </w:tcBorders>
            <w:noWrap/>
            <w:vAlign w:val="center"/>
          </w:tcPr>
          <w:p w14:paraId="03D8EADF">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按需计费</w:t>
            </w:r>
          </w:p>
        </w:tc>
        <w:tc>
          <w:tcPr>
            <w:tcW w:w="6700" w:type="dxa"/>
            <w:tcBorders>
              <w:top w:val="single" w:color="auto" w:sz="4" w:space="0"/>
              <w:left w:val="single" w:color="auto" w:sz="4" w:space="0"/>
              <w:bottom w:val="single" w:color="auto" w:sz="4" w:space="0"/>
              <w:right w:val="single" w:color="auto" w:sz="4" w:space="0"/>
            </w:tcBorders>
            <w:noWrap/>
            <w:vAlign w:val="center"/>
          </w:tcPr>
          <w:p w14:paraId="1C4E0FA7">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支持按流量、使用时间进行计费。</w:t>
            </w:r>
          </w:p>
        </w:tc>
        <w:tc>
          <w:tcPr>
            <w:tcW w:w="1712" w:type="dxa"/>
            <w:tcBorders>
              <w:top w:val="single" w:color="auto" w:sz="4" w:space="0"/>
              <w:left w:val="single" w:color="auto" w:sz="4" w:space="0"/>
              <w:bottom w:val="single" w:color="auto" w:sz="4" w:space="0"/>
              <w:right w:val="single" w:color="auto" w:sz="4" w:space="0"/>
            </w:tcBorders>
            <w:vAlign w:val="center"/>
          </w:tcPr>
          <w:p w14:paraId="7D288BC6">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bl>
    <w:p w14:paraId="3388150B">
      <w:pPr>
        <w:snapToGrid w:val="0"/>
        <w:spacing w:line="400" w:lineRule="atLeast"/>
        <w:rPr>
          <w:rFonts w:ascii="宋体" w:hAnsi="宋体"/>
          <w:b/>
          <w:color w:val="auto"/>
          <w:sz w:val="22"/>
          <w:szCs w:val="22"/>
          <w:highlight w:val="none"/>
        </w:rPr>
      </w:pPr>
      <w:r>
        <w:rPr>
          <w:rFonts w:hint="eastAsia" w:ascii="宋体" w:hAnsi="宋体"/>
          <w:b/>
          <w:color w:val="auto"/>
          <w:sz w:val="22"/>
          <w:szCs w:val="22"/>
          <w:highlight w:val="none"/>
        </w:rPr>
        <w:t>2、云应用服务要求</w:t>
      </w:r>
    </w:p>
    <w:p w14:paraId="47E73007">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（1）云管理服务要求</w:t>
      </w:r>
    </w:p>
    <w:p w14:paraId="35E03E87">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采购人将集中受理、审核政务用户的需求，并统一发布给云供应商；并集中管理政务用户云资源，实时监控云资源运行状况。云供应商应为采购人提供专用的综合管理平台，需求见下表：</w:t>
      </w:r>
    </w:p>
    <w:tbl>
      <w:tblPr>
        <w:tblStyle w:val="46"/>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6699"/>
        <w:gridCol w:w="1708"/>
      </w:tblGrid>
      <w:tr w14:paraId="10C0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31" w:type="dxa"/>
            <w:tcBorders>
              <w:top w:val="single" w:color="auto" w:sz="4" w:space="0"/>
              <w:left w:val="single" w:color="auto" w:sz="4" w:space="0"/>
              <w:bottom w:val="single" w:color="auto" w:sz="4" w:space="0"/>
              <w:right w:val="single" w:color="auto" w:sz="4" w:space="0"/>
            </w:tcBorders>
            <w:vAlign w:val="center"/>
          </w:tcPr>
          <w:p w14:paraId="7AFEF9B2">
            <w:pPr>
              <w:keepNext w:val="0"/>
              <w:keepLines w:val="0"/>
              <w:suppressLineNumbers w:val="0"/>
              <w:snapToGrid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功能项</w:t>
            </w:r>
          </w:p>
        </w:tc>
        <w:tc>
          <w:tcPr>
            <w:tcW w:w="6699" w:type="dxa"/>
            <w:tcBorders>
              <w:top w:val="single" w:color="auto" w:sz="4" w:space="0"/>
              <w:left w:val="single" w:color="auto" w:sz="4" w:space="0"/>
              <w:bottom w:val="single" w:color="auto" w:sz="4" w:space="0"/>
              <w:right w:val="single" w:color="auto" w:sz="4" w:space="0"/>
            </w:tcBorders>
            <w:vAlign w:val="center"/>
          </w:tcPr>
          <w:p w14:paraId="6742836B">
            <w:pPr>
              <w:keepNext w:val="0"/>
              <w:keepLines w:val="0"/>
              <w:suppressLineNumbers w:val="0"/>
              <w:snapToGrid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规格要求</w:t>
            </w:r>
          </w:p>
        </w:tc>
        <w:tc>
          <w:tcPr>
            <w:tcW w:w="1708" w:type="dxa"/>
            <w:tcBorders>
              <w:top w:val="single" w:color="auto" w:sz="4" w:space="0"/>
              <w:left w:val="single" w:color="auto" w:sz="4" w:space="0"/>
              <w:bottom w:val="single" w:color="auto" w:sz="4" w:space="0"/>
              <w:right w:val="single" w:color="auto" w:sz="4" w:space="0"/>
            </w:tcBorders>
            <w:vAlign w:val="center"/>
          </w:tcPr>
          <w:p w14:paraId="2EAF307C">
            <w:pPr>
              <w:keepNext w:val="0"/>
              <w:keepLines w:val="0"/>
              <w:suppressLineNumbers w:val="0"/>
              <w:snapToGrid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23D0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631" w:type="dxa"/>
            <w:tcBorders>
              <w:top w:val="single" w:color="auto" w:sz="4" w:space="0"/>
              <w:left w:val="single" w:color="auto" w:sz="4" w:space="0"/>
              <w:bottom w:val="single" w:color="auto" w:sz="4" w:space="0"/>
              <w:right w:val="single" w:color="auto" w:sz="4" w:space="0"/>
            </w:tcBorders>
            <w:vAlign w:val="center"/>
          </w:tcPr>
          <w:p w14:paraId="77969D27">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审核管理需求</w:t>
            </w:r>
          </w:p>
        </w:tc>
        <w:tc>
          <w:tcPr>
            <w:tcW w:w="6699" w:type="dxa"/>
            <w:tcBorders>
              <w:top w:val="single" w:color="auto" w:sz="4" w:space="0"/>
              <w:left w:val="single" w:color="auto" w:sz="4" w:space="0"/>
              <w:bottom w:val="single" w:color="auto" w:sz="4" w:space="0"/>
              <w:right w:val="single" w:color="auto" w:sz="4" w:space="0"/>
            </w:tcBorders>
            <w:vAlign w:val="center"/>
          </w:tcPr>
          <w:p w14:paraId="40B4400E">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单位管理</w:t>
            </w:r>
          </w:p>
          <w:p w14:paraId="113B323E">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用户管理</w:t>
            </w:r>
          </w:p>
          <w:p w14:paraId="66279D99">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系统管理</w:t>
            </w:r>
          </w:p>
          <w:p w14:paraId="119EF4E0">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申请审批流程</w:t>
            </w:r>
          </w:p>
          <w:p w14:paraId="67E17BF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邮件、手机、短消息</w:t>
            </w:r>
          </w:p>
        </w:tc>
        <w:tc>
          <w:tcPr>
            <w:tcW w:w="1708" w:type="dxa"/>
            <w:tcBorders>
              <w:top w:val="single" w:color="auto" w:sz="4" w:space="0"/>
              <w:left w:val="single" w:color="auto" w:sz="4" w:space="0"/>
              <w:bottom w:val="single" w:color="auto" w:sz="4" w:space="0"/>
              <w:right w:val="single" w:color="auto" w:sz="4" w:space="0"/>
            </w:tcBorders>
            <w:vAlign w:val="center"/>
          </w:tcPr>
          <w:p w14:paraId="49F40694">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47A4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631" w:type="dxa"/>
            <w:tcBorders>
              <w:top w:val="single" w:color="auto" w:sz="4" w:space="0"/>
              <w:left w:val="single" w:color="auto" w:sz="4" w:space="0"/>
              <w:bottom w:val="single" w:color="auto" w:sz="4" w:space="0"/>
              <w:right w:val="single" w:color="auto" w:sz="4" w:space="0"/>
            </w:tcBorders>
            <w:vAlign w:val="center"/>
          </w:tcPr>
          <w:p w14:paraId="30A772F7">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管理员需求</w:t>
            </w:r>
          </w:p>
        </w:tc>
        <w:tc>
          <w:tcPr>
            <w:tcW w:w="6699" w:type="dxa"/>
            <w:tcBorders>
              <w:top w:val="single" w:color="auto" w:sz="4" w:space="0"/>
              <w:left w:val="single" w:color="auto" w:sz="4" w:space="0"/>
              <w:bottom w:val="single" w:color="auto" w:sz="4" w:space="0"/>
              <w:right w:val="single" w:color="auto" w:sz="4" w:space="0"/>
            </w:tcBorders>
            <w:vAlign w:val="center"/>
          </w:tcPr>
          <w:p w14:paraId="726C5D27">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开通管理：</w:t>
            </w:r>
          </w:p>
          <w:p w14:paraId="58381134">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登录管理：</w:t>
            </w:r>
          </w:p>
          <w:p w14:paraId="5881FCF4">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日志管理：</w:t>
            </w:r>
          </w:p>
          <w:p w14:paraId="02BB5B09">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统计报表：</w:t>
            </w:r>
          </w:p>
          <w:p w14:paraId="3742E458">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用户管理：</w:t>
            </w:r>
          </w:p>
          <w:p w14:paraId="5363C76B">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云主机管理：</w:t>
            </w:r>
          </w:p>
          <w:p w14:paraId="7A5682A0">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系统重装：</w:t>
            </w:r>
          </w:p>
          <w:p w14:paraId="32A7C3B6">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快照管理：</w:t>
            </w:r>
          </w:p>
          <w:p w14:paraId="4F5B015C">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系统镜像管理：</w:t>
            </w:r>
          </w:p>
          <w:p w14:paraId="369484FF">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安全组管理：</w:t>
            </w:r>
          </w:p>
          <w:p w14:paraId="4323ADD7">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工单管理：</w:t>
            </w:r>
          </w:p>
          <w:p w14:paraId="2AF58D9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计费管理：</w:t>
            </w:r>
          </w:p>
          <w:p w14:paraId="7AD5C640">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产品管理：</w:t>
            </w:r>
          </w:p>
          <w:p w14:paraId="0D770D29">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云主机迁移：</w:t>
            </w:r>
          </w:p>
          <w:p w14:paraId="40D7D34A">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负载均衡管理：</w:t>
            </w:r>
          </w:p>
          <w:p w14:paraId="1A3E78C0">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云数据库管理：</w:t>
            </w:r>
          </w:p>
          <w:p w14:paraId="1C98D428">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事件历史管理：</w:t>
            </w:r>
          </w:p>
        </w:tc>
        <w:tc>
          <w:tcPr>
            <w:tcW w:w="1708" w:type="dxa"/>
            <w:tcBorders>
              <w:top w:val="single" w:color="auto" w:sz="4" w:space="0"/>
              <w:left w:val="single" w:color="auto" w:sz="4" w:space="0"/>
              <w:bottom w:val="single" w:color="auto" w:sz="4" w:space="0"/>
              <w:right w:val="single" w:color="auto" w:sz="4" w:space="0"/>
            </w:tcBorders>
            <w:vAlign w:val="center"/>
          </w:tcPr>
          <w:p w14:paraId="14DCB690">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6E87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Borders>
              <w:top w:val="single" w:color="auto" w:sz="4" w:space="0"/>
              <w:left w:val="single" w:color="auto" w:sz="4" w:space="0"/>
              <w:bottom w:val="single" w:color="auto" w:sz="4" w:space="0"/>
              <w:right w:val="single" w:color="auto" w:sz="4" w:space="0"/>
            </w:tcBorders>
            <w:vAlign w:val="center"/>
          </w:tcPr>
          <w:p w14:paraId="272B231C">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普通用户需求</w:t>
            </w:r>
          </w:p>
        </w:tc>
        <w:tc>
          <w:tcPr>
            <w:tcW w:w="6699" w:type="dxa"/>
            <w:tcBorders>
              <w:top w:val="single" w:color="auto" w:sz="4" w:space="0"/>
              <w:left w:val="single" w:color="auto" w:sz="4" w:space="0"/>
              <w:bottom w:val="single" w:color="auto" w:sz="4" w:space="0"/>
              <w:right w:val="single" w:color="auto" w:sz="4" w:space="0"/>
            </w:tcBorders>
            <w:vAlign w:val="center"/>
          </w:tcPr>
          <w:p w14:paraId="2C48334D">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用户管理：</w:t>
            </w:r>
          </w:p>
          <w:p w14:paraId="2EEAF05F">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手机绑定：</w:t>
            </w:r>
          </w:p>
          <w:p w14:paraId="6495D62C">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日志管理：</w:t>
            </w:r>
          </w:p>
          <w:p w14:paraId="25FFE777">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云主机管理：</w:t>
            </w:r>
          </w:p>
          <w:p w14:paraId="5179643D">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安全组管理：</w:t>
            </w:r>
          </w:p>
          <w:p w14:paraId="56DD80EA">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工单管理：</w:t>
            </w:r>
          </w:p>
          <w:p w14:paraId="757F7D68">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快照管理：</w:t>
            </w:r>
          </w:p>
          <w:p w14:paraId="3C6C769A">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监控管理：</w:t>
            </w:r>
          </w:p>
          <w:p w14:paraId="61B5992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告警管理：</w:t>
            </w:r>
          </w:p>
          <w:p w14:paraId="731983F5">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事件历史管理：</w:t>
            </w:r>
          </w:p>
        </w:tc>
        <w:tc>
          <w:tcPr>
            <w:tcW w:w="1708" w:type="dxa"/>
            <w:tcBorders>
              <w:top w:val="single" w:color="auto" w:sz="4" w:space="0"/>
              <w:left w:val="single" w:color="auto" w:sz="4" w:space="0"/>
              <w:bottom w:val="single" w:color="auto" w:sz="4" w:space="0"/>
              <w:right w:val="single" w:color="auto" w:sz="4" w:space="0"/>
            </w:tcBorders>
            <w:vAlign w:val="center"/>
          </w:tcPr>
          <w:p w14:paraId="63DCB2AC">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033B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Borders>
              <w:top w:val="single" w:color="auto" w:sz="4" w:space="0"/>
              <w:left w:val="single" w:color="auto" w:sz="4" w:space="0"/>
              <w:bottom w:val="single" w:color="auto" w:sz="4" w:space="0"/>
              <w:right w:val="single" w:color="auto" w:sz="4" w:space="0"/>
            </w:tcBorders>
            <w:vAlign w:val="center"/>
          </w:tcPr>
          <w:p w14:paraId="6AE0866E">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运维人员需求</w:t>
            </w:r>
          </w:p>
        </w:tc>
        <w:tc>
          <w:tcPr>
            <w:tcW w:w="6699" w:type="dxa"/>
            <w:tcBorders>
              <w:top w:val="single" w:color="auto" w:sz="4" w:space="0"/>
              <w:left w:val="single" w:color="auto" w:sz="4" w:space="0"/>
              <w:bottom w:val="single" w:color="auto" w:sz="4" w:space="0"/>
              <w:right w:val="single" w:color="auto" w:sz="4" w:space="0"/>
            </w:tcBorders>
            <w:vAlign w:val="center"/>
          </w:tcPr>
          <w:p w14:paraId="00B49C0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监控管理：</w:t>
            </w:r>
          </w:p>
          <w:p w14:paraId="5EB757A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告警管理：</w:t>
            </w:r>
          </w:p>
          <w:p w14:paraId="7993DCA4">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故障管理：</w:t>
            </w:r>
          </w:p>
          <w:p w14:paraId="15A6A40E">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云主机管理：</w:t>
            </w:r>
          </w:p>
          <w:p w14:paraId="0E0C34B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云主机迁移：</w:t>
            </w:r>
          </w:p>
          <w:p w14:paraId="07B5515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变更管理：</w:t>
            </w:r>
          </w:p>
          <w:p w14:paraId="40020D97">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事件历史管理：</w:t>
            </w:r>
          </w:p>
        </w:tc>
        <w:tc>
          <w:tcPr>
            <w:tcW w:w="1708" w:type="dxa"/>
            <w:tcBorders>
              <w:top w:val="single" w:color="auto" w:sz="4" w:space="0"/>
              <w:left w:val="single" w:color="auto" w:sz="4" w:space="0"/>
              <w:bottom w:val="single" w:color="auto" w:sz="4" w:space="0"/>
              <w:right w:val="single" w:color="auto" w:sz="4" w:space="0"/>
            </w:tcBorders>
            <w:vAlign w:val="center"/>
          </w:tcPr>
          <w:p w14:paraId="742E0FE6">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5B4D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Borders>
              <w:top w:val="single" w:color="auto" w:sz="4" w:space="0"/>
              <w:left w:val="single" w:color="auto" w:sz="4" w:space="0"/>
              <w:bottom w:val="single" w:color="auto" w:sz="4" w:space="0"/>
              <w:right w:val="single" w:color="auto" w:sz="4" w:space="0"/>
            </w:tcBorders>
            <w:vAlign w:val="center"/>
          </w:tcPr>
          <w:p w14:paraId="7502F4A4">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资源管理需求</w:t>
            </w:r>
          </w:p>
        </w:tc>
        <w:tc>
          <w:tcPr>
            <w:tcW w:w="6699" w:type="dxa"/>
            <w:tcBorders>
              <w:top w:val="single" w:color="auto" w:sz="4" w:space="0"/>
              <w:left w:val="single" w:color="auto" w:sz="4" w:space="0"/>
              <w:bottom w:val="single" w:color="auto" w:sz="4" w:space="0"/>
              <w:right w:val="single" w:color="auto" w:sz="4" w:space="0"/>
            </w:tcBorders>
            <w:vAlign w:val="center"/>
          </w:tcPr>
          <w:p w14:paraId="25199AC9">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云产品物理资源管理：</w:t>
            </w:r>
          </w:p>
          <w:p w14:paraId="3C0E6FDD">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云产品逻辑资源管理：</w:t>
            </w:r>
          </w:p>
          <w:p w14:paraId="61DD8354">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云产品虚拟资源管理：</w:t>
            </w:r>
          </w:p>
          <w:p w14:paraId="48AFF22A">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资源利用统计</w:t>
            </w:r>
          </w:p>
        </w:tc>
        <w:tc>
          <w:tcPr>
            <w:tcW w:w="1708" w:type="dxa"/>
            <w:tcBorders>
              <w:top w:val="single" w:color="auto" w:sz="4" w:space="0"/>
              <w:left w:val="single" w:color="auto" w:sz="4" w:space="0"/>
              <w:bottom w:val="single" w:color="auto" w:sz="4" w:space="0"/>
              <w:right w:val="single" w:color="auto" w:sz="4" w:space="0"/>
            </w:tcBorders>
            <w:vAlign w:val="center"/>
          </w:tcPr>
          <w:p w14:paraId="6E414E0B">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3363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631" w:type="dxa"/>
            <w:tcBorders>
              <w:top w:val="single" w:color="auto" w:sz="4" w:space="0"/>
              <w:left w:val="single" w:color="auto" w:sz="4" w:space="0"/>
              <w:bottom w:val="single" w:color="auto" w:sz="4" w:space="0"/>
              <w:right w:val="single" w:color="auto" w:sz="4" w:space="0"/>
            </w:tcBorders>
            <w:vAlign w:val="center"/>
          </w:tcPr>
          <w:p w14:paraId="76E16E8B">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监控需求</w:t>
            </w:r>
          </w:p>
        </w:tc>
        <w:tc>
          <w:tcPr>
            <w:tcW w:w="6699" w:type="dxa"/>
            <w:tcBorders>
              <w:top w:val="single" w:color="auto" w:sz="4" w:space="0"/>
              <w:left w:val="single" w:color="auto" w:sz="4" w:space="0"/>
              <w:bottom w:val="single" w:color="auto" w:sz="4" w:space="0"/>
              <w:right w:val="single" w:color="auto" w:sz="4" w:space="0"/>
            </w:tcBorders>
            <w:vAlign w:val="center"/>
          </w:tcPr>
          <w:p w14:paraId="485B969F">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日志管理：</w:t>
            </w:r>
          </w:p>
          <w:p w14:paraId="620F004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统计报表：</w:t>
            </w:r>
          </w:p>
          <w:p w14:paraId="0F733082">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监控管理：</w:t>
            </w:r>
          </w:p>
          <w:p w14:paraId="5B4DE614">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事件历史管理：</w:t>
            </w:r>
          </w:p>
        </w:tc>
        <w:tc>
          <w:tcPr>
            <w:tcW w:w="1708" w:type="dxa"/>
            <w:tcBorders>
              <w:top w:val="single" w:color="auto" w:sz="4" w:space="0"/>
              <w:left w:val="single" w:color="auto" w:sz="4" w:space="0"/>
              <w:bottom w:val="single" w:color="auto" w:sz="4" w:space="0"/>
              <w:right w:val="single" w:color="auto" w:sz="4" w:space="0"/>
            </w:tcBorders>
            <w:vAlign w:val="center"/>
          </w:tcPr>
          <w:p w14:paraId="1367151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bl>
    <w:p w14:paraId="4F8D0853">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（2）数据交换服务要求</w:t>
      </w:r>
    </w:p>
    <w:tbl>
      <w:tblPr>
        <w:tblStyle w:val="46"/>
        <w:tblW w:w="10031" w:type="dxa"/>
        <w:tblInd w:w="0" w:type="dxa"/>
        <w:tblLayout w:type="fixed"/>
        <w:tblCellMar>
          <w:top w:w="0" w:type="dxa"/>
          <w:left w:w="108" w:type="dxa"/>
          <w:bottom w:w="0" w:type="dxa"/>
          <w:right w:w="108" w:type="dxa"/>
        </w:tblCellMar>
      </w:tblPr>
      <w:tblGrid>
        <w:gridCol w:w="1634"/>
        <w:gridCol w:w="6696"/>
        <w:gridCol w:w="1701"/>
      </w:tblGrid>
      <w:tr w14:paraId="39BB93BB">
        <w:tblPrEx>
          <w:tblCellMar>
            <w:top w:w="0" w:type="dxa"/>
            <w:left w:w="108" w:type="dxa"/>
            <w:bottom w:w="0" w:type="dxa"/>
            <w:right w:w="108" w:type="dxa"/>
          </w:tblCellMar>
        </w:tblPrEx>
        <w:trPr>
          <w:trHeight w:val="312" w:hRule="atLeast"/>
        </w:trPr>
        <w:tc>
          <w:tcPr>
            <w:tcW w:w="1634" w:type="dxa"/>
            <w:tcBorders>
              <w:top w:val="single" w:color="auto" w:sz="4" w:space="0"/>
              <w:left w:val="single" w:color="auto" w:sz="4" w:space="0"/>
              <w:bottom w:val="single" w:color="auto" w:sz="4" w:space="0"/>
              <w:right w:val="single" w:color="auto" w:sz="4" w:space="0"/>
            </w:tcBorders>
            <w:vAlign w:val="center"/>
          </w:tcPr>
          <w:p w14:paraId="368FAFC4">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指标项</w:t>
            </w:r>
          </w:p>
        </w:tc>
        <w:tc>
          <w:tcPr>
            <w:tcW w:w="6696" w:type="dxa"/>
            <w:tcBorders>
              <w:top w:val="single" w:color="auto" w:sz="4" w:space="0"/>
              <w:left w:val="nil"/>
              <w:bottom w:val="single" w:color="auto" w:sz="4" w:space="0"/>
              <w:right w:val="single" w:color="auto" w:sz="4" w:space="0"/>
            </w:tcBorders>
            <w:vAlign w:val="center"/>
          </w:tcPr>
          <w:p w14:paraId="726C0A5F">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规格要求</w:t>
            </w:r>
          </w:p>
        </w:tc>
        <w:tc>
          <w:tcPr>
            <w:tcW w:w="1701" w:type="dxa"/>
            <w:tcBorders>
              <w:top w:val="single" w:color="auto" w:sz="4" w:space="0"/>
              <w:left w:val="nil"/>
              <w:bottom w:val="single" w:color="auto" w:sz="4" w:space="0"/>
              <w:right w:val="single" w:color="auto" w:sz="4" w:space="0"/>
            </w:tcBorders>
            <w:vAlign w:val="center"/>
          </w:tcPr>
          <w:p w14:paraId="5238CECE">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2740C5A5">
        <w:tblPrEx>
          <w:tblCellMar>
            <w:top w:w="0" w:type="dxa"/>
            <w:left w:w="108" w:type="dxa"/>
            <w:bottom w:w="0" w:type="dxa"/>
            <w:right w:w="108" w:type="dxa"/>
          </w:tblCellMar>
        </w:tblPrEx>
        <w:trPr>
          <w:trHeight w:val="576" w:hRule="atLeast"/>
        </w:trPr>
        <w:tc>
          <w:tcPr>
            <w:tcW w:w="1634" w:type="dxa"/>
            <w:tcBorders>
              <w:top w:val="nil"/>
              <w:left w:val="single" w:color="auto" w:sz="4" w:space="0"/>
              <w:bottom w:val="single" w:color="auto" w:sz="4" w:space="0"/>
              <w:right w:val="single" w:color="auto" w:sz="4" w:space="0"/>
            </w:tcBorders>
            <w:noWrap/>
            <w:vAlign w:val="center"/>
          </w:tcPr>
          <w:p w14:paraId="4B337F23">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架构部署</w:t>
            </w:r>
          </w:p>
        </w:tc>
        <w:tc>
          <w:tcPr>
            <w:tcW w:w="6696" w:type="dxa"/>
            <w:tcBorders>
              <w:top w:val="nil"/>
              <w:left w:val="nil"/>
              <w:bottom w:val="single" w:color="auto" w:sz="4" w:space="0"/>
              <w:right w:val="single" w:color="auto" w:sz="4" w:space="0"/>
            </w:tcBorders>
            <w:noWrap/>
            <w:vAlign w:val="center"/>
          </w:tcPr>
          <w:p w14:paraId="36804CD2">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default" w:ascii="宋体" w:hAnsi="宋体" w:cs="宋体"/>
                <w:color w:val="auto"/>
                <w:kern w:val="0"/>
                <w:sz w:val="22"/>
                <w:szCs w:val="22"/>
                <w:highlight w:val="none"/>
              </w:rPr>
              <w:t>★</w:t>
            </w:r>
            <w:r>
              <w:rPr>
                <w:rFonts w:hint="eastAsia" w:ascii="宋体" w:hAnsi="宋体" w:cs="宋体"/>
                <w:color w:val="auto"/>
                <w:kern w:val="0"/>
                <w:sz w:val="22"/>
                <w:szCs w:val="22"/>
                <w:highlight w:val="none"/>
              </w:rPr>
              <w:t>采用分布式云架构设计，支持云上进行部署，支持单机部署模式和集群部署模式；</w:t>
            </w:r>
          </w:p>
        </w:tc>
        <w:tc>
          <w:tcPr>
            <w:tcW w:w="1701" w:type="dxa"/>
            <w:tcBorders>
              <w:top w:val="nil"/>
              <w:left w:val="nil"/>
              <w:bottom w:val="single" w:color="auto" w:sz="4" w:space="0"/>
              <w:right w:val="single" w:color="auto" w:sz="4" w:space="0"/>
            </w:tcBorders>
            <w:noWrap/>
            <w:vAlign w:val="center"/>
          </w:tcPr>
          <w:p w14:paraId="36096E85">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267C8ECF">
        <w:tblPrEx>
          <w:tblCellMar>
            <w:top w:w="0" w:type="dxa"/>
            <w:left w:w="108" w:type="dxa"/>
            <w:bottom w:w="0" w:type="dxa"/>
            <w:right w:w="108" w:type="dxa"/>
          </w:tblCellMar>
        </w:tblPrEx>
        <w:trPr>
          <w:trHeight w:val="467" w:hRule="atLeast"/>
        </w:trPr>
        <w:tc>
          <w:tcPr>
            <w:tcW w:w="1634" w:type="dxa"/>
            <w:vMerge w:val="restart"/>
            <w:tcBorders>
              <w:top w:val="nil"/>
              <w:left w:val="single" w:color="auto" w:sz="4" w:space="0"/>
              <w:bottom w:val="single" w:color="auto" w:sz="4" w:space="0"/>
              <w:right w:val="single" w:color="auto" w:sz="4" w:space="0"/>
            </w:tcBorders>
            <w:noWrap/>
            <w:vAlign w:val="center"/>
          </w:tcPr>
          <w:p w14:paraId="05D1F4E1">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资源目录管理</w:t>
            </w:r>
          </w:p>
        </w:tc>
        <w:tc>
          <w:tcPr>
            <w:tcW w:w="6696" w:type="dxa"/>
            <w:tcBorders>
              <w:top w:val="nil"/>
              <w:left w:val="nil"/>
              <w:bottom w:val="single" w:color="auto" w:sz="4" w:space="0"/>
              <w:right w:val="single" w:color="auto" w:sz="4" w:space="0"/>
            </w:tcBorders>
            <w:noWrap/>
            <w:vAlign w:val="center"/>
          </w:tcPr>
          <w:p w14:paraId="18D3BCEC">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支持对资源目录的审核、编目、发布，支持目录分类，支持资源检索，使用用户可以快速定位资源；</w:t>
            </w:r>
          </w:p>
        </w:tc>
        <w:tc>
          <w:tcPr>
            <w:tcW w:w="1701" w:type="dxa"/>
            <w:tcBorders>
              <w:top w:val="nil"/>
              <w:left w:val="nil"/>
              <w:bottom w:val="single" w:color="auto" w:sz="4" w:space="0"/>
              <w:right w:val="single" w:color="auto" w:sz="4" w:space="0"/>
            </w:tcBorders>
            <w:noWrap/>
            <w:vAlign w:val="center"/>
          </w:tcPr>
          <w:p w14:paraId="4032989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290C32B3">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15601C8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67B430A5">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支持流程化的资源申请，提供流程审批功能；</w:t>
            </w:r>
          </w:p>
        </w:tc>
        <w:tc>
          <w:tcPr>
            <w:tcW w:w="1701" w:type="dxa"/>
            <w:tcBorders>
              <w:top w:val="nil"/>
              <w:left w:val="nil"/>
              <w:bottom w:val="single" w:color="auto" w:sz="4" w:space="0"/>
              <w:right w:val="single" w:color="auto" w:sz="4" w:space="0"/>
            </w:tcBorders>
            <w:noWrap/>
            <w:vAlign w:val="center"/>
          </w:tcPr>
          <w:p w14:paraId="58667737">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0E2F447">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7973906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388093D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提供信息资源目录驱动数据资源交换的功能；</w:t>
            </w:r>
          </w:p>
        </w:tc>
        <w:tc>
          <w:tcPr>
            <w:tcW w:w="1701" w:type="dxa"/>
            <w:tcBorders>
              <w:top w:val="nil"/>
              <w:left w:val="nil"/>
              <w:bottom w:val="single" w:color="auto" w:sz="4" w:space="0"/>
              <w:right w:val="single" w:color="auto" w:sz="4" w:space="0"/>
            </w:tcBorders>
            <w:noWrap/>
            <w:vAlign w:val="center"/>
          </w:tcPr>
          <w:p w14:paraId="3CF8BD13">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150CB3A">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3221AAB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7F029B70">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提供数据资源标准管理及展示功能；</w:t>
            </w:r>
          </w:p>
        </w:tc>
        <w:tc>
          <w:tcPr>
            <w:tcW w:w="1701" w:type="dxa"/>
            <w:tcBorders>
              <w:top w:val="nil"/>
              <w:left w:val="nil"/>
              <w:bottom w:val="single" w:color="auto" w:sz="4" w:space="0"/>
              <w:right w:val="single" w:color="auto" w:sz="4" w:space="0"/>
            </w:tcBorders>
            <w:noWrap/>
            <w:vAlign w:val="center"/>
          </w:tcPr>
          <w:p w14:paraId="5DA290E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7BC8F626">
        <w:tblPrEx>
          <w:tblCellMar>
            <w:top w:w="0" w:type="dxa"/>
            <w:left w:w="108" w:type="dxa"/>
            <w:bottom w:w="0" w:type="dxa"/>
            <w:right w:w="108" w:type="dxa"/>
          </w:tblCellMar>
        </w:tblPrEx>
        <w:trPr>
          <w:trHeight w:val="291" w:hRule="atLeast"/>
        </w:trPr>
        <w:tc>
          <w:tcPr>
            <w:tcW w:w="1634" w:type="dxa"/>
            <w:vMerge w:val="restart"/>
            <w:tcBorders>
              <w:top w:val="nil"/>
              <w:left w:val="single" w:color="auto" w:sz="4" w:space="0"/>
              <w:bottom w:val="single" w:color="auto" w:sz="4" w:space="0"/>
              <w:right w:val="single" w:color="auto" w:sz="4" w:space="0"/>
            </w:tcBorders>
            <w:noWrap/>
            <w:vAlign w:val="center"/>
          </w:tcPr>
          <w:p w14:paraId="1CD7CD45">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适配多种数据资源</w:t>
            </w:r>
          </w:p>
        </w:tc>
        <w:tc>
          <w:tcPr>
            <w:tcW w:w="6696" w:type="dxa"/>
            <w:tcBorders>
              <w:top w:val="nil"/>
              <w:left w:val="nil"/>
              <w:bottom w:val="single" w:color="auto" w:sz="4" w:space="0"/>
              <w:right w:val="single" w:color="auto" w:sz="4" w:space="0"/>
            </w:tcBorders>
            <w:noWrap/>
            <w:vAlign w:val="center"/>
          </w:tcPr>
          <w:p w14:paraId="57A7476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适配各种主流数据库（Oracle、MySQL、DB2等）；</w:t>
            </w:r>
          </w:p>
        </w:tc>
        <w:tc>
          <w:tcPr>
            <w:tcW w:w="1701" w:type="dxa"/>
            <w:tcBorders>
              <w:top w:val="nil"/>
              <w:left w:val="nil"/>
              <w:bottom w:val="single" w:color="auto" w:sz="4" w:space="0"/>
              <w:right w:val="single" w:color="auto" w:sz="4" w:space="0"/>
            </w:tcBorders>
            <w:noWrap/>
            <w:vAlign w:val="center"/>
          </w:tcPr>
          <w:p w14:paraId="11BB22CC">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6FE949BC">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0DED7F0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20397E6A">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适配大数据平台,包括Spark、ODPS、ADS等；</w:t>
            </w:r>
          </w:p>
        </w:tc>
        <w:tc>
          <w:tcPr>
            <w:tcW w:w="1701" w:type="dxa"/>
            <w:tcBorders>
              <w:top w:val="nil"/>
              <w:left w:val="nil"/>
              <w:bottom w:val="single" w:color="auto" w:sz="4" w:space="0"/>
              <w:right w:val="single" w:color="auto" w:sz="4" w:space="0"/>
            </w:tcBorders>
            <w:noWrap/>
            <w:vAlign w:val="center"/>
          </w:tcPr>
          <w:p w14:paraId="6EB3DDDA">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65F1190">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20FC85D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6BD2C7C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适配主流的公文类型、二进制等格式文件；</w:t>
            </w:r>
          </w:p>
        </w:tc>
        <w:tc>
          <w:tcPr>
            <w:tcW w:w="1701" w:type="dxa"/>
            <w:tcBorders>
              <w:top w:val="nil"/>
              <w:left w:val="nil"/>
              <w:bottom w:val="single" w:color="auto" w:sz="4" w:space="0"/>
              <w:right w:val="single" w:color="auto" w:sz="4" w:space="0"/>
            </w:tcBorders>
            <w:noWrap/>
            <w:vAlign w:val="center"/>
          </w:tcPr>
          <w:p w14:paraId="2D2064C5">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17C20B8D">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00772A6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6D952778">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适配Restful、WebService方式的API；</w:t>
            </w:r>
          </w:p>
        </w:tc>
        <w:tc>
          <w:tcPr>
            <w:tcW w:w="1701" w:type="dxa"/>
            <w:tcBorders>
              <w:top w:val="nil"/>
              <w:left w:val="nil"/>
              <w:bottom w:val="single" w:color="auto" w:sz="4" w:space="0"/>
              <w:right w:val="single" w:color="auto" w:sz="4" w:space="0"/>
            </w:tcBorders>
            <w:noWrap/>
            <w:vAlign w:val="center"/>
          </w:tcPr>
          <w:p w14:paraId="2505B43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0269C961">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607BE87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515295AF">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支持各种异构数据资源间的交换；</w:t>
            </w:r>
          </w:p>
        </w:tc>
        <w:tc>
          <w:tcPr>
            <w:tcW w:w="1701" w:type="dxa"/>
            <w:tcBorders>
              <w:top w:val="nil"/>
              <w:left w:val="nil"/>
              <w:bottom w:val="single" w:color="auto" w:sz="4" w:space="0"/>
              <w:right w:val="single" w:color="auto" w:sz="4" w:space="0"/>
            </w:tcBorders>
            <w:noWrap/>
            <w:vAlign w:val="center"/>
          </w:tcPr>
          <w:p w14:paraId="0D0D7892">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7A9BF35">
        <w:tblPrEx>
          <w:tblCellMar>
            <w:top w:w="0" w:type="dxa"/>
            <w:left w:w="108" w:type="dxa"/>
            <w:bottom w:w="0" w:type="dxa"/>
            <w:right w:w="108" w:type="dxa"/>
          </w:tblCellMar>
        </w:tblPrEx>
        <w:trPr>
          <w:trHeight w:val="288" w:hRule="atLeast"/>
        </w:trPr>
        <w:tc>
          <w:tcPr>
            <w:tcW w:w="1634" w:type="dxa"/>
            <w:vMerge w:val="restart"/>
            <w:tcBorders>
              <w:top w:val="nil"/>
              <w:left w:val="single" w:color="auto" w:sz="4" w:space="0"/>
              <w:bottom w:val="single" w:color="auto" w:sz="4" w:space="0"/>
              <w:right w:val="single" w:color="auto" w:sz="4" w:space="0"/>
            </w:tcBorders>
            <w:noWrap/>
            <w:vAlign w:val="center"/>
          </w:tcPr>
          <w:p w14:paraId="46A5D8B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数据变化捕获</w:t>
            </w:r>
          </w:p>
        </w:tc>
        <w:tc>
          <w:tcPr>
            <w:tcW w:w="6696" w:type="dxa"/>
            <w:tcBorders>
              <w:top w:val="nil"/>
              <w:left w:val="nil"/>
              <w:bottom w:val="single" w:color="auto" w:sz="4" w:space="0"/>
              <w:right w:val="single" w:color="auto" w:sz="4" w:space="0"/>
            </w:tcBorders>
            <w:noWrap/>
            <w:vAlign w:val="center"/>
          </w:tcPr>
          <w:p w14:paraId="63F6078C">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支持通过日志解析的模式获取增量数据；</w:t>
            </w:r>
          </w:p>
        </w:tc>
        <w:tc>
          <w:tcPr>
            <w:tcW w:w="1701" w:type="dxa"/>
            <w:tcBorders>
              <w:top w:val="nil"/>
              <w:left w:val="nil"/>
              <w:bottom w:val="single" w:color="auto" w:sz="4" w:space="0"/>
              <w:right w:val="single" w:color="auto" w:sz="4" w:space="0"/>
            </w:tcBorders>
            <w:noWrap/>
            <w:vAlign w:val="center"/>
          </w:tcPr>
          <w:p w14:paraId="6C46259E">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31CA1FE">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4756601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6C5382B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支持通过触发器的模式获取增量数据；</w:t>
            </w:r>
          </w:p>
        </w:tc>
        <w:tc>
          <w:tcPr>
            <w:tcW w:w="1701" w:type="dxa"/>
            <w:tcBorders>
              <w:top w:val="nil"/>
              <w:left w:val="nil"/>
              <w:bottom w:val="single" w:color="auto" w:sz="4" w:space="0"/>
              <w:right w:val="single" w:color="auto" w:sz="4" w:space="0"/>
            </w:tcBorders>
            <w:noWrap/>
            <w:vAlign w:val="center"/>
          </w:tcPr>
          <w:p w14:paraId="6D491452">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08CA44A6">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02ABEF7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21742AC8">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支持通过时间戳的模式获取增量数据；</w:t>
            </w:r>
          </w:p>
        </w:tc>
        <w:tc>
          <w:tcPr>
            <w:tcW w:w="1701" w:type="dxa"/>
            <w:tcBorders>
              <w:top w:val="nil"/>
              <w:left w:val="nil"/>
              <w:bottom w:val="single" w:color="auto" w:sz="4" w:space="0"/>
              <w:right w:val="single" w:color="auto" w:sz="4" w:space="0"/>
            </w:tcBorders>
            <w:noWrap/>
            <w:vAlign w:val="center"/>
          </w:tcPr>
          <w:p w14:paraId="32CF99D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F7C2959">
        <w:tblPrEx>
          <w:tblCellMar>
            <w:top w:w="0" w:type="dxa"/>
            <w:left w:w="108" w:type="dxa"/>
            <w:bottom w:w="0" w:type="dxa"/>
            <w:right w:w="108" w:type="dxa"/>
          </w:tblCellMar>
        </w:tblPrEx>
        <w:trPr>
          <w:trHeight w:val="431" w:hRule="atLeast"/>
        </w:trPr>
        <w:tc>
          <w:tcPr>
            <w:tcW w:w="1634" w:type="dxa"/>
            <w:vMerge w:val="restart"/>
            <w:tcBorders>
              <w:top w:val="nil"/>
              <w:left w:val="single" w:color="auto" w:sz="4" w:space="0"/>
              <w:bottom w:val="single" w:color="auto" w:sz="4" w:space="0"/>
              <w:right w:val="single" w:color="auto" w:sz="4" w:space="0"/>
            </w:tcBorders>
            <w:noWrap/>
            <w:vAlign w:val="center"/>
          </w:tcPr>
          <w:p w14:paraId="01EC9381">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基础交换功能</w:t>
            </w:r>
          </w:p>
        </w:tc>
        <w:tc>
          <w:tcPr>
            <w:tcW w:w="6696" w:type="dxa"/>
            <w:tcBorders>
              <w:top w:val="nil"/>
              <w:left w:val="nil"/>
              <w:bottom w:val="single" w:color="auto" w:sz="4" w:space="0"/>
              <w:right w:val="single" w:color="auto" w:sz="4" w:space="0"/>
            </w:tcBorders>
            <w:noWrap/>
            <w:vAlign w:val="center"/>
          </w:tcPr>
          <w:p w14:paraId="04BD4483">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支持直接交换、安全交换（在大数据平台下，实现数据交换可用不可见）、共享交换（在大数据平台下，实现数据交换不搬家）、API服务等多种数据交换方式；</w:t>
            </w:r>
          </w:p>
        </w:tc>
        <w:tc>
          <w:tcPr>
            <w:tcW w:w="1701" w:type="dxa"/>
            <w:tcBorders>
              <w:top w:val="nil"/>
              <w:left w:val="nil"/>
              <w:bottom w:val="single" w:color="auto" w:sz="4" w:space="0"/>
              <w:right w:val="single" w:color="auto" w:sz="4" w:space="0"/>
            </w:tcBorders>
            <w:noWrap/>
            <w:vAlign w:val="center"/>
          </w:tcPr>
          <w:p w14:paraId="136BD20C">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65561180">
        <w:tblPrEx>
          <w:tblCellMar>
            <w:top w:w="0" w:type="dxa"/>
            <w:left w:w="108" w:type="dxa"/>
            <w:bottom w:w="0" w:type="dxa"/>
            <w:right w:w="108" w:type="dxa"/>
          </w:tblCellMar>
        </w:tblPrEx>
        <w:trPr>
          <w:trHeight w:val="313" w:hRule="atLeast"/>
        </w:trPr>
        <w:tc>
          <w:tcPr>
            <w:tcW w:w="1634" w:type="dxa"/>
            <w:vMerge w:val="continue"/>
            <w:tcBorders>
              <w:top w:val="nil"/>
              <w:left w:val="single" w:color="auto" w:sz="4" w:space="0"/>
              <w:bottom w:val="single" w:color="auto" w:sz="4" w:space="0"/>
              <w:right w:val="single" w:color="auto" w:sz="4" w:space="0"/>
            </w:tcBorders>
            <w:vAlign w:val="center"/>
          </w:tcPr>
          <w:p w14:paraId="0C97DD7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70B2A1E0">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支持实时、准实时、周期性定时批量、全量等多种交换频率；</w:t>
            </w:r>
          </w:p>
        </w:tc>
        <w:tc>
          <w:tcPr>
            <w:tcW w:w="1701" w:type="dxa"/>
            <w:tcBorders>
              <w:top w:val="nil"/>
              <w:left w:val="nil"/>
              <w:bottom w:val="single" w:color="auto" w:sz="4" w:space="0"/>
              <w:right w:val="single" w:color="auto" w:sz="4" w:space="0"/>
            </w:tcBorders>
            <w:noWrap/>
            <w:vAlign w:val="center"/>
          </w:tcPr>
          <w:p w14:paraId="2A8B0B68">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1F699EAF">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40BE562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single" w:color="auto" w:sz="4" w:space="0"/>
              <w:left w:val="single" w:color="auto" w:sz="4" w:space="0"/>
              <w:bottom w:val="single" w:color="auto" w:sz="4" w:space="0"/>
              <w:right w:val="single" w:color="auto" w:sz="4" w:space="0"/>
            </w:tcBorders>
            <w:noWrap/>
            <w:vAlign w:val="center"/>
          </w:tcPr>
          <w:p w14:paraId="460F6447">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支持多表的关联后的数据交换；</w:t>
            </w:r>
          </w:p>
        </w:tc>
        <w:tc>
          <w:tcPr>
            <w:tcW w:w="1701" w:type="dxa"/>
            <w:tcBorders>
              <w:top w:val="single" w:color="auto" w:sz="4" w:space="0"/>
              <w:left w:val="single" w:color="auto" w:sz="4" w:space="0"/>
              <w:bottom w:val="single" w:color="auto" w:sz="4" w:space="0"/>
              <w:right w:val="single" w:color="auto" w:sz="4" w:space="0"/>
            </w:tcBorders>
            <w:noWrap/>
            <w:vAlign w:val="center"/>
          </w:tcPr>
          <w:p w14:paraId="3F3B98E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7EAB9610">
        <w:tblPrEx>
          <w:tblCellMar>
            <w:top w:w="0" w:type="dxa"/>
            <w:left w:w="108" w:type="dxa"/>
            <w:bottom w:w="0" w:type="dxa"/>
            <w:right w:w="108" w:type="dxa"/>
          </w:tblCellMar>
        </w:tblPrEx>
        <w:trPr>
          <w:trHeight w:val="218" w:hRule="atLeast"/>
        </w:trPr>
        <w:tc>
          <w:tcPr>
            <w:tcW w:w="1634" w:type="dxa"/>
            <w:vMerge w:val="continue"/>
            <w:tcBorders>
              <w:top w:val="nil"/>
              <w:left w:val="single" w:color="auto" w:sz="4" w:space="0"/>
              <w:bottom w:val="single" w:color="auto" w:sz="4" w:space="0"/>
              <w:right w:val="single" w:color="auto" w:sz="4" w:space="0"/>
            </w:tcBorders>
            <w:vAlign w:val="center"/>
          </w:tcPr>
          <w:p w14:paraId="4A1AD94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single" w:color="auto" w:sz="4" w:space="0"/>
              <w:left w:val="nil"/>
              <w:bottom w:val="single" w:color="auto" w:sz="4" w:space="0"/>
              <w:right w:val="single" w:color="auto" w:sz="4" w:space="0"/>
            </w:tcBorders>
            <w:noWrap/>
            <w:vAlign w:val="center"/>
          </w:tcPr>
          <w:p w14:paraId="00DA3A3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支持数据路由功能，可将数据按条件分发给多个数据需方；</w:t>
            </w:r>
          </w:p>
        </w:tc>
        <w:tc>
          <w:tcPr>
            <w:tcW w:w="1701" w:type="dxa"/>
            <w:tcBorders>
              <w:top w:val="single" w:color="auto" w:sz="4" w:space="0"/>
              <w:left w:val="nil"/>
              <w:bottom w:val="single" w:color="auto" w:sz="4" w:space="0"/>
              <w:right w:val="single" w:color="auto" w:sz="4" w:space="0"/>
            </w:tcBorders>
            <w:noWrap/>
            <w:vAlign w:val="center"/>
          </w:tcPr>
          <w:p w14:paraId="48ABC7A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12F51969">
        <w:tblPrEx>
          <w:tblCellMar>
            <w:top w:w="0" w:type="dxa"/>
            <w:left w:w="108" w:type="dxa"/>
            <w:bottom w:w="0" w:type="dxa"/>
            <w:right w:w="108" w:type="dxa"/>
          </w:tblCellMar>
        </w:tblPrEx>
        <w:trPr>
          <w:trHeight w:val="576" w:hRule="atLeast"/>
        </w:trPr>
        <w:tc>
          <w:tcPr>
            <w:tcW w:w="1634" w:type="dxa"/>
            <w:vMerge w:val="continue"/>
            <w:tcBorders>
              <w:top w:val="nil"/>
              <w:left w:val="single" w:color="auto" w:sz="4" w:space="0"/>
              <w:bottom w:val="single" w:color="auto" w:sz="4" w:space="0"/>
              <w:right w:val="single" w:color="auto" w:sz="4" w:space="0"/>
            </w:tcBorders>
            <w:vAlign w:val="center"/>
          </w:tcPr>
          <w:p w14:paraId="584D6FD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2DFBC96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支持数据过滤功能，可设置数据过滤条件，可使用该功能实现数据脱敏交换；</w:t>
            </w:r>
          </w:p>
        </w:tc>
        <w:tc>
          <w:tcPr>
            <w:tcW w:w="1701" w:type="dxa"/>
            <w:tcBorders>
              <w:top w:val="nil"/>
              <w:left w:val="nil"/>
              <w:bottom w:val="single" w:color="auto" w:sz="4" w:space="0"/>
              <w:right w:val="single" w:color="auto" w:sz="4" w:space="0"/>
            </w:tcBorders>
            <w:noWrap/>
            <w:vAlign w:val="center"/>
          </w:tcPr>
          <w:p w14:paraId="11E904C7">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558B439">
        <w:tblPrEx>
          <w:tblCellMar>
            <w:top w:w="0" w:type="dxa"/>
            <w:left w:w="108" w:type="dxa"/>
            <w:bottom w:w="0" w:type="dxa"/>
            <w:right w:w="108" w:type="dxa"/>
          </w:tblCellMar>
        </w:tblPrEx>
        <w:trPr>
          <w:trHeight w:val="576" w:hRule="atLeast"/>
        </w:trPr>
        <w:tc>
          <w:tcPr>
            <w:tcW w:w="1634" w:type="dxa"/>
            <w:vMerge w:val="restart"/>
            <w:tcBorders>
              <w:top w:val="nil"/>
              <w:left w:val="single" w:color="auto" w:sz="4" w:space="0"/>
              <w:bottom w:val="single" w:color="auto" w:sz="4" w:space="0"/>
              <w:right w:val="single" w:color="auto" w:sz="4" w:space="0"/>
            </w:tcBorders>
            <w:noWrap/>
            <w:vAlign w:val="center"/>
          </w:tcPr>
          <w:p w14:paraId="40C08EC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易用性</w:t>
            </w:r>
          </w:p>
        </w:tc>
        <w:tc>
          <w:tcPr>
            <w:tcW w:w="6696" w:type="dxa"/>
            <w:tcBorders>
              <w:top w:val="nil"/>
              <w:left w:val="nil"/>
              <w:bottom w:val="single" w:color="auto" w:sz="4" w:space="0"/>
              <w:right w:val="single" w:color="auto" w:sz="4" w:space="0"/>
            </w:tcBorders>
            <w:noWrap/>
            <w:vAlign w:val="center"/>
          </w:tcPr>
          <w:p w14:paraId="44EC7848">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安装部署应简单，对于数据交换节点的部署，需做到可配置化、一键式部署；</w:t>
            </w:r>
          </w:p>
        </w:tc>
        <w:tc>
          <w:tcPr>
            <w:tcW w:w="1701" w:type="dxa"/>
            <w:tcBorders>
              <w:top w:val="nil"/>
              <w:left w:val="nil"/>
              <w:bottom w:val="single" w:color="auto" w:sz="4" w:space="0"/>
              <w:right w:val="single" w:color="auto" w:sz="4" w:space="0"/>
            </w:tcBorders>
            <w:noWrap/>
            <w:vAlign w:val="center"/>
          </w:tcPr>
          <w:p w14:paraId="34B6FE7E">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6D7AEED7">
        <w:tblPrEx>
          <w:tblCellMar>
            <w:top w:w="0" w:type="dxa"/>
            <w:left w:w="108" w:type="dxa"/>
            <w:bottom w:w="0" w:type="dxa"/>
            <w:right w:w="108" w:type="dxa"/>
          </w:tblCellMar>
        </w:tblPrEx>
        <w:trPr>
          <w:trHeight w:val="197" w:hRule="atLeast"/>
        </w:trPr>
        <w:tc>
          <w:tcPr>
            <w:tcW w:w="1634" w:type="dxa"/>
            <w:vMerge w:val="continue"/>
            <w:tcBorders>
              <w:top w:val="nil"/>
              <w:left w:val="single" w:color="auto" w:sz="4" w:space="0"/>
              <w:bottom w:val="single" w:color="auto" w:sz="4" w:space="0"/>
              <w:right w:val="single" w:color="auto" w:sz="4" w:space="0"/>
            </w:tcBorders>
            <w:vAlign w:val="center"/>
          </w:tcPr>
          <w:p w14:paraId="08ED264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4BAB5142">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支持数据交换任务的全配置化管理，配置应简单化、人性化；</w:t>
            </w:r>
          </w:p>
        </w:tc>
        <w:tc>
          <w:tcPr>
            <w:tcW w:w="1701" w:type="dxa"/>
            <w:tcBorders>
              <w:top w:val="nil"/>
              <w:left w:val="nil"/>
              <w:bottom w:val="single" w:color="auto" w:sz="4" w:space="0"/>
              <w:right w:val="single" w:color="auto" w:sz="4" w:space="0"/>
            </w:tcBorders>
            <w:noWrap/>
            <w:vAlign w:val="center"/>
          </w:tcPr>
          <w:p w14:paraId="748EE635">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7F3C99EF">
        <w:tblPrEx>
          <w:tblCellMar>
            <w:top w:w="0" w:type="dxa"/>
            <w:left w:w="108" w:type="dxa"/>
            <w:bottom w:w="0" w:type="dxa"/>
            <w:right w:w="108" w:type="dxa"/>
          </w:tblCellMar>
        </w:tblPrEx>
        <w:trPr>
          <w:trHeight w:val="442" w:hRule="atLeast"/>
        </w:trPr>
        <w:tc>
          <w:tcPr>
            <w:tcW w:w="1634" w:type="dxa"/>
            <w:vMerge w:val="continue"/>
            <w:tcBorders>
              <w:top w:val="nil"/>
              <w:left w:val="single" w:color="auto" w:sz="4" w:space="0"/>
              <w:bottom w:val="single" w:color="auto" w:sz="4" w:space="0"/>
              <w:right w:val="single" w:color="auto" w:sz="4" w:space="0"/>
            </w:tcBorders>
            <w:vAlign w:val="center"/>
          </w:tcPr>
          <w:p w14:paraId="0773F84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65521150">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支持Web页面的数据交换管理。方便运维人员通过图、表的形式直观的了解数据交换的情况，并进行数据交换任务的管理；</w:t>
            </w:r>
          </w:p>
        </w:tc>
        <w:tc>
          <w:tcPr>
            <w:tcW w:w="1701" w:type="dxa"/>
            <w:tcBorders>
              <w:top w:val="nil"/>
              <w:left w:val="nil"/>
              <w:bottom w:val="single" w:color="auto" w:sz="4" w:space="0"/>
              <w:right w:val="single" w:color="auto" w:sz="4" w:space="0"/>
            </w:tcBorders>
            <w:noWrap/>
            <w:vAlign w:val="center"/>
          </w:tcPr>
          <w:p w14:paraId="29B2F64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0BF45E98">
        <w:tblPrEx>
          <w:tblCellMar>
            <w:top w:w="0" w:type="dxa"/>
            <w:left w:w="108" w:type="dxa"/>
            <w:bottom w:w="0" w:type="dxa"/>
            <w:right w:w="108" w:type="dxa"/>
          </w:tblCellMar>
        </w:tblPrEx>
        <w:trPr>
          <w:trHeight w:val="366" w:hRule="atLeast"/>
        </w:trPr>
        <w:tc>
          <w:tcPr>
            <w:tcW w:w="1634" w:type="dxa"/>
            <w:vMerge w:val="restart"/>
            <w:tcBorders>
              <w:top w:val="nil"/>
              <w:left w:val="single" w:color="auto" w:sz="4" w:space="0"/>
              <w:bottom w:val="single" w:color="auto" w:sz="4" w:space="0"/>
              <w:right w:val="single" w:color="auto" w:sz="4" w:space="0"/>
            </w:tcBorders>
            <w:noWrap/>
            <w:vAlign w:val="center"/>
          </w:tcPr>
          <w:p w14:paraId="71F6C0CA">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高性能</w:t>
            </w:r>
          </w:p>
        </w:tc>
        <w:tc>
          <w:tcPr>
            <w:tcW w:w="6696" w:type="dxa"/>
            <w:tcBorders>
              <w:top w:val="nil"/>
              <w:left w:val="nil"/>
              <w:bottom w:val="single" w:color="auto" w:sz="4" w:space="0"/>
              <w:right w:val="single" w:color="auto" w:sz="4" w:space="0"/>
            </w:tcBorders>
            <w:noWrap/>
            <w:vAlign w:val="center"/>
          </w:tcPr>
          <w:p w14:paraId="06A14999">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平台应具备分布式横向平滑扩展能力，线性的提升数据交换性能；</w:t>
            </w:r>
          </w:p>
        </w:tc>
        <w:tc>
          <w:tcPr>
            <w:tcW w:w="1701" w:type="dxa"/>
            <w:tcBorders>
              <w:top w:val="nil"/>
              <w:left w:val="nil"/>
              <w:bottom w:val="single" w:color="auto" w:sz="4" w:space="0"/>
              <w:right w:val="single" w:color="auto" w:sz="4" w:space="0"/>
            </w:tcBorders>
            <w:noWrap/>
            <w:vAlign w:val="center"/>
          </w:tcPr>
          <w:p w14:paraId="6DF3594E">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408A814A">
        <w:tblPrEx>
          <w:tblCellMar>
            <w:top w:w="0" w:type="dxa"/>
            <w:left w:w="108" w:type="dxa"/>
            <w:bottom w:w="0" w:type="dxa"/>
            <w:right w:w="108" w:type="dxa"/>
          </w:tblCellMar>
        </w:tblPrEx>
        <w:trPr>
          <w:trHeight w:val="287" w:hRule="atLeast"/>
        </w:trPr>
        <w:tc>
          <w:tcPr>
            <w:tcW w:w="1634" w:type="dxa"/>
            <w:vMerge w:val="continue"/>
            <w:tcBorders>
              <w:top w:val="nil"/>
              <w:left w:val="single" w:color="auto" w:sz="4" w:space="0"/>
              <w:bottom w:val="single" w:color="auto" w:sz="4" w:space="0"/>
              <w:right w:val="single" w:color="auto" w:sz="4" w:space="0"/>
            </w:tcBorders>
            <w:vAlign w:val="center"/>
          </w:tcPr>
          <w:p w14:paraId="3254A17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2B44C12C">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平台应具有对数据压缩传输能力，提供数据的传输性能；</w:t>
            </w:r>
          </w:p>
        </w:tc>
        <w:tc>
          <w:tcPr>
            <w:tcW w:w="1701" w:type="dxa"/>
            <w:tcBorders>
              <w:top w:val="nil"/>
              <w:left w:val="nil"/>
              <w:bottom w:val="single" w:color="auto" w:sz="4" w:space="0"/>
              <w:right w:val="single" w:color="auto" w:sz="4" w:space="0"/>
            </w:tcBorders>
            <w:noWrap/>
            <w:vAlign w:val="center"/>
          </w:tcPr>
          <w:p w14:paraId="7E572A2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5A81B374">
        <w:tblPrEx>
          <w:tblCellMar>
            <w:top w:w="0" w:type="dxa"/>
            <w:left w:w="108" w:type="dxa"/>
            <w:bottom w:w="0" w:type="dxa"/>
            <w:right w:w="108" w:type="dxa"/>
          </w:tblCellMar>
        </w:tblPrEx>
        <w:trPr>
          <w:trHeight w:val="417" w:hRule="atLeast"/>
        </w:trPr>
        <w:tc>
          <w:tcPr>
            <w:tcW w:w="1634" w:type="dxa"/>
            <w:vMerge w:val="continue"/>
            <w:tcBorders>
              <w:top w:val="nil"/>
              <w:left w:val="single" w:color="auto" w:sz="4" w:space="0"/>
              <w:bottom w:val="single" w:color="auto" w:sz="4" w:space="0"/>
              <w:right w:val="single" w:color="auto" w:sz="4" w:space="0"/>
            </w:tcBorders>
            <w:vAlign w:val="center"/>
          </w:tcPr>
          <w:p w14:paraId="3445094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6E3600B7">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平台应具有分布式负载均衡功能，多进程、多线程同步处理提供性能；</w:t>
            </w:r>
          </w:p>
        </w:tc>
        <w:tc>
          <w:tcPr>
            <w:tcW w:w="1701" w:type="dxa"/>
            <w:tcBorders>
              <w:top w:val="nil"/>
              <w:left w:val="nil"/>
              <w:bottom w:val="single" w:color="auto" w:sz="4" w:space="0"/>
              <w:right w:val="single" w:color="auto" w:sz="4" w:space="0"/>
            </w:tcBorders>
            <w:noWrap/>
            <w:vAlign w:val="center"/>
          </w:tcPr>
          <w:p w14:paraId="3D9891A5">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43585B16">
        <w:tblPrEx>
          <w:tblCellMar>
            <w:top w:w="0" w:type="dxa"/>
            <w:left w:w="108" w:type="dxa"/>
            <w:bottom w:w="0" w:type="dxa"/>
            <w:right w:w="108" w:type="dxa"/>
          </w:tblCellMar>
        </w:tblPrEx>
        <w:trPr>
          <w:trHeight w:val="576" w:hRule="atLeast"/>
        </w:trPr>
        <w:tc>
          <w:tcPr>
            <w:tcW w:w="1634" w:type="dxa"/>
            <w:vMerge w:val="restart"/>
            <w:tcBorders>
              <w:top w:val="single" w:color="auto" w:sz="4" w:space="0"/>
              <w:left w:val="single" w:color="auto" w:sz="4" w:space="0"/>
              <w:bottom w:val="single" w:color="auto" w:sz="4" w:space="0"/>
              <w:right w:val="single" w:color="auto" w:sz="4" w:space="0"/>
            </w:tcBorders>
            <w:noWrap/>
            <w:vAlign w:val="center"/>
          </w:tcPr>
          <w:p w14:paraId="691A888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高可靠</w:t>
            </w:r>
          </w:p>
        </w:tc>
        <w:tc>
          <w:tcPr>
            <w:tcW w:w="6696" w:type="dxa"/>
            <w:tcBorders>
              <w:top w:val="single" w:color="auto" w:sz="4" w:space="0"/>
              <w:left w:val="single" w:color="auto" w:sz="4" w:space="0"/>
              <w:bottom w:val="single" w:color="auto" w:sz="4" w:space="0"/>
              <w:right w:val="single" w:color="auto" w:sz="4" w:space="0"/>
            </w:tcBorders>
            <w:noWrap/>
            <w:vAlign w:val="center"/>
          </w:tcPr>
          <w:p w14:paraId="5483B4A9">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支持高可用部署，提供单节点容错机制，在出现单节点故障时，数据交换工作仍可正常运行；</w:t>
            </w:r>
          </w:p>
        </w:tc>
        <w:tc>
          <w:tcPr>
            <w:tcW w:w="1701" w:type="dxa"/>
            <w:tcBorders>
              <w:top w:val="single" w:color="auto" w:sz="4" w:space="0"/>
              <w:left w:val="single" w:color="auto" w:sz="4" w:space="0"/>
              <w:bottom w:val="single" w:color="auto" w:sz="4" w:space="0"/>
              <w:right w:val="single" w:color="auto" w:sz="4" w:space="0"/>
            </w:tcBorders>
            <w:noWrap/>
            <w:vAlign w:val="center"/>
          </w:tcPr>
          <w:p w14:paraId="430EB988">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72BBD281">
        <w:tblPrEx>
          <w:tblCellMar>
            <w:top w:w="0" w:type="dxa"/>
            <w:left w:w="108" w:type="dxa"/>
            <w:bottom w:w="0" w:type="dxa"/>
            <w:right w:w="108" w:type="dxa"/>
          </w:tblCellMar>
        </w:tblPrEx>
        <w:trPr>
          <w:trHeight w:val="864" w:hRule="atLeast"/>
        </w:trPr>
        <w:tc>
          <w:tcPr>
            <w:tcW w:w="1634" w:type="dxa"/>
            <w:vMerge w:val="continue"/>
            <w:tcBorders>
              <w:top w:val="single" w:color="auto" w:sz="4" w:space="0"/>
              <w:left w:val="single" w:color="auto" w:sz="4" w:space="0"/>
              <w:bottom w:val="single" w:color="auto" w:sz="4" w:space="0"/>
              <w:right w:val="single" w:color="auto" w:sz="4" w:space="0"/>
            </w:tcBorders>
            <w:vAlign w:val="center"/>
          </w:tcPr>
          <w:p w14:paraId="3161214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single" w:color="auto" w:sz="4" w:space="0"/>
              <w:left w:val="single" w:color="auto" w:sz="4" w:space="0"/>
              <w:bottom w:val="single" w:color="auto" w:sz="4" w:space="0"/>
              <w:right w:val="single" w:color="auto" w:sz="4" w:space="0"/>
            </w:tcBorders>
            <w:noWrap/>
            <w:vAlign w:val="center"/>
          </w:tcPr>
          <w:p w14:paraId="5AD7D5D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支持自动断点继传，在网络故障和服务器故障修复后，可自动重启中断的交换任务，从故障点自动继传数据；</w:t>
            </w:r>
          </w:p>
        </w:tc>
        <w:tc>
          <w:tcPr>
            <w:tcW w:w="1701" w:type="dxa"/>
            <w:tcBorders>
              <w:top w:val="single" w:color="auto" w:sz="4" w:space="0"/>
              <w:left w:val="single" w:color="auto" w:sz="4" w:space="0"/>
              <w:bottom w:val="single" w:color="auto" w:sz="4" w:space="0"/>
              <w:right w:val="single" w:color="auto" w:sz="4" w:space="0"/>
            </w:tcBorders>
            <w:noWrap/>
            <w:vAlign w:val="center"/>
          </w:tcPr>
          <w:p w14:paraId="10C1404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5F7590D3">
        <w:tblPrEx>
          <w:tblCellMar>
            <w:top w:w="0" w:type="dxa"/>
            <w:left w:w="108" w:type="dxa"/>
            <w:bottom w:w="0" w:type="dxa"/>
            <w:right w:w="108" w:type="dxa"/>
          </w:tblCellMar>
        </w:tblPrEx>
        <w:trPr>
          <w:trHeight w:val="288" w:hRule="atLeast"/>
        </w:trPr>
        <w:tc>
          <w:tcPr>
            <w:tcW w:w="1634" w:type="dxa"/>
            <w:vMerge w:val="restart"/>
            <w:tcBorders>
              <w:top w:val="single" w:color="auto" w:sz="4" w:space="0"/>
              <w:left w:val="single" w:color="auto" w:sz="4" w:space="0"/>
              <w:bottom w:val="single" w:color="auto" w:sz="4" w:space="0"/>
              <w:right w:val="single" w:color="auto" w:sz="4" w:space="0"/>
            </w:tcBorders>
            <w:noWrap/>
            <w:vAlign w:val="center"/>
          </w:tcPr>
          <w:p w14:paraId="0CC7B0D8">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开放性</w:t>
            </w:r>
          </w:p>
        </w:tc>
        <w:tc>
          <w:tcPr>
            <w:tcW w:w="6696" w:type="dxa"/>
            <w:tcBorders>
              <w:top w:val="single" w:color="auto" w:sz="4" w:space="0"/>
              <w:left w:val="nil"/>
              <w:bottom w:val="single" w:color="auto" w:sz="4" w:space="0"/>
              <w:right w:val="single" w:color="auto" w:sz="4" w:space="0"/>
            </w:tcBorders>
            <w:noWrap/>
            <w:vAlign w:val="center"/>
          </w:tcPr>
          <w:p w14:paraId="01ACDF9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产品功能模块化,可插拔;用户流程可配置；</w:t>
            </w:r>
          </w:p>
        </w:tc>
        <w:tc>
          <w:tcPr>
            <w:tcW w:w="1701" w:type="dxa"/>
            <w:tcBorders>
              <w:top w:val="single" w:color="auto" w:sz="4" w:space="0"/>
              <w:left w:val="nil"/>
              <w:bottom w:val="single" w:color="auto" w:sz="4" w:space="0"/>
              <w:right w:val="single" w:color="auto" w:sz="4" w:space="0"/>
            </w:tcBorders>
            <w:noWrap/>
            <w:vAlign w:val="center"/>
          </w:tcPr>
          <w:p w14:paraId="50BCD163">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182C0FF3">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4DDB9C0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696" w:type="dxa"/>
            <w:tcBorders>
              <w:top w:val="nil"/>
              <w:left w:val="nil"/>
              <w:bottom w:val="single" w:color="auto" w:sz="4" w:space="0"/>
              <w:right w:val="single" w:color="auto" w:sz="4" w:space="0"/>
            </w:tcBorders>
            <w:noWrap/>
            <w:vAlign w:val="center"/>
          </w:tcPr>
          <w:p w14:paraId="082B8AD9">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提供全套 API 支持二次开发；</w:t>
            </w:r>
          </w:p>
        </w:tc>
        <w:tc>
          <w:tcPr>
            <w:tcW w:w="1701" w:type="dxa"/>
            <w:tcBorders>
              <w:top w:val="nil"/>
              <w:left w:val="nil"/>
              <w:bottom w:val="single" w:color="auto" w:sz="4" w:space="0"/>
              <w:right w:val="single" w:color="auto" w:sz="4" w:space="0"/>
            </w:tcBorders>
            <w:noWrap/>
            <w:vAlign w:val="center"/>
          </w:tcPr>
          <w:p w14:paraId="3515920C">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6DF58E98">
        <w:tblPrEx>
          <w:tblCellMar>
            <w:top w:w="0" w:type="dxa"/>
            <w:left w:w="108" w:type="dxa"/>
            <w:bottom w:w="0" w:type="dxa"/>
            <w:right w:w="108" w:type="dxa"/>
          </w:tblCellMar>
        </w:tblPrEx>
        <w:trPr>
          <w:trHeight w:val="576" w:hRule="atLeast"/>
        </w:trPr>
        <w:tc>
          <w:tcPr>
            <w:tcW w:w="1634" w:type="dxa"/>
            <w:tcBorders>
              <w:top w:val="nil"/>
              <w:left w:val="single" w:color="auto" w:sz="4" w:space="0"/>
              <w:bottom w:val="single" w:color="auto" w:sz="4" w:space="0"/>
              <w:right w:val="single" w:color="auto" w:sz="4" w:space="0"/>
            </w:tcBorders>
            <w:noWrap/>
            <w:vAlign w:val="center"/>
          </w:tcPr>
          <w:p w14:paraId="7F073120">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授权合规</w:t>
            </w:r>
          </w:p>
        </w:tc>
        <w:tc>
          <w:tcPr>
            <w:tcW w:w="6696" w:type="dxa"/>
            <w:tcBorders>
              <w:top w:val="nil"/>
              <w:left w:val="nil"/>
              <w:bottom w:val="single" w:color="auto" w:sz="4" w:space="0"/>
              <w:right w:val="single" w:color="auto" w:sz="4" w:space="0"/>
            </w:tcBorders>
            <w:noWrap/>
            <w:vAlign w:val="center"/>
          </w:tcPr>
          <w:p w14:paraId="35D985AD">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采用的数据共享交换软件产品应具备国家颁发的相关软件著作权证书。</w:t>
            </w:r>
          </w:p>
        </w:tc>
        <w:tc>
          <w:tcPr>
            <w:tcW w:w="1701" w:type="dxa"/>
            <w:tcBorders>
              <w:top w:val="nil"/>
              <w:left w:val="nil"/>
              <w:bottom w:val="single" w:color="auto" w:sz="4" w:space="0"/>
              <w:right w:val="single" w:color="auto" w:sz="4" w:space="0"/>
            </w:tcBorders>
            <w:noWrap/>
            <w:vAlign w:val="center"/>
          </w:tcPr>
          <w:p w14:paraId="2FB6ACA0">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bl>
    <w:p w14:paraId="4443B1D0">
      <w:pPr>
        <w:snapToGrid w:val="0"/>
        <w:spacing w:line="400" w:lineRule="atLeast"/>
        <w:rPr>
          <w:rFonts w:ascii="宋体" w:hAnsi="宋体" w:cs="宋体"/>
          <w:b/>
          <w:color w:val="auto"/>
          <w:sz w:val="22"/>
          <w:szCs w:val="22"/>
          <w:highlight w:val="none"/>
        </w:rPr>
      </w:pPr>
      <w:r>
        <w:rPr>
          <w:rFonts w:hint="eastAsia" w:ascii="宋体" w:hAnsi="宋体" w:cs="宋体"/>
          <w:b/>
          <w:color w:val="auto"/>
          <w:sz w:val="22"/>
          <w:szCs w:val="22"/>
          <w:highlight w:val="none"/>
        </w:rPr>
        <w:t>（3）云备份服务要求（数据库备份与恢复）</w:t>
      </w:r>
    </w:p>
    <w:p w14:paraId="36B3F4D3">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1）备份软件具备计算机信息系统安全专用产品销售许可证。</w:t>
      </w:r>
    </w:p>
    <w:p w14:paraId="407E9E88">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2）要求采用B/S的管理和使用架构，备份管理、恢复管理、远程复制管理、用户及权限管理等均在一个管理界面内，中文界面，基于WEB管理模式，易于管理与维护。</w:t>
      </w:r>
    </w:p>
    <w:p w14:paraId="3EA4394C">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3）支持多任务的时间计划，具有独立的存储空间（与云平台存储相隔离）。</w:t>
      </w:r>
    </w:p>
    <w:p w14:paraId="5E49B8A1">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4）支持对SQL Server、Oracle、Sybase、Exchange Server、Lotus Domino、DB2、MySQL、AD等主流应用进行在线备份保护。</w:t>
      </w:r>
    </w:p>
    <w:p w14:paraId="0E9909C8">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5）具备管理员和审计管理员双管理员角色，同时和业务系统嵌入后，保持和备份系统的权限独立。审计管理员则可以进行备份内容审计、备份系统安全性审计和备份行为审计，以保证备份的安全性。</w:t>
      </w:r>
    </w:p>
    <w:p w14:paraId="225C2310">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6）支持Oracle数据库任意时间点恢复功能，在Oracle（支持单机、双机和RAC架构）数据库恢复时，可以将数据库恢复至备份数据保留周期内任意一秒钟，所有操作包括时间的指定均图形化实现，无需任何的人工脚本干预，在无需专业人员操作的情况下，大幅提高数据恢复的时间精度，降低数据丢失量。</w:t>
      </w:r>
    </w:p>
    <w:p w14:paraId="015DC433">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7）支持异地备份数据的安全管理机制，异地备份存储系统需要得到本地授权许可后，才可以浏览、恢复本地传输过去的备份数据，最大限度避免备份数据的泄密可能。</w:t>
      </w:r>
    </w:p>
    <w:p w14:paraId="6348AAF6">
      <w:pPr>
        <w:snapToGrid w:val="0"/>
        <w:spacing w:line="400" w:lineRule="atLeast"/>
        <w:rPr>
          <w:rFonts w:ascii="宋体" w:hAnsi="宋体" w:cs="宋体"/>
          <w:b/>
          <w:color w:val="auto"/>
          <w:sz w:val="22"/>
          <w:szCs w:val="22"/>
          <w:highlight w:val="none"/>
        </w:rPr>
      </w:pPr>
      <w:r>
        <w:rPr>
          <w:rFonts w:hint="eastAsia" w:ascii="宋体" w:hAnsi="宋体" w:cs="宋体"/>
          <w:b/>
          <w:color w:val="auto"/>
          <w:sz w:val="22"/>
          <w:szCs w:val="22"/>
          <w:highlight w:val="none"/>
        </w:rPr>
        <w:t>（4）云网盘服务要求</w:t>
      </w:r>
    </w:p>
    <w:p w14:paraId="0151B48A">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1）云网盘产品要求为国内知名品牌，非OEM产品，系统管理可以通过登录Web，统一管理集群系统、云共享服务（包括创建用户组织、自定义文档库、权限管理、访问控制、安全访问管理控制等、访问日志）。</w:t>
      </w:r>
    </w:p>
    <w:p w14:paraId="33898824">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2）可以通过登陆Web了解整个集群的运转绩效，要求包括在线人数监控、文件分类数量统计、文件操作变化统计，可以提供实时、每日、每月及年度的报表。</w:t>
      </w:r>
    </w:p>
    <w:p w14:paraId="03225955">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3）支持PC客户端、移动客户端（Android、IOS）、Web访问，可以基于文档所有者对指定文档配置指定范围可发现，对于访问者，可以通过全文检索找到可以发现的共享文档进行下载使用。</w:t>
      </w:r>
    </w:p>
    <w:p w14:paraId="0EDC8E6D">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4）支持基于云存储的全文检索，当用户想找某个文档资料，希望找到某个关键词相近的文档，输入关键词，获取全文检索的结果。</w:t>
      </w:r>
    </w:p>
    <w:p w14:paraId="21C9025A">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5）采用灵活的组织架构，既可以构建符合企业分层管理的用户结构，也可以构建灵活的多用户组织单元。</w:t>
      </w:r>
    </w:p>
    <w:p w14:paraId="01B84250">
      <w:pPr>
        <w:snapToGrid w:val="0"/>
        <w:spacing w:line="400" w:lineRule="atLeast"/>
        <w:rPr>
          <w:rFonts w:ascii="宋体" w:hAnsi="宋体" w:cs="宋体"/>
          <w:b/>
          <w:color w:val="auto"/>
          <w:sz w:val="22"/>
          <w:szCs w:val="22"/>
          <w:highlight w:val="none"/>
        </w:rPr>
      </w:pPr>
      <w:r>
        <w:rPr>
          <w:rFonts w:hint="eastAsia" w:ascii="宋体" w:hAnsi="宋体" w:cs="宋体"/>
          <w:b/>
          <w:color w:val="auto"/>
          <w:sz w:val="22"/>
          <w:szCs w:val="22"/>
          <w:highlight w:val="none"/>
        </w:rPr>
        <w:t>3、云安全服务要求</w:t>
      </w:r>
    </w:p>
    <w:p w14:paraId="5BC6C220">
      <w:pPr>
        <w:snapToGrid w:val="0"/>
        <w:spacing w:line="400" w:lineRule="atLeast"/>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（1）统一基础云安全服务要求</w:t>
      </w:r>
    </w:p>
    <w:p w14:paraId="5091D02C">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1）漏洞扫描</w:t>
      </w:r>
    </w:p>
    <w:tbl>
      <w:tblPr>
        <w:tblStyle w:val="46"/>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844"/>
        <w:gridCol w:w="1570"/>
      </w:tblGrid>
      <w:tr w14:paraId="0341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28" w:type="dxa"/>
            <w:tcBorders>
              <w:top w:val="single" w:color="auto" w:sz="4" w:space="0"/>
              <w:left w:val="single" w:color="auto" w:sz="4" w:space="0"/>
              <w:bottom w:val="single" w:color="auto" w:sz="4" w:space="0"/>
              <w:right w:val="single" w:color="auto" w:sz="4" w:space="0"/>
            </w:tcBorders>
            <w:vAlign w:val="center"/>
          </w:tcPr>
          <w:p w14:paraId="0DDEE644">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项目</w:t>
            </w:r>
          </w:p>
        </w:tc>
        <w:tc>
          <w:tcPr>
            <w:tcW w:w="6844" w:type="dxa"/>
            <w:tcBorders>
              <w:top w:val="single" w:color="auto" w:sz="4" w:space="0"/>
              <w:left w:val="single" w:color="auto" w:sz="4" w:space="0"/>
              <w:bottom w:val="single" w:color="auto" w:sz="4" w:space="0"/>
              <w:right w:val="single" w:color="auto" w:sz="4" w:space="0"/>
            </w:tcBorders>
            <w:noWrap/>
            <w:vAlign w:val="center"/>
          </w:tcPr>
          <w:p w14:paraId="69349376">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要求</w:t>
            </w:r>
          </w:p>
        </w:tc>
        <w:tc>
          <w:tcPr>
            <w:tcW w:w="1570" w:type="dxa"/>
            <w:tcBorders>
              <w:top w:val="single" w:color="auto" w:sz="4" w:space="0"/>
              <w:left w:val="single" w:color="auto" w:sz="4" w:space="0"/>
              <w:bottom w:val="single" w:color="auto" w:sz="4" w:space="0"/>
              <w:right w:val="single" w:color="auto" w:sz="4" w:space="0"/>
            </w:tcBorders>
            <w:vAlign w:val="center"/>
          </w:tcPr>
          <w:p w14:paraId="046D986F">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备注</w:t>
            </w:r>
          </w:p>
        </w:tc>
      </w:tr>
      <w:tr w14:paraId="4313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28" w:type="dxa"/>
            <w:tcBorders>
              <w:top w:val="single" w:color="auto" w:sz="4" w:space="0"/>
              <w:left w:val="single" w:color="auto" w:sz="4" w:space="0"/>
              <w:bottom w:val="single" w:color="auto" w:sz="4" w:space="0"/>
              <w:right w:val="single" w:color="auto" w:sz="4" w:space="0"/>
            </w:tcBorders>
            <w:vAlign w:val="center"/>
          </w:tcPr>
          <w:p w14:paraId="4716CE68">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漏洞扫描</w:t>
            </w:r>
          </w:p>
        </w:tc>
        <w:tc>
          <w:tcPr>
            <w:tcW w:w="6844" w:type="dxa"/>
            <w:tcBorders>
              <w:top w:val="single" w:color="auto" w:sz="4" w:space="0"/>
              <w:left w:val="single" w:color="auto" w:sz="4" w:space="0"/>
              <w:right w:val="single" w:color="auto" w:sz="4" w:space="0"/>
            </w:tcBorders>
            <w:noWrap/>
            <w:vAlign w:val="center"/>
          </w:tcPr>
          <w:p w14:paraId="51A31F22">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提供网站漏洞扫描系统，可扫描的漏洞类型包括</w:t>
            </w:r>
            <w:r>
              <w:rPr>
                <w:rFonts w:hint="default" w:ascii="宋体" w:hAnsi="宋体"/>
                <w:color w:val="auto"/>
                <w:sz w:val="22"/>
                <w:szCs w:val="22"/>
                <w:highlight w:val="none"/>
              </w:rPr>
              <w:t>OWASP、WASC、CNVD等。</w:t>
            </w:r>
            <w:r>
              <w:rPr>
                <w:rFonts w:hint="eastAsia" w:ascii="宋体" w:hAnsi="宋体"/>
                <w:color w:val="auto"/>
                <w:sz w:val="22"/>
                <w:szCs w:val="22"/>
                <w:highlight w:val="none"/>
              </w:rPr>
              <w:t>支持恶意篡改检测，支持</w:t>
            </w:r>
            <w:r>
              <w:rPr>
                <w:rFonts w:hint="default" w:ascii="宋体" w:hAnsi="宋体"/>
                <w:color w:val="auto"/>
                <w:sz w:val="22"/>
                <w:szCs w:val="22"/>
                <w:highlight w:val="none"/>
              </w:rPr>
              <w:t>Web2.0、AJAX、各种脚本语言、PHP、ASP、.NET 和 Java 等环境，支持复杂字符编码、chunk,gzip,deflate等压缩方式、多种认证方式（Basic、NTLM、Cookie、SSL 等），支持代理、HTTPS 、DNS绑定扫描等。</w:t>
            </w:r>
          </w:p>
          <w:p w14:paraId="387FABC8">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仪表盘功能，直观展示最近</w:t>
            </w:r>
            <w:r>
              <w:rPr>
                <w:rFonts w:hint="default" w:ascii="宋体" w:hAnsi="宋体"/>
                <w:color w:val="auto"/>
                <w:sz w:val="22"/>
                <w:szCs w:val="22"/>
                <w:highlight w:val="none"/>
              </w:rPr>
              <w:t>10天整体风险等级、最近10天扫描站点列表、最近30天危险站点TOP10等内容</w:t>
            </w:r>
          </w:p>
          <w:p w14:paraId="0D1D1B27">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能够扫描主流虚拟机管理系统的安全漏洞，如：</w:t>
            </w:r>
            <w:r>
              <w:rPr>
                <w:rFonts w:hint="default" w:ascii="宋体" w:hAnsi="宋体"/>
                <w:color w:val="auto"/>
                <w:sz w:val="22"/>
                <w:szCs w:val="22"/>
                <w:highlight w:val="none"/>
              </w:rPr>
              <w:t>VMWare ESX/ESXi，要求能够扫描大于300条相关漏洞，并提供详细的漏洞列表</w:t>
            </w:r>
          </w:p>
          <w:p w14:paraId="4B56C16D">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漏洞知识库漏洞信息大于</w:t>
            </w:r>
            <w:r>
              <w:rPr>
                <w:rFonts w:hint="default" w:ascii="宋体" w:hAnsi="宋体"/>
                <w:color w:val="auto"/>
                <w:sz w:val="22"/>
                <w:szCs w:val="22"/>
                <w:highlight w:val="none"/>
              </w:rPr>
              <w:t>15000条，兼容CVE、CNCVE、CNNVD、CNVD、Bugtraq等主流标准</w:t>
            </w:r>
          </w:p>
          <w:p w14:paraId="7E4C1067">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系统内置</w:t>
            </w:r>
            <w:r>
              <w:rPr>
                <w:rFonts w:hint="default" w:ascii="宋体" w:hAnsi="宋体"/>
                <w:color w:val="auto"/>
                <w:sz w:val="22"/>
                <w:szCs w:val="22"/>
                <w:highlight w:val="none"/>
              </w:rPr>
              <w:t>Exploit DB漏洞、Metasploit漏洞、Exploit Pack漏洞检测模板</w:t>
            </w:r>
          </w:p>
        </w:tc>
        <w:tc>
          <w:tcPr>
            <w:tcW w:w="1570" w:type="dxa"/>
            <w:tcBorders>
              <w:top w:val="single" w:color="auto" w:sz="4" w:space="0"/>
              <w:left w:val="single" w:color="auto" w:sz="4" w:space="0"/>
              <w:right w:val="single" w:color="auto" w:sz="4" w:space="0"/>
            </w:tcBorders>
            <w:vAlign w:val="center"/>
          </w:tcPr>
          <w:p w14:paraId="7F094506">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4F50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8" w:type="dxa"/>
            <w:tcBorders>
              <w:top w:val="single" w:color="auto" w:sz="4" w:space="0"/>
              <w:left w:val="single" w:color="auto" w:sz="4" w:space="0"/>
              <w:bottom w:val="single" w:color="auto" w:sz="4" w:space="0"/>
              <w:right w:val="single" w:color="auto" w:sz="4" w:space="0"/>
            </w:tcBorders>
            <w:vAlign w:val="center"/>
          </w:tcPr>
          <w:p w14:paraId="7F8BB3FC">
            <w:pPr>
              <w:keepNext w:val="0"/>
              <w:keepLines w:val="0"/>
              <w:widowControl/>
              <w:suppressLineNumbers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服务要求</w:t>
            </w:r>
          </w:p>
        </w:tc>
        <w:tc>
          <w:tcPr>
            <w:tcW w:w="6844" w:type="dxa"/>
            <w:tcBorders>
              <w:top w:val="single" w:color="auto" w:sz="4" w:space="0"/>
              <w:left w:val="single" w:color="auto" w:sz="4" w:space="0"/>
              <w:bottom w:val="single" w:color="auto" w:sz="4" w:space="0"/>
              <w:right w:val="single" w:color="auto" w:sz="4" w:space="0"/>
            </w:tcBorders>
            <w:noWrap/>
            <w:vAlign w:val="center"/>
          </w:tcPr>
          <w:p w14:paraId="4174A771">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每月进行一次全面漏洞扫描，并向政务云平台租户提供漏洞分析报告和修复建议。网络安保重点时期可根据采购方要求，适当增加扫描频次和范围。</w:t>
            </w:r>
          </w:p>
        </w:tc>
        <w:tc>
          <w:tcPr>
            <w:tcW w:w="1570" w:type="dxa"/>
            <w:tcBorders>
              <w:top w:val="single" w:color="auto" w:sz="4" w:space="0"/>
              <w:left w:val="single" w:color="auto" w:sz="4" w:space="0"/>
              <w:bottom w:val="single" w:color="auto" w:sz="4" w:space="0"/>
              <w:right w:val="single" w:color="auto" w:sz="4" w:space="0"/>
            </w:tcBorders>
            <w:vAlign w:val="center"/>
          </w:tcPr>
          <w:p w14:paraId="74B042D8">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bl>
    <w:p w14:paraId="50F0E5CD">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2）入侵防御</w:t>
      </w:r>
    </w:p>
    <w:tbl>
      <w:tblPr>
        <w:tblStyle w:val="4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6838"/>
        <w:gridCol w:w="1559"/>
      </w:tblGrid>
      <w:tr w14:paraId="498D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34" w:type="dxa"/>
            <w:tcBorders>
              <w:top w:val="single" w:color="auto" w:sz="4" w:space="0"/>
              <w:left w:val="single" w:color="auto" w:sz="4" w:space="0"/>
              <w:bottom w:val="single" w:color="auto" w:sz="4" w:space="0"/>
              <w:right w:val="single" w:color="auto" w:sz="4" w:space="0"/>
            </w:tcBorders>
            <w:vAlign w:val="center"/>
          </w:tcPr>
          <w:p w14:paraId="464B0D9C">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项目</w:t>
            </w:r>
          </w:p>
        </w:tc>
        <w:tc>
          <w:tcPr>
            <w:tcW w:w="6838" w:type="dxa"/>
            <w:tcBorders>
              <w:top w:val="single" w:color="auto" w:sz="4" w:space="0"/>
              <w:left w:val="single" w:color="auto" w:sz="4" w:space="0"/>
              <w:bottom w:val="single" w:color="auto" w:sz="4" w:space="0"/>
              <w:right w:val="single" w:color="auto" w:sz="4" w:space="0"/>
            </w:tcBorders>
            <w:noWrap/>
            <w:vAlign w:val="center"/>
          </w:tcPr>
          <w:p w14:paraId="55784DA4">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要求</w:t>
            </w:r>
          </w:p>
        </w:tc>
        <w:tc>
          <w:tcPr>
            <w:tcW w:w="1559" w:type="dxa"/>
            <w:tcBorders>
              <w:top w:val="single" w:color="auto" w:sz="4" w:space="0"/>
              <w:left w:val="single" w:color="auto" w:sz="4" w:space="0"/>
              <w:bottom w:val="single" w:color="auto" w:sz="4" w:space="0"/>
              <w:right w:val="single" w:color="auto" w:sz="4" w:space="0"/>
            </w:tcBorders>
            <w:vAlign w:val="center"/>
          </w:tcPr>
          <w:p w14:paraId="0E2B93C3">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备注</w:t>
            </w:r>
          </w:p>
        </w:tc>
      </w:tr>
      <w:tr w14:paraId="0B56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34" w:type="dxa"/>
            <w:vMerge w:val="restart"/>
            <w:tcBorders>
              <w:top w:val="single" w:color="auto" w:sz="4" w:space="0"/>
              <w:left w:val="single" w:color="auto" w:sz="4" w:space="0"/>
              <w:right w:val="single" w:color="auto" w:sz="4" w:space="0"/>
            </w:tcBorders>
            <w:vAlign w:val="center"/>
          </w:tcPr>
          <w:p w14:paraId="69AAE6EA">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入侵防御</w:t>
            </w:r>
          </w:p>
        </w:tc>
        <w:tc>
          <w:tcPr>
            <w:tcW w:w="6838" w:type="dxa"/>
            <w:tcBorders>
              <w:top w:val="single" w:color="auto" w:sz="4" w:space="0"/>
              <w:left w:val="single" w:color="auto" w:sz="4" w:space="0"/>
              <w:bottom w:val="single" w:color="auto" w:sz="4" w:space="0"/>
              <w:right w:val="single" w:color="auto" w:sz="4" w:space="0"/>
            </w:tcBorders>
            <w:noWrap/>
            <w:vAlign w:val="center"/>
          </w:tcPr>
          <w:p w14:paraId="4FF2D95D">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防护对象</w:t>
            </w:r>
            <w:r>
              <w:rPr>
                <w:rFonts w:hint="default" w:ascii="宋体" w:hAnsi="宋体"/>
                <w:color w:val="auto"/>
                <w:sz w:val="22"/>
                <w:szCs w:val="22"/>
                <w:highlight w:val="none"/>
              </w:rPr>
              <w:t xml:space="preserve"> 支持以下两种防护对象：自定义防护对象 </w:t>
            </w:r>
            <w:r>
              <w:rPr>
                <w:rFonts w:hint="eastAsia" w:ascii="宋体" w:hAnsi="宋体"/>
                <w:color w:val="auto"/>
                <w:sz w:val="22"/>
                <w:szCs w:val="22"/>
                <w:highlight w:val="none"/>
              </w:rPr>
              <w:t>默认防护对象</w:t>
            </w:r>
          </w:p>
          <w:p w14:paraId="50122FA9">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default" w:ascii="宋体" w:hAnsi="宋体"/>
                <w:color w:val="auto"/>
                <w:sz w:val="22"/>
                <w:szCs w:val="22"/>
                <w:highlight w:val="none"/>
              </w:rPr>
              <w:t>引流支持以下两种方式：策略路由引流 BGP引流</w:t>
            </w:r>
          </w:p>
          <w:p w14:paraId="497F7CCB">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防御模式</w:t>
            </w:r>
            <w:r>
              <w:rPr>
                <w:rFonts w:hint="default" w:ascii="宋体" w:hAnsi="宋体"/>
                <w:color w:val="auto"/>
                <w:sz w:val="22"/>
                <w:szCs w:val="22"/>
                <w:highlight w:val="none"/>
              </w:rPr>
              <w:t xml:space="preserve"> 防御模式支持以下几种方式：自动 手动 不防御</w:t>
            </w:r>
          </w:p>
          <w:p w14:paraId="7CAE5EA6">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白名单支持以下几种方式：全局白名单</w:t>
            </w:r>
            <w:r>
              <w:rPr>
                <w:rFonts w:hint="default" w:ascii="宋体" w:hAnsi="宋体"/>
                <w:color w:val="auto"/>
                <w:sz w:val="22"/>
                <w:szCs w:val="22"/>
                <w:highlight w:val="none"/>
              </w:rPr>
              <w:t xml:space="preserve"> 防护对象白名单</w:t>
            </w:r>
          </w:p>
          <w:p w14:paraId="63757E73">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黑名单</w:t>
            </w:r>
            <w:r>
              <w:rPr>
                <w:rFonts w:hint="default" w:ascii="宋体" w:hAnsi="宋体"/>
                <w:color w:val="auto"/>
                <w:sz w:val="22"/>
                <w:szCs w:val="22"/>
                <w:highlight w:val="none"/>
              </w:rPr>
              <w:t xml:space="preserve"> 黑名单支持以下几种方式：全局黑名单 接口板黑名单 防护对象黑名单</w:t>
            </w:r>
          </w:p>
        </w:tc>
        <w:tc>
          <w:tcPr>
            <w:tcW w:w="1559" w:type="dxa"/>
            <w:tcBorders>
              <w:top w:val="single" w:color="auto" w:sz="4" w:space="0"/>
              <w:left w:val="single" w:color="auto" w:sz="4" w:space="0"/>
              <w:bottom w:val="single" w:color="auto" w:sz="4" w:space="0"/>
              <w:right w:val="single" w:color="auto" w:sz="4" w:space="0"/>
            </w:tcBorders>
            <w:vAlign w:val="center"/>
          </w:tcPr>
          <w:p w14:paraId="744D0EF1">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734C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34" w:type="dxa"/>
            <w:vMerge w:val="continue"/>
            <w:tcBorders>
              <w:left w:val="single" w:color="auto" w:sz="4" w:space="0"/>
              <w:right w:val="single" w:color="auto" w:sz="4" w:space="0"/>
            </w:tcBorders>
            <w:vAlign w:val="center"/>
          </w:tcPr>
          <w:p w14:paraId="2E4D92A1">
            <w:pPr>
              <w:keepNext w:val="0"/>
              <w:keepLines w:val="0"/>
              <w:widowControl/>
              <w:suppressLineNumbers w:val="0"/>
              <w:spacing w:before="100" w:beforeAutospacing="1" w:after="100" w:afterAutospacing="1" w:line="360" w:lineRule="atLeast"/>
              <w:ind w:left="0" w:right="0"/>
              <w:jc w:val="center"/>
              <w:rPr>
                <w:rFonts w:hint="default" w:ascii="宋体" w:hAnsi="宋体"/>
                <w:color w:val="auto"/>
                <w:sz w:val="22"/>
                <w:szCs w:val="22"/>
                <w:highlight w:val="none"/>
              </w:rPr>
            </w:pPr>
          </w:p>
        </w:tc>
        <w:tc>
          <w:tcPr>
            <w:tcW w:w="6838" w:type="dxa"/>
            <w:tcBorders>
              <w:top w:val="single" w:color="auto" w:sz="4" w:space="0"/>
              <w:left w:val="single" w:color="auto" w:sz="4" w:space="0"/>
              <w:bottom w:val="single" w:color="auto" w:sz="4" w:space="0"/>
              <w:right w:val="single" w:color="auto" w:sz="4" w:space="0"/>
            </w:tcBorders>
            <w:noWrap/>
            <w:vAlign w:val="center"/>
          </w:tcPr>
          <w:p w14:paraId="19AAAF48">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default" w:ascii="宋体" w:hAnsi="宋体"/>
                <w:color w:val="auto"/>
                <w:sz w:val="22"/>
                <w:szCs w:val="22"/>
                <w:highlight w:val="none"/>
              </w:rPr>
              <w:t xml:space="preserve">回注支持以下几种方式：二层回注 </w:t>
            </w:r>
            <w:r>
              <w:rPr>
                <w:rFonts w:hint="eastAsia" w:ascii="宋体" w:hAnsi="宋体"/>
                <w:color w:val="auto"/>
                <w:sz w:val="22"/>
                <w:szCs w:val="22"/>
                <w:highlight w:val="none"/>
              </w:rPr>
              <w:t>静态路由回注</w:t>
            </w:r>
            <w:r>
              <w:rPr>
                <w:rFonts w:hint="default" w:ascii="宋体" w:hAnsi="宋体"/>
                <w:color w:val="auto"/>
                <w:sz w:val="22"/>
                <w:szCs w:val="22"/>
                <w:highlight w:val="none"/>
              </w:rPr>
              <w:t xml:space="preserve"> </w:t>
            </w:r>
            <w:r>
              <w:rPr>
                <w:rFonts w:hint="eastAsia" w:ascii="宋体" w:hAnsi="宋体"/>
                <w:color w:val="auto"/>
                <w:sz w:val="22"/>
                <w:szCs w:val="22"/>
                <w:highlight w:val="none"/>
              </w:rPr>
              <w:t>策略路由回注</w:t>
            </w:r>
            <w:r>
              <w:rPr>
                <w:rFonts w:hint="default" w:ascii="宋体" w:hAnsi="宋体"/>
                <w:color w:val="auto"/>
                <w:sz w:val="22"/>
                <w:szCs w:val="22"/>
                <w:highlight w:val="none"/>
              </w:rPr>
              <w:t xml:space="preserve"> GRE回注 MPLS LSP回注 MPLS VPN回注</w:t>
            </w:r>
          </w:p>
        </w:tc>
        <w:tc>
          <w:tcPr>
            <w:tcW w:w="1559" w:type="dxa"/>
            <w:tcBorders>
              <w:top w:val="single" w:color="auto" w:sz="4" w:space="0"/>
              <w:left w:val="single" w:color="auto" w:sz="4" w:space="0"/>
              <w:bottom w:val="single" w:color="auto" w:sz="4" w:space="0"/>
              <w:right w:val="single" w:color="auto" w:sz="4" w:space="0"/>
            </w:tcBorders>
            <w:vAlign w:val="center"/>
          </w:tcPr>
          <w:p w14:paraId="19AFDD47">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5CAD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34" w:type="dxa"/>
            <w:vMerge w:val="continue"/>
            <w:tcBorders>
              <w:left w:val="single" w:color="auto" w:sz="4" w:space="0"/>
              <w:right w:val="single" w:color="auto" w:sz="4" w:space="0"/>
            </w:tcBorders>
            <w:vAlign w:val="center"/>
          </w:tcPr>
          <w:p w14:paraId="1B48BAEA">
            <w:pPr>
              <w:keepNext w:val="0"/>
              <w:keepLines w:val="0"/>
              <w:widowControl/>
              <w:suppressLineNumbers w:val="0"/>
              <w:spacing w:before="100" w:beforeAutospacing="1" w:after="100" w:afterAutospacing="1" w:line="360" w:lineRule="atLeast"/>
              <w:ind w:left="0" w:right="0"/>
              <w:jc w:val="center"/>
              <w:rPr>
                <w:rFonts w:hint="default" w:ascii="宋体" w:hAnsi="宋体"/>
                <w:color w:val="auto"/>
                <w:sz w:val="22"/>
                <w:szCs w:val="22"/>
                <w:highlight w:val="none"/>
              </w:rPr>
            </w:pPr>
          </w:p>
        </w:tc>
        <w:tc>
          <w:tcPr>
            <w:tcW w:w="6838" w:type="dxa"/>
            <w:tcBorders>
              <w:top w:val="single" w:color="auto" w:sz="4" w:space="0"/>
              <w:left w:val="single" w:color="auto" w:sz="4" w:space="0"/>
              <w:bottom w:val="single" w:color="auto" w:sz="4" w:space="0"/>
              <w:right w:val="single" w:color="auto" w:sz="4" w:space="0"/>
            </w:tcBorders>
            <w:noWrap/>
            <w:vAlign w:val="center"/>
          </w:tcPr>
          <w:p w14:paraId="616891EE">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基于接口的防御策略</w:t>
            </w:r>
            <w:r>
              <w:rPr>
                <w:rFonts w:hint="default" w:ascii="宋体" w:hAnsi="宋体"/>
                <w:color w:val="auto"/>
                <w:sz w:val="22"/>
                <w:szCs w:val="22"/>
                <w:highlight w:val="none"/>
              </w:rPr>
              <w:t xml:space="preserve"> 支持的基于接口的防御类型包括以下几种攻击：SYN Flood SYN-ACK Flood ACK Flood RST Flood  TCP-abnormal Flood TCP Fragment Flood UDP Flood UDP Fragment Flood ICMP Flood DNS Request Flood DNS Reply Flood HTTP Flood SIP Flood</w:t>
            </w:r>
          </w:p>
        </w:tc>
        <w:tc>
          <w:tcPr>
            <w:tcW w:w="1559" w:type="dxa"/>
            <w:tcBorders>
              <w:top w:val="single" w:color="auto" w:sz="4" w:space="0"/>
              <w:left w:val="single" w:color="auto" w:sz="4" w:space="0"/>
              <w:bottom w:val="single" w:color="auto" w:sz="4" w:space="0"/>
              <w:right w:val="single" w:color="auto" w:sz="4" w:space="0"/>
            </w:tcBorders>
            <w:vAlign w:val="center"/>
          </w:tcPr>
          <w:p w14:paraId="5083DA5E">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0125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34" w:type="dxa"/>
            <w:tcBorders>
              <w:left w:val="single" w:color="auto" w:sz="4" w:space="0"/>
              <w:bottom w:val="single" w:color="auto" w:sz="4" w:space="0"/>
              <w:right w:val="single" w:color="auto" w:sz="4" w:space="0"/>
            </w:tcBorders>
            <w:vAlign w:val="center"/>
          </w:tcPr>
          <w:p w14:paraId="6D8CF100">
            <w:pPr>
              <w:keepNext w:val="0"/>
              <w:keepLines w:val="0"/>
              <w:widowControl/>
              <w:suppressLineNumbers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服务要求</w:t>
            </w:r>
          </w:p>
        </w:tc>
        <w:tc>
          <w:tcPr>
            <w:tcW w:w="6838" w:type="dxa"/>
            <w:tcBorders>
              <w:top w:val="single" w:color="auto" w:sz="4" w:space="0"/>
              <w:left w:val="single" w:color="auto" w:sz="4" w:space="0"/>
              <w:bottom w:val="single" w:color="auto" w:sz="4" w:space="0"/>
              <w:right w:val="single" w:color="auto" w:sz="4" w:space="0"/>
            </w:tcBorders>
            <w:noWrap/>
            <w:vAlign w:val="center"/>
          </w:tcPr>
          <w:p w14:paraId="781EFFB0">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部署在政务云平台边界，对全流量进行清洗分析，含运维管理服务，安排专人定期巡检和分析日志，及时向政务云平台采购方和租户通报入侵防御重要安全风险事件，并协助租户按需完成策略调整与优化。</w:t>
            </w:r>
          </w:p>
        </w:tc>
        <w:tc>
          <w:tcPr>
            <w:tcW w:w="1559" w:type="dxa"/>
            <w:tcBorders>
              <w:top w:val="single" w:color="auto" w:sz="4" w:space="0"/>
              <w:left w:val="single" w:color="auto" w:sz="4" w:space="0"/>
              <w:bottom w:val="single" w:color="auto" w:sz="4" w:space="0"/>
              <w:right w:val="single" w:color="auto" w:sz="4" w:space="0"/>
            </w:tcBorders>
            <w:vAlign w:val="center"/>
          </w:tcPr>
          <w:p w14:paraId="7E135024">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bl>
    <w:p w14:paraId="4A9BDBCD">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3）防DDOS攻击</w:t>
      </w:r>
    </w:p>
    <w:tbl>
      <w:tblPr>
        <w:tblStyle w:val="46"/>
        <w:tblW w:w="1003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6824"/>
        <w:gridCol w:w="1559"/>
      </w:tblGrid>
      <w:tr w14:paraId="71FA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47" w:type="dxa"/>
            <w:tcBorders>
              <w:top w:val="single" w:color="auto" w:sz="4" w:space="0"/>
              <w:left w:val="single" w:color="auto" w:sz="4" w:space="0"/>
              <w:bottom w:val="single" w:color="auto" w:sz="4" w:space="0"/>
              <w:right w:val="single" w:color="auto" w:sz="4" w:space="0"/>
            </w:tcBorders>
            <w:vAlign w:val="center"/>
          </w:tcPr>
          <w:p w14:paraId="55839928">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项目</w:t>
            </w:r>
          </w:p>
        </w:tc>
        <w:tc>
          <w:tcPr>
            <w:tcW w:w="6824" w:type="dxa"/>
            <w:tcBorders>
              <w:top w:val="single" w:color="auto" w:sz="4" w:space="0"/>
              <w:left w:val="single" w:color="auto" w:sz="4" w:space="0"/>
              <w:bottom w:val="single" w:color="auto" w:sz="4" w:space="0"/>
              <w:right w:val="single" w:color="auto" w:sz="4" w:space="0"/>
            </w:tcBorders>
            <w:noWrap/>
            <w:vAlign w:val="center"/>
          </w:tcPr>
          <w:p w14:paraId="6E9BE08E">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要求</w:t>
            </w:r>
          </w:p>
        </w:tc>
        <w:tc>
          <w:tcPr>
            <w:tcW w:w="1559" w:type="dxa"/>
            <w:tcBorders>
              <w:top w:val="single" w:color="auto" w:sz="4" w:space="0"/>
              <w:left w:val="single" w:color="auto" w:sz="4" w:space="0"/>
              <w:bottom w:val="single" w:color="auto" w:sz="4" w:space="0"/>
              <w:right w:val="single" w:color="auto" w:sz="4" w:space="0"/>
            </w:tcBorders>
            <w:vAlign w:val="center"/>
          </w:tcPr>
          <w:p w14:paraId="43D41C50">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备注</w:t>
            </w:r>
          </w:p>
        </w:tc>
      </w:tr>
      <w:tr w14:paraId="62D6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47" w:type="dxa"/>
            <w:vMerge w:val="restart"/>
            <w:tcBorders>
              <w:top w:val="single" w:color="auto" w:sz="4" w:space="0"/>
              <w:left w:val="single" w:color="auto" w:sz="4" w:space="0"/>
              <w:bottom w:val="single" w:color="auto" w:sz="4" w:space="0"/>
              <w:right w:val="single" w:color="auto" w:sz="4" w:space="0"/>
            </w:tcBorders>
            <w:vAlign w:val="center"/>
          </w:tcPr>
          <w:p w14:paraId="6E31D1DB">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kern w:val="0"/>
                <w:sz w:val="22"/>
                <w:szCs w:val="22"/>
                <w:highlight w:val="none"/>
              </w:rPr>
              <w:t>防DDOS</w:t>
            </w:r>
          </w:p>
        </w:tc>
        <w:tc>
          <w:tcPr>
            <w:tcW w:w="6824" w:type="dxa"/>
            <w:tcBorders>
              <w:top w:val="single" w:color="auto" w:sz="4" w:space="0"/>
              <w:left w:val="single" w:color="auto" w:sz="4" w:space="0"/>
              <w:bottom w:val="single" w:color="auto" w:sz="4" w:space="0"/>
              <w:right w:val="single" w:color="auto" w:sz="4" w:space="0"/>
            </w:tcBorders>
            <w:noWrap/>
            <w:vAlign w:val="center"/>
          </w:tcPr>
          <w:p w14:paraId="6B9D0BA8">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在网络边界部署。</w:t>
            </w:r>
          </w:p>
        </w:tc>
        <w:tc>
          <w:tcPr>
            <w:tcW w:w="1559" w:type="dxa"/>
            <w:tcBorders>
              <w:top w:val="single" w:color="auto" w:sz="4" w:space="0"/>
              <w:left w:val="single" w:color="auto" w:sz="4" w:space="0"/>
              <w:bottom w:val="single" w:color="auto" w:sz="4" w:space="0"/>
              <w:right w:val="single" w:color="auto" w:sz="4" w:space="0"/>
            </w:tcBorders>
            <w:vAlign w:val="center"/>
          </w:tcPr>
          <w:p w14:paraId="0B43C058">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3129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47" w:type="dxa"/>
            <w:vMerge w:val="continue"/>
            <w:tcBorders>
              <w:top w:val="single" w:color="auto" w:sz="4" w:space="0"/>
              <w:left w:val="single" w:color="auto" w:sz="4" w:space="0"/>
              <w:bottom w:val="single" w:color="auto" w:sz="4" w:space="0"/>
              <w:right w:val="single" w:color="auto" w:sz="4" w:space="0"/>
            </w:tcBorders>
            <w:vAlign w:val="center"/>
          </w:tcPr>
          <w:p w14:paraId="7E70D92D">
            <w:pPr>
              <w:keepNext w:val="0"/>
              <w:keepLines w:val="0"/>
              <w:widowControl/>
              <w:suppressLineNumbers w:val="0"/>
              <w:spacing w:before="100" w:beforeAutospacing="1" w:after="100" w:afterAutospacing="1" w:line="360" w:lineRule="atLeast"/>
              <w:ind w:left="0" w:right="0"/>
              <w:jc w:val="center"/>
              <w:rPr>
                <w:rFonts w:hint="default" w:ascii="宋体" w:hAnsi="宋体"/>
                <w:color w:val="auto"/>
                <w:sz w:val="22"/>
                <w:szCs w:val="22"/>
                <w:highlight w:val="none"/>
              </w:rPr>
            </w:pPr>
          </w:p>
        </w:tc>
        <w:tc>
          <w:tcPr>
            <w:tcW w:w="6824" w:type="dxa"/>
            <w:tcBorders>
              <w:top w:val="single" w:color="auto" w:sz="4" w:space="0"/>
              <w:left w:val="single" w:color="auto" w:sz="4" w:space="0"/>
              <w:bottom w:val="single" w:color="auto" w:sz="4" w:space="0"/>
              <w:right w:val="single" w:color="auto" w:sz="4" w:space="0"/>
            </w:tcBorders>
            <w:noWrap/>
            <w:vAlign w:val="center"/>
          </w:tcPr>
          <w:p w14:paraId="0434068C">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支持支持</w:t>
            </w:r>
            <w:r>
              <w:rPr>
                <w:rFonts w:hint="default" w:ascii="宋体" w:hAnsi="宋体"/>
                <w:color w:val="auto"/>
                <w:sz w:val="22"/>
                <w:szCs w:val="22"/>
                <w:highlight w:val="none"/>
              </w:rPr>
              <w:t>10G的清理能力</w:t>
            </w:r>
            <w:r>
              <w:rPr>
                <w:rFonts w:hint="eastAsia" w:ascii="宋体" w:hAnsi="宋体"/>
                <w:color w:val="auto"/>
                <w:sz w:val="22"/>
                <w:szCs w:val="22"/>
                <w:highlight w:val="none"/>
              </w:rPr>
              <w:t>，可以准确识别正常流量，清洗各类异常流量，包括流量型攻击、应用层攻击、扫描窥探型攻击及畸形包攻击。</w:t>
            </w:r>
          </w:p>
        </w:tc>
        <w:tc>
          <w:tcPr>
            <w:tcW w:w="1559" w:type="dxa"/>
            <w:tcBorders>
              <w:top w:val="single" w:color="auto" w:sz="4" w:space="0"/>
              <w:left w:val="single" w:color="auto" w:sz="4" w:space="0"/>
              <w:bottom w:val="single" w:color="auto" w:sz="4" w:space="0"/>
              <w:right w:val="single" w:color="auto" w:sz="4" w:space="0"/>
            </w:tcBorders>
            <w:vAlign w:val="center"/>
          </w:tcPr>
          <w:p w14:paraId="3DAC8D92">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2DE0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47" w:type="dxa"/>
            <w:vMerge w:val="continue"/>
            <w:tcBorders>
              <w:top w:val="single" w:color="auto" w:sz="4" w:space="0"/>
              <w:left w:val="single" w:color="auto" w:sz="4" w:space="0"/>
              <w:bottom w:val="single" w:color="auto" w:sz="4" w:space="0"/>
              <w:right w:val="single" w:color="auto" w:sz="4" w:space="0"/>
            </w:tcBorders>
            <w:vAlign w:val="center"/>
          </w:tcPr>
          <w:p w14:paraId="6B4FE86E">
            <w:pPr>
              <w:keepNext w:val="0"/>
              <w:keepLines w:val="0"/>
              <w:widowControl/>
              <w:suppressLineNumbers w:val="0"/>
              <w:spacing w:before="100" w:beforeAutospacing="1" w:after="100" w:afterAutospacing="1" w:line="360" w:lineRule="atLeast"/>
              <w:ind w:left="0" w:right="0"/>
              <w:jc w:val="center"/>
              <w:rPr>
                <w:rFonts w:hint="default" w:ascii="宋体" w:hAnsi="宋体"/>
                <w:color w:val="auto"/>
                <w:sz w:val="22"/>
                <w:szCs w:val="22"/>
                <w:highlight w:val="none"/>
              </w:rPr>
            </w:pPr>
          </w:p>
        </w:tc>
        <w:tc>
          <w:tcPr>
            <w:tcW w:w="6824" w:type="dxa"/>
            <w:tcBorders>
              <w:top w:val="single" w:color="auto" w:sz="4" w:space="0"/>
              <w:left w:val="single" w:color="auto" w:sz="4" w:space="0"/>
              <w:bottom w:val="single" w:color="auto" w:sz="4" w:space="0"/>
              <w:right w:val="single" w:color="auto" w:sz="4" w:space="0"/>
            </w:tcBorders>
            <w:noWrap/>
            <w:vAlign w:val="center"/>
          </w:tcPr>
          <w:p w14:paraId="4F8FD9F5">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单台设备同时支持检测与清洗功能。</w:t>
            </w:r>
          </w:p>
        </w:tc>
        <w:tc>
          <w:tcPr>
            <w:tcW w:w="1559" w:type="dxa"/>
            <w:tcBorders>
              <w:top w:val="single" w:color="auto" w:sz="4" w:space="0"/>
              <w:left w:val="single" w:color="auto" w:sz="4" w:space="0"/>
              <w:bottom w:val="single" w:color="auto" w:sz="4" w:space="0"/>
              <w:right w:val="single" w:color="auto" w:sz="4" w:space="0"/>
            </w:tcBorders>
            <w:vAlign w:val="center"/>
          </w:tcPr>
          <w:p w14:paraId="41E333A3">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r w14:paraId="5EE8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47" w:type="dxa"/>
            <w:tcBorders>
              <w:top w:val="single" w:color="auto" w:sz="4" w:space="0"/>
              <w:left w:val="single" w:color="auto" w:sz="4" w:space="0"/>
              <w:bottom w:val="single" w:color="auto" w:sz="4" w:space="0"/>
              <w:right w:val="single" w:color="auto" w:sz="4" w:space="0"/>
            </w:tcBorders>
            <w:vAlign w:val="center"/>
          </w:tcPr>
          <w:p w14:paraId="52730E18">
            <w:pPr>
              <w:keepNext w:val="0"/>
              <w:keepLines w:val="0"/>
              <w:widowControl/>
              <w:suppressLineNumbers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服务要求</w:t>
            </w:r>
          </w:p>
        </w:tc>
        <w:tc>
          <w:tcPr>
            <w:tcW w:w="6824" w:type="dxa"/>
            <w:tcBorders>
              <w:top w:val="single" w:color="auto" w:sz="4" w:space="0"/>
              <w:left w:val="single" w:color="auto" w:sz="4" w:space="0"/>
              <w:bottom w:val="single" w:color="auto" w:sz="4" w:space="0"/>
              <w:right w:val="single" w:color="auto" w:sz="4" w:space="0"/>
            </w:tcBorders>
            <w:noWrap/>
            <w:vAlign w:val="center"/>
          </w:tcPr>
          <w:p w14:paraId="69AF15AD">
            <w:pPr>
              <w:keepNext w:val="0"/>
              <w:keepLines w:val="0"/>
              <w:suppressLineNumbers w:val="0"/>
              <w:snapToGrid w:val="0"/>
              <w:spacing w:before="100" w:beforeAutospacing="1" w:after="100" w:afterAutospacing="1"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部署在政务云平台边界，对全流量进行清洗分析，含运维管理服务，安排专人定期巡检和分析日志，及时向政务云平台采购方和租户通报重要安全风险事件。</w:t>
            </w:r>
          </w:p>
        </w:tc>
        <w:tc>
          <w:tcPr>
            <w:tcW w:w="1559" w:type="dxa"/>
            <w:tcBorders>
              <w:top w:val="single" w:color="auto" w:sz="4" w:space="0"/>
              <w:left w:val="single" w:color="auto" w:sz="4" w:space="0"/>
              <w:bottom w:val="single" w:color="auto" w:sz="4" w:space="0"/>
              <w:right w:val="single" w:color="auto" w:sz="4" w:space="0"/>
            </w:tcBorders>
            <w:vAlign w:val="center"/>
          </w:tcPr>
          <w:p w14:paraId="45ED2300">
            <w:pPr>
              <w:keepNext w:val="0"/>
              <w:keepLines w:val="0"/>
              <w:suppressLineNumbers w:val="0"/>
              <w:snapToGrid w:val="0"/>
              <w:spacing w:before="100" w:beforeAutospacing="1" w:after="100" w:afterAutospacing="1" w:line="360" w:lineRule="atLeast"/>
              <w:ind w:left="0" w:right="0"/>
              <w:jc w:val="center"/>
              <w:rPr>
                <w:rFonts w:hint="default" w:ascii="宋体" w:hAnsi="宋体"/>
                <w:color w:val="auto"/>
                <w:sz w:val="22"/>
                <w:szCs w:val="22"/>
                <w:highlight w:val="none"/>
              </w:rPr>
            </w:pPr>
          </w:p>
        </w:tc>
      </w:tr>
    </w:tbl>
    <w:p w14:paraId="677FA39A">
      <w:pPr>
        <w:snapToGrid w:val="0"/>
        <w:spacing w:line="400" w:lineRule="atLeast"/>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（2）共享云安全服务要求</w:t>
      </w:r>
    </w:p>
    <w:p w14:paraId="3CBB97D8">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1）云杀毒</w:t>
      </w:r>
    </w:p>
    <w:p w14:paraId="03246C4E">
      <w:pPr>
        <w:numPr>
          <w:ilvl w:val="0"/>
          <w:numId w:val="2"/>
        </w:numPr>
        <w:snapToGrid w:val="0"/>
        <w:spacing w:line="400" w:lineRule="atLeast"/>
        <w:ind w:left="0" w:firstLine="426"/>
        <w:rPr>
          <w:rFonts w:ascii="宋体" w:hAnsi="宋体"/>
          <w:color w:val="auto"/>
          <w:sz w:val="22"/>
          <w:szCs w:val="22"/>
          <w:highlight w:val="none"/>
        </w:rPr>
      </w:pPr>
      <w:r>
        <w:rPr>
          <w:rFonts w:ascii="宋体" w:hAnsi="宋体"/>
          <w:color w:val="auto"/>
          <w:sz w:val="22"/>
          <w:szCs w:val="22"/>
          <w:highlight w:val="none"/>
        </w:rPr>
        <w:t>在云主机上部署主机保护系统，实现恶意代码检测、web信誉评估</w:t>
      </w:r>
      <w:r>
        <w:rPr>
          <w:rFonts w:hint="eastAsia" w:ascii="宋体" w:hAnsi="宋体"/>
          <w:color w:val="auto"/>
          <w:sz w:val="22"/>
          <w:szCs w:val="22"/>
          <w:highlight w:val="none"/>
        </w:rPr>
        <w:t>、入侵检测和防火墙功能</w:t>
      </w:r>
      <w:r>
        <w:rPr>
          <w:rFonts w:ascii="宋体" w:hAnsi="宋体"/>
          <w:color w:val="auto"/>
          <w:sz w:val="22"/>
          <w:szCs w:val="22"/>
          <w:highlight w:val="none"/>
        </w:rPr>
        <w:t>。</w:t>
      </w:r>
    </w:p>
    <w:p w14:paraId="02367886">
      <w:pPr>
        <w:numPr>
          <w:ilvl w:val="0"/>
          <w:numId w:val="2"/>
        </w:numPr>
        <w:snapToGrid w:val="0"/>
        <w:spacing w:line="400" w:lineRule="atLeast"/>
        <w:ind w:left="0" w:firstLine="425"/>
        <w:rPr>
          <w:rFonts w:ascii="宋体" w:hAnsi="宋体"/>
          <w:color w:val="auto"/>
          <w:sz w:val="22"/>
          <w:szCs w:val="22"/>
          <w:highlight w:val="none"/>
        </w:rPr>
      </w:pPr>
      <w:r>
        <w:rPr>
          <w:rFonts w:ascii="宋体" w:hAnsi="宋体"/>
          <w:color w:val="auto"/>
          <w:sz w:val="22"/>
          <w:szCs w:val="22"/>
          <w:highlight w:val="none"/>
        </w:rPr>
        <w:t>在虚拟化环境中在尚无原厂补丁的情况下，要通过虚拟补丁功能及时防御通过漏洞入侵系统等措施实现安全加固；</w:t>
      </w:r>
    </w:p>
    <w:p w14:paraId="52259EC6">
      <w:pPr>
        <w:numPr>
          <w:ilvl w:val="0"/>
          <w:numId w:val="2"/>
        </w:numPr>
        <w:snapToGrid w:val="0"/>
        <w:spacing w:line="400" w:lineRule="atLeast"/>
        <w:ind w:left="0" w:firstLine="426"/>
        <w:rPr>
          <w:rFonts w:ascii="宋体" w:hAnsi="宋体"/>
          <w:color w:val="auto"/>
          <w:sz w:val="22"/>
          <w:szCs w:val="22"/>
          <w:highlight w:val="none"/>
        </w:rPr>
      </w:pPr>
      <w:r>
        <w:rPr>
          <w:rFonts w:ascii="宋体" w:hAnsi="宋体"/>
          <w:color w:val="auto"/>
          <w:sz w:val="22"/>
          <w:szCs w:val="22"/>
          <w:highlight w:val="none"/>
        </w:rPr>
        <w:t>提供自动扫描功能，针对服务器弱点、漏洞进行安全检测并自动形成防护，产品必须能够防御应用层攻击、SQL Injection 及Cross-site跨网站程序代码改写的攻击。</w:t>
      </w:r>
    </w:p>
    <w:p w14:paraId="3E83ABCE">
      <w:pPr>
        <w:numPr>
          <w:ilvl w:val="0"/>
          <w:numId w:val="2"/>
        </w:numPr>
        <w:snapToGrid w:val="0"/>
        <w:spacing w:line="400" w:lineRule="atLeast"/>
        <w:ind w:left="0" w:firstLine="426"/>
        <w:rPr>
          <w:rFonts w:ascii="宋体" w:hAnsi="宋体"/>
          <w:color w:val="auto"/>
          <w:sz w:val="22"/>
          <w:szCs w:val="22"/>
          <w:highlight w:val="none"/>
        </w:rPr>
      </w:pPr>
      <w:r>
        <w:rPr>
          <w:rFonts w:ascii="宋体" w:hAnsi="宋体"/>
          <w:color w:val="auto"/>
          <w:sz w:val="22"/>
          <w:szCs w:val="22"/>
          <w:highlight w:val="none"/>
        </w:rPr>
        <w:t>所有产品必须是自主开发，拥有自主知识产权，必须具有产品销售许可证和著作权证明。</w:t>
      </w:r>
    </w:p>
    <w:p w14:paraId="6B03CDD3">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2）SSL</w:t>
      </w:r>
      <w:r>
        <w:rPr>
          <w:rFonts w:ascii="宋体" w:hAnsi="宋体"/>
          <w:color w:val="auto"/>
          <w:sz w:val="22"/>
          <w:szCs w:val="22"/>
          <w:highlight w:val="none"/>
        </w:rPr>
        <w:t xml:space="preserve"> </w:t>
      </w:r>
      <w:r>
        <w:rPr>
          <w:rFonts w:hint="eastAsia" w:ascii="宋体" w:hAnsi="宋体"/>
          <w:color w:val="auto"/>
          <w:sz w:val="22"/>
          <w:szCs w:val="22"/>
          <w:highlight w:val="none"/>
        </w:rPr>
        <w:t>VPN</w:t>
      </w:r>
    </w:p>
    <w:p w14:paraId="255F0A74">
      <w:pPr>
        <w:snapToGrid w:val="0"/>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三层吞吐量6G，应用吞吐量2G，最大并发会话数200W</w:t>
      </w:r>
      <w:r>
        <w:rPr>
          <w:rFonts w:hint="eastAsia" w:ascii="宋体" w:hAnsi="宋体"/>
          <w:color w:val="auto"/>
          <w:sz w:val="22"/>
          <w:szCs w:val="22"/>
          <w:highlight w:val="none"/>
        </w:rPr>
        <w:t>，</w:t>
      </w:r>
      <w:r>
        <w:rPr>
          <w:rFonts w:ascii="宋体" w:hAnsi="宋体"/>
          <w:color w:val="auto"/>
          <w:sz w:val="22"/>
          <w:szCs w:val="22"/>
          <w:highlight w:val="none"/>
        </w:rPr>
        <w:t>2U设备，最大14个GE电口，最高8个SFP接口</w:t>
      </w:r>
      <w:r>
        <w:rPr>
          <w:rFonts w:hint="eastAsia" w:ascii="宋体" w:hAnsi="宋体"/>
          <w:color w:val="auto"/>
          <w:sz w:val="22"/>
          <w:szCs w:val="22"/>
          <w:highlight w:val="none"/>
        </w:rPr>
        <w:t>，</w:t>
      </w:r>
      <w:r>
        <w:rPr>
          <w:rFonts w:ascii="宋体" w:hAnsi="宋体"/>
          <w:color w:val="auto"/>
          <w:sz w:val="22"/>
          <w:szCs w:val="22"/>
          <w:highlight w:val="none"/>
        </w:rPr>
        <w:t>1个SLOT插槽,1管理接口，1个RJ45，2个USB口，同时含IPSEC和SLL VPN功能。</w:t>
      </w:r>
    </w:p>
    <w:p w14:paraId="25EB2587">
      <w:pPr>
        <w:snapToGrid w:val="0"/>
        <w:spacing w:line="400" w:lineRule="atLeast"/>
        <w:rPr>
          <w:rFonts w:ascii="宋体" w:hAnsi="宋体"/>
          <w:color w:val="auto"/>
          <w:sz w:val="22"/>
          <w:szCs w:val="22"/>
          <w:highlight w:val="none"/>
        </w:rPr>
      </w:pPr>
      <w:r>
        <w:rPr>
          <w:rFonts w:hint="eastAsia" w:ascii="宋体" w:hAnsi="宋体"/>
          <w:color w:val="auto"/>
          <w:sz w:val="22"/>
          <w:szCs w:val="22"/>
          <w:highlight w:val="none"/>
        </w:rPr>
        <w:t>服务要求：含并发用户许可授权，含运维管理服务，包括用户管理和技术支撑服务等。</w:t>
      </w:r>
    </w:p>
    <w:p w14:paraId="4097E7D9">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3）运维审计服务</w:t>
      </w:r>
    </w:p>
    <w:tbl>
      <w:tblPr>
        <w:tblStyle w:val="46"/>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848"/>
        <w:gridCol w:w="1559"/>
      </w:tblGrid>
      <w:tr w14:paraId="0E45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5" w:type="dxa"/>
            <w:noWrap/>
            <w:vAlign w:val="bottom"/>
          </w:tcPr>
          <w:p w14:paraId="50BE8FC9">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6848" w:type="dxa"/>
            <w:noWrap/>
            <w:vAlign w:val="center"/>
          </w:tcPr>
          <w:p w14:paraId="211D40E1">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技术要求</w:t>
            </w:r>
          </w:p>
        </w:tc>
        <w:tc>
          <w:tcPr>
            <w:tcW w:w="1559" w:type="dxa"/>
          </w:tcPr>
          <w:p w14:paraId="02FD82D3">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730A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5" w:type="dxa"/>
            <w:vMerge w:val="restart"/>
            <w:shd w:val="clear" w:color="auto" w:fill="auto"/>
            <w:vAlign w:val="center"/>
          </w:tcPr>
          <w:p w14:paraId="7AEF96FA">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主体功能要求</w:t>
            </w:r>
          </w:p>
        </w:tc>
        <w:tc>
          <w:tcPr>
            <w:tcW w:w="6848" w:type="dxa"/>
            <w:shd w:val="clear" w:color="000000" w:fill="FFFFFF"/>
            <w:vAlign w:val="center"/>
          </w:tcPr>
          <w:p w14:paraId="1346467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支持用户安全策略功能，如密码锁定次数、密码有效期、密码复杂度、用户有效期、用户登录时间限制、用户登录 IP 范围等</w:t>
            </w:r>
          </w:p>
        </w:tc>
        <w:tc>
          <w:tcPr>
            <w:tcW w:w="1559" w:type="dxa"/>
            <w:shd w:val="clear" w:color="000000" w:fill="FFFFFF"/>
          </w:tcPr>
          <w:p w14:paraId="40C975D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1DCF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5" w:type="dxa"/>
            <w:vMerge w:val="continue"/>
            <w:shd w:val="clear" w:color="auto" w:fill="auto"/>
            <w:vAlign w:val="center"/>
          </w:tcPr>
          <w:p w14:paraId="3636250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48" w:type="dxa"/>
            <w:shd w:val="clear" w:color="000000" w:fill="FFFFFF"/>
            <w:vAlign w:val="center"/>
          </w:tcPr>
          <w:p w14:paraId="0389DEB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须内嵌认证引擎，除用户名/密码认证方式外，能够提供动态令牌、USBkey 等认证方式</w:t>
            </w:r>
          </w:p>
        </w:tc>
        <w:tc>
          <w:tcPr>
            <w:tcW w:w="1559" w:type="dxa"/>
            <w:shd w:val="clear" w:color="000000" w:fill="FFFFFF"/>
          </w:tcPr>
          <w:p w14:paraId="2F7C024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6194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5" w:type="dxa"/>
            <w:vMerge w:val="continue"/>
            <w:shd w:val="clear" w:color="auto" w:fill="auto"/>
            <w:vAlign w:val="center"/>
          </w:tcPr>
          <w:p w14:paraId="5DCA64B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48" w:type="dxa"/>
            <w:shd w:val="clear" w:color="000000" w:fill="FFFFFF"/>
            <w:vAlign w:val="center"/>
          </w:tcPr>
          <w:p w14:paraId="007E69DD">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支持定期自动修改windows服务器、网络设备、linux/unix等目标设备密码功能，自动修改windows服务器密码无需在目标服务器上安装agent、开启telnet服务等</w:t>
            </w:r>
          </w:p>
        </w:tc>
        <w:tc>
          <w:tcPr>
            <w:tcW w:w="1559" w:type="dxa"/>
            <w:shd w:val="clear" w:color="000000" w:fill="FFFFFF"/>
          </w:tcPr>
          <w:p w14:paraId="52AA277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7E01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5" w:type="dxa"/>
            <w:vMerge w:val="continue"/>
            <w:shd w:val="clear" w:color="auto" w:fill="auto"/>
            <w:vAlign w:val="center"/>
          </w:tcPr>
          <w:p w14:paraId="054D9C1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48" w:type="dxa"/>
            <w:shd w:val="clear" w:color="000000" w:fill="FFFFFF"/>
            <w:vAlign w:val="center"/>
          </w:tcPr>
          <w:p w14:paraId="26304A5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支持完善的自动改密策略，包括改密前发送密码、改密后发送密码、密码文件加密、密码传输加密、密码强度控制、自动密码恢复等。发送方式包括邮件、FTP、SFTP等</w:t>
            </w:r>
          </w:p>
        </w:tc>
        <w:tc>
          <w:tcPr>
            <w:tcW w:w="1559" w:type="dxa"/>
            <w:shd w:val="clear" w:color="000000" w:fill="FFFFFF"/>
          </w:tcPr>
          <w:p w14:paraId="6E6B44F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2FFF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25" w:type="dxa"/>
            <w:vMerge w:val="continue"/>
            <w:shd w:val="clear" w:color="auto" w:fill="auto"/>
            <w:vAlign w:val="center"/>
          </w:tcPr>
          <w:p w14:paraId="75AF15B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48" w:type="dxa"/>
            <w:shd w:val="clear" w:color="000000" w:fill="FFFFFF"/>
            <w:vAlign w:val="center"/>
          </w:tcPr>
          <w:p w14:paraId="47A5A0E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对运维操作会话的在线监控、实时阻断、日志回放、起止时间、来源用户、来源IP、目标设备、协议/应用类型、命令记录、操作内容（如对文件的上传、下载、删除、修改等操作等）的详细行为日志，支持以首页中的设备为基准，支持直接查询该主账号有权限运维的所有设备。</w:t>
            </w:r>
          </w:p>
        </w:tc>
        <w:tc>
          <w:tcPr>
            <w:tcW w:w="1559" w:type="dxa"/>
            <w:shd w:val="clear" w:color="000000" w:fill="FFFFFF"/>
          </w:tcPr>
          <w:p w14:paraId="5B2FBD0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2D2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5" w:type="dxa"/>
            <w:vMerge w:val="continue"/>
            <w:shd w:val="clear" w:color="auto" w:fill="auto"/>
            <w:vAlign w:val="center"/>
          </w:tcPr>
          <w:p w14:paraId="2E50065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48" w:type="dxa"/>
            <w:shd w:val="clear" w:color="000000" w:fill="FFFFFF"/>
            <w:vAlign w:val="center"/>
          </w:tcPr>
          <w:p w14:paraId="53B7E0A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支持SSH、Telnet、远程桌面，VNC、FTP/SFTP、数据库、Http/HTTPS等协议和应用的运维，要能支持B/S和C/S两种运维方式，支持SSH密钥批量登录、批量命令执行等。</w:t>
            </w:r>
          </w:p>
        </w:tc>
        <w:tc>
          <w:tcPr>
            <w:tcW w:w="1559" w:type="dxa"/>
            <w:shd w:val="clear" w:color="000000" w:fill="FFFFFF"/>
          </w:tcPr>
          <w:p w14:paraId="4ECE2ECD">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6096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5" w:type="dxa"/>
            <w:vMerge w:val="continue"/>
            <w:shd w:val="clear" w:color="auto" w:fill="auto"/>
            <w:vAlign w:val="center"/>
          </w:tcPr>
          <w:p w14:paraId="5676C65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48" w:type="dxa"/>
            <w:shd w:val="clear" w:color="000000" w:fill="FFFFFF"/>
            <w:vAlign w:val="center"/>
          </w:tcPr>
          <w:p w14:paraId="3668BD7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支持对运维过程审计录像，并支持远程桌面磁盘映射、复制粘贴、Linux的xmodel等文件传输的原文件记录。</w:t>
            </w:r>
          </w:p>
        </w:tc>
        <w:tc>
          <w:tcPr>
            <w:tcW w:w="1559" w:type="dxa"/>
            <w:shd w:val="clear" w:color="000000" w:fill="FFFFFF"/>
          </w:tcPr>
          <w:p w14:paraId="7263BFE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6889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5" w:type="dxa"/>
            <w:vMerge w:val="continue"/>
            <w:shd w:val="clear" w:color="auto" w:fill="auto"/>
            <w:vAlign w:val="center"/>
          </w:tcPr>
          <w:p w14:paraId="5DFC515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48" w:type="dxa"/>
            <w:shd w:val="clear" w:color="000000" w:fill="FFFFFF"/>
            <w:vAlign w:val="center"/>
          </w:tcPr>
          <w:p w14:paraId="51D0CB1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支持批量导入/导出/修改用户帐号信息和目标设备信息</w:t>
            </w:r>
          </w:p>
        </w:tc>
        <w:tc>
          <w:tcPr>
            <w:tcW w:w="1559" w:type="dxa"/>
            <w:shd w:val="clear" w:color="000000" w:fill="FFFFFF"/>
          </w:tcPr>
          <w:p w14:paraId="629569F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0A07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5" w:type="dxa"/>
            <w:vMerge w:val="continue"/>
            <w:shd w:val="clear" w:color="auto" w:fill="auto"/>
            <w:vAlign w:val="center"/>
          </w:tcPr>
          <w:p w14:paraId="0DED150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48" w:type="dxa"/>
            <w:shd w:val="clear" w:color="000000" w:fill="FFFFFF"/>
            <w:vAlign w:val="center"/>
          </w:tcPr>
          <w:p w14:paraId="657F8D4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支持自动填写特权密码，从普通管理模式进入到特权模式</w:t>
            </w:r>
          </w:p>
        </w:tc>
        <w:tc>
          <w:tcPr>
            <w:tcW w:w="1559" w:type="dxa"/>
            <w:shd w:val="clear" w:color="000000" w:fill="FFFFFF"/>
          </w:tcPr>
          <w:p w14:paraId="34C4C89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25DF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5" w:type="dxa"/>
            <w:vMerge w:val="continue"/>
            <w:shd w:val="clear" w:color="auto" w:fill="auto"/>
            <w:vAlign w:val="center"/>
          </w:tcPr>
          <w:p w14:paraId="6D8EDF1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48" w:type="dxa"/>
            <w:shd w:val="clear" w:color="000000" w:fill="FFFFFF"/>
            <w:vAlign w:val="center"/>
          </w:tcPr>
          <w:p w14:paraId="33D8971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用户登录后可在首页分组显示该用户有权限管理的目标设备，设备分组可按最近访问、最常访问、访问策略、按照个性化配置中的分类等分组显示可登录的设备；并可按全部/工单相关来查询设备</w:t>
            </w:r>
          </w:p>
        </w:tc>
        <w:tc>
          <w:tcPr>
            <w:tcW w:w="1559" w:type="dxa"/>
            <w:shd w:val="clear" w:color="000000" w:fill="FFFFFF"/>
          </w:tcPr>
          <w:p w14:paraId="38AC96E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0F36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5" w:type="dxa"/>
            <w:vMerge w:val="continue"/>
            <w:shd w:val="clear" w:color="auto" w:fill="auto"/>
            <w:vAlign w:val="center"/>
          </w:tcPr>
          <w:p w14:paraId="1829A19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48" w:type="dxa"/>
            <w:shd w:val="clear" w:color="000000" w:fill="FFFFFF"/>
            <w:vAlign w:val="center"/>
          </w:tcPr>
          <w:p w14:paraId="3A208FC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访问策略支持设备视图和用户视图，管理员可以对运维权限一目了然，视图可以按照xls格式导出，方便管理员管理</w:t>
            </w:r>
          </w:p>
        </w:tc>
        <w:tc>
          <w:tcPr>
            <w:tcW w:w="1559" w:type="dxa"/>
            <w:shd w:val="clear" w:color="000000" w:fill="FFFFFF"/>
          </w:tcPr>
          <w:p w14:paraId="2FBF744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r w14:paraId="182D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5" w:type="dxa"/>
            <w:shd w:val="clear" w:color="auto" w:fill="auto"/>
            <w:vAlign w:val="center"/>
          </w:tcPr>
          <w:p w14:paraId="653A129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服务要求</w:t>
            </w:r>
          </w:p>
        </w:tc>
        <w:tc>
          <w:tcPr>
            <w:tcW w:w="6848" w:type="dxa"/>
            <w:shd w:val="clear" w:color="000000" w:fill="FFFFFF"/>
            <w:vAlign w:val="center"/>
          </w:tcPr>
          <w:p w14:paraId="7FC3CB0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含管理对象授权许可，含运维管理服务，含用户VPN接入服务；安排专人定期进行运行监控，支持电话、网上值班等响应方式。</w:t>
            </w:r>
          </w:p>
        </w:tc>
        <w:tc>
          <w:tcPr>
            <w:tcW w:w="1559" w:type="dxa"/>
            <w:shd w:val="clear" w:color="000000" w:fill="FFFFFF"/>
          </w:tcPr>
          <w:p w14:paraId="056458D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r>
    </w:tbl>
    <w:p w14:paraId="5384FC4B">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4）日志审计</w:t>
      </w:r>
    </w:p>
    <w:tbl>
      <w:tblPr>
        <w:tblStyle w:val="46"/>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850"/>
        <w:gridCol w:w="1553"/>
      </w:tblGrid>
      <w:tr w14:paraId="3FB0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29" w:type="dxa"/>
            <w:vAlign w:val="center"/>
          </w:tcPr>
          <w:p w14:paraId="5C8A49FE">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项目</w:t>
            </w:r>
          </w:p>
        </w:tc>
        <w:tc>
          <w:tcPr>
            <w:tcW w:w="6850" w:type="dxa"/>
            <w:vAlign w:val="center"/>
          </w:tcPr>
          <w:p w14:paraId="3062854C">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要求</w:t>
            </w:r>
          </w:p>
        </w:tc>
        <w:tc>
          <w:tcPr>
            <w:tcW w:w="1553" w:type="dxa"/>
            <w:vAlign w:val="center"/>
          </w:tcPr>
          <w:p w14:paraId="035A3C91">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备注</w:t>
            </w:r>
          </w:p>
        </w:tc>
      </w:tr>
      <w:tr w14:paraId="1995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1E0B3EF6">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服务形态</w:t>
            </w:r>
          </w:p>
        </w:tc>
        <w:tc>
          <w:tcPr>
            <w:tcW w:w="6850" w:type="dxa"/>
            <w:vAlign w:val="center"/>
          </w:tcPr>
          <w:p w14:paraId="09A643E0">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承载于云安全资源池内，以软件形态提供云上安全综合审计服务。</w:t>
            </w:r>
          </w:p>
        </w:tc>
        <w:tc>
          <w:tcPr>
            <w:tcW w:w="1553" w:type="dxa"/>
            <w:vAlign w:val="center"/>
          </w:tcPr>
          <w:p w14:paraId="0C180862">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31E8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28395F9F">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使用方式</w:t>
            </w:r>
          </w:p>
        </w:tc>
        <w:tc>
          <w:tcPr>
            <w:tcW w:w="6850" w:type="dxa"/>
            <w:vAlign w:val="center"/>
          </w:tcPr>
          <w:p w14:paraId="4BE97A80">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default" w:ascii="宋体" w:hAnsi="宋体"/>
                <w:color w:val="auto"/>
                <w:sz w:val="22"/>
                <w:szCs w:val="22"/>
                <w:highlight w:val="none"/>
              </w:rPr>
              <w:t>W</w:t>
            </w:r>
            <w:r>
              <w:rPr>
                <w:rFonts w:hint="eastAsia" w:ascii="宋体" w:hAnsi="宋体"/>
                <w:color w:val="auto"/>
                <w:sz w:val="22"/>
                <w:szCs w:val="22"/>
                <w:highlight w:val="none"/>
              </w:rPr>
              <w:t>indows云主机通过部署轻量</w:t>
            </w:r>
            <w:r>
              <w:rPr>
                <w:rFonts w:hint="default" w:ascii="宋体" w:hAnsi="宋体"/>
                <w:color w:val="auto"/>
                <w:sz w:val="22"/>
                <w:szCs w:val="22"/>
                <w:highlight w:val="none"/>
              </w:rPr>
              <w:t>A</w:t>
            </w:r>
            <w:r>
              <w:rPr>
                <w:rFonts w:hint="eastAsia" w:ascii="宋体" w:hAnsi="宋体"/>
                <w:color w:val="auto"/>
                <w:sz w:val="22"/>
                <w:szCs w:val="22"/>
                <w:highlight w:val="none"/>
              </w:rPr>
              <w:t>gent程序进行数据采集、Linux云主机配置sys</w:t>
            </w:r>
            <w:r>
              <w:rPr>
                <w:rFonts w:hint="default" w:ascii="宋体" w:hAnsi="宋体"/>
                <w:color w:val="auto"/>
                <w:sz w:val="22"/>
                <w:szCs w:val="22"/>
                <w:highlight w:val="none"/>
              </w:rPr>
              <w:t>log</w:t>
            </w:r>
            <w:r>
              <w:rPr>
                <w:rFonts w:hint="eastAsia" w:ascii="宋体" w:hAnsi="宋体"/>
                <w:color w:val="auto"/>
                <w:sz w:val="22"/>
                <w:szCs w:val="22"/>
                <w:highlight w:val="none"/>
              </w:rPr>
              <w:t>进行数据采集，从而实现综合日志审计效果</w:t>
            </w:r>
          </w:p>
        </w:tc>
        <w:tc>
          <w:tcPr>
            <w:tcW w:w="1553" w:type="dxa"/>
            <w:vAlign w:val="center"/>
          </w:tcPr>
          <w:p w14:paraId="0B62438E">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0A1C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14:paraId="77A40ADF">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主要功能要求</w:t>
            </w:r>
          </w:p>
        </w:tc>
        <w:tc>
          <w:tcPr>
            <w:tcW w:w="6850" w:type="dxa"/>
            <w:vAlign w:val="center"/>
          </w:tcPr>
          <w:p w14:paraId="25BECD56">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支持Syslog、SNMP Trap、FTP、代理(Agent)等方式收集日志</w:t>
            </w:r>
          </w:p>
        </w:tc>
        <w:tc>
          <w:tcPr>
            <w:tcW w:w="1553" w:type="dxa"/>
            <w:vAlign w:val="center"/>
          </w:tcPr>
          <w:p w14:paraId="6C9B903D">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1A9B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14:paraId="7CE56214">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p>
        </w:tc>
        <w:tc>
          <w:tcPr>
            <w:tcW w:w="6850" w:type="dxa"/>
            <w:vAlign w:val="center"/>
          </w:tcPr>
          <w:p w14:paraId="4CC28D80">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支持目前主流的安全设备、操作系统、应用系统等日志收集</w:t>
            </w:r>
          </w:p>
        </w:tc>
        <w:tc>
          <w:tcPr>
            <w:tcW w:w="1553" w:type="dxa"/>
            <w:vAlign w:val="center"/>
          </w:tcPr>
          <w:p w14:paraId="13EAB910">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61EC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14:paraId="3C8C1336">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p>
        </w:tc>
        <w:tc>
          <w:tcPr>
            <w:tcW w:w="6850" w:type="dxa"/>
            <w:vAlign w:val="center"/>
          </w:tcPr>
          <w:p w14:paraId="5915308D">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支持对收集到的日志进行解析，解析规则可以根据客户要求定制扩展</w:t>
            </w:r>
          </w:p>
        </w:tc>
        <w:tc>
          <w:tcPr>
            <w:tcW w:w="1553" w:type="dxa"/>
            <w:vAlign w:val="center"/>
          </w:tcPr>
          <w:p w14:paraId="1B5CF8FC">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2DC3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14:paraId="4FCCC7AB">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0" w:type="dxa"/>
            <w:vAlign w:val="center"/>
          </w:tcPr>
          <w:p w14:paraId="2AB4A554">
            <w:pPr>
              <w:keepNext w:val="0"/>
              <w:keepLines w:val="0"/>
              <w:widowControl/>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支持按认证操作、授权操作、账号操作、访问控制、配置变更、攻击威胁等纬度进行报表统计</w:t>
            </w:r>
          </w:p>
        </w:tc>
        <w:tc>
          <w:tcPr>
            <w:tcW w:w="1553" w:type="dxa"/>
            <w:vAlign w:val="center"/>
          </w:tcPr>
          <w:p w14:paraId="3174FCFD">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2331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29" w:type="dxa"/>
            <w:vAlign w:val="center"/>
          </w:tcPr>
          <w:p w14:paraId="36C3C0F5">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服务要求</w:t>
            </w:r>
          </w:p>
        </w:tc>
        <w:tc>
          <w:tcPr>
            <w:tcW w:w="6850" w:type="dxa"/>
            <w:vAlign w:val="center"/>
          </w:tcPr>
          <w:p w14:paraId="57927DE4">
            <w:pPr>
              <w:keepNext w:val="0"/>
              <w:keepLines w:val="0"/>
              <w:widowControl/>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含运维管理服务，安排专人定期进行日志分析，并定期向租户提供专项分析报表。</w:t>
            </w:r>
          </w:p>
        </w:tc>
        <w:tc>
          <w:tcPr>
            <w:tcW w:w="1553" w:type="dxa"/>
            <w:vAlign w:val="center"/>
          </w:tcPr>
          <w:p w14:paraId="5CF94B86">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bl>
    <w:p w14:paraId="07F6407C">
      <w:pPr>
        <w:snapToGrid w:val="0"/>
        <w:spacing w:line="400" w:lineRule="atLeast"/>
        <w:ind w:left="42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Web</w:t>
      </w:r>
      <w:r>
        <w:rPr>
          <w:rFonts w:hint="eastAsia" w:ascii="宋体" w:hAnsi="宋体"/>
          <w:color w:val="auto"/>
          <w:sz w:val="22"/>
          <w:szCs w:val="22"/>
          <w:highlight w:val="none"/>
        </w:rPr>
        <w:t>应用防火墙</w:t>
      </w:r>
    </w:p>
    <w:p w14:paraId="1F4B6B6F">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标准</w:t>
      </w:r>
      <w:r>
        <w:rPr>
          <w:rFonts w:ascii="宋体" w:hAnsi="宋体"/>
          <w:color w:val="auto"/>
          <w:sz w:val="22"/>
          <w:szCs w:val="22"/>
          <w:highlight w:val="none"/>
        </w:rPr>
        <w:t>2U设备</w:t>
      </w:r>
      <w:r>
        <w:rPr>
          <w:rFonts w:hint="eastAsia" w:ascii="宋体" w:hAnsi="宋体"/>
          <w:color w:val="auto"/>
          <w:sz w:val="22"/>
          <w:szCs w:val="22"/>
          <w:highlight w:val="none"/>
        </w:rPr>
        <w:t>，</w:t>
      </w:r>
      <w:r>
        <w:rPr>
          <w:rFonts w:ascii="宋体" w:hAnsi="宋体"/>
          <w:color w:val="auto"/>
          <w:sz w:val="22"/>
          <w:szCs w:val="22"/>
          <w:highlight w:val="none"/>
        </w:rPr>
        <w:t>双冗余电源，1个HA口，1个RJ-45 Console口，1个10/100/1000 Base-T带外管理口，4个网络接口板扩展槽位，可选配WAF-NIM-L通用接口板，默认含3个接口（含1个HA接口）永久使用授权），2个USB口；2个万兆SFP+ 接口，万兆多模光模块；网络层吞吐量≥8G ；应用层吞吐量≥4G；最大HTTP并发连接数≥200万；</w:t>
      </w:r>
      <w:r>
        <w:rPr>
          <w:rFonts w:hint="eastAsia" w:ascii="宋体" w:hAnsi="宋体"/>
          <w:color w:val="auto"/>
          <w:sz w:val="22"/>
          <w:szCs w:val="22"/>
          <w:highlight w:val="none"/>
        </w:rPr>
        <w:t>每秒新建</w:t>
      </w:r>
      <w:r>
        <w:rPr>
          <w:rFonts w:ascii="宋体" w:hAnsi="宋体"/>
          <w:color w:val="auto"/>
          <w:sz w:val="22"/>
          <w:szCs w:val="22"/>
          <w:highlight w:val="none"/>
        </w:rPr>
        <w:t>HTTP连接数不少于2.5万；</w:t>
      </w:r>
    </w:p>
    <w:tbl>
      <w:tblPr>
        <w:tblStyle w:val="46"/>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852"/>
        <w:gridCol w:w="1551"/>
      </w:tblGrid>
      <w:tr w14:paraId="04E9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9" w:type="dxa"/>
            <w:noWrap/>
            <w:vAlign w:val="bottom"/>
          </w:tcPr>
          <w:p w14:paraId="75A46EAE">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6852" w:type="dxa"/>
            <w:noWrap/>
            <w:vAlign w:val="center"/>
          </w:tcPr>
          <w:p w14:paraId="1EB12BBA">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技术要求</w:t>
            </w:r>
          </w:p>
        </w:tc>
        <w:tc>
          <w:tcPr>
            <w:tcW w:w="1551" w:type="dxa"/>
          </w:tcPr>
          <w:p w14:paraId="2B9BA8C6">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2CC7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restart"/>
            <w:shd w:val="clear" w:color="auto" w:fill="auto"/>
            <w:vAlign w:val="center"/>
          </w:tcPr>
          <w:p w14:paraId="68B914B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基础防护</w:t>
            </w:r>
          </w:p>
        </w:tc>
        <w:tc>
          <w:tcPr>
            <w:tcW w:w="6852" w:type="dxa"/>
            <w:shd w:val="clear" w:color="000000" w:fill="FFFFFF"/>
            <w:vAlign w:val="center"/>
          </w:tcPr>
          <w:p w14:paraId="1A14DAD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Web服务器/插件防护</w:t>
            </w:r>
          </w:p>
        </w:tc>
        <w:tc>
          <w:tcPr>
            <w:tcW w:w="1551" w:type="dxa"/>
            <w:shd w:val="clear" w:color="000000" w:fill="FFFFFF"/>
          </w:tcPr>
          <w:p w14:paraId="5021C93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442D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9" w:type="dxa"/>
            <w:vMerge w:val="continue"/>
            <w:shd w:val="clear" w:color="auto" w:fill="auto"/>
            <w:vAlign w:val="center"/>
          </w:tcPr>
          <w:p w14:paraId="275ACAC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2703107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HTTP访问控制</w:t>
            </w:r>
          </w:p>
        </w:tc>
        <w:tc>
          <w:tcPr>
            <w:tcW w:w="1551" w:type="dxa"/>
            <w:shd w:val="clear" w:color="000000" w:fill="FFFFFF"/>
          </w:tcPr>
          <w:p w14:paraId="3AF1CA2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167B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continue"/>
            <w:shd w:val="clear" w:color="auto" w:fill="auto"/>
            <w:vAlign w:val="center"/>
          </w:tcPr>
          <w:p w14:paraId="32CAC0A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441C3AD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爬虫防护</w:t>
            </w:r>
          </w:p>
        </w:tc>
        <w:tc>
          <w:tcPr>
            <w:tcW w:w="1551" w:type="dxa"/>
            <w:shd w:val="clear" w:color="000000" w:fill="FFFFFF"/>
          </w:tcPr>
          <w:p w14:paraId="37F935C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4E71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continue"/>
            <w:shd w:val="clear" w:color="auto" w:fill="auto"/>
            <w:vAlign w:val="center"/>
          </w:tcPr>
          <w:p w14:paraId="331EAA3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6E3DC78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Web通用防护</w:t>
            </w:r>
          </w:p>
        </w:tc>
        <w:tc>
          <w:tcPr>
            <w:tcW w:w="1551" w:type="dxa"/>
            <w:shd w:val="clear" w:color="000000" w:fill="FFFFFF"/>
          </w:tcPr>
          <w:p w14:paraId="643E4C8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7F18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9" w:type="dxa"/>
            <w:vMerge w:val="continue"/>
            <w:shd w:val="clear" w:color="auto" w:fill="auto"/>
            <w:vAlign w:val="center"/>
          </w:tcPr>
          <w:p w14:paraId="3AFBB3E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tcPr>
          <w:p w14:paraId="78D84C4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文件非法上传防护</w:t>
            </w:r>
          </w:p>
        </w:tc>
        <w:tc>
          <w:tcPr>
            <w:tcW w:w="1551" w:type="dxa"/>
            <w:shd w:val="clear" w:color="000000" w:fill="FFFFFF"/>
          </w:tcPr>
          <w:p w14:paraId="79C3C30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6C45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629" w:type="dxa"/>
            <w:vMerge w:val="continue"/>
            <w:shd w:val="clear" w:color="auto" w:fill="auto"/>
            <w:vAlign w:val="center"/>
          </w:tcPr>
          <w:p w14:paraId="6ED3BFE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tcPr>
          <w:p w14:paraId="193BEE7D">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非法下载限制</w:t>
            </w:r>
          </w:p>
        </w:tc>
        <w:tc>
          <w:tcPr>
            <w:tcW w:w="1551" w:type="dxa"/>
            <w:shd w:val="clear" w:color="000000" w:fill="FFFFFF"/>
          </w:tcPr>
          <w:p w14:paraId="75F76BD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769C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9" w:type="dxa"/>
            <w:vMerge w:val="continue"/>
            <w:shd w:val="clear" w:color="auto" w:fill="auto"/>
            <w:vAlign w:val="center"/>
          </w:tcPr>
          <w:p w14:paraId="497C98B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tcPr>
          <w:p w14:paraId="13A1B2D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信息泄露防护</w:t>
            </w:r>
          </w:p>
        </w:tc>
        <w:tc>
          <w:tcPr>
            <w:tcW w:w="1551" w:type="dxa"/>
            <w:shd w:val="clear" w:color="000000" w:fill="FFFFFF"/>
          </w:tcPr>
          <w:p w14:paraId="7911AA5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2B99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9" w:type="dxa"/>
            <w:vMerge w:val="continue"/>
            <w:shd w:val="clear" w:color="auto" w:fill="auto"/>
            <w:vAlign w:val="center"/>
          </w:tcPr>
          <w:p w14:paraId="4F82698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tcPr>
          <w:p w14:paraId="75CF120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Webshell防护</w:t>
            </w:r>
          </w:p>
        </w:tc>
        <w:tc>
          <w:tcPr>
            <w:tcW w:w="1551" w:type="dxa"/>
            <w:shd w:val="clear" w:color="000000" w:fill="FFFFFF"/>
          </w:tcPr>
          <w:p w14:paraId="11FC804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62D6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29" w:type="dxa"/>
            <w:vMerge w:val="restart"/>
            <w:shd w:val="clear" w:color="auto" w:fill="auto"/>
            <w:vAlign w:val="center"/>
          </w:tcPr>
          <w:p w14:paraId="146E0842">
            <w:pPr>
              <w:keepNext w:val="0"/>
              <w:keepLines w:val="0"/>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高级防护</w:t>
            </w:r>
          </w:p>
        </w:tc>
        <w:tc>
          <w:tcPr>
            <w:tcW w:w="6852" w:type="dxa"/>
            <w:shd w:val="clear" w:color="000000" w:fill="FFFFFF"/>
            <w:vAlign w:val="center"/>
          </w:tcPr>
          <w:p w14:paraId="07D0337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盗链防护</w:t>
            </w:r>
          </w:p>
        </w:tc>
        <w:tc>
          <w:tcPr>
            <w:tcW w:w="1551" w:type="dxa"/>
            <w:shd w:val="clear" w:color="000000" w:fill="FFFFFF"/>
          </w:tcPr>
          <w:p w14:paraId="0F912AB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6909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continue"/>
            <w:shd w:val="clear" w:color="auto" w:fill="auto"/>
            <w:vAlign w:val="center"/>
          </w:tcPr>
          <w:p w14:paraId="6518C904">
            <w:pPr>
              <w:keepNext w:val="0"/>
              <w:keepLines w:val="0"/>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269CF0DF">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跨站请求伪造防护</w:t>
            </w:r>
          </w:p>
        </w:tc>
        <w:tc>
          <w:tcPr>
            <w:tcW w:w="1551" w:type="dxa"/>
            <w:shd w:val="clear" w:color="000000" w:fill="FFFFFF"/>
          </w:tcPr>
          <w:p w14:paraId="3DF15ED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27CD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continue"/>
            <w:shd w:val="clear" w:color="auto" w:fill="auto"/>
            <w:vAlign w:val="center"/>
          </w:tcPr>
          <w:p w14:paraId="5EACF963">
            <w:pPr>
              <w:keepNext w:val="0"/>
              <w:keepLines w:val="0"/>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3AC90A0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扫描防护</w:t>
            </w:r>
          </w:p>
        </w:tc>
        <w:tc>
          <w:tcPr>
            <w:tcW w:w="1551" w:type="dxa"/>
            <w:shd w:val="clear" w:color="000000" w:fill="FFFFFF"/>
          </w:tcPr>
          <w:p w14:paraId="1D6E305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093A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continue"/>
            <w:shd w:val="clear" w:color="auto" w:fill="auto"/>
            <w:vAlign w:val="center"/>
          </w:tcPr>
          <w:p w14:paraId="32EB0FD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2B161E7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Cookie安全</w:t>
            </w:r>
          </w:p>
        </w:tc>
        <w:tc>
          <w:tcPr>
            <w:tcW w:w="1551" w:type="dxa"/>
            <w:shd w:val="clear" w:color="000000" w:fill="FFFFFF"/>
          </w:tcPr>
          <w:p w14:paraId="42C199B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66B7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continue"/>
            <w:shd w:val="clear" w:color="auto" w:fill="auto"/>
            <w:vAlign w:val="center"/>
          </w:tcPr>
          <w:p w14:paraId="40A4B04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043ECE5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内容过滤</w:t>
            </w:r>
          </w:p>
        </w:tc>
        <w:tc>
          <w:tcPr>
            <w:tcW w:w="1551" w:type="dxa"/>
            <w:shd w:val="clear" w:color="000000" w:fill="FFFFFF"/>
          </w:tcPr>
          <w:p w14:paraId="5ADEDB1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02BB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continue"/>
            <w:shd w:val="clear" w:color="auto" w:fill="auto"/>
            <w:vAlign w:val="center"/>
          </w:tcPr>
          <w:p w14:paraId="0F18343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3C41694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敏感信息过滤</w:t>
            </w:r>
          </w:p>
        </w:tc>
        <w:tc>
          <w:tcPr>
            <w:tcW w:w="1551" w:type="dxa"/>
            <w:shd w:val="clear" w:color="000000" w:fill="FFFFFF"/>
          </w:tcPr>
          <w:p w14:paraId="5AD9572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1426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continue"/>
            <w:shd w:val="clear" w:color="auto" w:fill="auto"/>
            <w:vAlign w:val="center"/>
          </w:tcPr>
          <w:p w14:paraId="2604B30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26F4327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暴力破解防护</w:t>
            </w:r>
          </w:p>
        </w:tc>
        <w:tc>
          <w:tcPr>
            <w:tcW w:w="1551" w:type="dxa"/>
            <w:shd w:val="clear" w:color="000000" w:fill="FFFFFF"/>
          </w:tcPr>
          <w:p w14:paraId="38CF9DE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1013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continue"/>
            <w:shd w:val="clear" w:color="auto" w:fill="auto"/>
            <w:vAlign w:val="center"/>
          </w:tcPr>
          <w:p w14:paraId="4551517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2B03D83D">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XML防护</w:t>
            </w:r>
          </w:p>
        </w:tc>
        <w:tc>
          <w:tcPr>
            <w:tcW w:w="1551" w:type="dxa"/>
            <w:shd w:val="clear" w:color="000000" w:fill="FFFFFF"/>
          </w:tcPr>
          <w:p w14:paraId="00A062E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0B77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vMerge w:val="continue"/>
            <w:shd w:val="clear" w:color="auto" w:fill="auto"/>
            <w:vAlign w:val="center"/>
          </w:tcPr>
          <w:p w14:paraId="0C4504E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2" w:type="dxa"/>
            <w:shd w:val="clear" w:color="000000" w:fill="FFFFFF"/>
            <w:vAlign w:val="center"/>
          </w:tcPr>
          <w:p w14:paraId="3788D8E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智能引擎检测</w:t>
            </w:r>
          </w:p>
        </w:tc>
        <w:tc>
          <w:tcPr>
            <w:tcW w:w="1551" w:type="dxa"/>
            <w:shd w:val="clear" w:color="000000" w:fill="FFFFFF"/>
          </w:tcPr>
          <w:p w14:paraId="3CB6946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r w14:paraId="589E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9" w:type="dxa"/>
            <w:shd w:val="clear" w:color="auto" w:fill="auto"/>
            <w:vAlign w:val="center"/>
          </w:tcPr>
          <w:p w14:paraId="572B1BE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服务要求</w:t>
            </w:r>
          </w:p>
        </w:tc>
        <w:tc>
          <w:tcPr>
            <w:tcW w:w="6852" w:type="dxa"/>
            <w:shd w:val="clear" w:color="000000" w:fill="FFFFFF"/>
            <w:vAlign w:val="center"/>
          </w:tcPr>
          <w:p w14:paraId="67FB2EA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部署在政务云平台边界，可根据需要对流量进行清洗分析，含运维管理服务，安排专人定期巡检和分析日志，及时向政务云平台采购方和租户通报重要安全风险事件，并协助租户按需完成策略调整与优化。</w:t>
            </w:r>
          </w:p>
        </w:tc>
        <w:tc>
          <w:tcPr>
            <w:tcW w:w="1551" w:type="dxa"/>
            <w:shd w:val="clear" w:color="000000" w:fill="FFFFFF"/>
          </w:tcPr>
          <w:p w14:paraId="1692E5D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r>
    </w:tbl>
    <w:p w14:paraId="3A007FD4">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（3）自主云安全服务要求</w:t>
      </w:r>
    </w:p>
    <w:p w14:paraId="14F5289D">
      <w:pPr>
        <w:snapToGrid w:val="0"/>
        <w:spacing w:line="400" w:lineRule="atLeast"/>
        <w:ind w:firstLine="440" w:firstLineChars="200"/>
        <w:rPr>
          <w:rFonts w:ascii="宋体" w:hAnsi="宋体"/>
          <w:color w:val="auto"/>
          <w:kern w:val="0"/>
          <w:sz w:val="22"/>
          <w:szCs w:val="22"/>
          <w:highlight w:val="none"/>
        </w:rPr>
      </w:pPr>
      <w:r>
        <w:rPr>
          <w:rFonts w:hint="eastAsia" w:ascii="宋体" w:hAnsi="宋体"/>
          <w:color w:val="auto"/>
          <w:sz w:val="22"/>
          <w:szCs w:val="22"/>
          <w:highlight w:val="none"/>
        </w:rPr>
        <w:t>以下安全服务要求提供独立虚拟安全设备，能够根据用户要求，提供自服务管理界面。</w:t>
      </w:r>
    </w:p>
    <w:p w14:paraId="06761EAB">
      <w:pPr>
        <w:snapToGrid w:val="0"/>
        <w:spacing w:line="400" w:lineRule="atLeast"/>
        <w:ind w:left="420"/>
        <w:rPr>
          <w:rFonts w:ascii="宋体" w:hAnsi="宋体"/>
          <w:color w:val="auto"/>
          <w:sz w:val="22"/>
          <w:szCs w:val="22"/>
          <w:highlight w:val="none"/>
        </w:rPr>
      </w:pPr>
      <w:r>
        <w:rPr>
          <w:rFonts w:hint="eastAsia" w:ascii="宋体" w:hAnsi="宋体"/>
          <w:color w:val="auto"/>
          <w:sz w:val="22"/>
          <w:szCs w:val="22"/>
          <w:highlight w:val="none"/>
        </w:rPr>
        <w:t>1）自主云安全产品整体服务要求</w:t>
      </w:r>
    </w:p>
    <w:tbl>
      <w:tblPr>
        <w:tblStyle w:val="46"/>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857"/>
        <w:gridCol w:w="1556"/>
      </w:tblGrid>
      <w:tr w14:paraId="2A62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29" w:type="dxa"/>
            <w:vAlign w:val="center"/>
          </w:tcPr>
          <w:p w14:paraId="6120A458">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项目</w:t>
            </w:r>
          </w:p>
        </w:tc>
        <w:tc>
          <w:tcPr>
            <w:tcW w:w="6857" w:type="dxa"/>
            <w:vAlign w:val="center"/>
          </w:tcPr>
          <w:p w14:paraId="71CCF498">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要求</w:t>
            </w:r>
          </w:p>
        </w:tc>
        <w:tc>
          <w:tcPr>
            <w:tcW w:w="1556" w:type="dxa"/>
            <w:vAlign w:val="center"/>
          </w:tcPr>
          <w:p w14:paraId="3483493A">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备注</w:t>
            </w:r>
          </w:p>
        </w:tc>
      </w:tr>
      <w:tr w14:paraId="0351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227EE2DB">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服务形态</w:t>
            </w:r>
          </w:p>
        </w:tc>
        <w:tc>
          <w:tcPr>
            <w:tcW w:w="6857" w:type="dxa"/>
            <w:vAlign w:val="center"/>
          </w:tcPr>
          <w:p w14:paraId="63BE0215">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承载于云安全资源池内，以软件形态提供云上安全防护服务</w:t>
            </w:r>
          </w:p>
        </w:tc>
        <w:tc>
          <w:tcPr>
            <w:tcW w:w="1556" w:type="dxa"/>
            <w:vAlign w:val="center"/>
          </w:tcPr>
          <w:p w14:paraId="7355BEA1">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1738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1168003E">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default" w:ascii="宋体" w:hAnsi="宋体"/>
                <w:color w:val="auto"/>
                <w:sz w:val="22"/>
                <w:szCs w:val="22"/>
                <w:highlight w:val="none"/>
              </w:rPr>
              <w:t>交付</w:t>
            </w:r>
            <w:r>
              <w:rPr>
                <w:rFonts w:hint="eastAsia" w:ascii="宋体" w:hAnsi="宋体"/>
                <w:color w:val="auto"/>
                <w:sz w:val="22"/>
                <w:szCs w:val="22"/>
                <w:highlight w:val="none"/>
              </w:rPr>
              <w:t>方式</w:t>
            </w:r>
          </w:p>
        </w:tc>
        <w:tc>
          <w:tcPr>
            <w:tcW w:w="6857" w:type="dxa"/>
            <w:vAlign w:val="center"/>
          </w:tcPr>
          <w:p w14:paraId="798D8793">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★资源池必须具备安全需求弹性扩展，安全灵活部署。按需交付。安全功能以基于不同安全需求以安全服务包的形式交付。（需提供产品功能截图）</w:t>
            </w:r>
          </w:p>
        </w:tc>
        <w:tc>
          <w:tcPr>
            <w:tcW w:w="1556" w:type="dxa"/>
            <w:vAlign w:val="center"/>
          </w:tcPr>
          <w:p w14:paraId="655F628C">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403C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14:paraId="42BA8312">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角色授权及使用方式</w:t>
            </w:r>
          </w:p>
        </w:tc>
        <w:tc>
          <w:tcPr>
            <w:tcW w:w="6857" w:type="dxa"/>
            <w:vAlign w:val="center"/>
          </w:tcPr>
          <w:p w14:paraId="43CE8467">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三权分立安全原则，可实现虚拟防火墙、虚拟IPS、虚拟化web应用防火墙、网页防篡改、云堡垒机、云数据库审计、云日志审计、云主机防御（东西向流量隔离、防病毒）等所有安全产品的角色统一授权，授权粒度精细到每一个安全产品的每一个角色，同时可以给用户批量授权，如一次性给用户A授权堡垒机的运维管理员角色，给用户B授权堡垒机的审计管理员角色（须提供相关截图证明）</w:t>
            </w:r>
          </w:p>
        </w:tc>
        <w:tc>
          <w:tcPr>
            <w:tcW w:w="1556" w:type="dxa"/>
            <w:vAlign w:val="center"/>
          </w:tcPr>
          <w:p w14:paraId="400FDB12">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03EA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14:paraId="73798166">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7" w:type="dxa"/>
            <w:vAlign w:val="center"/>
          </w:tcPr>
          <w:p w14:paraId="60105E6F">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用户认证统一，被授权的用户可以通过登录到云安全管理平台单点登录到各个安全产品，包括虚拟防火墙、虚拟IPS、虚拟化web应用防火墙、网页防篡改、云堡垒机、云数据库审计、云日志审计、云主机防御（东西向流量隔离、防病毒）等所有安全产品。（须提供相关截图证明）</w:t>
            </w:r>
          </w:p>
        </w:tc>
        <w:tc>
          <w:tcPr>
            <w:tcW w:w="1556" w:type="dxa"/>
            <w:vAlign w:val="center"/>
          </w:tcPr>
          <w:p w14:paraId="1AC3A3AD">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1316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62BE0CE6">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资产管理</w:t>
            </w:r>
          </w:p>
        </w:tc>
        <w:tc>
          <w:tcPr>
            <w:tcW w:w="6857" w:type="dxa"/>
            <w:vAlign w:val="center"/>
          </w:tcPr>
          <w:p w14:paraId="0C16786E">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支持通过管理平台统一添加资产自动同步到相关安全产品，添加主机资产自动同步到堡垒机、主机扫描，添加网站资产自动同步到网站扫务等，无需到不同的安全产品模块逐一添加 。</w:t>
            </w:r>
          </w:p>
        </w:tc>
        <w:tc>
          <w:tcPr>
            <w:tcW w:w="1556" w:type="dxa"/>
            <w:vAlign w:val="center"/>
          </w:tcPr>
          <w:p w14:paraId="391C1133">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1F40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16A80BB8">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运维态势</w:t>
            </w:r>
          </w:p>
        </w:tc>
        <w:tc>
          <w:tcPr>
            <w:tcW w:w="6857" w:type="dxa"/>
            <w:vAlign w:val="center"/>
          </w:tcPr>
          <w:p w14:paraId="75DBC69D">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管理员通过可视化大屏获取整个安全资源池的物理节点总数量和物理节点在线／离线数量，虚拟机总数量和虚拟机在线／离线数量信息，且包含安全资源池总CPU、内存、磁盘使用率，CPU、内存、磁盘占用趋势，网络总流入流出速率趋势等信息。</w:t>
            </w:r>
          </w:p>
        </w:tc>
        <w:tc>
          <w:tcPr>
            <w:tcW w:w="1556" w:type="dxa"/>
            <w:vAlign w:val="center"/>
          </w:tcPr>
          <w:p w14:paraId="059E21FD">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7F25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6127B805">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许可管理</w:t>
            </w:r>
          </w:p>
        </w:tc>
        <w:tc>
          <w:tcPr>
            <w:tcW w:w="6857" w:type="dxa"/>
            <w:vAlign w:val="center"/>
          </w:tcPr>
          <w:p w14:paraId="21FF1995">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许可自动化导入激活安全产品，云安全管理平台会根据开通安全产品的规格、数量、时间周期等信息自动导入许可到安全产品，实现安全产品自动化激活，包括虚拟防火墙、虚拟IPS、虚拟化web应用防火墙、网页防篡改、云堡垒机、云数据库审计、云日志审计、云主机防御（东西向流量隔离、防病毒）等所有安全产品许可的自动化导入激活。</w:t>
            </w:r>
          </w:p>
        </w:tc>
        <w:tc>
          <w:tcPr>
            <w:tcW w:w="1556" w:type="dxa"/>
            <w:vAlign w:val="center"/>
          </w:tcPr>
          <w:p w14:paraId="36787CF0">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382E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14:paraId="1FA9A36F">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产品</w:t>
            </w:r>
            <w:r>
              <w:rPr>
                <w:rFonts w:hint="default" w:ascii="宋体" w:hAnsi="宋体"/>
                <w:color w:val="auto"/>
                <w:sz w:val="22"/>
                <w:szCs w:val="22"/>
                <w:highlight w:val="none"/>
              </w:rPr>
              <w:t>资质</w:t>
            </w:r>
          </w:p>
        </w:tc>
        <w:tc>
          <w:tcPr>
            <w:tcW w:w="6857" w:type="dxa"/>
            <w:vAlign w:val="center"/>
          </w:tcPr>
          <w:p w14:paraId="09FA3280">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★要求安全管理平台具备CSA云安全star-cstr证书（提供证书扫描件）</w:t>
            </w:r>
          </w:p>
        </w:tc>
        <w:tc>
          <w:tcPr>
            <w:tcW w:w="1556" w:type="dxa"/>
            <w:vAlign w:val="center"/>
          </w:tcPr>
          <w:p w14:paraId="15CC260A">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2070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14:paraId="1A44089A">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技术支撑</w:t>
            </w:r>
          </w:p>
        </w:tc>
        <w:tc>
          <w:tcPr>
            <w:tcW w:w="6857" w:type="dxa"/>
            <w:vAlign w:val="center"/>
          </w:tcPr>
          <w:p w14:paraId="797AC209">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★提供原厂商常驻浙江省内不少于</w:t>
            </w:r>
            <w:r>
              <w:rPr>
                <w:rFonts w:hint="default" w:ascii="宋体" w:hAnsi="宋体"/>
                <w:color w:val="auto"/>
                <w:sz w:val="22"/>
                <w:szCs w:val="22"/>
                <w:highlight w:val="none"/>
              </w:rPr>
              <w:t>5个CISP-CSE云安全工程师</w:t>
            </w:r>
            <w:r>
              <w:rPr>
                <w:rFonts w:hint="eastAsia" w:ascii="宋体" w:hAnsi="宋体"/>
                <w:color w:val="auto"/>
                <w:sz w:val="22"/>
                <w:szCs w:val="22"/>
                <w:highlight w:val="none"/>
              </w:rPr>
              <w:t>（须提供在本单位2024年1月1日至今任意一月缴费情况（个人参保证明以已到账为准、单位参保证明以养老保险参保为准）的社会险参保证明），</w:t>
            </w:r>
            <w:r>
              <w:rPr>
                <w:rFonts w:hint="default" w:ascii="宋体" w:hAnsi="宋体"/>
                <w:color w:val="auto"/>
                <w:sz w:val="22"/>
                <w:szCs w:val="22"/>
                <w:highlight w:val="none"/>
              </w:rPr>
              <w:t>以便提供快速的售后服务</w:t>
            </w:r>
          </w:p>
        </w:tc>
        <w:tc>
          <w:tcPr>
            <w:tcW w:w="1556" w:type="dxa"/>
            <w:vAlign w:val="center"/>
          </w:tcPr>
          <w:p w14:paraId="1B778D70">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3B92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14:paraId="2F826218">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7" w:type="dxa"/>
            <w:vAlign w:val="center"/>
          </w:tcPr>
          <w:p w14:paraId="53A77C0A">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★提供原厂商常驻浙江省内不少于</w:t>
            </w:r>
            <w:r>
              <w:rPr>
                <w:rFonts w:hint="default" w:ascii="宋体" w:hAnsi="宋体"/>
                <w:color w:val="auto"/>
                <w:sz w:val="22"/>
                <w:szCs w:val="22"/>
                <w:highlight w:val="none"/>
              </w:rPr>
              <w:t>5个CISP-BDSA（大数据安全分析师）工程师</w:t>
            </w:r>
            <w:r>
              <w:rPr>
                <w:rFonts w:hint="eastAsia" w:ascii="宋体" w:hAnsi="宋体"/>
                <w:color w:val="auto"/>
                <w:sz w:val="22"/>
                <w:szCs w:val="22"/>
                <w:highlight w:val="none"/>
              </w:rPr>
              <w:t>（须提供在本单位2024年1月1日至今任意一月缴费情况（个人参保证明以已到账为准、单位参保证明以养老保险参保为准）的社会险参保证明）</w:t>
            </w:r>
            <w:r>
              <w:rPr>
                <w:rFonts w:hint="default" w:ascii="宋体" w:hAnsi="宋体"/>
                <w:color w:val="auto"/>
                <w:sz w:val="22"/>
                <w:szCs w:val="22"/>
                <w:highlight w:val="none"/>
              </w:rPr>
              <w:t>，以便提供快速的售后服务</w:t>
            </w:r>
          </w:p>
        </w:tc>
        <w:tc>
          <w:tcPr>
            <w:tcW w:w="1556" w:type="dxa"/>
            <w:vAlign w:val="center"/>
          </w:tcPr>
          <w:p w14:paraId="1AC0122D">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bl>
    <w:p w14:paraId="21424699">
      <w:pPr>
        <w:snapToGrid w:val="0"/>
        <w:spacing w:line="400" w:lineRule="atLeast"/>
        <w:ind w:left="420"/>
        <w:rPr>
          <w:rFonts w:ascii="宋体" w:hAnsi="宋体"/>
          <w:color w:val="auto"/>
          <w:sz w:val="22"/>
          <w:szCs w:val="22"/>
          <w:highlight w:val="none"/>
        </w:rPr>
      </w:pPr>
      <w:r>
        <w:rPr>
          <w:rFonts w:hint="eastAsia" w:ascii="宋体" w:hAnsi="宋体"/>
          <w:color w:val="auto"/>
          <w:sz w:val="22"/>
          <w:szCs w:val="22"/>
          <w:highlight w:val="none"/>
        </w:rPr>
        <w:t>2）云</w:t>
      </w:r>
      <w:r>
        <w:rPr>
          <w:rFonts w:ascii="宋体" w:hAnsi="宋体"/>
          <w:color w:val="auto"/>
          <w:sz w:val="22"/>
          <w:szCs w:val="22"/>
          <w:highlight w:val="none"/>
        </w:rPr>
        <w:t>W</w:t>
      </w:r>
      <w:r>
        <w:rPr>
          <w:rFonts w:hint="eastAsia" w:ascii="宋体" w:hAnsi="宋体"/>
          <w:color w:val="auto"/>
          <w:sz w:val="22"/>
          <w:szCs w:val="22"/>
          <w:highlight w:val="none"/>
        </w:rPr>
        <w:t>eb应用防火墙服务要求</w:t>
      </w:r>
    </w:p>
    <w:tbl>
      <w:tblPr>
        <w:tblStyle w:val="46"/>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856"/>
        <w:gridCol w:w="1558"/>
      </w:tblGrid>
      <w:tr w14:paraId="7DFC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28" w:type="dxa"/>
            <w:vAlign w:val="center"/>
          </w:tcPr>
          <w:p w14:paraId="2333F463">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项目</w:t>
            </w:r>
          </w:p>
        </w:tc>
        <w:tc>
          <w:tcPr>
            <w:tcW w:w="6856" w:type="dxa"/>
            <w:vAlign w:val="center"/>
          </w:tcPr>
          <w:p w14:paraId="1C36C532">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要求</w:t>
            </w:r>
          </w:p>
        </w:tc>
        <w:tc>
          <w:tcPr>
            <w:tcW w:w="1558" w:type="dxa"/>
            <w:vAlign w:val="center"/>
          </w:tcPr>
          <w:p w14:paraId="50075589">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2151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center"/>
          </w:tcPr>
          <w:p w14:paraId="38B2AC20">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服务形态</w:t>
            </w:r>
          </w:p>
        </w:tc>
        <w:tc>
          <w:tcPr>
            <w:tcW w:w="6856" w:type="dxa"/>
            <w:vAlign w:val="center"/>
          </w:tcPr>
          <w:p w14:paraId="121FB062">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承载于云安全资源池内，以软件形态提供云上安全防护服务。</w:t>
            </w:r>
          </w:p>
        </w:tc>
        <w:tc>
          <w:tcPr>
            <w:tcW w:w="1558" w:type="dxa"/>
            <w:vAlign w:val="center"/>
          </w:tcPr>
          <w:p w14:paraId="252C9C93">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1B1D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center"/>
          </w:tcPr>
          <w:p w14:paraId="7D935CBE">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使用方式</w:t>
            </w:r>
          </w:p>
        </w:tc>
        <w:tc>
          <w:tcPr>
            <w:tcW w:w="6856" w:type="dxa"/>
            <w:vAlign w:val="center"/>
          </w:tcPr>
          <w:p w14:paraId="58711204">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云租户通过登录云安全管理平台，单点登录到WEB应用防火墙服务模块，对网站进行安全防护配置管理</w:t>
            </w:r>
          </w:p>
        </w:tc>
        <w:tc>
          <w:tcPr>
            <w:tcW w:w="1558" w:type="dxa"/>
            <w:vAlign w:val="center"/>
          </w:tcPr>
          <w:p w14:paraId="6D2266E8">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1C94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restart"/>
            <w:vAlign w:val="center"/>
          </w:tcPr>
          <w:p w14:paraId="58D6DF8B">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主要功能要求</w:t>
            </w:r>
          </w:p>
        </w:tc>
        <w:tc>
          <w:tcPr>
            <w:tcW w:w="6856" w:type="dxa"/>
            <w:vAlign w:val="center"/>
          </w:tcPr>
          <w:p w14:paraId="0311F981">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支持对SQL注入、XSS、命令注入、webshell等OWAP10的攻击防护</w:t>
            </w:r>
          </w:p>
        </w:tc>
        <w:tc>
          <w:tcPr>
            <w:tcW w:w="1558" w:type="dxa"/>
            <w:vAlign w:val="center"/>
          </w:tcPr>
          <w:p w14:paraId="0C42987C">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0A9C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vAlign w:val="center"/>
          </w:tcPr>
          <w:p w14:paraId="45830388">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6" w:type="dxa"/>
            <w:vAlign w:val="center"/>
          </w:tcPr>
          <w:p w14:paraId="342B915B">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支持对服务器返回的内容包括身份证信息、银行卡号、手机号等敏感信息进行隐藏</w:t>
            </w:r>
          </w:p>
        </w:tc>
        <w:tc>
          <w:tcPr>
            <w:tcW w:w="1558" w:type="dxa"/>
            <w:vAlign w:val="center"/>
          </w:tcPr>
          <w:p w14:paraId="3C70E732">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196F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vAlign w:val="center"/>
          </w:tcPr>
          <w:p w14:paraId="0504F111">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6" w:type="dxa"/>
            <w:vAlign w:val="center"/>
          </w:tcPr>
          <w:p w14:paraId="2EEBF0DF">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支持网站自学习建模功能，能通过自学习形成网站URL树、生成安全防护策略、发现参数的名称、类型、匹配频率；可配置匹配到自学习特征后放行，匹配不到自学习特征直接阻断请求；</w:t>
            </w:r>
          </w:p>
        </w:tc>
        <w:tc>
          <w:tcPr>
            <w:tcW w:w="1558" w:type="dxa"/>
            <w:vAlign w:val="center"/>
          </w:tcPr>
          <w:p w14:paraId="28A91882">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630C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vAlign w:val="center"/>
          </w:tcPr>
          <w:p w14:paraId="5154D655">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6" w:type="dxa"/>
            <w:vAlign w:val="center"/>
          </w:tcPr>
          <w:p w14:paraId="2730700F">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支持对访问流程的校验</w:t>
            </w:r>
          </w:p>
          <w:p w14:paraId="3149E9D0">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可配置页面合规页面流程</w:t>
            </w:r>
          </w:p>
          <w:p w14:paraId="4106ED35">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可配置页面思考时间</w:t>
            </w:r>
          </w:p>
          <w:p w14:paraId="066481FA">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违反合规的访问直接被拦截并产生告警日志（需提供第三方测评机构（公安部三所、国家保密局、ISCCC其中一家）的检测报告）</w:t>
            </w:r>
          </w:p>
        </w:tc>
        <w:tc>
          <w:tcPr>
            <w:tcW w:w="1558" w:type="dxa"/>
            <w:vAlign w:val="center"/>
          </w:tcPr>
          <w:p w14:paraId="65B0E7ED">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31BA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vAlign w:val="center"/>
          </w:tcPr>
          <w:p w14:paraId="56BC9FD8">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6" w:type="dxa"/>
            <w:vAlign w:val="center"/>
          </w:tcPr>
          <w:p w14:paraId="07F32076">
            <w:pPr>
              <w:keepNext w:val="0"/>
              <w:keepLines w:val="0"/>
              <w:widowControl w:val="0"/>
              <w:suppressLineNumbers w:val="0"/>
              <w:spacing w:before="0" w:beforeAutospacing="0" w:after="0" w:afterAutospacing="0" w:line="360" w:lineRule="atLeast"/>
              <w:ind w:left="0" w:right="0"/>
              <w:jc w:val="both"/>
              <w:rPr>
                <w:rFonts w:hint="default" w:ascii="宋体" w:hAnsi="宋体" w:cs="宋体"/>
                <w:color w:val="auto"/>
                <w:sz w:val="22"/>
                <w:szCs w:val="22"/>
                <w:highlight w:val="none"/>
              </w:rPr>
            </w:pPr>
            <w:r>
              <w:rPr>
                <w:rFonts w:hint="eastAsia" w:ascii="宋体" w:hAnsi="宋体" w:eastAsia="宋体" w:cs="宋体"/>
                <w:color w:val="auto"/>
                <w:kern w:val="2"/>
                <w:sz w:val="21"/>
                <w:szCs w:val="21"/>
                <w:highlight w:val="none"/>
                <w:lang w:val="en-US" w:eastAsia="zh-CN" w:bidi="ar"/>
                <w:woUserID w:val="1"/>
              </w:rPr>
              <w:t>★</w:t>
            </w:r>
            <w:r>
              <w:rPr>
                <w:rFonts w:hint="eastAsia" w:ascii="宋体" w:hAnsi="宋体" w:cs="宋体"/>
                <w:color w:val="auto"/>
                <w:sz w:val="22"/>
                <w:szCs w:val="22"/>
                <w:highlight w:val="none"/>
              </w:rPr>
              <w:t>按地理区域对攻击次数等进行统计，通过地图展示，并在地图上可以指定某一地理区域进行访问控制，阻断此区域 IP的访问</w:t>
            </w:r>
          </w:p>
          <w:p w14:paraId="34D5DE8D">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（需提供第三方测评机构（公安部三所、国家保密局、ISCCC其中一家）的检测报告）</w:t>
            </w:r>
          </w:p>
        </w:tc>
        <w:tc>
          <w:tcPr>
            <w:tcW w:w="1558" w:type="dxa"/>
            <w:vAlign w:val="center"/>
          </w:tcPr>
          <w:p w14:paraId="603770EF">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2DDA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vAlign w:val="center"/>
          </w:tcPr>
          <w:p w14:paraId="38D556B0">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6" w:type="dxa"/>
            <w:vAlign w:val="center"/>
          </w:tcPr>
          <w:p w14:paraId="311D666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支持CC攻击防护：</w:t>
            </w:r>
          </w:p>
          <w:p w14:paraId="116273D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支持多种算法检测方法，对指定URL访问速率、对指定URL访问集中度检测</w:t>
            </w:r>
          </w:p>
          <w:p w14:paraId="6E4E392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检测对象支持IP或IP+URL算法；</w:t>
            </w:r>
          </w:p>
          <w:p w14:paraId="30CC276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支持挑战模式，客户端访问时WAF发起302重定向与js挑战验证是真实客户还是CC工具发起的访问</w:t>
            </w:r>
          </w:p>
          <w:p w14:paraId="7A57E44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sz w:val="22"/>
                <w:szCs w:val="22"/>
                <w:highlight w:val="none"/>
              </w:rPr>
              <w:t>支持学习业务流量模型，在业务流量异常时开启CC防护，并支持启动配置阈值（需提供第三方测评机构（公安部三所、国家保密局、ISCCC其中一家）的检测报告）</w:t>
            </w:r>
          </w:p>
        </w:tc>
        <w:tc>
          <w:tcPr>
            <w:tcW w:w="1558" w:type="dxa"/>
            <w:vAlign w:val="center"/>
          </w:tcPr>
          <w:p w14:paraId="5FC8A433">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6DB0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restart"/>
            <w:vAlign w:val="center"/>
          </w:tcPr>
          <w:p w14:paraId="2899A8CD">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规格</w:t>
            </w:r>
          </w:p>
        </w:tc>
        <w:tc>
          <w:tcPr>
            <w:tcW w:w="6856" w:type="dxa"/>
            <w:vAlign w:val="center"/>
          </w:tcPr>
          <w:p w14:paraId="6ED1A2C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保护站点授权2个，防护流量20Mbps</w:t>
            </w:r>
          </w:p>
        </w:tc>
        <w:tc>
          <w:tcPr>
            <w:tcW w:w="1558" w:type="dxa"/>
            <w:vAlign w:val="center"/>
          </w:tcPr>
          <w:p w14:paraId="76C54ED4">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0265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vAlign w:val="center"/>
          </w:tcPr>
          <w:p w14:paraId="345EDBB2">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6" w:type="dxa"/>
            <w:vAlign w:val="center"/>
          </w:tcPr>
          <w:p w14:paraId="583F59DE">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kern w:val="0"/>
                <w:sz w:val="22"/>
                <w:szCs w:val="22"/>
                <w:highlight w:val="none"/>
              </w:rPr>
              <w:t>保护站点授权4个，防护流量50Mbps</w:t>
            </w:r>
          </w:p>
        </w:tc>
        <w:tc>
          <w:tcPr>
            <w:tcW w:w="1558" w:type="dxa"/>
            <w:vAlign w:val="center"/>
          </w:tcPr>
          <w:p w14:paraId="40D4A3AB">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34CC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vAlign w:val="center"/>
          </w:tcPr>
          <w:p w14:paraId="10D70358">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6" w:type="dxa"/>
            <w:vAlign w:val="center"/>
          </w:tcPr>
          <w:p w14:paraId="30A2BB10">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kern w:val="0"/>
                <w:sz w:val="22"/>
                <w:szCs w:val="22"/>
                <w:highlight w:val="none"/>
              </w:rPr>
              <w:t>保护站点授权8个，防护流量100Mbps</w:t>
            </w:r>
          </w:p>
        </w:tc>
        <w:tc>
          <w:tcPr>
            <w:tcW w:w="1558" w:type="dxa"/>
            <w:vAlign w:val="center"/>
          </w:tcPr>
          <w:p w14:paraId="3FF069EA">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0D62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28" w:type="dxa"/>
            <w:vMerge w:val="continue"/>
            <w:vAlign w:val="center"/>
          </w:tcPr>
          <w:p w14:paraId="392C8148">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6" w:type="dxa"/>
            <w:vAlign w:val="center"/>
          </w:tcPr>
          <w:p w14:paraId="4DC7C0DC">
            <w:pPr>
              <w:keepNext w:val="0"/>
              <w:keepLines w:val="0"/>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保护站定授权16个，防护流量200Mbps</w:t>
            </w:r>
          </w:p>
        </w:tc>
        <w:tc>
          <w:tcPr>
            <w:tcW w:w="1558" w:type="dxa"/>
            <w:vAlign w:val="center"/>
          </w:tcPr>
          <w:p w14:paraId="1BD85FCC">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536B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vAlign w:val="center"/>
          </w:tcPr>
          <w:p w14:paraId="2BE5D67D">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6" w:type="dxa"/>
            <w:vAlign w:val="center"/>
          </w:tcPr>
          <w:p w14:paraId="1D4C3870">
            <w:pPr>
              <w:keepNext w:val="0"/>
              <w:keepLines w:val="0"/>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保护站定授权32个，防护流量1Gbps</w:t>
            </w:r>
          </w:p>
        </w:tc>
        <w:tc>
          <w:tcPr>
            <w:tcW w:w="1558" w:type="dxa"/>
            <w:vAlign w:val="center"/>
          </w:tcPr>
          <w:p w14:paraId="38C6E16E">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bl>
    <w:p w14:paraId="4697FA96">
      <w:pPr>
        <w:snapToGrid w:val="0"/>
        <w:spacing w:line="400" w:lineRule="atLeast"/>
        <w:ind w:left="420"/>
        <w:rPr>
          <w:rFonts w:ascii="宋体" w:hAnsi="宋体"/>
          <w:color w:val="auto"/>
          <w:sz w:val="22"/>
          <w:szCs w:val="22"/>
          <w:highlight w:val="none"/>
        </w:rPr>
      </w:pPr>
      <w:r>
        <w:rPr>
          <w:rFonts w:hint="eastAsia" w:ascii="宋体" w:hAnsi="宋体"/>
          <w:color w:val="auto"/>
          <w:sz w:val="22"/>
          <w:szCs w:val="22"/>
          <w:highlight w:val="none"/>
        </w:rPr>
        <w:t>3）SSL</w:t>
      </w:r>
      <w:r>
        <w:rPr>
          <w:rFonts w:ascii="宋体" w:hAnsi="宋体"/>
          <w:color w:val="auto"/>
          <w:sz w:val="22"/>
          <w:szCs w:val="22"/>
          <w:highlight w:val="none"/>
        </w:rPr>
        <w:t xml:space="preserve"> VPN</w:t>
      </w:r>
      <w:r>
        <w:rPr>
          <w:rFonts w:hint="eastAsia" w:ascii="宋体" w:hAnsi="宋体"/>
          <w:color w:val="auto"/>
          <w:sz w:val="22"/>
          <w:szCs w:val="22"/>
          <w:highlight w:val="none"/>
        </w:rPr>
        <w:t>服务要求</w:t>
      </w:r>
    </w:p>
    <w:tbl>
      <w:tblPr>
        <w:tblStyle w:val="46"/>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6849"/>
        <w:gridCol w:w="1546"/>
      </w:tblGrid>
      <w:tr w14:paraId="388C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47" w:type="dxa"/>
            <w:vAlign w:val="center"/>
          </w:tcPr>
          <w:p w14:paraId="68A88A25">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项目</w:t>
            </w:r>
          </w:p>
        </w:tc>
        <w:tc>
          <w:tcPr>
            <w:tcW w:w="6849" w:type="dxa"/>
            <w:vAlign w:val="center"/>
          </w:tcPr>
          <w:p w14:paraId="1174BD28">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要求</w:t>
            </w:r>
          </w:p>
        </w:tc>
        <w:tc>
          <w:tcPr>
            <w:tcW w:w="1546" w:type="dxa"/>
            <w:vAlign w:val="center"/>
          </w:tcPr>
          <w:p w14:paraId="47EC6448">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备注</w:t>
            </w:r>
          </w:p>
        </w:tc>
      </w:tr>
      <w:tr w14:paraId="7162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14:paraId="037480F2">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服务形态</w:t>
            </w:r>
          </w:p>
        </w:tc>
        <w:tc>
          <w:tcPr>
            <w:tcW w:w="6849" w:type="dxa"/>
            <w:vAlign w:val="center"/>
          </w:tcPr>
          <w:p w14:paraId="31DBBE3C">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承载于云安全资源池内，以软件形态提供云上安全防护服务</w:t>
            </w:r>
          </w:p>
        </w:tc>
        <w:tc>
          <w:tcPr>
            <w:tcW w:w="1546" w:type="dxa"/>
            <w:vAlign w:val="center"/>
          </w:tcPr>
          <w:p w14:paraId="0016F365">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6E1A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Align w:val="center"/>
          </w:tcPr>
          <w:p w14:paraId="0A073709">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使用方式</w:t>
            </w:r>
          </w:p>
        </w:tc>
        <w:tc>
          <w:tcPr>
            <w:tcW w:w="6849" w:type="dxa"/>
            <w:vAlign w:val="center"/>
          </w:tcPr>
          <w:p w14:paraId="06A90195">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云租户通过登录云安全管理平台，单点登录到</w:t>
            </w:r>
            <w:r>
              <w:rPr>
                <w:rFonts w:hint="default" w:ascii="宋体" w:hAnsi="宋体"/>
                <w:color w:val="auto"/>
                <w:sz w:val="22"/>
                <w:szCs w:val="22"/>
                <w:highlight w:val="none"/>
              </w:rPr>
              <w:t>SSL VPN</w:t>
            </w:r>
            <w:r>
              <w:rPr>
                <w:rFonts w:hint="eastAsia" w:ascii="宋体" w:hAnsi="宋体"/>
                <w:color w:val="auto"/>
                <w:sz w:val="22"/>
                <w:szCs w:val="22"/>
                <w:highlight w:val="none"/>
              </w:rPr>
              <w:t>服务模块，对S</w:t>
            </w:r>
            <w:r>
              <w:rPr>
                <w:rFonts w:hint="default" w:ascii="宋体" w:hAnsi="宋体"/>
                <w:color w:val="auto"/>
                <w:sz w:val="22"/>
                <w:szCs w:val="22"/>
                <w:highlight w:val="none"/>
              </w:rPr>
              <w:t xml:space="preserve">SL </w:t>
            </w:r>
            <w:r>
              <w:rPr>
                <w:rFonts w:hint="eastAsia" w:ascii="宋体" w:hAnsi="宋体"/>
                <w:color w:val="auto"/>
                <w:sz w:val="22"/>
                <w:szCs w:val="22"/>
                <w:highlight w:val="none"/>
              </w:rPr>
              <w:t>V</w:t>
            </w:r>
            <w:r>
              <w:rPr>
                <w:rFonts w:hint="default" w:ascii="宋体" w:hAnsi="宋体"/>
                <w:color w:val="auto"/>
                <w:sz w:val="22"/>
                <w:szCs w:val="22"/>
                <w:highlight w:val="none"/>
              </w:rPr>
              <w:t>PN</w:t>
            </w:r>
            <w:r>
              <w:rPr>
                <w:rFonts w:hint="eastAsia" w:ascii="宋体" w:hAnsi="宋体"/>
                <w:color w:val="auto"/>
                <w:sz w:val="22"/>
                <w:szCs w:val="22"/>
                <w:highlight w:val="none"/>
              </w:rPr>
              <w:t>配置管理</w:t>
            </w:r>
          </w:p>
        </w:tc>
        <w:tc>
          <w:tcPr>
            <w:tcW w:w="1546" w:type="dxa"/>
            <w:vAlign w:val="center"/>
          </w:tcPr>
          <w:p w14:paraId="3CE2F877">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5F19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restart"/>
            <w:vAlign w:val="center"/>
          </w:tcPr>
          <w:p w14:paraId="23AE5367">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主要功能要求</w:t>
            </w:r>
          </w:p>
        </w:tc>
        <w:tc>
          <w:tcPr>
            <w:tcW w:w="6849" w:type="dxa"/>
            <w:vAlign w:val="center"/>
          </w:tcPr>
          <w:p w14:paraId="665C7440">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支持site to site 和远程接入VPN方式,支持主模式，野蛮模式，野蛮模式支持FQDN、USER-FQDN和通配符设置</w:t>
            </w:r>
          </w:p>
        </w:tc>
        <w:tc>
          <w:tcPr>
            <w:tcW w:w="1546" w:type="dxa"/>
            <w:vAlign w:val="center"/>
          </w:tcPr>
          <w:p w14:paraId="42A509C4">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0396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continue"/>
            <w:vAlign w:val="center"/>
          </w:tcPr>
          <w:p w14:paraId="694DC039">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49" w:type="dxa"/>
            <w:vAlign w:val="center"/>
          </w:tcPr>
          <w:p w14:paraId="3564C481">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支持VPN零配置上线、VPN批量下发</w:t>
            </w:r>
          </w:p>
        </w:tc>
        <w:tc>
          <w:tcPr>
            <w:tcW w:w="1546" w:type="dxa"/>
            <w:vAlign w:val="center"/>
          </w:tcPr>
          <w:p w14:paraId="73A95F75">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167E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continue"/>
            <w:vAlign w:val="center"/>
          </w:tcPr>
          <w:p w14:paraId="360ED85D">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49" w:type="dxa"/>
            <w:vAlign w:val="center"/>
          </w:tcPr>
          <w:p w14:paraId="6511624F">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支持专有SSL VPN客户端，客户端支持Windows  32位/64系统，支持开源的SSL VPN客户端系统包括IOS 安卓 linux（须提供相关截图证明）</w:t>
            </w:r>
          </w:p>
        </w:tc>
        <w:tc>
          <w:tcPr>
            <w:tcW w:w="1546" w:type="dxa"/>
            <w:vAlign w:val="center"/>
          </w:tcPr>
          <w:p w14:paraId="66FD8A56">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4B71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restart"/>
            <w:vAlign w:val="center"/>
          </w:tcPr>
          <w:p w14:paraId="75D2EAC2">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规格</w:t>
            </w:r>
          </w:p>
        </w:tc>
        <w:tc>
          <w:tcPr>
            <w:tcW w:w="6849" w:type="dxa"/>
            <w:vAlign w:val="center"/>
          </w:tcPr>
          <w:p w14:paraId="5D71961D">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2</w:t>
            </w:r>
            <w:r>
              <w:rPr>
                <w:rFonts w:hint="default" w:ascii="宋体" w:hAnsi="宋体"/>
                <w:color w:val="auto"/>
                <w:sz w:val="22"/>
                <w:szCs w:val="22"/>
                <w:highlight w:val="none"/>
              </w:rPr>
              <w:t>0</w:t>
            </w:r>
            <w:r>
              <w:rPr>
                <w:rFonts w:hint="eastAsia" w:ascii="宋体" w:hAnsi="宋体"/>
                <w:color w:val="auto"/>
                <w:sz w:val="22"/>
                <w:szCs w:val="22"/>
                <w:highlight w:val="none"/>
              </w:rPr>
              <w:t>个并发用户</w:t>
            </w:r>
          </w:p>
        </w:tc>
        <w:tc>
          <w:tcPr>
            <w:tcW w:w="1546" w:type="dxa"/>
            <w:vAlign w:val="center"/>
          </w:tcPr>
          <w:p w14:paraId="3344C475">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15C2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continue"/>
            <w:vAlign w:val="center"/>
          </w:tcPr>
          <w:p w14:paraId="5BBADA96">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49" w:type="dxa"/>
            <w:vAlign w:val="center"/>
          </w:tcPr>
          <w:p w14:paraId="33EAB042">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default" w:ascii="宋体" w:hAnsi="宋体"/>
                <w:color w:val="auto"/>
                <w:sz w:val="22"/>
                <w:szCs w:val="22"/>
                <w:highlight w:val="none"/>
              </w:rPr>
              <w:t>50</w:t>
            </w:r>
            <w:r>
              <w:rPr>
                <w:rFonts w:hint="eastAsia" w:ascii="宋体" w:hAnsi="宋体"/>
                <w:color w:val="auto"/>
                <w:sz w:val="22"/>
                <w:szCs w:val="22"/>
                <w:highlight w:val="none"/>
              </w:rPr>
              <w:t>个并发用户</w:t>
            </w:r>
          </w:p>
        </w:tc>
        <w:tc>
          <w:tcPr>
            <w:tcW w:w="1546" w:type="dxa"/>
            <w:vAlign w:val="center"/>
          </w:tcPr>
          <w:p w14:paraId="6E188F99">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69E4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vMerge w:val="continue"/>
            <w:vAlign w:val="center"/>
          </w:tcPr>
          <w:p w14:paraId="7E6D8297">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49" w:type="dxa"/>
            <w:vAlign w:val="center"/>
          </w:tcPr>
          <w:p w14:paraId="0116F43B">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default" w:ascii="宋体" w:hAnsi="宋体"/>
                <w:color w:val="auto"/>
                <w:sz w:val="22"/>
                <w:szCs w:val="22"/>
                <w:highlight w:val="none"/>
              </w:rPr>
              <w:t>100</w:t>
            </w:r>
            <w:r>
              <w:rPr>
                <w:rFonts w:hint="eastAsia" w:ascii="宋体" w:hAnsi="宋体"/>
                <w:color w:val="auto"/>
                <w:sz w:val="22"/>
                <w:szCs w:val="22"/>
                <w:highlight w:val="none"/>
              </w:rPr>
              <w:t>个并发用户</w:t>
            </w:r>
          </w:p>
        </w:tc>
        <w:tc>
          <w:tcPr>
            <w:tcW w:w="1546" w:type="dxa"/>
            <w:vAlign w:val="center"/>
          </w:tcPr>
          <w:p w14:paraId="560A176B">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bl>
    <w:p w14:paraId="2123AB4A">
      <w:pPr>
        <w:snapToGrid w:val="0"/>
        <w:spacing w:line="400" w:lineRule="atLeast"/>
        <w:ind w:left="420"/>
        <w:rPr>
          <w:rFonts w:ascii="宋体" w:hAnsi="宋体"/>
          <w:color w:val="auto"/>
          <w:sz w:val="22"/>
          <w:szCs w:val="22"/>
          <w:highlight w:val="none"/>
        </w:rPr>
      </w:pPr>
      <w:r>
        <w:rPr>
          <w:rFonts w:hint="eastAsia" w:ascii="宋体" w:hAnsi="宋体"/>
          <w:color w:val="auto"/>
          <w:sz w:val="22"/>
          <w:szCs w:val="22"/>
          <w:highlight w:val="none"/>
        </w:rPr>
        <w:t>4）运维审计（云堡垒机）服务要求</w:t>
      </w:r>
    </w:p>
    <w:tbl>
      <w:tblPr>
        <w:tblStyle w:val="46"/>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6859"/>
        <w:gridCol w:w="1546"/>
      </w:tblGrid>
      <w:tr w14:paraId="545A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27" w:type="dxa"/>
            <w:vAlign w:val="center"/>
          </w:tcPr>
          <w:p w14:paraId="6BE3C895">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项目</w:t>
            </w:r>
          </w:p>
        </w:tc>
        <w:tc>
          <w:tcPr>
            <w:tcW w:w="6859" w:type="dxa"/>
            <w:vAlign w:val="center"/>
          </w:tcPr>
          <w:p w14:paraId="2A84E9E5">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要求</w:t>
            </w:r>
          </w:p>
        </w:tc>
        <w:tc>
          <w:tcPr>
            <w:tcW w:w="1546" w:type="dxa"/>
            <w:vAlign w:val="center"/>
          </w:tcPr>
          <w:p w14:paraId="0C35DB1C">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1BE1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Align w:val="center"/>
          </w:tcPr>
          <w:p w14:paraId="06CDFD88">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服务形态</w:t>
            </w:r>
          </w:p>
        </w:tc>
        <w:tc>
          <w:tcPr>
            <w:tcW w:w="6859" w:type="dxa"/>
            <w:vAlign w:val="center"/>
          </w:tcPr>
          <w:p w14:paraId="7407E085">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承载于云安全资源池内，以软件形态提供云上安全运维审计服务。</w:t>
            </w:r>
          </w:p>
        </w:tc>
        <w:tc>
          <w:tcPr>
            <w:tcW w:w="1546" w:type="dxa"/>
            <w:vAlign w:val="center"/>
          </w:tcPr>
          <w:p w14:paraId="4E646E06">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0763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Align w:val="center"/>
          </w:tcPr>
          <w:p w14:paraId="1C6D62E0">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使用方式</w:t>
            </w:r>
          </w:p>
        </w:tc>
        <w:tc>
          <w:tcPr>
            <w:tcW w:w="6859" w:type="dxa"/>
            <w:vAlign w:val="center"/>
          </w:tcPr>
          <w:p w14:paraId="5BF7E57B">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云租户通过登录云安全管理平台，单点登录到运维审计服务模块，对云主机、业务系统进行统一运维管理</w:t>
            </w:r>
          </w:p>
        </w:tc>
        <w:tc>
          <w:tcPr>
            <w:tcW w:w="1546" w:type="dxa"/>
            <w:vAlign w:val="center"/>
          </w:tcPr>
          <w:p w14:paraId="3A3ECAA9">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795A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restart"/>
            <w:vAlign w:val="center"/>
          </w:tcPr>
          <w:p w14:paraId="7C92C1B7">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主要功能要求</w:t>
            </w:r>
          </w:p>
        </w:tc>
        <w:tc>
          <w:tcPr>
            <w:tcW w:w="6859" w:type="dxa"/>
            <w:vAlign w:val="center"/>
          </w:tcPr>
          <w:p w14:paraId="62267FCB">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olor w:val="auto"/>
                <w:sz w:val="22"/>
                <w:szCs w:val="22"/>
                <w:highlight w:val="none"/>
                <w:woUserID w:val="1"/>
              </w:rPr>
              <w:t>★</w:t>
            </w:r>
            <w:r>
              <w:rPr>
                <w:rFonts w:hint="eastAsia" w:ascii="宋体" w:hAnsi="宋体" w:cs="宋体"/>
                <w:color w:val="auto"/>
                <w:sz w:val="22"/>
                <w:szCs w:val="22"/>
                <w:highlight w:val="none"/>
              </w:rPr>
              <w:t>支持oracle、mysql、sqlserver数据库协议代理运维，可直接调用本地windows系统的数据库客户端工具，支持自动登录、无需应用发布前置机。（须提供相关截图证明）</w:t>
            </w:r>
          </w:p>
        </w:tc>
        <w:tc>
          <w:tcPr>
            <w:tcW w:w="1546" w:type="dxa"/>
            <w:vAlign w:val="center"/>
          </w:tcPr>
          <w:p w14:paraId="7A7A4812">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0DFF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3A509372">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9" w:type="dxa"/>
            <w:vAlign w:val="center"/>
          </w:tcPr>
          <w:p w14:paraId="4887EE93">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支持自动收集设备IP、运维协议、端口号、账号、密码、与用户的权限关系，甚至可自动完成授权（须提供相关截图证明）</w:t>
            </w:r>
          </w:p>
        </w:tc>
        <w:tc>
          <w:tcPr>
            <w:tcW w:w="1546" w:type="dxa"/>
            <w:vAlign w:val="center"/>
          </w:tcPr>
          <w:p w14:paraId="19D5B61A">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289F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7F64DD4D">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9" w:type="dxa"/>
            <w:vAlign w:val="center"/>
          </w:tcPr>
          <w:p w14:paraId="1AAEC6F3">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olor w:val="auto"/>
                <w:sz w:val="22"/>
                <w:szCs w:val="22"/>
                <w:highlight w:val="none"/>
                <w:woUserID w:val="1"/>
              </w:rPr>
              <w:t>★</w:t>
            </w:r>
            <w:r>
              <w:rPr>
                <w:rFonts w:hint="eastAsia" w:ascii="宋体" w:hAnsi="宋体" w:cs="宋体"/>
                <w:color w:val="auto"/>
                <w:sz w:val="22"/>
                <w:szCs w:val="22"/>
                <w:highlight w:val="none"/>
              </w:rPr>
              <w:t>导出的设备信息文件加密存储，解密时须由2个管理员同时解密才能查看到设备信息文件内容（须提供相关截图证明）</w:t>
            </w:r>
          </w:p>
        </w:tc>
        <w:tc>
          <w:tcPr>
            <w:tcW w:w="1546" w:type="dxa"/>
            <w:vAlign w:val="center"/>
          </w:tcPr>
          <w:p w14:paraId="275480F3">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2F27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55847C0E">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9" w:type="dxa"/>
            <w:vAlign w:val="center"/>
          </w:tcPr>
          <w:p w14:paraId="4958248B">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在不依赖于应用发布的条件下，支持通过堡垒机页面直接调用本地windows的plsql、sqlplus、sqlwb、ssms、mysql.exe等数据库客户端工具（须提供相关截图证明）</w:t>
            </w:r>
          </w:p>
        </w:tc>
        <w:tc>
          <w:tcPr>
            <w:tcW w:w="1546" w:type="dxa"/>
            <w:vAlign w:val="center"/>
          </w:tcPr>
          <w:p w14:paraId="41FBDAF8">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2567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50FD4523">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9" w:type="dxa"/>
            <w:vAlign w:val="center"/>
          </w:tcPr>
          <w:p w14:paraId="421C12EC">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olor w:val="auto"/>
                <w:sz w:val="22"/>
                <w:szCs w:val="22"/>
                <w:highlight w:val="none"/>
              </w:rPr>
              <w:t>★</w:t>
            </w:r>
            <w:r>
              <w:rPr>
                <w:rFonts w:hint="eastAsia" w:ascii="宋体" w:hAnsi="宋体" w:cs="宋体"/>
                <w:color w:val="auto"/>
                <w:sz w:val="22"/>
                <w:szCs w:val="22"/>
                <w:highlight w:val="none"/>
              </w:rPr>
              <w:t>支持保存RDP传输的原始文件（提供第三方权威机构检测报告证明及功能截图）</w:t>
            </w:r>
          </w:p>
        </w:tc>
        <w:tc>
          <w:tcPr>
            <w:tcW w:w="1546" w:type="dxa"/>
            <w:vAlign w:val="center"/>
          </w:tcPr>
          <w:p w14:paraId="2302BF3D">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2AD8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30FFE11A">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9" w:type="dxa"/>
            <w:vAlign w:val="center"/>
          </w:tcPr>
          <w:p w14:paraId="14A5E3C9">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支持可管理SSH、RDP、SFTP、FTP、TELNET、web类的服务器，以及可管理其他远程工具或自定义的应用客户端</w:t>
            </w:r>
          </w:p>
        </w:tc>
        <w:tc>
          <w:tcPr>
            <w:tcW w:w="1546" w:type="dxa"/>
            <w:vAlign w:val="center"/>
          </w:tcPr>
          <w:p w14:paraId="4E9FAA0E">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6E31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7D731938">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9" w:type="dxa"/>
            <w:vAlign w:val="center"/>
          </w:tcPr>
          <w:p w14:paraId="1E57DA68">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支持对运维操作会话的在线监控、实时阻断、日志回放、起止时间、来源用户、来源IP、目标设备、协议/应用类型、命令记录、操作内容（如对文件的上传、下载、删除、修改等操作等）的详细审计日志</w:t>
            </w:r>
          </w:p>
        </w:tc>
        <w:tc>
          <w:tcPr>
            <w:tcW w:w="1546" w:type="dxa"/>
            <w:vAlign w:val="center"/>
          </w:tcPr>
          <w:p w14:paraId="092BEC98">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0505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575CAD82">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9" w:type="dxa"/>
            <w:vAlign w:val="center"/>
          </w:tcPr>
          <w:p w14:paraId="1F54875B">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支持文件传输协议控制、命令控制、访问控制的三种安全策略</w:t>
            </w:r>
          </w:p>
        </w:tc>
        <w:tc>
          <w:tcPr>
            <w:tcW w:w="1546" w:type="dxa"/>
            <w:vAlign w:val="center"/>
          </w:tcPr>
          <w:p w14:paraId="5AC885FC">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0F11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6BF02474">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9" w:type="dxa"/>
            <w:vAlign w:val="center"/>
          </w:tcPr>
          <w:p w14:paraId="6835D556">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 xml:space="preserve">支持自动化运维功能，可将结果通过邮件通知管理员；可对linux/windows云主机进行自动改密 </w:t>
            </w:r>
          </w:p>
        </w:tc>
        <w:tc>
          <w:tcPr>
            <w:tcW w:w="1546" w:type="dxa"/>
            <w:vAlign w:val="center"/>
          </w:tcPr>
          <w:p w14:paraId="704E85D0">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23E8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restart"/>
            <w:vAlign w:val="center"/>
          </w:tcPr>
          <w:p w14:paraId="548FECA2">
            <w:pPr>
              <w:keepNext w:val="0"/>
              <w:keepLines w:val="0"/>
              <w:suppressLineNumbers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规格</w:t>
            </w:r>
          </w:p>
        </w:tc>
        <w:tc>
          <w:tcPr>
            <w:tcW w:w="6859" w:type="dxa"/>
            <w:vAlign w:val="center"/>
          </w:tcPr>
          <w:p w14:paraId="18E7266B">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10个管理对象</w:t>
            </w:r>
          </w:p>
        </w:tc>
        <w:tc>
          <w:tcPr>
            <w:tcW w:w="1546" w:type="dxa"/>
            <w:vAlign w:val="center"/>
          </w:tcPr>
          <w:p w14:paraId="28ADF230">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311D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534CEFB2">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9" w:type="dxa"/>
            <w:vAlign w:val="center"/>
          </w:tcPr>
          <w:p w14:paraId="3F8E0E05">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20个管理对象</w:t>
            </w:r>
          </w:p>
        </w:tc>
        <w:tc>
          <w:tcPr>
            <w:tcW w:w="1546" w:type="dxa"/>
            <w:vAlign w:val="center"/>
          </w:tcPr>
          <w:p w14:paraId="086EC0E8">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r w14:paraId="4F31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452664E9">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c>
          <w:tcPr>
            <w:tcW w:w="6859" w:type="dxa"/>
            <w:vAlign w:val="center"/>
          </w:tcPr>
          <w:p w14:paraId="0725E4A0">
            <w:pPr>
              <w:keepNext w:val="0"/>
              <w:keepLines w:val="0"/>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50个管理对象</w:t>
            </w:r>
          </w:p>
        </w:tc>
        <w:tc>
          <w:tcPr>
            <w:tcW w:w="1546" w:type="dxa"/>
            <w:vAlign w:val="center"/>
          </w:tcPr>
          <w:p w14:paraId="09085432">
            <w:pPr>
              <w:keepNext w:val="0"/>
              <w:keepLines w:val="0"/>
              <w:suppressLineNumbers w:val="0"/>
              <w:spacing w:before="0" w:beforeAutospacing="0" w:after="0" w:afterAutospacing="0" w:line="360" w:lineRule="atLeast"/>
              <w:ind w:left="0" w:right="0"/>
              <w:jc w:val="center"/>
              <w:rPr>
                <w:rFonts w:hint="default" w:ascii="宋体" w:hAnsi="宋体" w:cs="宋体"/>
                <w:color w:val="auto"/>
                <w:sz w:val="22"/>
                <w:szCs w:val="22"/>
                <w:highlight w:val="none"/>
              </w:rPr>
            </w:pPr>
          </w:p>
        </w:tc>
      </w:tr>
    </w:tbl>
    <w:p w14:paraId="1A0715F8">
      <w:pPr>
        <w:snapToGrid w:val="0"/>
        <w:spacing w:line="400" w:lineRule="atLeast"/>
        <w:ind w:left="420"/>
        <w:rPr>
          <w:rFonts w:ascii="宋体" w:hAnsi="宋体"/>
          <w:color w:val="auto"/>
          <w:sz w:val="22"/>
          <w:szCs w:val="22"/>
          <w:highlight w:val="none"/>
        </w:rPr>
      </w:pPr>
      <w:r>
        <w:rPr>
          <w:rFonts w:hint="eastAsia" w:ascii="宋体" w:hAnsi="宋体"/>
          <w:color w:val="auto"/>
          <w:sz w:val="22"/>
          <w:szCs w:val="22"/>
          <w:highlight w:val="none"/>
        </w:rPr>
        <w:t>5）网页防篡改服务要求</w:t>
      </w:r>
    </w:p>
    <w:tbl>
      <w:tblPr>
        <w:tblStyle w:val="46"/>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6858"/>
        <w:gridCol w:w="1547"/>
      </w:tblGrid>
      <w:tr w14:paraId="618E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27" w:type="dxa"/>
            <w:vAlign w:val="center"/>
          </w:tcPr>
          <w:p w14:paraId="649EAC60">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项目</w:t>
            </w:r>
          </w:p>
        </w:tc>
        <w:tc>
          <w:tcPr>
            <w:tcW w:w="6858" w:type="dxa"/>
            <w:vAlign w:val="center"/>
          </w:tcPr>
          <w:p w14:paraId="29C9922C">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要求</w:t>
            </w:r>
          </w:p>
        </w:tc>
        <w:tc>
          <w:tcPr>
            <w:tcW w:w="1547" w:type="dxa"/>
            <w:vAlign w:val="center"/>
          </w:tcPr>
          <w:p w14:paraId="1138DA08">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备注</w:t>
            </w:r>
          </w:p>
        </w:tc>
      </w:tr>
      <w:tr w14:paraId="5226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Align w:val="center"/>
          </w:tcPr>
          <w:p w14:paraId="7C30FEAC">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服务形态</w:t>
            </w:r>
          </w:p>
        </w:tc>
        <w:tc>
          <w:tcPr>
            <w:tcW w:w="6858" w:type="dxa"/>
            <w:vAlign w:val="center"/>
          </w:tcPr>
          <w:p w14:paraId="18B8C233">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承载于云安全资源池内，以软件形态提供云上安全防护服务</w:t>
            </w:r>
          </w:p>
        </w:tc>
        <w:tc>
          <w:tcPr>
            <w:tcW w:w="1547" w:type="dxa"/>
            <w:vAlign w:val="center"/>
          </w:tcPr>
          <w:p w14:paraId="529D2F40">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19C1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Align w:val="center"/>
          </w:tcPr>
          <w:p w14:paraId="076A4B6F">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使用方式</w:t>
            </w:r>
          </w:p>
        </w:tc>
        <w:tc>
          <w:tcPr>
            <w:tcW w:w="6858" w:type="dxa"/>
            <w:vAlign w:val="center"/>
          </w:tcPr>
          <w:p w14:paraId="3C2CE2C4">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云租户通过登录云安全管理平台，单点登录网页防篡改服务模块，进行中心端的统一运维管理。同时网站所在虚拟机上需安装轻量</w:t>
            </w:r>
            <w:r>
              <w:rPr>
                <w:rFonts w:hint="default" w:ascii="宋体" w:hAnsi="宋体"/>
                <w:color w:val="auto"/>
                <w:sz w:val="22"/>
                <w:szCs w:val="22"/>
                <w:highlight w:val="none"/>
              </w:rPr>
              <w:t>A</w:t>
            </w:r>
            <w:r>
              <w:rPr>
                <w:rFonts w:hint="eastAsia" w:ascii="宋体" w:hAnsi="宋体"/>
                <w:color w:val="auto"/>
                <w:sz w:val="22"/>
                <w:szCs w:val="22"/>
                <w:highlight w:val="none"/>
              </w:rPr>
              <w:t>gent程序，实现网页防篡改效果</w:t>
            </w:r>
          </w:p>
        </w:tc>
        <w:tc>
          <w:tcPr>
            <w:tcW w:w="1547" w:type="dxa"/>
            <w:vAlign w:val="center"/>
          </w:tcPr>
          <w:p w14:paraId="67B7EBE1">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7C94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restart"/>
            <w:vAlign w:val="center"/>
          </w:tcPr>
          <w:p w14:paraId="57958C4D">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主要功能要求</w:t>
            </w:r>
          </w:p>
        </w:tc>
        <w:tc>
          <w:tcPr>
            <w:tcW w:w="6858" w:type="dxa"/>
            <w:vAlign w:val="center"/>
          </w:tcPr>
          <w:p w14:paraId="73DDCD04">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支持windows、linux等主流操作系统的</w:t>
            </w:r>
            <w:r>
              <w:rPr>
                <w:rFonts w:hint="default" w:ascii="宋体" w:hAnsi="宋体"/>
                <w:color w:val="auto"/>
                <w:sz w:val="22"/>
                <w:szCs w:val="22"/>
                <w:highlight w:val="none"/>
              </w:rPr>
              <w:t>文件</w:t>
            </w:r>
            <w:r>
              <w:rPr>
                <w:rFonts w:hint="eastAsia" w:ascii="宋体" w:hAnsi="宋体"/>
                <w:color w:val="auto"/>
                <w:sz w:val="22"/>
                <w:szCs w:val="22"/>
                <w:highlight w:val="none"/>
              </w:rPr>
              <w:t>和目录的</w:t>
            </w:r>
            <w:r>
              <w:rPr>
                <w:rFonts w:hint="default" w:ascii="宋体" w:hAnsi="宋体"/>
                <w:color w:val="auto"/>
                <w:sz w:val="22"/>
                <w:szCs w:val="22"/>
                <w:highlight w:val="none"/>
              </w:rPr>
              <w:t>保护：支持各类网页文件的保护，支持对指定文件夹以及子文件夹的保护，避免上传非法文件及木马等恶意文件或插入恶意代码</w:t>
            </w:r>
          </w:p>
        </w:tc>
        <w:tc>
          <w:tcPr>
            <w:tcW w:w="1547" w:type="dxa"/>
            <w:vAlign w:val="center"/>
          </w:tcPr>
          <w:p w14:paraId="61CC343E">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07C6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057A969B">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8" w:type="dxa"/>
            <w:vAlign w:val="center"/>
          </w:tcPr>
          <w:p w14:paraId="12CBD74A">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w:t>
            </w:r>
            <w:r>
              <w:rPr>
                <w:rFonts w:hint="default" w:ascii="宋体" w:hAnsi="宋体"/>
                <w:color w:val="auto"/>
                <w:sz w:val="22"/>
                <w:szCs w:val="22"/>
                <w:highlight w:val="none"/>
              </w:rPr>
              <w:t>一键启停文件保护：一键启停所有监控端对文件保护，不必登录WEB服务</w:t>
            </w:r>
            <w:r>
              <w:rPr>
                <w:rFonts w:hint="eastAsia" w:ascii="宋体" w:hAnsi="宋体"/>
                <w:color w:val="auto"/>
                <w:sz w:val="22"/>
                <w:szCs w:val="22"/>
                <w:highlight w:val="none"/>
              </w:rPr>
              <w:t>器</w:t>
            </w:r>
            <w:r>
              <w:rPr>
                <w:rFonts w:hint="default" w:ascii="宋体" w:hAnsi="宋体"/>
                <w:color w:val="auto"/>
                <w:sz w:val="22"/>
                <w:szCs w:val="22"/>
                <w:highlight w:val="none"/>
              </w:rPr>
              <w:t>进行停启</w:t>
            </w:r>
          </w:p>
        </w:tc>
        <w:tc>
          <w:tcPr>
            <w:tcW w:w="1547" w:type="dxa"/>
            <w:vAlign w:val="center"/>
          </w:tcPr>
          <w:p w14:paraId="53A634A6">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348E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06266666">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8" w:type="dxa"/>
            <w:vAlign w:val="center"/>
          </w:tcPr>
          <w:p w14:paraId="09CE5B14">
            <w:pPr>
              <w:keepNext w:val="0"/>
              <w:keepLines w:val="0"/>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sz w:val="22"/>
                <w:szCs w:val="22"/>
                <w:highlight w:val="none"/>
              </w:rPr>
              <w:t>篡改规则：支持基于目录、进程、文件、文件类型等进行设置篡改规则，支持正则表达式策略</w:t>
            </w:r>
          </w:p>
        </w:tc>
        <w:tc>
          <w:tcPr>
            <w:tcW w:w="1547" w:type="dxa"/>
            <w:vAlign w:val="center"/>
          </w:tcPr>
          <w:p w14:paraId="47DB8E79">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3EF7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451EC979">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8" w:type="dxa"/>
            <w:vAlign w:val="center"/>
          </w:tcPr>
          <w:p w14:paraId="22A1691F">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w:t>
            </w:r>
            <w:r>
              <w:rPr>
                <w:rFonts w:hint="default" w:ascii="宋体" w:hAnsi="宋体"/>
                <w:color w:val="auto"/>
                <w:sz w:val="22"/>
                <w:szCs w:val="22"/>
                <w:highlight w:val="none"/>
              </w:rPr>
              <w:t>模板配置：支持在同一种操作系统下，网站路径相同，可通过规则模板，用模板统一将规则下发到各监控端，无需对监控端进行一一配置</w:t>
            </w:r>
          </w:p>
        </w:tc>
        <w:tc>
          <w:tcPr>
            <w:tcW w:w="1547" w:type="dxa"/>
            <w:vAlign w:val="center"/>
          </w:tcPr>
          <w:p w14:paraId="027C6BBD">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31EF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29E3DD2B">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8" w:type="dxa"/>
            <w:vAlign w:val="center"/>
          </w:tcPr>
          <w:p w14:paraId="34AFFC3D">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Docker容器：防护端agent兼容docker容器环境的部署</w:t>
            </w:r>
          </w:p>
        </w:tc>
        <w:tc>
          <w:tcPr>
            <w:tcW w:w="1547" w:type="dxa"/>
            <w:vAlign w:val="center"/>
          </w:tcPr>
          <w:p w14:paraId="70D71DCF">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7BCE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Align w:val="center"/>
          </w:tcPr>
          <w:p w14:paraId="6E7581D5">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规格</w:t>
            </w:r>
          </w:p>
        </w:tc>
        <w:tc>
          <w:tcPr>
            <w:tcW w:w="6858" w:type="dxa"/>
            <w:vAlign w:val="center"/>
          </w:tcPr>
          <w:p w14:paraId="2B36FA74">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每台</w:t>
            </w:r>
            <w:r>
              <w:rPr>
                <w:rFonts w:hint="default" w:ascii="宋体" w:hAnsi="宋体"/>
                <w:color w:val="auto"/>
                <w:sz w:val="22"/>
                <w:szCs w:val="22"/>
                <w:highlight w:val="none"/>
              </w:rPr>
              <w:t>web</w:t>
            </w:r>
            <w:r>
              <w:rPr>
                <w:rFonts w:hint="eastAsia" w:ascii="宋体" w:hAnsi="宋体"/>
                <w:color w:val="auto"/>
                <w:sz w:val="22"/>
                <w:szCs w:val="22"/>
                <w:highlight w:val="none"/>
              </w:rPr>
              <w:t>云主机一套</w:t>
            </w:r>
          </w:p>
        </w:tc>
        <w:tc>
          <w:tcPr>
            <w:tcW w:w="1547" w:type="dxa"/>
            <w:vAlign w:val="center"/>
          </w:tcPr>
          <w:p w14:paraId="42C7840D">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bl>
    <w:p w14:paraId="21660650">
      <w:pPr>
        <w:spacing w:line="400" w:lineRule="atLeast"/>
        <w:ind w:left="420"/>
        <w:rPr>
          <w:rFonts w:ascii="宋体" w:hAnsi="宋体"/>
          <w:color w:val="auto"/>
          <w:sz w:val="22"/>
          <w:szCs w:val="22"/>
          <w:highlight w:val="none"/>
        </w:rPr>
      </w:pPr>
      <w:r>
        <w:rPr>
          <w:rFonts w:hint="eastAsia" w:ascii="宋体" w:hAnsi="宋体"/>
          <w:color w:val="auto"/>
          <w:sz w:val="22"/>
          <w:szCs w:val="22"/>
          <w:highlight w:val="none"/>
          <w:lang w:val="en-US" w:eastAsia="zh-CN"/>
        </w:rPr>
        <w:t>6</w:t>
      </w:r>
      <w:r>
        <w:rPr>
          <w:rFonts w:hint="eastAsia" w:ascii="宋体" w:hAnsi="宋体"/>
          <w:color w:val="auto"/>
          <w:sz w:val="22"/>
          <w:szCs w:val="22"/>
          <w:highlight w:val="none"/>
        </w:rPr>
        <w:t>）云防火墙(</w:t>
      </w:r>
      <w:r>
        <w:rPr>
          <w:rFonts w:ascii="宋体" w:hAnsi="宋体"/>
          <w:color w:val="auto"/>
          <w:sz w:val="22"/>
          <w:szCs w:val="22"/>
          <w:highlight w:val="none"/>
        </w:rPr>
        <w:t>IPS\</w:t>
      </w:r>
      <w:r>
        <w:rPr>
          <w:rFonts w:hint="eastAsia" w:ascii="宋体" w:hAnsi="宋体"/>
          <w:color w:val="auto"/>
          <w:sz w:val="22"/>
          <w:szCs w:val="22"/>
          <w:highlight w:val="none"/>
        </w:rPr>
        <w:t>防病毒网关\内容过滤)服务要求</w:t>
      </w:r>
    </w:p>
    <w:tbl>
      <w:tblPr>
        <w:tblStyle w:val="46"/>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6858"/>
        <w:gridCol w:w="1547"/>
      </w:tblGrid>
      <w:tr w14:paraId="38D9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27" w:type="dxa"/>
            <w:vAlign w:val="center"/>
          </w:tcPr>
          <w:p w14:paraId="1CB68FAA">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项目</w:t>
            </w:r>
          </w:p>
        </w:tc>
        <w:tc>
          <w:tcPr>
            <w:tcW w:w="6858" w:type="dxa"/>
            <w:vAlign w:val="center"/>
          </w:tcPr>
          <w:p w14:paraId="42679AF7">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要求</w:t>
            </w:r>
          </w:p>
        </w:tc>
        <w:tc>
          <w:tcPr>
            <w:tcW w:w="1547" w:type="dxa"/>
            <w:vAlign w:val="center"/>
          </w:tcPr>
          <w:p w14:paraId="08D79B0C">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备注</w:t>
            </w:r>
          </w:p>
        </w:tc>
      </w:tr>
      <w:tr w14:paraId="2B68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Align w:val="center"/>
          </w:tcPr>
          <w:p w14:paraId="5775EAF9">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服务形态</w:t>
            </w:r>
          </w:p>
        </w:tc>
        <w:tc>
          <w:tcPr>
            <w:tcW w:w="6858" w:type="dxa"/>
            <w:vAlign w:val="center"/>
          </w:tcPr>
          <w:p w14:paraId="16BDB912">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承载于云安全资源池内，以软件形态提供云上安全防护服务</w:t>
            </w:r>
          </w:p>
        </w:tc>
        <w:tc>
          <w:tcPr>
            <w:tcW w:w="1547" w:type="dxa"/>
            <w:vAlign w:val="center"/>
          </w:tcPr>
          <w:p w14:paraId="2CC531B7">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1333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Align w:val="center"/>
          </w:tcPr>
          <w:p w14:paraId="7BE840C1">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使用方式</w:t>
            </w:r>
          </w:p>
        </w:tc>
        <w:tc>
          <w:tcPr>
            <w:tcW w:w="6858" w:type="dxa"/>
            <w:vAlign w:val="center"/>
          </w:tcPr>
          <w:p w14:paraId="1D0A77D3">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云租户通过登录云安全管理平台，单点登录云防火墙服务模块，进行安全运维管理。</w:t>
            </w:r>
          </w:p>
        </w:tc>
        <w:tc>
          <w:tcPr>
            <w:tcW w:w="1547" w:type="dxa"/>
            <w:vAlign w:val="center"/>
          </w:tcPr>
          <w:p w14:paraId="6BE4790C">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4BC6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restart"/>
            <w:vAlign w:val="center"/>
          </w:tcPr>
          <w:p w14:paraId="769896A7">
            <w:pPr>
              <w:keepNext w:val="0"/>
              <w:keepLines w:val="0"/>
              <w:suppressLineNumbers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主要功能要求</w:t>
            </w:r>
          </w:p>
        </w:tc>
        <w:tc>
          <w:tcPr>
            <w:tcW w:w="6858" w:type="dxa"/>
            <w:vAlign w:val="center"/>
          </w:tcPr>
          <w:p w14:paraId="0F3ABCB8">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支持访问控制功能</w:t>
            </w:r>
            <w:r>
              <w:rPr>
                <w:rFonts w:hint="default" w:ascii="宋体" w:hAnsi="宋体"/>
                <w:color w:val="auto"/>
                <w:sz w:val="22"/>
                <w:szCs w:val="22"/>
                <w:highlight w:val="none"/>
              </w:rPr>
              <w:t xml:space="preserve">: </w:t>
            </w:r>
            <w:r>
              <w:rPr>
                <w:rFonts w:hint="eastAsia" w:ascii="宋体" w:hAnsi="宋体"/>
                <w:color w:val="auto"/>
                <w:sz w:val="22"/>
                <w:szCs w:val="22"/>
                <w:highlight w:val="none"/>
              </w:rPr>
              <w:t>基于用户、应用、时间、地址、服务等方式进行网络访问控制</w:t>
            </w:r>
          </w:p>
        </w:tc>
        <w:tc>
          <w:tcPr>
            <w:tcW w:w="1547" w:type="dxa"/>
            <w:vAlign w:val="center"/>
          </w:tcPr>
          <w:p w14:paraId="0473B745">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79A9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655771CF">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8" w:type="dxa"/>
            <w:vAlign w:val="center"/>
          </w:tcPr>
          <w:p w14:paraId="14239C90">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支持攻击源地图实时展示，支持攻击源、攻击目的、攻击事件统计功能</w:t>
            </w:r>
          </w:p>
        </w:tc>
        <w:tc>
          <w:tcPr>
            <w:tcW w:w="1547" w:type="dxa"/>
            <w:vAlign w:val="center"/>
          </w:tcPr>
          <w:p w14:paraId="07A78E5C">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1A5C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1D9F6D4E">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8" w:type="dxa"/>
            <w:vAlign w:val="center"/>
          </w:tcPr>
          <w:p w14:paraId="397ECF71">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★支持入侵防御的功能：</w:t>
            </w:r>
            <w:r>
              <w:rPr>
                <w:rFonts w:hint="default" w:ascii="宋体" w:hAnsi="宋体"/>
                <w:color w:val="auto"/>
                <w:sz w:val="22"/>
                <w:szCs w:val="22"/>
                <w:highlight w:val="none"/>
              </w:rPr>
              <w:t>IPS</w:t>
            </w:r>
            <w:r>
              <w:rPr>
                <w:rFonts w:hint="eastAsia" w:ascii="宋体" w:hAnsi="宋体"/>
                <w:color w:val="auto"/>
                <w:sz w:val="22"/>
                <w:szCs w:val="22"/>
                <w:highlight w:val="none"/>
              </w:rPr>
              <w:t>特征库数量不少于</w:t>
            </w:r>
            <w:r>
              <w:rPr>
                <w:rFonts w:hint="default" w:ascii="宋体" w:hAnsi="宋体"/>
                <w:color w:val="auto"/>
                <w:sz w:val="22"/>
                <w:szCs w:val="22"/>
                <w:highlight w:val="none"/>
              </w:rPr>
              <w:t>2000</w:t>
            </w:r>
            <w:r>
              <w:rPr>
                <w:rFonts w:hint="eastAsia" w:ascii="宋体" w:hAnsi="宋体"/>
                <w:color w:val="auto"/>
                <w:sz w:val="22"/>
                <w:szCs w:val="22"/>
                <w:highlight w:val="none"/>
              </w:rPr>
              <w:t>多条，支持事件集自定义自动和手动两种更新，支持应急事件及时更新（提供产品截图或官方技术说明文档）</w:t>
            </w:r>
          </w:p>
        </w:tc>
        <w:tc>
          <w:tcPr>
            <w:tcW w:w="1547" w:type="dxa"/>
            <w:vAlign w:val="center"/>
          </w:tcPr>
          <w:p w14:paraId="502CF077">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10A9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13F519D1">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8" w:type="dxa"/>
            <w:vAlign w:val="center"/>
          </w:tcPr>
          <w:p w14:paraId="6F717C59">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支持防病毒功能</w:t>
            </w:r>
            <w:r>
              <w:rPr>
                <w:rFonts w:hint="default" w:ascii="宋体" w:hAnsi="宋体"/>
                <w:color w:val="auto"/>
                <w:sz w:val="22"/>
                <w:szCs w:val="22"/>
                <w:highlight w:val="none"/>
              </w:rPr>
              <w:t>:</w:t>
            </w:r>
            <w:r>
              <w:rPr>
                <w:rFonts w:hint="eastAsia" w:ascii="宋体" w:hAnsi="宋体"/>
                <w:color w:val="auto"/>
                <w:sz w:val="22"/>
                <w:szCs w:val="22"/>
                <w:highlight w:val="none"/>
              </w:rPr>
              <w:t>支持HTTP，FTP，POP3，SMTP，IMAP协议的病毒查杀、病毒库自动更新、虚拟脱壳、自定义查杀文件大小</w:t>
            </w:r>
          </w:p>
        </w:tc>
        <w:tc>
          <w:tcPr>
            <w:tcW w:w="1547" w:type="dxa"/>
            <w:vAlign w:val="center"/>
          </w:tcPr>
          <w:p w14:paraId="41AA968B">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49B4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restart"/>
            <w:vAlign w:val="center"/>
          </w:tcPr>
          <w:p w14:paraId="596BED79">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eastAsia" w:ascii="宋体" w:hAnsi="宋体"/>
                <w:color w:val="auto"/>
                <w:sz w:val="22"/>
                <w:szCs w:val="22"/>
                <w:highlight w:val="none"/>
              </w:rPr>
              <w:t>规格</w:t>
            </w:r>
          </w:p>
        </w:tc>
        <w:tc>
          <w:tcPr>
            <w:tcW w:w="6858" w:type="dxa"/>
            <w:vAlign w:val="center"/>
          </w:tcPr>
          <w:p w14:paraId="4D3C446C">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default" w:ascii="宋体" w:hAnsi="宋体"/>
                <w:color w:val="auto"/>
                <w:sz w:val="22"/>
                <w:szCs w:val="22"/>
                <w:highlight w:val="none"/>
              </w:rPr>
              <w:t>防护流量100Mbps</w:t>
            </w:r>
          </w:p>
        </w:tc>
        <w:tc>
          <w:tcPr>
            <w:tcW w:w="1547" w:type="dxa"/>
            <w:vAlign w:val="center"/>
          </w:tcPr>
          <w:p w14:paraId="61099899">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25A0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26859176">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8" w:type="dxa"/>
            <w:vAlign w:val="center"/>
          </w:tcPr>
          <w:p w14:paraId="68392EAA">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default" w:ascii="宋体" w:hAnsi="宋体"/>
                <w:color w:val="auto"/>
                <w:sz w:val="22"/>
                <w:szCs w:val="22"/>
                <w:highlight w:val="none"/>
              </w:rPr>
              <w:t>防护流量200Mbps</w:t>
            </w:r>
          </w:p>
        </w:tc>
        <w:tc>
          <w:tcPr>
            <w:tcW w:w="1547" w:type="dxa"/>
            <w:vAlign w:val="center"/>
          </w:tcPr>
          <w:p w14:paraId="4B00E411">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2A98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27" w:type="dxa"/>
            <w:vMerge w:val="continue"/>
            <w:vAlign w:val="center"/>
          </w:tcPr>
          <w:p w14:paraId="368F1ECE">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8" w:type="dxa"/>
            <w:vAlign w:val="center"/>
          </w:tcPr>
          <w:p w14:paraId="3FA91DB1">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default" w:ascii="宋体" w:hAnsi="宋体"/>
                <w:color w:val="auto"/>
                <w:sz w:val="22"/>
                <w:szCs w:val="22"/>
                <w:highlight w:val="none"/>
              </w:rPr>
              <w:t>防护流量5</w:t>
            </w:r>
            <w:r>
              <w:rPr>
                <w:rFonts w:hint="eastAsia" w:ascii="宋体" w:hAnsi="宋体"/>
                <w:color w:val="auto"/>
                <w:sz w:val="22"/>
                <w:szCs w:val="22"/>
                <w:highlight w:val="none"/>
              </w:rPr>
              <w:t>0</w:t>
            </w:r>
            <w:r>
              <w:rPr>
                <w:rFonts w:hint="default" w:ascii="宋体" w:hAnsi="宋体"/>
                <w:color w:val="auto"/>
                <w:sz w:val="22"/>
                <w:szCs w:val="22"/>
                <w:highlight w:val="none"/>
              </w:rPr>
              <w:t>0Mbps</w:t>
            </w:r>
          </w:p>
        </w:tc>
        <w:tc>
          <w:tcPr>
            <w:tcW w:w="1547" w:type="dxa"/>
            <w:vAlign w:val="center"/>
          </w:tcPr>
          <w:p w14:paraId="14010819">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r w14:paraId="3E64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Merge w:val="continue"/>
            <w:vAlign w:val="center"/>
          </w:tcPr>
          <w:p w14:paraId="3B26D0AF">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c>
          <w:tcPr>
            <w:tcW w:w="6858" w:type="dxa"/>
            <w:vAlign w:val="center"/>
          </w:tcPr>
          <w:p w14:paraId="0A0FC83F">
            <w:pPr>
              <w:keepNext w:val="0"/>
              <w:keepLines w:val="0"/>
              <w:suppressLineNumbers w:val="0"/>
              <w:spacing w:before="0" w:beforeAutospacing="0" w:after="0" w:afterAutospacing="0" w:line="360" w:lineRule="atLeast"/>
              <w:ind w:left="0" w:right="0"/>
              <w:jc w:val="left"/>
              <w:rPr>
                <w:rFonts w:hint="default" w:ascii="宋体" w:hAnsi="宋体"/>
                <w:color w:val="auto"/>
                <w:sz w:val="22"/>
                <w:szCs w:val="22"/>
                <w:highlight w:val="none"/>
              </w:rPr>
            </w:pPr>
            <w:r>
              <w:rPr>
                <w:rFonts w:hint="default" w:ascii="宋体" w:hAnsi="宋体"/>
                <w:color w:val="auto"/>
                <w:sz w:val="22"/>
                <w:szCs w:val="22"/>
                <w:highlight w:val="none"/>
              </w:rPr>
              <w:t>防护流量</w:t>
            </w:r>
            <w:r>
              <w:rPr>
                <w:rFonts w:hint="eastAsia" w:ascii="宋体" w:hAnsi="宋体"/>
                <w:color w:val="auto"/>
                <w:sz w:val="22"/>
                <w:szCs w:val="22"/>
                <w:highlight w:val="none"/>
              </w:rPr>
              <w:t>1</w:t>
            </w:r>
            <w:r>
              <w:rPr>
                <w:rFonts w:hint="default" w:ascii="宋体" w:hAnsi="宋体"/>
                <w:color w:val="auto"/>
                <w:sz w:val="22"/>
                <w:szCs w:val="22"/>
                <w:highlight w:val="none"/>
              </w:rPr>
              <w:t>Gbps</w:t>
            </w:r>
          </w:p>
        </w:tc>
        <w:tc>
          <w:tcPr>
            <w:tcW w:w="1547" w:type="dxa"/>
            <w:vAlign w:val="center"/>
          </w:tcPr>
          <w:p w14:paraId="2139B7F6">
            <w:pPr>
              <w:keepNext w:val="0"/>
              <w:keepLines w:val="0"/>
              <w:suppressLineNumbers w:val="0"/>
              <w:spacing w:before="0" w:beforeAutospacing="0" w:after="0" w:afterAutospacing="0" w:line="360" w:lineRule="atLeast"/>
              <w:ind w:left="0" w:right="0"/>
              <w:jc w:val="center"/>
              <w:rPr>
                <w:rFonts w:hint="default" w:ascii="宋体" w:hAnsi="宋体"/>
                <w:color w:val="auto"/>
                <w:sz w:val="22"/>
                <w:szCs w:val="22"/>
                <w:highlight w:val="none"/>
              </w:rPr>
            </w:pPr>
          </w:p>
        </w:tc>
      </w:tr>
    </w:tbl>
    <w:p w14:paraId="281B9BE7">
      <w:pPr>
        <w:snapToGrid w:val="0"/>
        <w:spacing w:line="400" w:lineRule="atLeast"/>
        <w:rPr>
          <w:rFonts w:ascii="宋体" w:hAnsi="宋体"/>
          <w:b/>
          <w:color w:val="auto"/>
          <w:sz w:val="22"/>
          <w:szCs w:val="22"/>
          <w:highlight w:val="none"/>
        </w:rPr>
      </w:pPr>
      <w:r>
        <w:rPr>
          <w:rFonts w:hint="eastAsia" w:ascii="宋体" w:hAnsi="宋体"/>
          <w:b/>
          <w:color w:val="auto"/>
          <w:sz w:val="22"/>
          <w:szCs w:val="22"/>
          <w:highlight w:val="none"/>
        </w:rPr>
        <w:t>4、大数据服务要求</w:t>
      </w:r>
    </w:p>
    <w:p w14:paraId="7AE501CB">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（1）大数据计算服务要求</w:t>
      </w:r>
    </w:p>
    <w:p w14:paraId="58D7B60B">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1）</w:t>
      </w:r>
      <w:r>
        <w:rPr>
          <w:rFonts w:ascii="宋体" w:hAnsi="宋体"/>
          <w:color w:val="auto"/>
          <w:sz w:val="22"/>
          <w:szCs w:val="22"/>
          <w:highlight w:val="none"/>
        </w:rPr>
        <w:t>分布式系统，主要提供结构化数据的存储和计算，采用抽</w:t>
      </w:r>
      <w:r>
        <w:rPr>
          <w:rFonts w:hint="eastAsia" w:ascii="宋体" w:hAnsi="宋体"/>
          <w:color w:val="auto"/>
          <w:sz w:val="22"/>
          <w:szCs w:val="22"/>
          <w:highlight w:val="none"/>
        </w:rPr>
        <w:t>象的作业处理框架为不同用户对各种数据处理任务提供统一的编程接口和界面。</w:t>
      </w:r>
    </w:p>
    <w:p w14:paraId="5272F61E">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采用分布式架构，规模可以根据需要平行扩展。</w:t>
      </w:r>
    </w:p>
    <w:p w14:paraId="2ECE68B8">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自动存储容错机制，保障数据高可靠性。</w:t>
      </w:r>
    </w:p>
    <w:p w14:paraId="7ECC38C5">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所有计算在沙箱中运行，保障数据高安全性。</w:t>
      </w:r>
    </w:p>
    <w:p w14:paraId="6E424FBD">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以RESTful API的方式提供服务。</w:t>
      </w:r>
    </w:p>
    <w:p w14:paraId="2F5FC160">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支持高并发、高吞吐量的数据上传下载。</w:t>
      </w:r>
    </w:p>
    <w:p w14:paraId="0806B545">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7）</w:t>
      </w:r>
      <w:r>
        <w:rPr>
          <w:rFonts w:ascii="宋体" w:hAnsi="宋体"/>
          <w:color w:val="auto"/>
          <w:sz w:val="22"/>
          <w:szCs w:val="22"/>
          <w:highlight w:val="none"/>
        </w:rPr>
        <w:t>支持离线计算、机器学习两类模型及计算服务。</w:t>
      </w:r>
    </w:p>
    <w:p w14:paraId="447A8F26">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8）</w:t>
      </w:r>
      <w:r>
        <w:rPr>
          <w:rFonts w:ascii="宋体" w:hAnsi="宋体"/>
          <w:color w:val="auto"/>
          <w:sz w:val="22"/>
          <w:szCs w:val="22"/>
          <w:highlight w:val="none"/>
        </w:rPr>
        <w:t>支持基于SQL、Mapreduce、Graph、MPI等多种编程模型的数据处理方式。</w:t>
      </w:r>
    </w:p>
    <w:p w14:paraId="34E6E9F1">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9）</w:t>
      </w:r>
      <w:r>
        <w:rPr>
          <w:rFonts w:ascii="宋体" w:hAnsi="宋体"/>
          <w:color w:val="auto"/>
          <w:sz w:val="22"/>
          <w:szCs w:val="22"/>
          <w:highlight w:val="none"/>
        </w:rPr>
        <w:t>支持多租户，多个用户可以协同分析数据。</w:t>
      </w:r>
    </w:p>
    <w:p w14:paraId="7D88DF95">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10）</w:t>
      </w:r>
      <w:r>
        <w:rPr>
          <w:rFonts w:ascii="宋体" w:hAnsi="宋体"/>
          <w:color w:val="auto"/>
          <w:sz w:val="22"/>
          <w:szCs w:val="22"/>
          <w:highlight w:val="none"/>
        </w:rPr>
        <w:t>支持基于ACL和policy的用户权限管理，可以配置灵活的数据访问控制策略，防止数据越权访</w:t>
      </w:r>
      <w:r>
        <w:rPr>
          <w:rFonts w:hint="eastAsia" w:ascii="宋体" w:hAnsi="宋体"/>
          <w:color w:val="auto"/>
          <w:sz w:val="22"/>
          <w:szCs w:val="22"/>
          <w:highlight w:val="none"/>
        </w:rPr>
        <w:t>问。</w:t>
      </w:r>
    </w:p>
    <w:p w14:paraId="7DA3597A">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（2）数据治理服务</w:t>
      </w:r>
    </w:p>
    <w:tbl>
      <w:tblPr>
        <w:tblStyle w:val="46"/>
        <w:tblW w:w="10032" w:type="dxa"/>
        <w:tblInd w:w="0" w:type="dxa"/>
        <w:tblLayout w:type="fixed"/>
        <w:tblCellMar>
          <w:top w:w="0" w:type="dxa"/>
          <w:left w:w="108" w:type="dxa"/>
          <w:bottom w:w="0" w:type="dxa"/>
          <w:right w:w="108" w:type="dxa"/>
        </w:tblCellMar>
      </w:tblPr>
      <w:tblGrid>
        <w:gridCol w:w="1631"/>
        <w:gridCol w:w="6850"/>
        <w:gridCol w:w="1551"/>
      </w:tblGrid>
      <w:tr w14:paraId="746E1346">
        <w:tblPrEx>
          <w:tblCellMar>
            <w:top w:w="0" w:type="dxa"/>
            <w:left w:w="108" w:type="dxa"/>
            <w:bottom w:w="0" w:type="dxa"/>
            <w:right w:w="108" w:type="dxa"/>
          </w:tblCellMar>
        </w:tblPrEx>
        <w:trPr>
          <w:trHeight w:val="312" w:hRule="atLeast"/>
        </w:trPr>
        <w:tc>
          <w:tcPr>
            <w:tcW w:w="1631" w:type="dxa"/>
            <w:tcBorders>
              <w:top w:val="single" w:color="auto" w:sz="4" w:space="0"/>
              <w:left w:val="single" w:color="auto" w:sz="4" w:space="0"/>
              <w:bottom w:val="single" w:color="auto" w:sz="4" w:space="0"/>
              <w:right w:val="single" w:color="auto" w:sz="4" w:space="0"/>
            </w:tcBorders>
            <w:vAlign w:val="center"/>
          </w:tcPr>
          <w:p w14:paraId="2D5B2902">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指标项</w:t>
            </w:r>
          </w:p>
        </w:tc>
        <w:tc>
          <w:tcPr>
            <w:tcW w:w="6850" w:type="dxa"/>
            <w:tcBorders>
              <w:top w:val="single" w:color="auto" w:sz="4" w:space="0"/>
              <w:left w:val="nil"/>
              <w:bottom w:val="single" w:color="auto" w:sz="4" w:space="0"/>
              <w:right w:val="single" w:color="auto" w:sz="4" w:space="0"/>
            </w:tcBorders>
            <w:vAlign w:val="center"/>
          </w:tcPr>
          <w:p w14:paraId="2AD2E522">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规格要求</w:t>
            </w:r>
          </w:p>
        </w:tc>
        <w:tc>
          <w:tcPr>
            <w:tcW w:w="1551" w:type="dxa"/>
            <w:tcBorders>
              <w:top w:val="single" w:color="auto" w:sz="4" w:space="0"/>
              <w:left w:val="nil"/>
              <w:bottom w:val="single" w:color="auto" w:sz="4" w:space="0"/>
              <w:right w:val="single" w:color="auto" w:sz="4" w:space="0"/>
            </w:tcBorders>
            <w:vAlign w:val="center"/>
          </w:tcPr>
          <w:p w14:paraId="197A44D7">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78AA3008">
        <w:tblPrEx>
          <w:tblCellMar>
            <w:top w:w="0" w:type="dxa"/>
            <w:left w:w="108" w:type="dxa"/>
            <w:bottom w:w="0" w:type="dxa"/>
            <w:right w:w="108" w:type="dxa"/>
          </w:tblCellMar>
        </w:tblPrEx>
        <w:trPr>
          <w:trHeight w:val="576" w:hRule="atLeast"/>
        </w:trPr>
        <w:tc>
          <w:tcPr>
            <w:tcW w:w="1631" w:type="dxa"/>
            <w:tcBorders>
              <w:top w:val="nil"/>
              <w:left w:val="single" w:color="auto" w:sz="4" w:space="0"/>
              <w:bottom w:val="single" w:color="auto" w:sz="4" w:space="0"/>
              <w:right w:val="single" w:color="auto" w:sz="4" w:space="0"/>
            </w:tcBorders>
            <w:noWrap/>
            <w:vAlign w:val="center"/>
          </w:tcPr>
          <w:p w14:paraId="59F0705A">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高度集成</w:t>
            </w:r>
          </w:p>
        </w:tc>
        <w:tc>
          <w:tcPr>
            <w:tcW w:w="6850" w:type="dxa"/>
            <w:tcBorders>
              <w:top w:val="nil"/>
              <w:left w:val="nil"/>
              <w:bottom w:val="single" w:color="auto" w:sz="4" w:space="0"/>
              <w:right w:val="single" w:color="auto" w:sz="4" w:space="0"/>
            </w:tcBorders>
            <w:noWrap/>
            <w:vAlign w:val="center"/>
          </w:tcPr>
          <w:p w14:paraId="2324F483">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所有数据治理工作可以在一个平台内完成，用户不再需要关注系统，而只需要关注数据本身。在这个统一的平台上，用户可以进行设计、集成、加工、分析、质量监控、可视化、运维等全生命周期的管理，不同角色的用户登录同一系统进行数据治理不同环节的操作，从而实现用户之间良好的分工协作，为高效、开放的数据治理提供了保障。</w:t>
            </w:r>
          </w:p>
        </w:tc>
        <w:tc>
          <w:tcPr>
            <w:tcW w:w="1551" w:type="dxa"/>
            <w:tcBorders>
              <w:top w:val="nil"/>
              <w:left w:val="nil"/>
              <w:bottom w:val="single" w:color="auto" w:sz="4" w:space="0"/>
              <w:right w:val="single" w:color="auto" w:sz="4" w:space="0"/>
            </w:tcBorders>
            <w:noWrap/>
            <w:vAlign w:val="center"/>
          </w:tcPr>
          <w:p w14:paraId="711C1125">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58C1ACD7">
        <w:tblPrEx>
          <w:tblCellMar>
            <w:top w:w="0" w:type="dxa"/>
            <w:left w:w="108" w:type="dxa"/>
            <w:bottom w:w="0" w:type="dxa"/>
            <w:right w:w="108" w:type="dxa"/>
          </w:tblCellMar>
        </w:tblPrEx>
        <w:trPr>
          <w:trHeight w:val="467" w:hRule="atLeast"/>
        </w:trPr>
        <w:tc>
          <w:tcPr>
            <w:tcW w:w="1631" w:type="dxa"/>
            <w:vMerge w:val="restart"/>
            <w:tcBorders>
              <w:top w:val="nil"/>
              <w:left w:val="single" w:color="auto" w:sz="4" w:space="0"/>
              <w:bottom w:val="single" w:color="auto" w:sz="4" w:space="0"/>
              <w:right w:val="single" w:color="auto" w:sz="4" w:space="0"/>
            </w:tcBorders>
            <w:noWrap/>
            <w:vAlign w:val="center"/>
          </w:tcPr>
          <w:p w14:paraId="6A724600">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安全隔离</w:t>
            </w:r>
          </w:p>
        </w:tc>
        <w:tc>
          <w:tcPr>
            <w:tcW w:w="6850" w:type="dxa"/>
            <w:tcBorders>
              <w:top w:val="nil"/>
              <w:left w:val="nil"/>
              <w:bottom w:val="single" w:color="auto" w:sz="4" w:space="0"/>
              <w:right w:val="single" w:color="auto" w:sz="4" w:space="0"/>
            </w:tcBorders>
            <w:noWrap/>
            <w:vAlign w:val="center"/>
          </w:tcPr>
          <w:p w14:paraId="06E0043E">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提供了多租户逻辑隔离的软硬件资源共享机制，提供了租户内的不同部门和用户的数据安全管控体系</w:t>
            </w:r>
          </w:p>
        </w:tc>
        <w:tc>
          <w:tcPr>
            <w:tcW w:w="1551" w:type="dxa"/>
            <w:tcBorders>
              <w:top w:val="nil"/>
              <w:left w:val="nil"/>
              <w:bottom w:val="single" w:color="auto" w:sz="4" w:space="0"/>
              <w:right w:val="single" w:color="auto" w:sz="4" w:space="0"/>
            </w:tcBorders>
            <w:noWrap/>
            <w:vAlign w:val="center"/>
          </w:tcPr>
          <w:p w14:paraId="61EE511C">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7CB05FC7">
        <w:tblPrEx>
          <w:tblCellMar>
            <w:top w:w="0" w:type="dxa"/>
            <w:left w:w="108" w:type="dxa"/>
            <w:bottom w:w="0" w:type="dxa"/>
            <w:right w:w="108" w:type="dxa"/>
          </w:tblCellMar>
        </w:tblPrEx>
        <w:trPr>
          <w:trHeight w:val="288" w:hRule="atLeast"/>
        </w:trPr>
        <w:tc>
          <w:tcPr>
            <w:tcW w:w="1631" w:type="dxa"/>
            <w:vMerge w:val="continue"/>
            <w:tcBorders>
              <w:top w:val="nil"/>
              <w:left w:val="single" w:color="auto" w:sz="4" w:space="0"/>
              <w:bottom w:val="single" w:color="auto" w:sz="4" w:space="0"/>
              <w:right w:val="single" w:color="auto" w:sz="4" w:space="0"/>
            </w:tcBorders>
            <w:vAlign w:val="center"/>
          </w:tcPr>
          <w:p w14:paraId="0F6ECDC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0" w:type="dxa"/>
            <w:tcBorders>
              <w:top w:val="nil"/>
              <w:left w:val="nil"/>
              <w:bottom w:val="single" w:color="auto" w:sz="4" w:space="0"/>
              <w:right w:val="single" w:color="auto" w:sz="4" w:space="0"/>
            </w:tcBorders>
            <w:noWrap/>
            <w:vAlign w:val="center"/>
          </w:tcPr>
          <w:p w14:paraId="2239E00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不同租户之间的逻辑隔离，一个租户对应一系列的软硬件资源，互不影响，数据层面完全隔离不能互通。用户登录系统后位于某个租户空间，无法查看和操作其它租户空间的数据和代码。</w:t>
            </w:r>
          </w:p>
        </w:tc>
        <w:tc>
          <w:tcPr>
            <w:tcW w:w="1551" w:type="dxa"/>
            <w:tcBorders>
              <w:top w:val="nil"/>
              <w:left w:val="nil"/>
              <w:bottom w:val="single" w:color="auto" w:sz="4" w:space="0"/>
              <w:right w:val="single" w:color="auto" w:sz="4" w:space="0"/>
            </w:tcBorders>
            <w:noWrap/>
            <w:vAlign w:val="center"/>
          </w:tcPr>
          <w:p w14:paraId="3A5AF0A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5619AFD7">
        <w:tblPrEx>
          <w:tblCellMar>
            <w:top w:w="0" w:type="dxa"/>
            <w:left w:w="108" w:type="dxa"/>
            <w:bottom w:w="0" w:type="dxa"/>
            <w:right w:w="108" w:type="dxa"/>
          </w:tblCellMar>
        </w:tblPrEx>
        <w:trPr>
          <w:trHeight w:val="288" w:hRule="atLeast"/>
        </w:trPr>
        <w:tc>
          <w:tcPr>
            <w:tcW w:w="1631" w:type="dxa"/>
            <w:vMerge w:val="continue"/>
            <w:tcBorders>
              <w:top w:val="nil"/>
              <w:left w:val="single" w:color="auto" w:sz="4" w:space="0"/>
              <w:bottom w:val="single" w:color="auto" w:sz="4" w:space="0"/>
              <w:right w:val="single" w:color="auto" w:sz="4" w:space="0"/>
            </w:tcBorders>
            <w:vAlign w:val="center"/>
          </w:tcPr>
          <w:p w14:paraId="4B8BBF6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0" w:type="dxa"/>
            <w:tcBorders>
              <w:top w:val="nil"/>
              <w:left w:val="nil"/>
              <w:bottom w:val="single" w:color="auto" w:sz="4" w:space="0"/>
              <w:right w:val="single" w:color="auto" w:sz="4" w:space="0"/>
            </w:tcBorders>
            <w:noWrap/>
            <w:vAlign w:val="center"/>
          </w:tcPr>
          <w:p w14:paraId="1C0131C0">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同一租户内部的不同项目空间之间相互隔离，需要由数据的拥有者进行授权才能互通。</w:t>
            </w:r>
          </w:p>
        </w:tc>
        <w:tc>
          <w:tcPr>
            <w:tcW w:w="1551" w:type="dxa"/>
            <w:tcBorders>
              <w:top w:val="nil"/>
              <w:left w:val="nil"/>
              <w:bottom w:val="single" w:color="auto" w:sz="4" w:space="0"/>
              <w:right w:val="single" w:color="auto" w:sz="4" w:space="0"/>
            </w:tcBorders>
            <w:noWrap/>
            <w:vAlign w:val="center"/>
          </w:tcPr>
          <w:p w14:paraId="34182661">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0F6CBFD">
        <w:tblPrEx>
          <w:tblCellMar>
            <w:top w:w="0" w:type="dxa"/>
            <w:left w:w="108" w:type="dxa"/>
            <w:bottom w:w="0" w:type="dxa"/>
            <w:right w:w="108" w:type="dxa"/>
          </w:tblCellMar>
        </w:tblPrEx>
        <w:trPr>
          <w:trHeight w:val="288" w:hRule="atLeast"/>
        </w:trPr>
        <w:tc>
          <w:tcPr>
            <w:tcW w:w="1631" w:type="dxa"/>
            <w:vMerge w:val="continue"/>
            <w:tcBorders>
              <w:top w:val="nil"/>
              <w:left w:val="single" w:color="auto" w:sz="4" w:space="0"/>
              <w:bottom w:val="single" w:color="auto" w:sz="4" w:space="0"/>
              <w:right w:val="single" w:color="auto" w:sz="4" w:space="0"/>
            </w:tcBorders>
            <w:vAlign w:val="center"/>
          </w:tcPr>
          <w:p w14:paraId="44CA6B7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0" w:type="dxa"/>
            <w:tcBorders>
              <w:top w:val="nil"/>
              <w:left w:val="nil"/>
              <w:bottom w:val="single" w:color="auto" w:sz="4" w:space="0"/>
              <w:right w:val="single" w:color="auto" w:sz="4" w:space="0"/>
            </w:tcBorders>
            <w:noWrap/>
            <w:vAlign w:val="center"/>
          </w:tcPr>
          <w:p w14:paraId="18647F8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在同一项目空间内部，不同的用户具有不同的角色，不同角色对数据的访问权限不同，可以基于独立的表来设置角色对该表的访问权限，也可以设置表和用户的安全等级来控制不同用户对该表的访问。</w:t>
            </w:r>
          </w:p>
        </w:tc>
        <w:tc>
          <w:tcPr>
            <w:tcW w:w="1551" w:type="dxa"/>
            <w:tcBorders>
              <w:top w:val="nil"/>
              <w:left w:val="nil"/>
              <w:bottom w:val="single" w:color="auto" w:sz="4" w:space="0"/>
              <w:right w:val="single" w:color="auto" w:sz="4" w:space="0"/>
            </w:tcBorders>
            <w:noWrap/>
            <w:vAlign w:val="center"/>
          </w:tcPr>
          <w:p w14:paraId="656C4AA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65970FC">
        <w:tblPrEx>
          <w:tblCellMar>
            <w:top w:w="0" w:type="dxa"/>
            <w:left w:w="108" w:type="dxa"/>
            <w:bottom w:w="0" w:type="dxa"/>
            <w:right w:w="108" w:type="dxa"/>
          </w:tblCellMar>
        </w:tblPrEx>
        <w:trPr>
          <w:trHeight w:val="291" w:hRule="atLeast"/>
        </w:trPr>
        <w:tc>
          <w:tcPr>
            <w:tcW w:w="1631" w:type="dxa"/>
            <w:tcBorders>
              <w:top w:val="single" w:color="auto" w:sz="4" w:space="0"/>
              <w:left w:val="single" w:color="auto" w:sz="4" w:space="0"/>
              <w:bottom w:val="single" w:color="auto" w:sz="4" w:space="0"/>
              <w:right w:val="single" w:color="auto" w:sz="4" w:space="0"/>
            </w:tcBorders>
            <w:noWrap/>
            <w:vAlign w:val="center"/>
          </w:tcPr>
          <w:p w14:paraId="38C21EE7">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超大规模</w:t>
            </w:r>
          </w:p>
        </w:tc>
        <w:tc>
          <w:tcPr>
            <w:tcW w:w="6850" w:type="dxa"/>
            <w:tcBorders>
              <w:top w:val="single" w:color="auto" w:sz="4" w:space="0"/>
              <w:left w:val="single" w:color="auto" w:sz="4" w:space="0"/>
              <w:bottom w:val="single" w:color="auto" w:sz="4" w:space="0"/>
              <w:right w:val="single" w:color="auto" w:sz="4" w:space="0"/>
            </w:tcBorders>
            <w:noWrap/>
            <w:vAlign w:val="center"/>
          </w:tcPr>
          <w:p w14:paraId="0794F0E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基于阿里海量存储和计算引擎 ODPS ，支持 PB 级别的数据治理和管控，支持全天候的自动化作业调度计算，并且系统能够横向扩展和自动伸缩，从而能够适应不同用户不同场景下的数据治理需求。</w:t>
            </w:r>
          </w:p>
        </w:tc>
        <w:tc>
          <w:tcPr>
            <w:tcW w:w="1551" w:type="dxa"/>
            <w:tcBorders>
              <w:top w:val="single" w:color="auto" w:sz="4" w:space="0"/>
              <w:left w:val="single" w:color="auto" w:sz="4" w:space="0"/>
              <w:bottom w:val="single" w:color="auto" w:sz="4" w:space="0"/>
              <w:right w:val="single" w:color="auto" w:sz="4" w:space="0"/>
            </w:tcBorders>
            <w:noWrap/>
            <w:vAlign w:val="center"/>
          </w:tcPr>
          <w:p w14:paraId="27659BBD">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1792C1BD">
        <w:tblPrEx>
          <w:tblCellMar>
            <w:top w:w="0" w:type="dxa"/>
            <w:left w:w="108" w:type="dxa"/>
            <w:bottom w:w="0" w:type="dxa"/>
            <w:right w:w="108" w:type="dxa"/>
          </w:tblCellMar>
        </w:tblPrEx>
        <w:trPr>
          <w:trHeight w:val="288" w:hRule="atLeast"/>
        </w:trPr>
        <w:tc>
          <w:tcPr>
            <w:tcW w:w="1631" w:type="dxa"/>
            <w:vMerge w:val="restart"/>
            <w:tcBorders>
              <w:top w:val="single" w:color="auto" w:sz="4" w:space="0"/>
              <w:left w:val="single" w:color="auto" w:sz="4" w:space="0"/>
              <w:bottom w:val="single" w:color="auto" w:sz="4" w:space="0"/>
              <w:right w:val="single" w:color="auto" w:sz="4" w:space="0"/>
            </w:tcBorders>
            <w:noWrap/>
            <w:vAlign w:val="center"/>
          </w:tcPr>
          <w:p w14:paraId="4CB8EDB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高可用性和高安全性</w:t>
            </w:r>
          </w:p>
        </w:tc>
        <w:tc>
          <w:tcPr>
            <w:tcW w:w="6850" w:type="dxa"/>
            <w:tcBorders>
              <w:top w:val="single" w:color="auto" w:sz="4" w:space="0"/>
              <w:left w:val="nil"/>
              <w:bottom w:val="single" w:color="auto" w:sz="4" w:space="0"/>
              <w:right w:val="single" w:color="auto" w:sz="4" w:space="0"/>
            </w:tcBorders>
            <w:noWrap/>
            <w:vAlign w:val="center"/>
          </w:tcPr>
          <w:p w14:paraId="71B8537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支持多租户的使用场景，同时满足多用户协同、数据共享、数据保密和安全需求。</w:t>
            </w:r>
          </w:p>
        </w:tc>
        <w:tc>
          <w:tcPr>
            <w:tcW w:w="1551" w:type="dxa"/>
            <w:tcBorders>
              <w:top w:val="single" w:color="auto" w:sz="4" w:space="0"/>
              <w:left w:val="nil"/>
              <w:bottom w:val="single" w:color="auto" w:sz="4" w:space="0"/>
              <w:right w:val="single" w:color="auto" w:sz="4" w:space="0"/>
            </w:tcBorders>
            <w:noWrap/>
            <w:vAlign w:val="center"/>
          </w:tcPr>
          <w:p w14:paraId="057533E2">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4E85748">
        <w:tblPrEx>
          <w:tblCellMar>
            <w:top w:w="0" w:type="dxa"/>
            <w:left w:w="108" w:type="dxa"/>
            <w:bottom w:w="0" w:type="dxa"/>
            <w:right w:w="108" w:type="dxa"/>
          </w:tblCellMar>
        </w:tblPrEx>
        <w:trPr>
          <w:trHeight w:val="288" w:hRule="atLeast"/>
        </w:trPr>
        <w:tc>
          <w:tcPr>
            <w:tcW w:w="1631" w:type="dxa"/>
            <w:vMerge w:val="continue"/>
            <w:tcBorders>
              <w:top w:val="nil"/>
              <w:left w:val="single" w:color="auto" w:sz="4" w:space="0"/>
              <w:bottom w:val="single" w:color="auto" w:sz="4" w:space="0"/>
              <w:right w:val="single" w:color="auto" w:sz="4" w:space="0"/>
            </w:tcBorders>
            <w:vAlign w:val="center"/>
          </w:tcPr>
          <w:p w14:paraId="7CBBF40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0" w:type="dxa"/>
            <w:tcBorders>
              <w:top w:val="nil"/>
              <w:left w:val="nil"/>
              <w:bottom w:val="single" w:color="auto" w:sz="4" w:space="0"/>
              <w:right w:val="single" w:color="auto" w:sz="4" w:space="0"/>
            </w:tcBorders>
            <w:noWrap/>
            <w:vAlign w:val="center"/>
          </w:tcPr>
          <w:p w14:paraId="4943B696">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多级用户管理机制，数据与运维独立，保证用户数据安全。</w:t>
            </w:r>
          </w:p>
        </w:tc>
        <w:tc>
          <w:tcPr>
            <w:tcW w:w="1551" w:type="dxa"/>
            <w:tcBorders>
              <w:top w:val="nil"/>
              <w:left w:val="nil"/>
              <w:bottom w:val="single" w:color="auto" w:sz="4" w:space="0"/>
              <w:right w:val="single" w:color="auto" w:sz="4" w:space="0"/>
            </w:tcBorders>
            <w:noWrap/>
            <w:vAlign w:val="center"/>
          </w:tcPr>
          <w:p w14:paraId="33AB2002">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686DC6D">
        <w:tblPrEx>
          <w:tblCellMar>
            <w:top w:w="0" w:type="dxa"/>
            <w:left w:w="108" w:type="dxa"/>
            <w:bottom w:w="0" w:type="dxa"/>
            <w:right w:w="108" w:type="dxa"/>
          </w:tblCellMar>
        </w:tblPrEx>
        <w:trPr>
          <w:trHeight w:val="431" w:hRule="atLeast"/>
        </w:trPr>
        <w:tc>
          <w:tcPr>
            <w:tcW w:w="1631" w:type="dxa"/>
            <w:vMerge w:val="restart"/>
            <w:tcBorders>
              <w:top w:val="nil"/>
              <w:left w:val="single" w:color="auto" w:sz="4" w:space="0"/>
              <w:bottom w:val="single" w:color="auto" w:sz="4" w:space="0"/>
              <w:right w:val="single" w:color="auto" w:sz="4" w:space="0"/>
            </w:tcBorders>
            <w:noWrap/>
            <w:vAlign w:val="center"/>
          </w:tcPr>
          <w:p w14:paraId="37FCEFDD">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易用性与人性化</w:t>
            </w:r>
          </w:p>
        </w:tc>
        <w:tc>
          <w:tcPr>
            <w:tcW w:w="6850" w:type="dxa"/>
            <w:tcBorders>
              <w:top w:val="nil"/>
              <w:left w:val="nil"/>
              <w:bottom w:val="single" w:color="auto" w:sz="4" w:space="0"/>
              <w:right w:val="single" w:color="auto" w:sz="4" w:space="0"/>
            </w:tcBorders>
            <w:noWrap/>
            <w:vAlign w:val="center"/>
          </w:tcPr>
          <w:p w14:paraId="672434E5">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图形化的 运维 管理平台，可以全局、租户等多视角观察数据质量情况。</w:t>
            </w:r>
          </w:p>
        </w:tc>
        <w:tc>
          <w:tcPr>
            <w:tcW w:w="1551" w:type="dxa"/>
            <w:tcBorders>
              <w:top w:val="nil"/>
              <w:left w:val="nil"/>
              <w:bottom w:val="single" w:color="auto" w:sz="4" w:space="0"/>
              <w:right w:val="single" w:color="auto" w:sz="4" w:space="0"/>
            </w:tcBorders>
            <w:noWrap/>
            <w:vAlign w:val="center"/>
          </w:tcPr>
          <w:p w14:paraId="718933EA">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21D10A8">
        <w:tblPrEx>
          <w:tblCellMar>
            <w:top w:w="0" w:type="dxa"/>
            <w:left w:w="108" w:type="dxa"/>
            <w:bottom w:w="0" w:type="dxa"/>
            <w:right w:w="108" w:type="dxa"/>
          </w:tblCellMar>
        </w:tblPrEx>
        <w:trPr>
          <w:trHeight w:val="313" w:hRule="atLeast"/>
        </w:trPr>
        <w:tc>
          <w:tcPr>
            <w:tcW w:w="1631" w:type="dxa"/>
            <w:vMerge w:val="continue"/>
            <w:tcBorders>
              <w:top w:val="nil"/>
              <w:left w:val="single" w:color="auto" w:sz="4" w:space="0"/>
              <w:bottom w:val="single" w:color="auto" w:sz="4" w:space="0"/>
              <w:right w:val="single" w:color="auto" w:sz="4" w:space="0"/>
            </w:tcBorders>
            <w:vAlign w:val="center"/>
          </w:tcPr>
          <w:p w14:paraId="52E79FF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0" w:type="dxa"/>
            <w:tcBorders>
              <w:top w:val="nil"/>
              <w:left w:val="nil"/>
              <w:bottom w:val="single" w:color="auto" w:sz="4" w:space="0"/>
              <w:right w:val="single" w:color="auto" w:sz="4" w:space="0"/>
            </w:tcBorders>
            <w:noWrap/>
            <w:vAlign w:val="center"/>
          </w:tcPr>
          <w:p w14:paraId="52927F91">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多种图形化展示分析工具，从多方面分析数据分布情况，以形象生动的图形展示数据血缘关系。</w:t>
            </w:r>
          </w:p>
        </w:tc>
        <w:tc>
          <w:tcPr>
            <w:tcW w:w="1551" w:type="dxa"/>
            <w:tcBorders>
              <w:top w:val="nil"/>
              <w:left w:val="nil"/>
              <w:bottom w:val="single" w:color="auto" w:sz="4" w:space="0"/>
              <w:right w:val="single" w:color="auto" w:sz="4" w:space="0"/>
            </w:tcBorders>
            <w:noWrap/>
            <w:vAlign w:val="center"/>
          </w:tcPr>
          <w:p w14:paraId="23E5CF09">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1AC01941">
        <w:tblPrEx>
          <w:tblCellMar>
            <w:top w:w="0" w:type="dxa"/>
            <w:left w:w="108" w:type="dxa"/>
            <w:bottom w:w="0" w:type="dxa"/>
            <w:right w:w="108" w:type="dxa"/>
          </w:tblCellMar>
        </w:tblPrEx>
        <w:trPr>
          <w:trHeight w:val="288" w:hRule="atLeast"/>
        </w:trPr>
        <w:tc>
          <w:tcPr>
            <w:tcW w:w="1631" w:type="dxa"/>
            <w:vMerge w:val="continue"/>
            <w:tcBorders>
              <w:top w:val="nil"/>
              <w:left w:val="single" w:color="auto" w:sz="4" w:space="0"/>
              <w:bottom w:val="single" w:color="auto" w:sz="4" w:space="0"/>
              <w:right w:val="single" w:color="auto" w:sz="4" w:space="0"/>
            </w:tcBorders>
            <w:vAlign w:val="center"/>
          </w:tcPr>
          <w:p w14:paraId="32C0436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0" w:type="dxa"/>
            <w:tcBorders>
              <w:top w:val="nil"/>
              <w:left w:val="nil"/>
              <w:bottom w:val="single" w:color="auto" w:sz="4" w:space="0"/>
              <w:right w:val="single" w:color="auto" w:sz="4" w:space="0"/>
            </w:tcBorders>
            <w:noWrap/>
            <w:vAlign w:val="center"/>
          </w:tcPr>
          <w:p w14:paraId="259473FD">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自动化的元数据提取机制，尽可能减轻运维人员的工作负担，由系统自动、动态的捕获元数据的变化。</w:t>
            </w:r>
          </w:p>
        </w:tc>
        <w:tc>
          <w:tcPr>
            <w:tcW w:w="1551" w:type="dxa"/>
            <w:tcBorders>
              <w:top w:val="nil"/>
              <w:left w:val="nil"/>
              <w:bottom w:val="single" w:color="auto" w:sz="4" w:space="0"/>
              <w:right w:val="single" w:color="auto" w:sz="4" w:space="0"/>
            </w:tcBorders>
            <w:noWrap/>
            <w:vAlign w:val="center"/>
          </w:tcPr>
          <w:p w14:paraId="748997FD">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4D85F570">
        <w:tblPrEx>
          <w:tblCellMar>
            <w:top w:w="0" w:type="dxa"/>
            <w:left w:w="108" w:type="dxa"/>
            <w:bottom w:w="0" w:type="dxa"/>
            <w:right w:w="108" w:type="dxa"/>
          </w:tblCellMar>
        </w:tblPrEx>
        <w:trPr>
          <w:trHeight w:val="218" w:hRule="atLeast"/>
        </w:trPr>
        <w:tc>
          <w:tcPr>
            <w:tcW w:w="1631" w:type="dxa"/>
            <w:vMerge w:val="continue"/>
            <w:tcBorders>
              <w:top w:val="nil"/>
              <w:left w:val="single" w:color="auto" w:sz="4" w:space="0"/>
              <w:bottom w:val="single" w:color="auto" w:sz="4" w:space="0"/>
              <w:right w:val="single" w:color="auto" w:sz="4" w:space="0"/>
            </w:tcBorders>
            <w:vAlign w:val="center"/>
          </w:tcPr>
          <w:p w14:paraId="57A36BC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0" w:type="dxa"/>
            <w:tcBorders>
              <w:top w:val="nil"/>
              <w:left w:val="nil"/>
              <w:bottom w:val="single" w:color="auto" w:sz="4" w:space="0"/>
              <w:right w:val="single" w:color="auto" w:sz="4" w:space="0"/>
            </w:tcBorders>
            <w:noWrap/>
            <w:vAlign w:val="center"/>
          </w:tcPr>
          <w:p w14:paraId="1DBDA409">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丰富的数据标准模板数据，参考国标和行业标准，预先设置好多个数据标准模板，方便用户根据自身需求进行选择，并可以根据需要自定义模板。</w:t>
            </w:r>
          </w:p>
        </w:tc>
        <w:tc>
          <w:tcPr>
            <w:tcW w:w="1551" w:type="dxa"/>
            <w:tcBorders>
              <w:top w:val="nil"/>
              <w:left w:val="nil"/>
              <w:bottom w:val="single" w:color="auto" w:sz="4" w:space="0"/>
              <w:right w:val="single" w:color="auto" w:sz="4" w:space="0"/>
            </w:tcBorders>
            <w:noWrap/>
            <w:vAlign w:val="center"/>
          </w:tcPr>
          <w:p w14:paraId="6813D1C2">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503ED583">
        <w:tblPrEx>
          <w:tblCellMar>
            <w:top w:w="0" w:type="dxa"/>
            <w:left w:w="108" w:type="dxa"/>
            <w:bottom w:w="0" w:type="dxa"/>
            <w:right w:w="108" w:type="dxa"/>
          </w:tblCellMar>
        </w:tblPrEx>
        <w:trPr>
          <w:trHeight w:val="576" w:hRule="atLeast"/>
        </w:trPr>
        <w:tc>
          <w:tcPr>
            <w:tcW w:w="1631" w:type="dxa"/>
            <w:vMerge w:val="continue"/>
            <w:tcBorders>
              <w:top w:val="nil"/>
              <w:left w:val="single" w:color="auto" w:sz="4" w:space="0"/>
              <w:bottom w:val="single" w:color="auto" w:sz="4" w:space="0"/>
              <w:right w:val="single" w:color="auto" w:sz="4" w:space="0"/>
            </w:tcBorders>
            <w:vAlign w:val="center"/>
          </w:tcPr>
          <w:p w14:paraId="0A8B471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50" w:type="dxa"/>
            <w:tcBorders>
              <w:top w:val="nil"/>
              <w:left w:val="nil"/>
              <w:bottom w:val="single" w:color="auto" w:sz="4" w:space="0"/>
              <w:right w:val="single" w:color="auto" w:sz="4" w:space="0"/>
            </w:tcBorders>
            <w:noWrap/>
            <w:vAlign w:val="center"/>
          </w:tcPr>
          <w:p w14:paraId="19456C1C">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安装部署 简单，仅需简单的几步操作，用户就可以搭建出数据治理平台</w:t>
            </w:r>
          </w:p>
        </w:tc>
        <w:tc>
          <w:tcPr>
            <w:tcW w:w="1551" w:type="dxa"/>
            <w:tcBorders>
              <w:top w:val="nil"/>
              <w:left w:val="nil"/>
              <w:bottom w:val="single" w:color="auto" w:sz="4" w:space="0"/>
              <w:right w:val="single" w:color="auto" w:sz="4" w:space="0"/>
            </w:tcBorders>
            <w:noWrap/>
            <w:vAlign w:val="center"/>
          </w:tcPr>
          <w:p w14:paraId="1BBF8E23">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bl>
    <w:p w14:paraId="19F8D74F">
      <w:pPr>
        <w:snapToGrid w:val="0"/>
        <w:spacing w:line="400" w:lineRule="atLeast"/>
        <w:ind w:firstLine="221" w:firstLineChars="100"/>
        <w:rPr>
          <w:rFonts w:ascii="宋体" w:hAnsi="宋体"/>
          <w:b/>
          <w:color w:val="auto"/>
          <w:sz w:val="22"/>
          <w:szCs w:val="22"/>
          <w:highlight w:val="none"/>
        </w:rPr>
      </w:pPr>
      <w:r>
        <w:rPr>
          <w:rFonts w:hint="eastAsia" w:ascii="宋体" w:hAnsi="宋体"/>
          <w:b/>
          <w:color w:val="auto"/>
          <w:sz w:val="22"/>
          <w:szCs w:val="22"/>
          <w:highlight w:val="none"/>
        </w:rPr>
        <w:t>（3）数据集成服务</w:t>
      </w:r>
    </w:p>
    <w:tbl>
      <w:tblPr>
        <w:tblStyle w:val="46"/>
        <w:tblW w:w="10031" w:type="dxa"/>
        <w:tblInd w:w="0" w:type="dxa"/>
        <w:tblLayout w:type="fixed"/>
        <w:tblCellMar>
          <w:top w:w="0" w:type="dxa"/>
          <w:left w:w="108" w:type="dxa"/>
          <w:bottom w:w="0" w:type="dxa"/>
          <w:right w:w="108" w:type="dxa"/>
        </w:tblCellMar>
      </w:tblPr>
      <w:tblGrid>
        <w:gridCol w:w="1634"/>
        <w:gridCol w:w="6838"/>
        <w:gridCol w:w="1559"/>
      </w:tblGrid>
      <w:tr w14:paraId="49311E94">
        <w:tblPrEx>
          <w:tblCellMar>
            <w:top w:w="0" w:type="dxa"/>
            <w:left w:w="108" w:type="dxa"/>
            <w:bottom w:w="0" w:type="dxa"/>
            <w:right w:w="108" w:type="dxa"/>
          </w:tblCellMar>
        </w:tblPrEx>
        <w:trPr>
          <w:trHeight w:val="312" w:hRule="atLeast"/>
        </w:trPr>
        <w:tc>
          <w:tcPr>
            <w:tcW w:w="1634" w:type="dxa"/>
            <w:tcBorders>
              <w:top w:val="single" w:color="auto" w:sz="4" w:space="0"/>
              <w:left w:val="single" w:color="auto" w:sz="4" w:space="0"/>
              <w:bottom w:val="single" w:color="auto" w:sz="4" w:space="0"/>
              <w:right w:val="single" w:color="auto" w:sz="4" w:space="0"/>
            </w:tcBorders>
            <w:vAlign w:val="center"/>
          </w:tcPr>
          <w:p w14:paraId="6BA601FA">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指标项</w:t>
            </w:r>
          </w:p>
        </w:tc>
        <w:tc>
          <w:tcPr>
            <w:tcW w:w="6838" w:type="dxa"/>
            <w:tcBorders>
              <w:top w:val="single" w:color="auto" w:sz="4" w:space="0"/>
              <w:left w:val="nil"/>
              <w:bottom w:val="single" w:color="auto" w:sz="4" w:space="0"/>
              <w:right w:val="single" w:color="auto" w:sz="4" w:space="0"/>
            </w:tcBorders>
            <w:vAlign w:val="center"/>
          </w:tcPr>
          <w:p w14:paraId="5D2CDFD7">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规格要求</w:t>
            </w:r>
          </w:p>
        </w:tc>
        <w:tc>
          <w:tcPr>
            <w:tcW w:w="1559" w:type="dxa"/>
            <w:tcBorders>
              <w:top w:val="single" w:color="auto" w:sz="4" w:space="0"/>
              <w:left w:val="nil"/>
              <w:bottom w:val="single" w:color="auto" w:sz="4" w:space="0"/>
              <w:right w:val="single" w:color="auto" w:sz="4" w:space="0"/>
            </w:tcBorders>
            <w:vAlign w:val="center"/>
          </w:tcPr>
          <w:p w14:paraId="540D7647">
            <w:pPr>
              <w:keepNext w:val="0"/>
              <w:keepLines w:val="0"/>
              <w:widowControl/>
              <w:suppressLineNumbers w:val="0"/>
              <w:spacing w:before="0" w:beforeAutospacing="0" w:after="0" w:afterAutospacing="0" w:line="360" w:lineRule="atLeas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72ACD96A">
        <w:tblPrEx>
          <w:tblCellMar>
            <w:top w:w="0" w:type="dxa"/>
            <w:left w:w="108" w:type="dxa"/>
            <w:bottom w:w="0" w:type="dxa"/>
            <w:right w:w="108" w:type="dxa"/>
          </w:tblCellMar>
        </w:tblPrEx>
        <w:trPr>
          <w:trHeight w:val="576" w:hRule="atLeast"/>
        </w:trPr>
        <w:tc>
          <w:tcPr>
            <w:tcW w:w="1634" w:type="dxa"/>
            <w:tcBorders>
              <w:top w:val="nil"/>
              <w:left w:val="single" w:color="auto" w:sz="4" w:space="0"/>
              <w:bottom w:val="single" w:color="auto" w:sz="4" w:space="0"/>
              <w:right w:val="single" w:color="auto" w:sz="4" w:space="0"/>
            </w:tcBorders>
            <w:noWrap/>
            <w:vAlign w:val="center"/>
          </w:tcPr>
          <w:p w14:paraId="7C26E078">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分布式架构</w:t>
            </w:r>
          </w:p>
        </w:tc>
        <w:tc>
          <w:tcPr>
            <w:tcW w:w="6838" w:type="dxa"/>
            <w:tcBorders>
              <w:top w:val="nil"/>
              <w:left w:val="nil"/>
              <w:bottom w:val="single" w:color="auto" w:sz="4" w:space="0"/>
              <w:right w:val="single" w:color="auto" w:sz="4" w:space="0"/>
            </w:tcBorders>
            <w:noWrap/>
            <w:vAlign w:val="center"/>
          </w:tcPr>
          <w:p w14:paraId="01034852">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采用分布式架构，支持单节点和集群方式部署，作业会被 拆解成多个任务同时在多个作业节点上运行，支持横向扩展，线性 提升处理性能。</w:t>
            </w:r>
          </w:p>
        </w:tc>
        <w:tc>
          <w:tcPr>
            <w:tcW w:w="1559" w:type="dxa"/>
            <w:tcBorders>
              <w:top w:val="nil"/>
              <w:left w:val="nil"/>
              <w:bottom w:val="single" w:color="auto" w:sz="4" w:space="0"/>
              <w:right w:val="single" w:color="auto" w:sz="4" w:space="0"/>
            </w:tcBorders>
            <w:noWrap/>
            <w:vAlign w:val="center"/>
          </w:tcPr>
          <w:p w14:paraId="7E958597">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4063E97C">
        <w:tblPrEx>
          <w:tblCellMar>
            <w:top w:w="0" w:type="dxa"/>
            <w:left w:w="108" w:type="dxa"/>
            <w:bottom w:w="0" w:type="dxa"/>
            <w:right w:w="108" w:type="dxa"/>
          </w:tblCellMar>
        </w:tblPrEx>
        <w:trPr>
          <w:trHeight w:val="467" w:hRule="atLeast"/>
        </w:trPr>
        <w:tc>
          <w:tcPr>
            <w:tcW w:w="1634" w:type="dxa"/>
            <w:vMerge w:val="restart"/>
            <w:tcBorders>
              <w:top w:val="nil"/>
              <w:left w:val="single" w:color="auto" w:sz="4" w:space="0"/>
              <w:bottom w:val="single" w:color="auto" w:sz="4" w:space="0"/>
              <w:right w:val="single" w:color="auto" w:sz="4" w:space="0"/>
            </w:tcBorders>
            <w:noWrap/>
            <w:vAlign w:val="center"/>
          </w:tcPr>
          <w:p w14:paraId="1EE04360">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多源异构数据转换</w:t>
            </w:r>
          </w:p>
        </w:tc>
        <w:tc>
          <w:tcPr>
            <w:tcW w:w="6838" w:type="dxa"/>
            <w:tcBorders>
              <w:top w:val="nil"/>
              <w:left w:val="nil"/>
              <w:bottom w:val="single" w:color="auto" w:sz="4" w:space="0"/>
              <w:right w:val="single" w:color="auto" w:sz="4" w:space="0"/>
            </w:tcBorders>
            <w:noWrap/>
            <w:vAlign w:val="center"/>
          </w:tcPr>
          <w:p w14:paraId="7B8F9283">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 主流数据库和大数据平台，如Oracle、MySQL、SQL Server、Db2、Sybase、PostgreSQL、Teradata、MongoDB、华为 LibrA、达梦、GBase、PPAS、Kafka、HDFS、HBase、Hive等；</w:t>
            </w:r>
          </w:p>
        </w:tc>
        <w:tc>
          <w:tcPr>
            <w:tcW w:w="1559" w:type="dxa"/>
            <w:tcBorders>
              <w:top w:val="nil"/>
              <w:left w:val="nil"/>
              <w:bottom w:val="single" w:color="auto" w:sz="4" w:space="0"/>
              <w:right w:val="single" w:color="auto" w:sz="4" w:space="0"/>
            </w:tcBorders>
            <w:noWrap/>
            <w:vAlign w:val="center"/>
          </w:tcPr>
          <w:p w14:paraId="4F252DCF">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6F3208FB">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29DE9A9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38" w:type="dxa"/>
            <w:tcBorders>
              <w:top w:val="nil"/>
              <w:left w:val="nil"/>
              <w:bottom w:val="single" w:color="auto" w:sz="4" w:space="0"/>
              <w:right w:val="single" w:color="auto" w:sz="4" w:space="0"/>
            </w:tcBorders>
            <w:noWrap/>
            <w:vAlign w:val="center"/>
          </w:tcPr>
          <w:p w14:paraId="2E71E0C2">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 RDS、DRDS 、MaxCompute、AnalyticDB、DataHub、OTS、OSS等 组件的数据互通；</w:t>
            </w:r>
          </w:p>
        </w:tc>
        <w:tc>
          <w:tcPr>
            <w:tcW w:w="1559" w:type="dxa"/>
            <w:tcBorders>
              <w:top w:val="nil"/>
              <w:left w:val="nil"/>
              <w:bottom w:val="single" w:color="auto" w:sz="4" w:space="0"/>
              <w:right w:val="single" w:color="auto" w:sz="4" w:space="0"/>
            </w:tcBorders>
            <w:noWrap/>
            <w:vAlign w:val="center"/>
          </w:tcPr>
          <w:p w14:paraId="52AD19F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5A6C39E8">
        <w:tblPrEx>
          <w:tblCellMar>
            <w:top w:w="0" w:type="dxa"/>
            <w:left w:w="108" w:type="dxa"/>
            <w:bottom w:w="0" w:type="dxa"/>
            <w:right w:w="108" w:type="dxa"/>
          </w:tblCellMar>
        </w:tblPrEx>
        <w:trPr>
          <w:trHeight w:val="288" w:hRule="atLeast"/>
        </w:trPr>
        <w:tc>
          <w:tcPr>
            <w:tcW w:w="1634" w:type="dxa"/>
            <w:vMerge w:val="continue"/>
            <w:tcBorders>
              <w:top w:val="nil"/>
              <w:left w:val="single" w:color="auto" w:sz="4" w:space="0"/>
              <w:bottom w:val="single" w:color="auto" w:sz="4" w:space="0"/>
              <w:right w:val="single" w:color="auto" w:sz="4" w:space="0"/>
            </w:tcBorders>
            <w:vAlign w:val="center"/>
          </w:tcPr>
          <w:p w14:paraId="62E58AD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38" w:type="dxa"/>
            <w:tcBorders>
              <w:top w:val="nil"/>
              <w:left w:val="nil"/>
              <w:bottom w:val="single" w:color="auto" w:sz="4" w:space="0"/>
              <w:right w:val="single" w:color="auto" w:sz="4" w:space="0"/>
            </w:tcBorders>
            <w:noWrap/>
            <w:vAlign w:val="center"/>
          </w:tcPr>
          <w:p w14:paraId="3A7668FF">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支持文件搬移与文件解析，FileServer 协议支持 SFTP、SMB、FTP、 FTP、OSS等，文件解析支持诸如xml、txt、csv 和 Excel等格式，支持zip包。</w:t>
            </w:r>
          </w:p>
        </w:tc>
        <w:tc>
          <w:tcPr>
            <w:tcW w:w="1559" w:type="dxa"/>
            <w:tcBorders>
              <w:top w:val="nil"/>
              <w:left w:val="nil"/>
              <w:bottom w:val="single" w:color="auto" w:sz="4" w:space="0"/>
              <w:right w:val="single" w:color="auto" w:sz="4" w:space="0"/>
            </w:tcBorders>
            <w:noWrap/>
            <w:vAlign w:val="center"/>
          </w:tcPr>
          <w:p w14:paraId="796AEC6C">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45EA7627">
        <w:tblPrEx>
          <w:tblCellMar>
            <w:top w:w="0" w:type="dxa"/>
            <w:left w:w="108" w:type="dxa"/>
            <w:bottom w:w="0" w:type="dxa"/>
            <w:right w:w="108" w:type="dxa"/>
          </w:tblCellMar>
        </w:tblPrEx>
        <w:trPr>
          <w:trHeight w:val="291" w:hRule="atLeast"/>
        </w:trPr>
        <w:tc>
          <w:tcPr>
            <w:tcW w:w="1634" w:type="dxa"/>
            <w:tcBorders>
              <w:top w:val="nil"/>
              <w:left w:val="single" w:color="auto" w:sz="4" w:space="0"/>
              <w:bottom w:val="single" w:color="auto" w:sz="4" w:space="0"/>
              <w:right w:val="single" w:color="auto" w:sz="4" w:space="0"/>
            </w:tcBorders>
            <w:noWrap/>
            <w:vAlign w:val="center"/>
          </w:tcPr>
          <w:p w14:paraId="4EA5CE4A">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非侵入式数据增量获取</w:t>
            </w:r>
          </w:p>
        </w:tc>
        <w:tc>
          <w:tcPr>
            <w:tcW w:w="6838" w:type="dxa"/>
            <w:tcBorders>
              <w:top w:val="nil"/>
              <w:left w:val="nil"/>
              <w:bottom w:val="single" w:color="auto" w:sz="4" w:space="0"/>
              <w:right w:val="single" w:color="auto" w:sz="4" w:space="0"/>
            </w:tcBorders>
            <w:noWrap/>
            <w:vAlign w:val="center"/>
          </w:tcPr>
          <w:p w14:paraId="76888BFE">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不仅支持数据库表全量（ Full Load ）交换复制和基于时间戳的数据库表增量同步，同时支持非侵入式（Non-intrusive）增量（日志或 CDC 方式）数据同步。数据库日志扫描、CDC 的非侵入式数据增量获取技术，用户无需在应用系统数据库端部署任何“代理（ Agent ）”程序，对应用系统的运行影响为零“ Zero-Footprint ”。</w:t>
            </w:r>
          </w:p>
        </w:tc>
        <w:tc>
          <w:tcPr>
            <w:tcW w:w="1559" w:type="dxa"/>
            <w:tcBorders>
              <w:top w:val="nil"/>
              <w:left w:val="nil"/>
              <w:bottom w:val="single" w:color="auto" w:sz="4" w:space="0"/>
              <w:right w:val="single" w:color="auto" w:sz="4" w:space="0"/>
            </w:tcBorders>
            <w:noWrap/>
            <w:vAlign w:val="center"/>
          </w:tcPr>
          <w:p w14:paraId="61571A8F">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27CB95EC">
        <w:tblPrEx>
          <w:tblCellMar>
            <w:top w:w="0" w:type="dxa"/>
            <w:left w:w="108" w:type="dxa"/>
            <w:bottom w:w="0" w:type="dxa"/>
            <w:right w:w="108" w:type="dxa"/>
          </w:tblCellMar>
        </w:tblPrEx>
        <w:trPr>
          <w:trHeight w:val="288" w:hRule="atLeast"/>
        </w:trPr>
        <w:tc>
          <w:tcPr>
            <w:tcW w:w="1634" w:type="dxa"/>
            <w:tcBorders>
              <w:top w:val="single" w:color="auto" w:sz="4" w:space="0"/>
              <w:left w:val="single" w:color="auto" w:sz="4" w:space="0"/>
              <w:bottom w:val="single" w:color="auto" w:sz="4" w:space="0"/>
              <w:right w:val="single" w:color="auto" w:sz="4" w:space="0"/>
            </w:tcBorders>
            <w:noWrap/>
            <w:vAlign w:val="center"/>
          </w:tcPr>
          <w:p w14:paraId="27CBF13A">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自动建表</w:t>
            </w:r>
          </w:p>
        </w:tc>
        <w:tc>
          <w:tcPr>
            <w:tcW w:w="6838" w:type="dxa"/>
            <w:tcBorders>
              <w:top w:val="single" w:color="auto" w:sz="4" w:space="0"/>
              <w:left w:val="single" w:color="auto" w:sz="4" w:space="0"/>
              <w:bottom w:val="single" w:color="auto" w:sz="4" w:space="0"/>
              <w:right w:val="single" w:color="auto" w:sz="4" w:space="0"/>
            </w:tcBorders>
            <w:noWrap/>
            <w:vAlign w:val="center"/>
          </w:tcPr>
          <w:p w14:paraId="628380FF">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传统方式，当目的数据库未创建数据表时需要手工执行 SQL 语句去创建目的表，效率低而且容易出错；DataBridge 支持异构数据库之间 Web 页面自动建表，字段类型自动匹配，无需手工执行操作过程。</w:t>
            </w:r>
          </w:p>
        </w:tc>
        <w:tc>
          <w:tcPr>
            <w:tcW w:w="1559" w:type="dxa"/>
            <w:tcBorders>
              <w:top w:val="single" w:color="auto" w:sz="4" w:space="0"/>
              <w:left w:val="single" w:color="auto" w:sz="4" w:space="0"/>
              <w:bottom w:val="single" w:color="auto" w:sz="4" w:space="0"/>
              <w:right w:val="single" w:color="auto" w:sz="4" w:space="0"/>
            </w:tcBorders>
            <w:noWrap/>
            <w:vAlign w:val="center"/>
          </w:tcPr>
          <w:p w14:paraId="02B4124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3002D6B4">
        <w:tblPrEx>
          <w:tblCellMar>
            <w:top w:w="0" w:type="dxa"/>
            <w:left w:w="108" w:type="dxa"/>
            <w:bottom w:w="0" w:type="dxa"/>
            <w:right w:w="108" w:type="dxa"/>
          </w:tblCellMar>
        </w:tblPrEx>
        <w:trPr>
          <w:trHeight w:val="431" w:hRule="atLeast"/>
        </w:trPr>
        <w:tc>
          <w:tcPr>
            <w:tcW w:w="1634" w:type="dxa"/>
            <w:vMerge w:val="restart"/>
            <w:tcBorders>
              <w:top w:val="single" w:color="auto" w:sz="4" w:space="0"/>
              <w:left w:val="single" w:color="auto" w:sz="4" w:space="0"/>
              <w:bottom w:val="single" w:color="auto" w:sz="4" w:space="0"/>
              <w:right w:val="single" w:color="auto" w:sz="4" w:space="0"/>
            </w:tcBorders>
            <w:noWrap/>
            <w:vAlign w:val="center"/>
          </w:tcPr>
          <w:p w14:paraId="4B22465A">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数据统计</w:t>
            </w:r>
          </w:p>
        </w:tc>
        <w:tc>
          <w:tcPr>
            <w:tcW w:w="6838" w:type="dxa"/>
            <w:tcBorders>
              <w:top w:val="single" w:color="auto" w:sz="4" w:space="0"/>
              <w:left w:val="nil"/>
              <w:bottom w:val="single" w:color="auto" w:sz="4" w:space="0"/>
              <w:right w:val="single" w:color="auto" w:sz="4" w:space="0"/>
            </w:tcBorders>
            <w:noWrap/>
            <w:vAlign w:val="center"/>
          </w:tcPr>
          <w:p w14:paraId="2153ECA8">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数据统计功能可以方便用户查看转换运行条数信息。</w:t>
            </w:r>
          </w:p>
        </w:tc>
        <w:tc>
          <w:tcPr>
            <w:tcW w:w="1559" w:type="dxa"/>
            <w:tcBorders>
              <w:top w:val="single" w:color="auto" w:sz="4" w:space="0"/>
              <w:left w:val="nil"/>
              <w:bottom w:val="single" w:color="auto" w:sz="4" w:space="0"/>
              <w:right w:val="single" w:color="auto" w:sz="4" w:space="0"/>
            </w:tcBorders>
            <w:noWrap/>
            <w:vAlign w:val="center"/>
          </w:tcPr>
          <w:p w14:paraId="5039AD45">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6D5B97DD">
        <w:tblPrEx>
          <w:tblCellMar>
            <w:top w:w="0" w:type="dxa"/>
            <w:left w:w="108" w:type="dxa"/>
            <w:bottom w:w="0" w:type="dxa"/>
            <w:right w:w="108" w:type="dxa"/>
          </w:tblCellMar>
        </w:tblPrEx>
        <w:trPr>
          <w:trHeight w:val="313" w:hRule="atLeast"/>
        </w:trPr>
        <w:tc>
          <w:tcPr>
            <w:tcW w:w="1634" w:type="dxa"/>
            <w:vMerge w:val="continue"/>
            <w:tcBorders>
              <w:top w:val="nil"/>
              <w:left w:val="single" w:color="auto" w:sz="4" w:space="0"/>
              <w:bottom w:val="single" w:color="auto" w:sz="4" w:space="0"/>
              <w:right w:val="single" w:color="auto" w:sz="4" w:space="0"/>
            </w:tcBorders>
            <w:vAlign w:val="center"/>
          </w:tcPr>
          <w:p w14:paraId="74D53FF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38" w:type="dxa"/>
            <w:tcBorders>
              <w:top w:val="nil"/>
              <w:left w:val="nil"/>
              <w:bottom w:val="single" w:color="auto" w:sz="4" w:space="0"/>
              <w:right w:val="single" w:color="auto" w:sz="4" w:space="0"/>
            </w:tcBorders>
            <w:noWrap/>
            <w:vAlign w:val="center"/>
          </w:tcPr>
          <w:p w14:paraId="62FD547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通过搜索功能，用户可以选择搜索条件（转换名称 / 数据源名称 / 表名）后输入搜索内容并设置时间区间，也可以查看某个时间段的全部转换运行信息。如需导出，单击“导出数据”可将查询结果导出成 csv 文件。</w:t>
            </w:r>
          </w:p>
        </w:tc>
        <w:tc>
          <w:tcPr>
            <w:tcW w:w="1559" w:type="dxa"/>
            <w:tcBorders>
              <w:top w:val="nil"/>
              <w:left w:val="nil"/>
              <w:bottom w:val="single" w:color="auto" w:sz="4" w:space="0"/>
              <w:right w:val="single" w:color="auto" w:sz="4" w:space="0"/>
            </w:tcBorders>
            <w:noWrap/>
            <w:vAlign w:val="center"/>
          </w:tcPr>
          <w:p w14:paraId="6B53034D">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7FF86D47">
        <w:tblPrEx>
          <w:tblCellMar>
            <w:top w:w="0" w:type="dxa"/>
            <w:left w:w="108" w:type="dxa"/>
            <w:bottom w:w="0" w:type="dxa"/>
            <w:right w:w="108" w:type="dxa"/>
          </w:tblCellMar>
        </w:tblPrEx>
        <w:trPr>
          <w:trHeight w:val="313" w:hRule="atLeast"/>
        </w:trPr>
        <w:tc>
          <w:tcPr>
            <w:tcW w:w="1634" w:type="dxa"/>
            <w:vMerge w:val="restart"/>
            <w:tcBorders>
              <w:top w:val="single" w:color="auto" w:sz="4" w:space="0"/>
              <w:left w:val="single" w:color="auto" w:sz="4" w:space="0"/>
              <w:right w:val="single" w:color="auto" w:sz="4" w:space="0"/>
            </w:tcBorders>
            <w:vAlign w:val="center"/>
          </w:tcPr>
          <w:p w14:paraId="660A981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数据对账</w:t>
            </w:r>
          </w:p>
        </w:tc>
        <w:tc>
          <w:tcPr>
            <w:tcW w:w="6838" w:type="dxa"/>
            <w:tcBorders>
              <w:top w:val="single" w:color="auto" w:sz="4" w:space="0"/>
              <w:left w:val="nil"/>
              <w:bottom w:val="single" w:color="auto" w:sz="4" w:space="0"/>
              <w:right w:val="single" w:color="auto" w:sz="4" w:space="0"/>
            </w:tcBorders>
            <w:noWrap/>
            <w:vAlign w:val="center"/>
          </w:tcPr>
          <w:p w14:paraId="34FECB5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数据对账用于查询数据源中某张表的总数据，需要在作业管理“统计” 中进行配置。如需导出，单击“导出数据”可将查询结果导出成 csv 文件。</w:t>
            </w:r>
          </w:p>
        </w:tc>
        <w:tc>
          <w:tcPr>
            <w:tcW w:w="1559" w:type="dxa"/>
            <w:tcBorders>
              <w:top w:val="single" w:color="auto" w:sz="4" w:space="0"/>
              <w:left w:val="nil"/>
              <w:bottom w:val="single" w:color="auto" w:sz="4" w:space="0"/>
              <w:right w:val="single" w:color="auto" w:sz="4" w:space="0"/>
            </w:tcBorders>
            <w:noWrap/>
            <w:vAlign w:val="center"/>
          </w:tcPr>
          <w:p w14:paraId="56FCB550">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6680320C">
        <w:tblPrEx>
          <w:tblCellMar>
            <w:top w:w="0" w:type="dxa"/>
            <w:left w:w="108" w:type="dxa"/>
            <w:bottom w:w="0" w:type="dxa"/>
            <w:right w:w="108" w:type="dxa"/>
          </w:tblCellMar>
        </w:tblPrEx>
        <w:trPr>
          <w:trHeight w:val="313" w:hRule="atLeast"/>
        </w:trPr>
        <w:tc>
          <w:tcPr>
            <w:tcW w:w="1634" w:type="dxa"/>
            <w:vMerge w:val="continue"/>
            <w:tcBorders>
              <w:left w:val="single" w:color="auto" w:sz="4" w:space="0"/>
              <w:bottom w:val="single" w:color="auto" w:sz="4" w:space="0"/>
              <w:right w:val="single" w:color="auto" w:sz="4" w:space="0"/>
            </w:tcBorders>
            <w:vAlign w:val="center"/>
          </w:tcPr>
          <w:p w14:paraId="05ECE5E9">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p>
        </w:tc>
        <w:tc>
          <w:tcPr>
            <w:tcW w:w="6838" w:type="dxa"/>
            <w:tcBorders>
              <w:top w:val="single" w:color="auto" w:sz="4" w:space="0"/>
              <w:left w:val="nil"/>
              <w:bottom w:val="single" w:color="auto" w:sz="4" w:space="0"/>
              <w:right w:val="single" w:color="auto" w:sz="4" w:space="0"/>
            </w:tcBorders>
            <w:noWrap/>
            <w:vAlign w:val="center"/>
          </w:tcPr>
          <w:p w14:paraId="1B9B1AFA">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该功能需要先在作业中配置，统计数据保存插件上游有任意个 ODPS 统计和表条数统计插件，即为数据对账管理列表中的的 step 列。</w:t>
            </w:r>
          </w:p>
        </w:tc>
        <w:tc>
          <w:tcPr>
            <w:tcW w:w="1559" w:type="dxa"/>
            <w:tcBorders>
              <w:top w:val="single" w:color="auto" w:sz="4" w:space="0"/>
              <w:left w:val="nil"/>
              <w:bottom w:val="single" w:color="auto" w:sz="4" w:space="0"/>
              <w:right w:val="single" w:color="auto" w:sz="4" w:space="0"/>
            </w:tcBorders>
            <w:noWrap/>
            <w:vAlign w:val="center"/>
          </w:tcPr>
          <w:p w14:paraId="0DD5F7CB">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54910042">
        <w:tblPrEx>
          <w:tblCellMar>
            <w:top w:w="0" w:type="dxa"/>
            <w:left w:w="108" w:type="dxa"/>
            <w:bottom w:w="0" w:type="dxa"/>
            <w:right w:w="108" w:type="dxa"/>
          </w:tblCellMar>
        </w:tblPrEx>
        <w:trPr>
          <w:trHeight w:val="313" w:hRule="atLeast"/>
        </w:trPr>
        <w:tc>
          <w:tcPr>
            <w:tcW w:w="1634" w:type="dxa"/>
            <w:tcBorders>
              <w:top w:val="single" w:color="auto" w:sz="4" w:space="0"/>
              <w:left w:val="single" w:color="auto" w:sz="4" w:space="0"/>
              <w:bottom w:val="single" w:color="auto" w:sz="4" w:space="0"/>
              <w:right w:val="single" w:color="auto" w:sz="4" w:space="0"/>
            </w:tcBorders>
            <w:vAlign w:val="center"/>
          </w:tcPr>
          <w:p w14:paraId="6621CF8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完全基于 B/S 用户界面、简单易用</w:t>
            </w:r>
          </w:p>
        </w:tc>
        <w:tc>
          <w:tcPr>
            <w:tcW w:w="6838" w:type="dxa"/>
            <w:tcBorders>
              <w:top w:val="single" w:color="auto" w:sz="4" w:space="0"/>
              <w:left w:val="nil"/>
              <w:bottom w:val="single" w:color="auto" w:sz="4" w:space="0"/>
              <w:right w:val="single" w:color="auto" w:sz="4" w:space="0"/>
            </w:tcBorders>
            <w:noWrap/>
            <w:vAlign w:val="center"/>
          </w:tcPr>
          <w:p w14:paraId="6EE9BF98">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屏蔽了复杂的数据操作过程，无需高级 DBA 或技术人员提供咨询或编写不透明的定制脚本代码，通过简单的界面操作，就可实现大部分数据转换整合的应用场景。同时可以根据业务需要周期性对作业进行自动调度，无需人工干预，任务执行情况可通过日志和图表进行查询。</w:t>
            </w:r>
          </w:p>
        </w:tc>
        <w:tc>
          <w:tcPr>
            <w:tcW w:w="1559" w:type="dxa"/>
            <w:tcBorders>
              <w:top w:val="single" w:color="auto" w:sz="4" w:space="0"/>
              <w:left w:val="nil"/>
              <w:bottom w:val="single" w:color="auto" w:sz="4" w:space="0"/>
              <w:right w:val="single" w:color="auto" w:sz="4" w:space="0"/>
            </w:tcBorders>
            <w:noWrap/>
            <w:vAlign w:val="center"/>
          </w:tcPr>
          <w:p w14:paraId="09630EDE">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05DBE9F0">
        <w:tblPrEx>
          <w:tblCellMar>
            <w:top w:w="0" w:type="dxa"/>
            <w:left w:w="108" w:type="dxa"/>
            <w:bottom w:w="0" w:type="dxa"/>
            <w:right w:w="108" w:type="dxa"/>
          </w:tblCellMar>
        </w:tblPrEx>
        <w:trPr>
          <w:trHeight w:val="313" w:hRule="atLeast"/>
        </w:trPr>
        <w:tc>
          <w:tcPr>
            <w:tcW w:w="1634" w:type="dxa"/>
            <w:tcBorders>
              <w:top w:val="single" w:color="auto" w:sz="4" w:space="0"/>
              <w:left w:val="single" w:color="auto" w:sz="4" w:space="0"/>
              <w:bottom w:val="single" w:color="auto" w:sz="4" w:space="0"/>
              <w:right w:val="single" w:color="auto" w:sz="4" w:space="0"/>
            </w:tcBorders>
            <w:vAlign w:val="center"/>
          </w:tcPr>
          <w:p w14:paraId="233C4D07">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多租户管理</w:t>
            </w:r>
          </w:p>
        </w:tc>
        <w:tc>
          <w:tcPr>
            <w:tcW w:w="6838" w:type="dxa"/>
            <w:tcBorders>
              <w:top w:val="single" w:color="auto" w:sz="4" w:space="0"/>
              <w:left w:val="nil"/>
              <w:bottom w:val="single" w:color="auto" w:sz="4" w:space="0"/>
              <w:right w:val="single" w:color="auto" w:sz="4" w:space="0"/>
            </w:tcBorders>
            <w:noWrap/>
            <w:vAlign w:val="center"/>
          </w:tcPr>
          <w:p w14:paraId="3AA91CE1">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支持创建不同租户，用户加入租户以后，可以创建只属于该租户下的数据源、转换和作业等信息。在数据层面，多租户之间数据严格隔离，租户内的用户数据共享。租户内的每个用户都拥有独立的角色和权限，可以独立配置。租户内不同角色的用户，拥有操作租户资源的不同权限。</w:t>
            </w:r>
          </w:p>
        </w:tc>
        <w:tc>
          <w:tcPr>
            <w:tcW w:w="1559" w:type="dxa"/>
            <w:tcBorders>
              <w:top w:val="single" w:color="auto" w:sz="4" w:space="0"/>
              <w:left w:val="nil"/>
              <w:bottom w:val="single" w:color="auto" w:sz="4" w:space="0"/>
              <w:right w:val="single" w:color="auto" w:sz="4" w:space="0"/>
            </w:tcBorders>
            <w:noWrap/>
            <w:vAlign w:val="center"/>
          </w:tcPr>
          <w:p w14:paraId="3A55154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r w14:paraId="4995AA49">
        <w:tblPrEx>
          <w:tblCellMar>
            <w:top w:w="0" w:type="dxa"/>
            <w:left w:w="108" w:type="dxa"/>
            <w:bottom w:w="0" w:type="dxa"/>
            <w:right w:w="108" w:type="dxa"/>
          </w:tblCellMar>
        </w:tblPrEx>
        <w:trPr>
          <w:trHeight w:val="313" w:hRule="atLeast"/>
        </w:trPr>
        <w:tc>
          <w:tcPr>
            <w:tcW w:w="1634" w:type="dxa"/>
            <w:tcBorders>
              <w:top w:val="single" w:color="auto" w:sz="4" w:space="0"/>
              <w:left w:val="single" w:color="auto" w:sz="4" w:space="0"/>
              <w:bottom w:val="single" w:color="auto" w:sz="4" w:space="0"/>
              <w:right w:val="single" w:color="auto" w:sz="4" w:space="0"/>
            </w:tcBorders>
            <w:vAlign w:val="center"/>
          </w:tcPr>
          <w:p w14:paraId="690715F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高性能 高可靠</w:t>
            </w:r>
          </w:p>
        </w:tc>
        <w:tc>
          <w:tcPr>
            <w:tcW w:w="6838" w:type="dxa"/>
            <w:tcBorders>
              <w:top w:val="single" w:color="auto" w:sz="4" w:space="0"/>
              <w:left w:val="nil"/>
              <w:bottom w:val="single" w:color="auto" w:sz="4" w:space="0"/>
              <w:right w:val="single" w:color="auto" w:sz="4" w:space="0"/>
            </w:tcBorders>
            <w:noWrap/>
            <w:vAlign w:val="center"/>
          </w:tcPr>
          <w:p w14:paraId="4F8EB821">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基于分布式任务的技术架构，多线程并行流式处理，单节点数据传输 性能可达60M B /s 以上 ，单节点TPS最高可达 3 0 万，并可以通过增加作业节点提升整体处理性能。管控 节点及作业节点均为多节点部署，单点故障的情况下，对整体集群不产生任何影响。任务断点续传和自动回滚功能，有效保证了整体作业的高可靠。</w:t>
            </w:r>
          </w:p>
        </w:tc>
        <w:tc>
          <w:tcPr>
            <w:tcW w:w="1559" w:type="dxa"/>
            <w:tcBorders>
              <w:top w:val="single" w:color="auto" w:sz="4" w:space="0"/>
              <w:left w:val="nil"/>
              <w:bottom w:val="single" w:color="auto" w:sz="4" w:space="0"/>
              <w:right w:val="single" w:color="auto" w:sz="4" w:space="0"/>
            </w:tcBorders>
            <w:noWrap/>
            <w:vAlign w:val="center"/>
          </w:tcPr>
          <w:p w14:paraId="447F1B54">
            <w:pPr>
              <w:keepNext w:val="0"/>
              <w:keepLines w:val="0"/>
              <w:widowControl/>
              <w:suppressLineNumbers w:val="0"/>
              <w:spacing w:before="0" w:beforeAutospacing="0" w:after="0" w:afterAutospacing="0" w:line="360" w:lineRule="atLeast"/>
              <w:ind w:left="0" w:right="0"/>
              <w:rPr>
                <w:rFonts w:hint="default" w:ascii="宋体" w:hAnsi="宋体" w:cs="宋体"/>
                <w:color w:val="auto"/>
                <w:kern w:val="0"/>
                <w:sz w:val="22"/>
                <w:szCs w:val="22"/>
                <w:highlight w:val="none"/>
              </w:rPr>
            </w:pPr>
          </w:p>
        </w:tc>
      </w:tr>
    </w:tbl>
    <w:p w14:paraId="393637B0">
      <w:pPr>
        <w:snapToGrid w:val="0"/>
        <w:spacing w:line="400" w:lineRule="atLeast"/>
        <w:rPr>
          <w:rFonts w:ascii="宋体" w:hAnsi="宋体"/>
          <w:b/>
          <w:color w:val="auto"/>
          <w:sz w:val="22"/>
          <w:szCs w:val="22"/>
          <w:highlight w:val="none"/>
        </w:rPr>
      </w:pPr>
      <w:r>
        <w:rPr>
          <w:rFonts w:hint="eastAsia" w:ascii="宋体" w:hAnsi="宋体"/>
          <w:b/>
          <w:color w:val="auto"/>
          <w:sz w:val="22"/>
          <w:szCs w:val="22"/>
          <w:highlight w:val="none"/>
        </w:rPr>
        <w:t>5、云基础设施服务要求</w:t>
      </w:r>
    </w:p>
    <w:p w14:paraId="0941A580">
      <w:pPr>
        <w:spacing w:line="400" w:lineRule="atLeas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（1）IDC机房</w:t>
      </w:r>
    </w:p>
    <w:p w14:paraId="51B8DEC6">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提供的政务云专用机房面积不小于300平方，且为完全独立空间、独立门禁，不得同时提供其他非电子政务类云托管业务，要求机房托管业务获得国内信息安全管理体系认证。机房供电保障系统需配置保障油机1500KWA或更高的规格，并实现油机1+1备份、不间断电源系统需配置400KVA（1+1）或更高的UPS规格，机房基础安全设施需配置管网式气体消防、早期烟雾告警、门禁系统等系统。</w:t>
      </w:r>
    </w:p>
    <w:p w14:paraId="68805420">
      <w:pPr>
        <w:spacing w:line="400" w:lineRule="atLeas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（2）网络支撑</w:t>
      </w:r>
    </w:p>
    <w:p w14:paraId="27D54E66">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供应商应具有对全市党政单位、企事业单位、乡镇、行政村（社区）等接入单位的完整网络覆盖能力。网络线路要求自用户提出需求起７个工作日完成施工，若无法竣工，采购人有权选择使用其他电信运营商提供的网络。</w:t>
      </w:r>
    </w:p>
    <w:p w14:paraId="2D2416FA">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u w:val="thick"/>
        </w:rPr>
        <w:t>投标供应商必须承诺其提供的IDC机房接受其他电信运营商的网络接入</w:t>
      </w:r>
      <w:r>
        <w:rPr>
          <w:rFonts w:hint="eastAsia" w:ascii="宋体" w:hAnsi="宋体" w:cs="宋体"/>
          <w:color w:val="auto"/>
          <w:sz w:val="22"/>
          <w:szCs w:val="22"/>
          <w:highlight w:val="none"/>
        </w:rPr>
        <w:t>。</w:t>
      </w:r>
    </w:p>
    <w:p w14:paraId="60DFEF7B">
      <w:pPr>
        <w:snapToGrid w:val="0"/>
        <w:spacing w:line="400" w:lineRule="atLeast"/>
        <w:rPr>
          <w:rFonts w:ascii="宋体" w:hAnsi="宋体"/>
          <w:b/>
          <w:color w:val="auto"/>
          <w:sz w:val="22"/>
          <w:szCs w:val="22"/>
          <w:highlight w:val="none"/>
        </w:rPr>
      </w:pPr>
      <w:r>
        <w:rPr>
          <w:rFonts w:hint="eastAsia" w:ascii="宋体" w:hAnsi="宋体"/>
          <w:b/>
          <w:color w:val="auto"/>
          <w:sz w:val="22"/>
          <w:szCs w:val="22"/>
          <w:highlight w:val="none"/>
        </w:rPr>
        <w:t>6、云管系统要求</w:t>
      </w:r>
    </w:p>
    <w:p w14:paraId="08495DA6">
      <w:pPr>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满足租户对订购的云资源清单、性能、运行状态查询导出功能，具备与内跑平台资源开通流程进行对接。</w:t>
      </w:r>
    </w:p>
    <w:tbl>
      <w:tblPr>
        <w:tblStyle w:val="46"/>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869"/>
        <w:gridCol w:w="1438"/>
      </w:tblGrid>
      <w:tr w14:paraId="114A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629" w:type="dxa"/>
            <w:vAlign w:val="center"/>
          </w:tcPr>
          <w:p w14:paraId="0074B260">
            <w:pPr>
              <w:keepNext w:val="0"/>
              <w:keepLines w:val="0"/>
              <w:widowControl/>
              <w:suppressLineNumbers w:val="0"/>
              <w:spacing w:before="0" w:beforeAutospacing="0" w:after="0" w:afterAutospacing="0" w:line="360" w:lineRule="atLeast"/>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rPr>
              <w:t>功能项</w:t>
            </w:r>
          </w:p>
        </w:tc>
        <w:tc>
          <w:tcPr>
            <w:tcW w:w="6869" w:type="dxa"/>
            <w:vAlign w:val="center"/>
          </w:tcPr>
          <w:p w14:paraId="58978EA4">
            <w:pPr>
              <w:keepNext w:val="0"/>
              <w:keepLines w:val="0"/>
              <w:widowControl/>
              <w:suppressLineNumbers w:val="0"/>
              <w:spacing w:before="0" w:beforeAutospacing="0" w:after="0" w:afterAutospacing="0" w:line="360" w:lineRule="atLeast"/>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rPr>
              <w:t>要求</w:t>
            </w:r>
          </w:p>
        </w:tc>
        <w:tc>
          <w:tcPr>
            <w:tcW w:w="1438" w:type="dxa"/>
            <w:vAlign w:val="center"/>
          </w:tcPr>
          <w:p w14:paraId="5BDE8234">
            <w:pPr>
              <w:keepNext w:val="0"/>
              <w:keepLines w:val="0"/>
              <w:widowControl/>
              <w:suppressLineNumbers w:val="0"/>
              <w:spacing w:before="0" w:beforeAutospacing="0" w:after="0" w:afterAutospacing="0" w:line="360" w:lineRule="atLeast"/>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rPr>
              <w:t>备注</w:t>
            </w:r>
          </w:p>
        </w:tc>
      </w:tr>
      <w:tr w14:paraId="69FF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629" w:type="dxa"/>
            <w:vAlign w:val="center"/>
          </w:tcPr>
          <w:p w14:paraId="44430BE1">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系统管理</w:t>
            </w:r>
          </w:p>
        </w:tc>
        <w:tc>
          <w:tcPr>
            <w:tcW w:w="6869" w:type="dxa"/>
            <w:vAlign w:val="center"/>
          </w:tcPr>
          <w:p w14:paraId="4555369D">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组织管理，角色管理，人员管理，界面管理</w:t>
            </w:r>
          </w:p>
        </w:tc>
        <w:tc>
          <w:tcPr>
            <w:tcW w:w="1438" w:type="dxa"/>
            <w:vAlign w:val="center"/>
          </w:tcPr>
          <w:p w14:paraId="22FAACA2">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p>
        </w:tc>
      </w:tr>
      <w:tr w14:paraId="5238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629" w:type="dxa"/>
            <w:vAlign w:val="center"/>
          </w:tcPr>
          <w:p w14:paraId="0BAD8C3B">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账单管理</w:t>
            </w:r>
          </w:p>
        </w:tc>
        <w:tc>
          <w:tcPr>
            <w:tcW w:w="6869" w:type="dxa"/>
            <w:vAlign w:val="center"/>
          </w:tcPr>
          <w:p w14:paraId="56F458A4">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账单查询，账单统计，账单导出。账单确认</w:t>
            </w:r>
          </w:p>
        </w:tc>
        <w:tc>
          <w:tcPr>
            <w:tcW w:w="1438" w:type="dxa"/>
            <w:vAlign w:val="center"/>
          </w:tcPr>
          <w:p w14:paraId="3F86A6B2">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p>
        </w:tc>
      </w:tr>
      <w:tr w14:paraId="788D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629" w:type="dxa"/>
            <w:vAlign w:val="center"/>
          </w:tcPr>
          <w:p w14:paraId="02B4D40B">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实例查询</w:t>
            </w:r>
          </w:p>
        </w:tc>
        <w:tc>
          <w:tcPr>
            <w:tcW w:w="6869" w:type="dxa"/>
            <w:vAlign w:val="center"/>
          </w:tcPr>
          <w:p w14:paraId="0A24D7DB">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云应用服务，云安全服务--统一基础安全服务，云安全服务--自主安全服务</w:t>
            </w:r>
          </w:p>
        </w:tc>
        <w:tc>
          <w:tcPr>
            <w:tcW w:w="1438" w:type="dxa"/>
            <w:vAlign w:val="center"/>
          </w:tcPr>
          <w:p w14:paraId="1B9E054B">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p>
        </w:tc>
      </w:tr>
      <w:tr w14:paraId="1BF9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629" w:type="dxa"/>
            <w:vAlign w:val="center"/>
          </w:tcPr>
          <w:p w14:paraId="2E02E8AD">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首页优化</w:t>
            </w:r>
          </w:p>
        </w:tc>
        <w:tc>
          <w:tcPr>
            <w:tcW w:w="6869" w:type="dxa"/>
            <w:vAlign w:val="center"/>
          </w:tcPr>
          <w:p w14:paraId="60522EE9">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首页展示，模块互换，费用展示，资源使用</w:t>
            </w:r>
          </w:p>
        </w:tc>
        <w:tc>
          <w:tcPr>
            <w:tcW w:w="1438" w:type="dxa"/>
            <w:vAlign w:val="center"/>
          </w:tcPr>
          <w:p w14:paraId="61314A68">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p>
        </w:tc>
      </w:tr>
      <w:tr w14:paraId="0F88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629" w:type="dxa"/>
            <w:vAlign w:val="center"/>
          </w:tcPr>
          <w:p w14:paraId="64075E0E">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任务订单</w:t>
            </w:r>
          </w:p>
        </w:tc>
        <w:tc>
          <w:tcPr>
            <w:tcW w:w="6869" w:type="dxa"/>
            <w:vAlign w:val="center"/>
          </w:tcPr>
          <w:p w14:paraId="45BD2535">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工作台，任务列表</w:t>
            </w:r>
          </w:p>
        </w:tc>
        <w:tc>
          <w:tcPr>
            <w:tcW w:w="1438" w:type="dxa"/>
            <w:vAlign w:val="center"/>
          </w:tcPr>
          <w:p w14:paraId="546AF8AA">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p>
        </w:tc>
      </w:tr>
    </w:tbl>
    <w:p w14:paraId="2937E8BF">
      <w:pPr>
        <w:snapToGrid w:val="0"/>
        <w:spacing w:line="400" w:lineRule="atLeast"/>
        <w:rPr>
          <w:rFonts w:ascii="宋体" w:hAnsi="宋体"/>
          <w:b/>
          <w:color w:val="auto"/>
          <w:sz w:val="22"/>
          <w:szCs w:val="22"/>
          <w:highlight w:val="none"/>
        </w:rPr>
      </w:pPr>
      <w:r>
        <w:rPr>
          <w:rFonts w:hint="eastAsia" w:ascii="宋体" w:hAnsi="宋体"/>
          <w:b/>
          <w:color w:val="auto"/>
          <w:sz w:val="22"/>
          <w:szCs w:val="22"/>
          <w:highlight w:val="none"/>
        </w:rPr>
        <w:t>7、异地备份服务要求</w:t>
      </w:r>
    </w:p>
    <w:tbl>
      <w:tblPr>
        <w:tblStyle w:val="46"/>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6857"/>
        <w:gridCol w:w="1452"/>
      </w:tblGrid>
      <w:tr w14:paraId="1E4B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1627" w:type="dxa"/>
            <w:vAlign w:val="center"/>
          </w:tcPr>
          <w:p w14:paraId="2D9FA6D2">
            <w:pPr>
              <w:keepNext w:val="0"/>
              <w:keepLines w:val="0"/>
              <w:widowControl/>
              <w:suppressLineNumbers w:val="0"/>
              <w:spacing w:before="0" w:beforeAutospacing="0" w:after="0" w:afterAutospacing="0" w:line="360" w:lineRule="atLeast"/>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rPr>
              <w:t>指标项</w:t>
            </w:r>
          </w:p>
        </w:tc>
        <w:tc>
          <w:tcPr>
            <w:tcW w:w="6857" w:type="dxa"/>
            <w:vAlign w:val="center"/>
          </w:tcPr>
          <w:p w14:paraId="167DA363">
            <w:pPr>
              <w:keepNext w:val="0"/>
              <w:keepLines w:val="0"/>
              <w:widowControl/>
              <w:suppressLineNumbers w:val="0"/>
              <w:spacing w:before="0" w:beforeAutospacing="0" w:after="0" w:afterAutospacing="0" w:line="360" w:lineRule="atLeast"/>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rPr>
              <w:t>要求</w:t>
            </w:r>
          </w:p>
        </w:tc>
        <w:tc>
          <w:tcPr>
            <w:tcW w:w="1452" w:type="dxa"/>
            <w:vAlign w:val="center"/>
          </w:tcPr>
          <w:p w14:paraId="78E0E45F">
            <w:pPr>
              <w:keepNext w:val="0"/>
              <w:keepLines w:val="0"/>
              <w:widowControl/>
              <w:suppressLineNumbers w:val="0"/>
              <w:spacing w:before="0" w:beforeAutospacing="0" w:after="0" w:afterAutospacing="0" w:line="360" w:lineRule="atLeast"/>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rPr>
              <w:t>备注</w:t>
            </w:r>
          </w:p>
        </w:tc>
      </w:tr>
      <w:tr w14:paraId="5CD7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27" w:type="dxa"/>
            <w:vMerge w:val="restart"/>
            <w:vAlign w:val="center"/>
          </w:tcPr>
          <w:p w14:paraId="2B0B35BD">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远程复制</w:t>
            </w:r>
          </w:p>
        </w:tc>
        <w:tc>
          <w:tcPr>
            <w:tcW w:w="6857" w:type="dxa"/>
            <w:vAlign w:val="center"/>
          </w:tcPr>
          <w:p w14:paraId="117552DF">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支持catalog、备份集等备份数据的异地容灾，即通过异地存储的备份数据，对本地、异地中备份服务器、存储服务器、代理端等设备，实现在本机或异机上进行恢复</w:t>
            </w:r>
          </w:p>
        </w:tc>
        <w:tc>
          <w:tcPr>
            <w:tcW w:w="1452" w:type="dxa"/>
            <w:vAlign w:val="center"/>
          </w:tcPr>
          <w:p w14:paraId="17C90794">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p>
        </w:tc>
      </w:tr>
      <w:tr w14:paraId="585D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27" w:type="dxa"/>
            <w:vMerge w:val="continue"/>
            <w:vAlign w:val="center"/>
          </w:tcPr>
          <w:p w14:paraId="4D47100F">
            <w:pPr>
              <w:keepNext w:val="0"/>
              <w:keepLines w:val="0"/>
              <w:widowControl/>
              <w:suppressLineNumbers w:val="0"/>
              <w:spacing w:before="0" w:beforeAutospacing="0" w:after="0" w:afterAutospacing="0" w:line="360" w:lineRule="atLeast"/>
              <w:ind w:left="0" w:right="0"/>
              <w:jc w:val="center"/>
              <w:rPr>
                <w:rFonts w:hint="default" w:ascii="宋体" w:hAnsi="宋体"/>
                <w:color w:val="auto"/>
                <w:kern w:val="0"/>
                <w:sz w:val="22"/>
                <w:szCs w:val="22"/>
                <w:highlight w:val="none"/>
              </w:rPr>
            </w:pPr>
          </w:p>
        </w:tc>
        <w:tc>
          <w:tcPr>
            <w:tcW w:w="6857" w:type="dxa"/>
            <w:vAlign w:val="center"/>
          </w:tcPr>
          <w:p w14:paraId="7DA615F2">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支持备份任务执行时，采用接龙式的点到点复制方式，实现备份集在存储服务器中的多份同步复制，避免源端服务器在备份集进行1对多并发复制时造成的占用多倍传输资源。</w:t>
            </w:r>
          </w:p>
        </w:tc>
        <w:tc>
          <w:tcPr>
            <w:tcW w:w="1452" w:type="dxa"/>
            <w:vAlign w:val="center"/>
          </w:tcPr>
          <w:p w14:paraId="4C876FC3">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p>
        </w:tc>
      </w:tr>
      <w:tr w14:paraId="70DF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27" w:type="dxa"/>
            <w:vAlign w:val="center"/>
          </w:tcPr>
          <w:p w14:paraId="700DDB8D">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数据加密</w:t>
            </w:r>
          </w:p>
        </w:tc>
        <w:tc>
          <w:tcPr>
            <w:tcW w:w="6857" w:type="dxa"/>
            <w:vAlign w:val="center"/>
          </w:tcPr>
          <w:p w14:paraId="033A07E2">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支持AES、Blowfish等加密算法。对于AES加密需要支持选择不同密钥长度，以便用户根据源端计算资源情况选择合适的数据加密处理。</w:t>
            </w:r>
          </w:p>
        </w:tc>
        <w:tc>
          <w:tcPr>
            <w:tcW w:w="1452" w:type="dxa"/>
            <w:vAlign w:val="center"/>
          </w:tcPr>
          <w:p w14:paraId="324DB8E2">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p>
        </w:tc>
      </w:tr>
      <w:tr w14:paraId="41FB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627" w:type="dxa"/>
            <w:vAlign w:val="center"/>
          </w:tcPr>
          <w:p w14:paraId="1FB2EC3E">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云端存储</w:t>
            </w:r>
          </w:p>
        </w:tc>
        <w:tc>
          <w:tcPr>
            <w:tcW w:w="6857" w:type="dxa"/>
            <w:vAlign w:val="center"/>
          </w:tcPr>
          <w:p w14:paraId="01EB99D1">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r>
              <w:rPr>
                <w:rFonts w:hint="eastAsia" w:ascii="宋体" w:hAnsi="宋体"/>
                <w:color w:val="auto"/>
                <w:kern w:val="0"/>
                <w:sz w:val="22"/>
                <w:szCs w:val="22"/>
                <w:highlight w:val="none"/>
              </w:rPr>
              <w:t>基于对象存储技术，支持采用D2C方式，把本地数据备份到云平台，实现本地与云端数据的协同保护。</w:t>
            </w:r>
          </w:p>
        </w:tc>
        <w:tc>
          <w:tcPr>
            <w:tcW w:w="1452" w:type="dxa"/>
            <w:vAlign w:val="center"/>
          </w:tcPr>
          <w:p w14:paraId="109F1ECE">
            <w:pPr>
              <w:keepNext w:val="0"/>
              <w:keepLines w:val="0"/>
              <w:widowControl/>
              <w:suppressLineNumbers w:val="0"/>
              <w:spacing w:before="0" w:beforeAutospacing="0" w:after="0" w:afterAutospacing="0" w:line="360" w:lineRule="atLeast"/>
              <w:ind w:left="0" w:right="0"/>
              <w:jc w:val="left"/>
              <w:rPr>
                <w:rFonts w:hint="default" w:ascii="宋体" w:hAnsi="宋体"/>
                <w:color w:val="auto"/>
                <w:kern w:val="0"/>
                <w:sz w:val="22"/>
                <w:szCs w:val="22"/>
                <w:highlight w:val="none"/>
              </w:rPr>
            </w:pPr>
          </w:p>
        </w:tc>
      </w:tr>
    </w:tbl>
    <w:p w14:paraId="199A40B0">
      <w:pPr>
        <w:snapToGrid w:val="0"/>
        <w:spacing w:line="400" w:lineRule="atLeast"/>
        <w:rPr>
          <w:rFonts w:ascii="宋体" w:hAnsi="宋体"/>
          <w:b/>
          <w:color w:val="auto"/>
          <w:sz w:val="22"/>
          <w:szCs w:val="22"/>
          <w:highlight w:val="none"/>
        </w:rPr>
      </w:pPr>
      <w:r>
        <w:rPr>
          <w:rFonts w:hint="eastAsia" w:ascii="宋体" w:hAnsi="宋体"/>
          <w:b/>
          <w:color w:val="auto"/>
          <w:sz w:val="22"/>
          <w:szCs w:val="22"/>
          <w:highlight w:val="none"/>
        </w:rPr>
        <w:t>（六）云技术支持服务要求</w:t>
      </w:r>
    </w:p>
    <w:p w14:paraId="4ADD9FCD">
      <w:pPr>
        <w:spacing w:line="400" w:lineRule="atLeast"/>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1</w:t>
      </w:r>
      <w:r>
        <w:rPr>
          <w:rFonts w:ascii="宋体" w:hAnsi="宋体"/>
          <w:color w:val="auto"/>
          <w:sz w:val="22"/>
          <w:szCs w:val="22"/>
          <w:highlight w:val="none"/>
        </w:rPr>
        <w:t>）应用迁移咨询服务</w:t>
      </w:r>
    </w:p>
    <w:p w14:paraId="125E4B7C">
      <w:pPr>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投标</w:t>
      </w:r>
      <w:r>
        <w:rPr>
          <w:rFonts w:hint="eastAsia" w:ascii="宋体" w:hAnsi="宋体"/>
          <w:color w:val="auto"/>
          <w:sz w:val="22"/>
          <w:szCs w:val="22"/>
          <w:highlight w:val="none"/>
        </w:rPr>
        <w:t>供应商</w:t>
      </w:r>
      <w:r>
        <w:rPr>
          <w:rFonts w:ascii="宋体" w:hAnsi="宋体"/>
          <w:color w:val="auto"/>
          <w:sz w:val="22"/>
          <w:szCs w:val="22"/>
          <w:highlight w:val="none"/>
        </w:rPr>
        <w:t>应制定云平台应用开发及迁移部署规范、关系型数据库使用规范、政务云安全防护体系等规范标准，协助各级部门进行云应用开发，配合做好所有业务应用系统的部署、运行和安全保障。</w:t>
      </w:r>
    </w:p>
    <w:p w14:paraId="146506FD">
      <w:pPr>
        <w:spacing w:line="400" w:lineRule="atLeast"/>
        <w:rPr>
          <w:rFonts w:ascii="宋体" w:hAnsi="宋体"/>
          <w:color w:val="auto"/>
          <w:sz w:val="22"/>
          <w:szCs w:val="22"/>
          <w:highlight w:val="none"/>
        </w:rPr>
      </w:pPr>
      <w:r>
        <w:rPr>
          <w:rFonts w:ascii="宋体" w:hAnsi="宋体"/>
          <w:color w:val="auto"/>
          <w:sz w:val="22"/>
          <w:szCs w:val="22"/>
          <w:highlight w:val="none"/>
        </w:rPr>
        <w:t>投标</w:t>
      </w:r>
      <w:r>
        <w:rPr>
          <w:rFonts w:hint="eastAsia" w:ascii="宋体" w:hAnsi="宋体"/>
          <w:color w:val="auto"/>
          <w:sz w:val="22"/>
          <w:szCs w:val="22"/>
          <w:highlight w:val="none"/>
        </w:rPr>
        <w:t>供应商</w:t>
      </w:r>
      <w:r>
        <w:rPr>
          <w:rFonts w:ascii="宋体" w:hAnsi="宋体"/>
          <w:color w:val="auto"/>
          <w:sz w:val="22"/>
          <w:szCs w:val="22"/>
          <w:highlight w:val="none"/>
        </w:rPr>
        <w:t>应承诺在项目服务期内，针对上云的业务应用提供架构设计咨询，对采购人指定的云业务系统进行统筹规划，指导业务系统的原软件开发商进行代码修改和系统部署，在系统迁移部署提供非代码级别的迁移支持服务。</w:t>
      </w:r>
    </w:p>
    <w:p w14:paraId="45CDBBFA">
      <w:pPr>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投标</w:t>
      </w:r>
      <w:r>
        <w:rPr>
          <w:rFonts w:hint="eastAsia" w:ascii="宋体" w:hAnsi="宋体"/>
          <w:color w:val="auto"/>
          <w:sz w:val="22"/>
          <w:szCs w:val="22"/>
          <w:highlight w:val="none"/>
        </w:rPr>
        <w:t>供应商</w:t>
      </w:r>
      <w:r>
        <w:rPr>
          <w:rFonts w:ascii="宋体" w:hAnsi="宋体"/>
          <w:color w:val="auto"/>
          <w:sz w:val="22"/>
          <w:szCs w:val="22"/>
          <w:highlight w:val="none"/>
        </w:rPr>
        <w:t xml:space="preserve">应配合采购人对现业务系统进行调查摸底，根据实际情况配合制定迁移方案，配合各业务部门做好应用迁移工作，确保平稳过渡、顺利迁移。 </w:t>
      </w:r>
    </w:p>
    <w:p w14:paraId="316A0F99">
      <w:pPr>
        <w:spacing w:line="400" w:lineRule="atLeast"/>
        <w:rPr>
          <w:rFonts w:ascii="宋体" w:hAnsi="宋体"/>
          <w:color w:val="auto"/>
          <w:sz w:val="22"/>
          <w:szCs w:val="22"/>
          <w:highlight w:val="none"/>
        </w:rPr>
      </w:pPr>
      <w:r>
        <w:rPr>
          <w:rFonts w:ascii="宋体" w:hAnsi="宋体"/>
          <w:color w:val="auto"/>
          <w:sz w:val="22"/>
          <w:szCs w:val="22"/>
          <w:highlight w:val="none"/>
        </w:rPr>
        <w:t>具体服务要求如下：</w:t>
      </w:r>
    </w:p>
    <w:tbl>
      <w:tblPr>
        <w:tblStyle w:val="46"/>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6643"/>
        <w:gridCol w:w="1454"/>
      </w:tblGrid>
      <w:tr w14:paraId="66E9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39" w:type="dxa"/>
            <w:tcBorders>
              <w:top w:val="single" w:color="auto" w:sz="4" w:space="0"/>
              <w:left w:val="single" w:color="auto" w:sz="4" w:space="0"/>
              <w:bottom w:val="single" w:color="auto" w:sz="4" w:space="0"/>
              <w:right w:val="single" w:color="auto" w:sz="4" w:space="0"/>
            </w:tcBorders>
            <w:noWrap/>
            <w:vAlign w:val="center"/>
          </w:tcPr>
          <w:p w14:paraId="0A8028ED">
            <w:pPr>
              <w:keepNext w:val="0"/>
              <w:keepLines w:val="0"/>
              <w:suppressLineNumbers w:val="0"/>
              <w:snapToGrid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指标项</w:t>
            </w:r>
          </w:p>
        </w:tc>
        <w:tc>
          <w:tcPr>
            <w:tcW w:w="6643" w:type="dxa"/>
            <w:tcBorders>
              <w:top w:val="single" w:color="auto" w:sz="4" w:space="0"/>
              <w:left w:val="single" w:color="auto" w:sz="4" w:space="0"/>
              <w:bottom w:val="single" w:color="auto" w:sz="4" w:space="0"/>
              <w:right w:val="single" w:color="auto" w:sz="4" w:space="0"/>
            </w:tcBorders>
            <w:noWrap/>
            <w:vAlign w:val="center"/>
          </w:tcPr>
          <w:p w14:paraId="1C7FC79F">
            <w:pPr>
              <w:keepNext w:val="0"/>
              <w:keepLines w:val="0"/>
              <w:suppressLineNumbers w:val="0"/>
              <w:snapToGrid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服务要求</w:t>
            </w:r>
          </w:p>
        </w:tc>
        <w:tc>
          <w:tcPr>
            <w:tcW w:w="1454" w:type="dxa"/>
            <w:tcBorders>
              <w:top w:val="single" w:color="auto" w:sz="4" w:space="0"/>
              <w:left w:val="single" w:color="auto" w:sz="4" w:space="0"/>
              <w:bottom w:val="single" w:color="auto" w:sz="4" w:space="0"/>
              <w:right w:val="single" w:color="auto" w:sz="4" w:space="0"/>
            </w:tcBorders>
            <w:noWrap/>
            <w:vAlign w:val="center"/>
          </w:tcPr>
          <w:p w14:paraId="55F032C5">
            <w:pPr>
              <w:keepNext w:val="0"/>
              <w:keepLines w:val="0"/>
              <w:suppressLineNumbers w:val="0"/>
              <w:snapToGrid w:val="0"/>
              <w:spacing w:before="0" w:beforeAutospacing="0" w:after="0" w:afterAutospacing="0" w:line="360" w:lineRule="atLeas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备注</w:t>
            </w:r>
          </w:p>
        </w:tc>
      </w:tr>
      <w:tr w14:paraId="5DD5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E11CF4">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政务整体云架构设计规划</w:t>
            </w:r>
          </w:p>
        </w:tc>
        <w:tc>
          <w:tcPr>
            <w:tcW w:w="664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47A813">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提供政务整体</w:t>
            </w:r>
            <w:r>
              <w:rPr>
                <w:rFonts w:hint="default" w:ascii="宋体" w:hAnsi="宋体"/>
                <w:color w:val="auto"/>
                <w:sz w:val="22"/>
                <w:szCs w:val="22"/>
                <w:highlight w:val="none"/>
              </w:rPr>
              <w:t>IT</w:t>
            </w:r>
            <w:r>
              <w:rPr>
                <w:rFonts w:hint="eastAsia" w:ascii="宋体" w:hAnsi="宋体"/>
                <w:color w:val="auto"/>
                <w:sz w:val="22"/>
                <w:szCs w:val="22"/>
                <w:highlight w:val="none"/>
              </w:rPr>
              <w:t>架构云化解决方案，包括现有业务应用的梳理、云架构的设计以及上云的策略等。</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41EED8">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p>
        </w:tc>
      </w:tr>
      <w:tr w14:paraId="0D88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7EF5D2">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业务应用上云架构设计</w:t>
            </w:r>
          </w:p>
        </w:tc>
        <w:tc>
          <w:tcPr>
            <w:tcW w:w="664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5DEEFB">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提供对单个业务应用的上云架构设计，包括架构设计、改造方案和云资源需求评估等。</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E42175">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p>
        </w:tc>
      </w:tr>
      <w:tr w14:paraId="2D77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2C6619">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软件设计及开发技术咨询</w:t>
            </w:r>
          </w:p>
        </w:tc>
        <w:tc>
          <w:tcPr>
            <w:tcW w:w="664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DC2DA2">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提供基于云计算平台的软件设计与开发咨询与技术指导</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D83255">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p>
        </w:tc>
      </w:tr>
      <w:tr w14:paraId="5DE7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F6817E">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开发测试环境</w:t>
            </w:r>
          </w:p>
        </w:tc>
        <w:tc>
          <w:tcPr>
            <w:tcW w:w="6643"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0EF70CE6">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免费提供仿真的开发与测试环境，供应用系统上线前的开发与测试。测试时间一般为</w:t>
            </w:r>
            <w:r>
              <w:rPr>
                <w:rFonts w:hint="default" w:ascii="宋体" w:hAnsi="宋体"/>
                <w:color w:val="auto"/>
                <w:sz w:val="22"/>
                <w:szCs w:val="22"/>
                <w:highlight w:val="none"/>
              </w:rPr>
              <w:t>7-30</w:t>
            </w:r>
            <w:r>
              <w:rPr>
                <w:rFonts w:hint="eastAsia" w:ascii="宋体" w:hAnsi="宋体"/>
                <w:color w:val="auto"/>
                <w:sz w:val="22"/>
                <w:szCs w:val="22"/>
                <w:highlight w:val="none"/>
              </w:rPr>
              <w:t>天，测试时间内不得收费。</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30030153">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p>
        </w:tc>
      </w:tr>
      <w:tr w14:paraId="3713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55D224">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测试</w:t>
            </w:r>
          </w:p>
        </w:tc>
        <w:tc>
          <w:tcPr>
            <w:tcW w:w="6643"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5D4EF75F">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协助用户完成应用系统的功能、性能、安全等测试，测试未通过则禁止应用系统上线运行。</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EBA6961">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p>
        </w:tc>
      </w:tr>
      <w:tr w14:paraId="0748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830D916">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安全咨询</w:t>
            </w:r>
          </w:p>
        </w:tc>
        <w:tc>
          <w:tcPr>
            <w:tcW w:w="664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1D4642">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提供基于云计算平台的业务应用和政务整体</w:t>
            </w:r>
            <w:r>
              <w:rPr>
                <w:rFonts w:hint="default" w:ascii="宋体" w:hAnsi="宋体"/>
                <w:color w:val="auto"/>
                <w:sz w:val="22"/>
                <w:szCs w:val="22"/>
                <w:highlight w:val="none"/>
              </w:rPr>
              <w:t>IT</w:t>
            </w:r>
            <w:r>
              <w:rPr>
                <w:rFonts w:hint="eastAsia" w:ascii="宋体" w:hAnsi="宋体"/>
                <w:color w:val="auto"/>
                <w:sz w:val="22"/>
                <w:szCs w:val="22"/>
                <w:highlight w:val="none"/>
              </w:rPr>
              <w:t>规划的安全方面咨询服务</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D8B165">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p>
        </w:tc>
      </w:tr>
      <w:tr w14:paraId="7237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596562">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业务应用上云分析诊断</w:t>
            </w:r>
          </w:p>
        </w:tc>
        <w:tc>
          <w:tcPr>
            <w:tcW w:w="664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8EE3F8">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r>
              <w:rPr>
                <w:rFonts w:hint="eastAsia" w:ascii="宋体" w:hAnsi="宋体"/>
                <w:color w:val="auto"/>
                <w:sz w:val="22"/>
                <w:szCs w:val="22"/>
                <w:highlight w:val="none"/>
              </w:rPr>
              <w:t>提供业务应用上云的方法指导，并提供相关上云指导手册，对上云过程中的技术问题提供支持。</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339827">
            <w:pPr>
              <w:keepNext w:val="0"/>
              <w:keepLines w:val="0"/>
              <w:suppressLineNumbers w:val="0"/>
              <w:snapToGrid w:val="0"/>
              <w:spacing w:before="0" w:beforeAutospacing="0" w:after="0" w:afterAutospacing="0" w:line="360" w:lineRule="atLeast"/>
              <w:ind w:left="0" w:right="0"/>
              <w:rPr>
                <w:rFonts w:hint="default" w:ascii="宋体" w:hAnsi="宋体"/>
                <w:color w:val="auto"/>
                <w:sz w:val="22"/>
                <w:szCs w:val="22"/>
                <w:highlight w:val="none"/>
              </w:rPr>
            </w:pPr>
          </w:p>
        </w:tc>
      </w:tr>
    </w:tbl>
    <w:p w14:paraId="34607756">
      <w:pPr>
        <w:spacing w:line="400" w:lineRule="atLeast"/>
        <w:rPr>
          <w:rFonts w:ascii="宋体" w:hAnsi="宋体" w:cs="宋体"/>
          <w:color w:val="auto"/>
          <w:sz w:val="22"/>
          <w:szCs w:val="22"/>
          <w:highlight w:val="none"/>
        </w:rPr>
      </w:pPr>
      <w:r>
        <w:rPr>
          <w:rFonts w:hint="eastAsia" w:ascii="宋体" w:hAnsi="宋体" w:cs="宋体"/>
          <w:color w:val="auto"/>
          <w:sz w:val="22"/>
          <w:szCs w:val="22"/>
          <w:highlight w:val="none"/>
        </w:rPr>
        <w:t>（2）其他技术服务</w:t>
      </w:r>
    </w:p>
    <w:p w14:paraId="55F199AC">
      <w:pPr>
        <w:spacing w:line="400" w:lineRule="atLeast"/>
        <w:ind w:firstLine="440" w:firstLineChars="200"/>
        <w:rPr>
          <w:rFonts w:ascii="宋体" w:hAnsi="宋体" w:cs="宋体"/>
          <w:color w:val="auto"/>
          <w:sz w:val="22"/>
          <w:szCs w:val="22"/>
          <w:highlight w:val="none"/>
        </w:rPr>
      </w:pPr>
      <w:r>
        <w:rPr>
          <w:rFonts w:ascii="宋体" w:hAnsi="宋体"/>
          <w:color w:val="auto"/>
          <w:sz w:val="22"/>
          <w:szCs w:val="22"/>
          <w:highlight w:val="none"/>
        </w:rPr>
        <w:t>投标</w:t>
      </w:r>
      <w:r>
        <w:rPr>
          <w:rFonts w:hint="eastAsia" w:ascii="宋体" w:hAnsi="宋体"/>
          <w:color w:val="auto"/>
          <w:sz w:val="22"/>
          <w:szCs w:val="22"/>
          <w:highlight w:val="none"/>
        </w:rPr>
        <w:t>供应商</w:t>
      </w:r>
      <w:r>
        <w:rPr>
          <w:rFonts w:hint="eastAsia" w:ascii="宋体" w:hAnsi="宋体" w:cs="宋体"/>
          <w:color w:val="auto"/>
          <w:sz w:val="22"/>
          <w:szCs w:val="22"/>
          <w:highlight w:val="none"/>
        </w:rPr>
        <w:t xml:space="preserve">应提供灾难时数据恢复服务和容灾系统规划服务；提供虚拟机(含操作系统)、存储(含数据库)和网络服务的监控、配置、管理和优化服务；提供故障警告、日志采集、计量统计的功能；提供专家级系统安全和网络安全优化；建设一套规范的资源使用与管理制度；需在项目建设实施期间以及日后维护过程中全部提供原厂服务。 </w:t>
      </w:r>
    </w:p>
    <w:p w14:paraId="0198D4DE">
      <w:pPr>
        <w:spacing w:line="400" w:lineRule="atLeast"/>
        <w:ind w:firstLine="440" w:firstLineChars="200"/>
        <w:rPr>
          <w:rFonts w:ascii="宋体" w:hAnsi="宋体" w:cs="宋体"/>
          <w:color w:val="auto"/>
          <w:sz w:val="22"/>
          <w:szCs w:val="22"/>
          <w:highlight w:val="none"/>
        </w:rPr>
      </w:pPr>
      <w:r>
        <w:rPr>
          <w:rFonts w:ascii="宋体" w:hAnsi="宋体"/>
          <w:color w:val="auto"/>
          <w:sz w:val="22"/>
          <w:szCs w:val="22"/>
          <w:highlight w:val="none"/>
        </w:rPr>
        <w:t>投标</w:t>
      </w:r>
      <w:r>
        <w:rPr>
          <w:rFonts w:hint="eastAsia" w:ascii="宋体" w:hAnsi="宋体"/>
          <w:color w:val="auto"/>
          <w:sz w:val="22"/>
          <w:szCs w:val="22"/>
          <w:highlight w:val="none"/>
        </w:rPr>
        <w:t>供应商</w:t>
      </w:r>
      <w:r>
        <w:rPr>
          <w:rFonts w:hint="eastAsia" w:ascii="宋体" w:hAnsi="宋体" w:cs="宋体"/>
          <w:color w:val="auto"/>
          <w:sz w:val="22"/>
          <w:szCs w:val="22"/>
          <w:highlight w:val="none"/>
        </w:rPr>
        <w:t xml:space="preserve">保证在云平台出现故障和缺陷时，或接到采购人提出的技术服务要求后1小时内作出响应。 </w:t>
      </w:r>
    </w:p>
    <w:p w14:paraId="29533722">
      <w:pPr>
        <w:spacing w:line="400" w:lineRule="atLeast"/>
        <w:ind w:firstLine="440" w:firstLineChars="200"/>
        <w:rPr>
          <w:rFonts w:ascii="宋体" w:hAnsi="宋体" w:cs="宋体"/>
          <w:color w:val="auto"/>
          <w:sz w:val="22"/>
          <w:szCs w:val="22"/>
          <w:highlight w:val="none"/>
        </w:rPr>
      </w:pPr>
      <w:r>
        <w:rPr>
          <w:rFonts w:ascii="宋体" w:hAnsi="宋体"/>
          <w:color w:val="auto"/>
          <w:sz w:val="22"/>
          <w:szCs w:val="22"/>
          <w:highlight w:val="none"/>
        </w:rPr>
        <w:t>投标</w:t>
      </w:r>
      <w:r>
        <w:rPr>
          <w:rFonts w:hint="eastAsia" w:ascii="宋体" w:hAnsi="宋体"/>
          <w:color w:val="auto"/>
          <w:sz w:val="22"/>
          <w:szCs w:val="22"/>
          <w:highlight w:val="none"/>
        </w:rPr>
        <w:t>供应商</w:t>
      </w:r>
      <w:r>
        <w:rPr>
          <w:rFonts w:hint="eastAsia" w:ascii="宋体" w:hAnsi="宋体" w:cs="宋体"/>
          <w:color w:val="auto"/>
          <w:sz w:val="22"/>
          <w:szCs w:val="22"/>
          <w:highlight w:val="none"/>
        </w:rPr>
        <w:t>应负责云平台整体运维服务，包括IDC 基础运维、云平台运维等,并提供具体的服务方案。</w:t>
      </w:r>
    </w:p>
    <w:p w14:paraId="1560CAA1">
      <w:pPr>
        <w:spacing w:line="400" w:lineRule="atLeast"/>
        <w:rPr>
          <w:rFonts w:ascii="宋体" w:hAnsi="宋体" w:cs="宋体"/>
          <w:color w:val="auto"/>
          <w:sz w:val="22"/>
          <w:szCs w:val="22"/>
          <w:highlight w:val="none"/>
        </w:rPr>
      </w:pPr>
      <w:r>
        <w:rPr>
          <w:rFonts w:hint="eastAsia" w:ascii="宋体" w:hAnsi="宋体" w:cs="宋体"/>
          <w:color w:val="auto"/>
          <w:sz w:val="22"/>
          <w:szCs w:val="22"/>
          <w:highlight w:val="none"/>
        </w:rPr>
        <w:t>（3）培训要求</w:t>
      </w:r>
    </w:p>
    <w:p w14:paraId="1A3B2C14">
      <w:pPr>
        <w:spacing w:line="400" w:lineRule="atLeast"/>
        <w:ind w:firstLine="440" w:firstLineChars="200"/>
        <w:rPr>
          <w:rFonts w:ascii="宋体" w:hAnsi="宋体" w:cs="宋体"/>
          <w:color w:val="auto"/>
          <w:sz w:val="22"/>
          <w:szCs w:val="22"/>
          <w:highlight w:val="none"/>
        </w:rPr>
      </w:pPr>
      <w:r>
        <w:rPr>
          <w:rFonts w:ascii="宋体" w:hAnsi="宋体"/>
          <w:color w:val="auto"/>
          <w:sz w:val="22"/>
          <w:szCs w:val="22"/>
          <w:highlight w:val="none"/>
        </w:rPr>
        <w:t>投标</w:t>
      </w:r>
      <w:r>
        <w:rPr>
          <w:rFonts w:hint="eastAsia" w:ascii="宋体" w:hAnsi="宋体"/>
          <w:color w:val="auto"/>
          <w:sz w:val="22"/>
          <w:szCs w:val="22"/>
          <w:highlight w:val="none"/>
        </w:rPr>
        <w:t>供应商</w:t>
      </w:r>
      <w:r>
        <w:rPr>
          <w:rFonts w:hint="eastAsia" w:ascii="宋体" w:hAnsi="宋体" w:cs="宋体"/>
          <w:color w:val="auto"/>
          <w:sz w:val="22"/>
          <w:szCs w:val="22"/>
          <w:highlight w:val="none"/>
        </w:rPr>
        <w:t>应根据本项目的特点制定培训方案，应提供培训，使采购人相关人员在培训后能够独立的使用系统，而不必依赖投标供应商现场指导。培训课程应安排在整个项目计划的合适时间段内，培训的内容至少应涵盖政务云平台日常使用所需功能。培训应分为使用及管理培训（针对技术管理人员）和业务开发培训（针对业务开发人员），成交供应商负责安排专业培训讲师授课，并提供全套培训教材和培训课程计划表。</w:t>
      </w:r>
    </w:p>
    <w:p w14:paraId="67AFDC11">
      <w:pPr>
        <w:snapToGrid w:val="0"/>
        <w:spacing w:line="400" w:lineRule="atLeast"/>
        <w:rPr>
          <w:rFonts w:ascii="宋体" w:hAnsi="宋体"/>
          <w:b/>
          <w:color w:val="auto"/>
          <w:sz w:val="22"/>
          <w:szCs w:val="22"/>
          <w:highlight w:val="none"/>
        </w:rPr>
      </w:pPr>
      <w:r>
        <w:rPr>
          <w:rFonts w:hint="eastAsia" w:ascii="宋体" w:hAnsi="宋体"/>
          <w:b/>
          <w:color w:val="auto"/>
          <w:sz w:val="22"/>
          <w:szCs w:val="22"/>
          <w:highlight w:val="none"/>
        </w:rPr>
        <w:t>（七）测评要求</w:t>
      </w:r>
    </w:p>
    <w:p w14:paraId="1F985613">
      <w:pPr>
        <w:spacing w:line="400" w:lineRule="atLeast"/>
        <w:ind w:firstLine="440" w:firstLineChars="200"/>
        <w:rPr>
          <w:rFonts w:ascii="宋体" w:hAnsi="宋体"/>
          <w:color w:val="auto"/>
          <w:sz w:val="22"/>
          <w:szCs w:val="22"/>
          <w:highlight w:val="none"/>
        </w:rPr>
      </w:pPr>
      <w:r>
        <w:rPr>
          <w:rFonts w:ascii="宋体" w:hAnsi="宋体"/>
          <w:color w:val="auto"/>
          <w:sz w:val="22"/>
          <w:szCs w:val="22"/>
          <w:highlight w:val="none"/>
        </w:rPr>
        <w:t>投标</w:t>
      </w:r>
      <w:r>
        <w:rPr>
          <w:rFonts w:hint="eastAsia" w:ascii="宋体" w:hAnsi="宋体"/>
          <w:color w:val="auto"/>
          <w:sz w:val="22"/>
          <w:szCs w:val="22"/>
          <w:highlight w:val="none"/>
        </w:rPr>
        <w:t>供应商</w:t>
      </w:r>
      <w:r>
        <w:rPr>
          <w:rFonts w:ascii="宋体" w:hAnsi="宋体"/>
          <w:color w:val="auto"/>
          <w:sz w:val="22"/>
          <w:szCs w:val="22"/>
          <w:highlight w:val="none"/>
        </w:rPr>
        <w:t>所投的软件及硬件部分必须满足基本要求，如果采购人对中标后产品功能存在有疑议，可邀请第三方测评中心对投标方所投软件、硬件进行测试。如果无法满足标书要求的，以虚假应标处理，采购人有权终止合同，并保留追究投标方违约责任的权力。测评所产生的费用由投标</w:t>
      </w:r>
      <w:r>
        <w:rPr>
          <w:rFonts w:hint="eastAsia" w:ascii="宋体" w:hAnsi="宋体"/>
          <w:color w:val="auto"/>
          <w:sz w:val="22"/>
          <w:szCs w:val="22"/>
          <w:highlight w:val="none"/>
        </w:rPr>
        <w:t>供应商</w:t>
      </w:r>
      <w:r>
        <w:rPr>
          <w:rFonts w:ascii="宋体" w:hAnsi="宋体"/>
          <w:color w:val="auto"/>
          <w:sz w:val="22"/>
          <w:szCs w:val="22"/>
          <w:highlight w:val="none"/>
        </w:rPr>
        <w:t>承担，并赔偿因项目延误造成的一切损失。</w:t>
      </w:r>
    </w:p>
    <w:p w14:paraId="7E605633">
      <w:pPr>
        <w:snapToGrid w:val="0"/>
        <w:spacing w:line="400" w:lineRule="atLeast"/>
        <w:rPr>
          <w:rFonts w:ascii="宋体" w:hAnsi="宋体"/>
          <w:b/>
          <w:color w:val="auto"/>
          <w:sz w:val="22"/>
          <w:szCs w:val="22"/>
          <w:highlight w:val="none"/>
        </w:rPr>
      </w:pPr>
      <w:r>
        <w:rPr>
          <w:rFonts w:hint="eastAsia" w:ascii="宋体" w:hAnsi="宋体"/>
          <w:b/>
          <w:color w:val="auto"/>
          <w:sz w:val="22"/>
          <w:szCs w:val="22"/>
          <w:highlight w:val="none"/>
        </w:rPr>
        <w:t>（八）服务退出和考核</w:t>
      </w:r>
    </w:p>
    <w:tbl>
      <w:tblPr>
        <w:tblStyle w:val="46"/>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853"/>
        <w:gridCol w:w="1469"/>
      </w:tblGrid>
      <w:tr w14:paraId="68BA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8" w:type="dxa"/>
            <w:vAlign w:val="center"/>
          </w:tcPr>
          <w:p w14:paraId="75244FE9">
            <w:pPr>
              <w:keepNext w:val="0"/>
              <w:keepLines w:val="0"/>
              <w:suppressLineNumbers w:val="0"/>
              <w:snapToGrid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服务内容</w:t>
            </w:r>
          </w:p>
        </w:tc>
        <w:tc>
          <w:tcPr>
            <w:tcW w:w="6853" w:type="dxa"/>
            <w:vAlign w:val="center"/>
          </w:tcPr>
          <w:p w14:paraId="3FB766A2">
            <w:pPr>
              <w:keepNext w:val="0"/>
              <w:keepLines w:val="0"/>
              <w:suppressLineNumbers w:val="0"/>
              <w:snapToGrid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服务描述</w:t>
            </w:r>
          </w:p>
        </w:tc>
        <w:tc>
          <w:tcPr>
            <w:tcW w:w="1469" w:type="dxa"/>
            <w:vAlign w:val="center"/>
          </w:tcPr>
          <w:p w14:paraId="2D774544">
            <w:pPr>
              <w:keepNext w:val="0"/>
              <w:keepLines w:val="0"/>
              <w:suppressLineNumbers w:val="0"/>
              <w:snapToGrid w:val="0"/>
              <w:spacing w:before="0" w:beforeAutospacing="0" w:after="0" w:afterAutospacing="0" w:line="36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7944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8" w:type="dxa"/>
            <w:vMerge w:val="restart"/>
            <w:vAlign w:val="center"/>
          </w:tcPr>
          <w:p w14:paraId="4A1829C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资源可用性</w:t>
            </w:r>
          </w:p>
        </w:tc>
        <w:tc>
          <w:tcPr>
            <w:tcW w:w="6853" w:type="dxa"/>
            <w:vAlign w:val="center"/>
          </w:tcPr>
          <w:p w14:paraId="5424D98F">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云服务商初期建设应具备一定的规模，以适应业务需求。</w:t>
            </w:r>
          </w:p>
        </w:tc>
        <w:tc>
          <w:tcPr>
            <w:tcW w:w="1469" w:type="dxa"/>
            <w:vAlign w:val="center"/>
          </w:tcPr>
          <w:p w14:paraId="5F773A8F">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7474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0B9ACDDA">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0D30F96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需根据政务云使用现状，适时启动扩容，确保云资源的实时可用，即资源使用率不超过70%。</w:t>
            </w:r>
          </w:p>
        </w:tc>
        <w:tc>
          <w:tcPr>
            <w:tcW w:w="1469" w:type="dxa"/>
            <w:vAlign w:val="center"/>
          </w:tcPr>
          <w:p w14:paraId="27ABB0AE">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1FF7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628" w:type="dxa"/>
            <w:vMerge w:val="restart"/>
            <w:vAlign w:val="center"/>
          </w:tcPr>
          <w:p w14:paraId="7632F5FC">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资源可用性业务可用性</w:t>
            </w:r>
          </w:p>
        </w:tc>
        <w:tc>
          <w:tcPr>
            <w:tcW w:w="6853" w:type="dxa"/>
            <w:vAlign w:val="center"/>
          </w:tcPr>
          <w:p w14:paraId="7E89EA5F">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本指标定义为云服务商应承诺在合同期内每年用户云服务业务可用时间的概率，即每年实际可用时间/(实际可用时间+不可用时间)。</w:t>
            </w:r>
          </w:p>
        </w:tc>
        <w:tc>
          <w:tcPr>
            <w:tcW w:w="1469" w:type="dxa"/>
            <w:vAlign w:val="center"/>
          </w:tcPr>
          <w:p w14:paraId="43658F06">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33C5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32609FDD">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3E4DC285">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云主机：大于等于99.9%。（每年不可用时间小于8.8小时）</w:t>
            </w:r>
          </w:p>
        </w:tc>
        <w:tc>
          <w:tcPr>
            <w:tcW w:w="1469" w:type="dxa"/>
            <w:vAlign w:val="center"/>
          </w:tcPr>
          <w:p w14:paraId="0E748346">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44D0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56F9F090">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3D7E73A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云存储：大于等于99.9%。（每年不可用时间小于8.8小时）</w:t>
            </w:r>
          </w:p>
        </w:tc>
        <w:tc>
          <w:tcPr>
            <w:tcW w:w="1469" w:type="dxa"/>
            <w:vAlign w:val="center"/>
          </w:tcPr>
          <w:p w14:paraId="5F75D358">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350C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64226746">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111D53F5">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云数据库：大于等于99.95%。（每年不可用时间小于4.4小时）</w:t>
            </w:r>
          </w:p>
        </w:tc>
        <w:tc>
          <w:tcPr>
            <w:tcW w:w="1469" w:type="dxa"/>
            <w:vAlign w:val="center"/>
          </w:tcPr>
          <w:p w14:paraId="296ABDFA">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35DF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8" w:type="dxa"/>
            <w:vMerge w:val="restart"/>
            <w:vAlign w:val="center"/>
          </w:tcPr>
          <w:p w14:paraId="7AA6E8E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数据存储持久性</w:t>
            </w:r>
          </w:p>
        </w:tc>
        <w:tc>
          <w:tcPr>
            <w:tcW w:w="6853" w:type="dxa"/>
            <w:vAlign w:val="center"/>
          </w:tcPr>
          <w:p w14:paraId="42655FB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本指标定义为云服务商承诺在合同期内数据保存不丢的概率，即每年完好数据/(完好数据+丢失数据)。</w:t>
            </w:r>
          </w:p>
        </w:tc>
        <w:tc>
          <w:tcPr>
            <w:tcW w:w="1469" w:type="dxa"/>
            <w:vAlign w:val="center"/>
          </w:tcPr>
          <w:p w14:paraId="7A7B45A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1E3A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2EC3ABD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11E2186E">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云主机：大于99.999%。</w:t>
            </w:r>
          </w:p>
        </w:tc>
        <w:tc>
          <w:tcPr>
            <w:tcW w:w="1469" w:type="dxa"/>
            <w:vAlign w:val="center"/>
          </w:tcPr>
          <w:p w14:paraId="003AB005">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355E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2090E7A3">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7ED3FB3B">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云存储可用性：大于等于99.99999999%。</w:t>
            </w:r>
          </w:p>
        </w:tc>
        <w:tc>
          <w:tcPr>
            <w:tcW w:w="1469" w:type="dxa"/>
            <w:vAlign w:val="center"/>
          </w:tcPr>
          <w:p w14:paraId="64E4383A">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424B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1956CD1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4DF39D1F">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云数据库可用性：大于等于99.9999%。</w:t>
            </w:r>
          </w:p>
        </w:tc>
        <w:tc>
          <w:tcPr>
            <w:tcW w:w="1469" w:type="dxa"/>
            <w:vAlign w:val="center"/>
          </w:tcPr>
          <w:p w14:paraId="6CD7CDF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7D7E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8" w:type="dxa"/>
            <w:vAlign w:val="center"/>
          </w:tcPr>
          <w:p w14:paraId="7DB9A755">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运营能力</w:t>
            </w:r>
          </w:p>
        </w:tc>
        <w:tc>
          <w:tcPr>
            <w:tcW w:w="6853" w:type="dxa"/>
            <w:vAlign w:val="center"/>
          </w:tcPr>
          <w:p w14:paraId="3C010D5E">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对用户开通的服务进行计量计费，按月、季度、年向用户提供完整的记账单。</w:t>
            </w:r>
          </w:p>
        </w:tc>
        <w:tc>
          <w:tcPr>
            <w:tcW w:w="1469" w:type="dxa"/>
            <w:vAlign w:val="center"/>
          </w:tcPr>
          <w:p w14:paraId="0175AFD6">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1455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8" w:type="dxa"/>
            <w:vMerge w:val="restart"/>
            <w:vAlign w:val="center"/>
          </w:tcPr>
          <w:p w14:paraId="1CE903E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运维保障能力</w:t>
            </w:r>
          </w:p>
        </w:tc>
        <w:tc>
          <w:tcPr>
            <w:tcW w:w="6853" w:type="dxa"/>
            <w:vAlign w:val="center"/>
          </w:tcPr>
          <w:p w14:paraId="24F7F3BF">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7*24小时运行值班监控，专门配属具备云平台维护经验的运维人员，提供专门的支持电话、微信、QQ号等值班方式。</w:t>
            </w:r>
          </w:p>
        </w:tc>
        <w:tc>
          <w:tcPr>
            <w:tcW w:w="1469" w:type="dxa"/>
            <w:vAlign w:val="center"/>
          </w:tcPr>
          <w:p w14:paraId="68079DE0">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3DFA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02CFE1F5">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4F016324">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业务和维护响应时间不超过15分钟。</w:t>
            </w:r>
          </w:p>
        </w:tc>
        <w:tc>
          <w:tcPr>
            <w:tcW w:w="1469" w:type="dxa"/>
            <w:vAlign w:val="center"/>
          </w:tcPr>
          <w:p w14:paraId="0C1ABF1E">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6AE9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0DF12E34">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66EBB50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云主机创建时间不超过5分钟。</w:t>
            </w:r>
          </w:p>
        </w:tc>
        <w:tc>
          <w:tcPr>
            <w:tcW w:w="1469" w:type="dxa"/>
            <w:vAlign w:val="center"/>
          </w:tcPr>
          <w:p w14:paraId="2A27C3E7">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18C7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8" w:type="dxa"/>
            <w:vMerge w:val="continue"/>
            <w:vAlign w:val="center"/>
          </w:tcPr>
          <w:p w14:paraId="13C26EC1">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4AA9833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云主机升级。当云主机现有配置不满足要求时，可进行云主机配置快速升级，可升级配置包括：CPU，内存，网络带宽等；配置升级生效时间不超过10分钟。</w:t>
            </w:r>
          </w:p>
        </w:tc>
        <w:tc>
          <w:tcPr>
            <w:tcW w:w="1469" w:type="dxa"/>
            <w:vAlign w:val="center"/>
          </w:tcPr>
          <w:p w14:paraId="1D19B2F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6502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8" w:type="dxa"/>
            <w:vMerge w:val="continue"/>
            <w:vAlign w:val="center"/>
          </w:tcPr>
          <w:p w14:paraId="4E070E8E">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6F4EDCFF">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云主机克隆。指创建一台跟现有云主机一模一样的机器，根据云主机数据盘的大小整个克隆过程一般不超过30分钟。</w:t>
            </w:r>
          </w:p>
        </w:tc>
        <w:tc>
          <w:tcPr>
            <w:tcW w:w="1469" w:type="dxa"/>
            <w:vAlign w:val="center"/>
          </w:tcPr>
          <w:p w14:paraId="587C8AC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5170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50EA5AE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noWrap/>
            <w:vAlign w:val="bottom"/>
          </w:tcPr>
          <w:p w14:paraId="46648F29">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故障恢复。云主机发生故障后，切换恢复时间不超过30分钟。</w:t>
            </w:r>
          </w:p>
        </w:tc>
        <w:tc>
          <w:tcPr>
            <w:tcW w:w="1469" w:type="dxa"/>
            <w:noWrap/>
            <w:vAlign w:val="bottom"/>
          </w:tcPr>
          <w:p w14:paraId="1F9A772E">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45A5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8" w:type="dxa"/>
            <w:vMerge w:val="restart"/>
            <w:vAlign w:val="center"/>
          </w:tcPr>
          <w:p w14:paraId="683338BB">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服务赔偿和退出</w:t>
            </w:r>
          </w:p>
        </w:tc>
        <w:tc>
          <w:tcPr>
            <w:tcW w:w="6853" w:type="dxa"/>
            <w:vAlign w:val="center"/>
          </w:tcPr>
          <w:p w14:paraId="19DC8EE4">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本指标定义为云服务商承诺用户业务某项指标没有达到服务协议中承诺的要求，则会提供的具体赔偿方式。要求云服务承诺对不可用时间、数据丢失等进行赔偿。</w:t>
            </w:r>
          </w:p>
        </w:tc>
        <w:tc>
          <w:tcPr>
            <w:tcW w:w="1469" w:type="dxa"/>
            <w:vAlign w:val="center"/>
          </w:tcPr>
          <w:p w14:paraId="67A0869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5DD3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35A0714D">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114477B1">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云主机：针对不可用时间给予不超过百倍时间赔偿。</w:t>
            </w:r>
          </w:p>
        </w:tc>
        <w:tc>
          <w:tcPr>
            <w:tcW w:w="1469" w:type="dxa"/>
            <w:vAlign w:val="center"/>
          </w:tcPr>
          <w:p w14:paraId="65EFBEE0">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6D97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092747BC">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379AE00D">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云存储：针对不可用时间给予不超过十倍时间赔偿。</w:t>
            </w:r>
          </w:p>
        </w:tc>
        <w:tc>
          <w:tcPr>
            <w:tcW w:w="1469" w:type="dxa"/>
            <w:vAlign w:val="center"/>
          </w:tcPr>
          <w:p w14:paraId="2AF5E375">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2842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28" w:type="dxa"/>
            <w:vMerge w:val="continue"/>
            <w:vAlign w:val="center"/>
          </w:tcPr>
          <w:p w14:paraId="5429A852">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3717A5C9">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云数据库：针对不可用时间给予不超过百倍时间赔偿。</w:t>
            </w:r>
          </w:p>
        </w:tc>
        <w:tc>
          <w:tcPr>
            <w:tcW w:w="1469" w:type="dxa"/>
            <w:vAlign w:val="center"/>
          </w:tcPr>
          <w:p w14:paraId="4A1DCDE5">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r w14:paraId="164B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8" w:type="dxa"/>
            <w:vMerge w:val="continue"/>
            <w:vAlign w:val="center"/>
          </w:tcPr>
          <w:p w14:paraId="7B619EB8">
            <w:pPr>
              <w:keepNext w:val="0"/>
              <w:keepLines w:val="0"/>
              <w:widowControl/>
              <w:suppressLineNumbers w:val="0"/>
              <w:spacing w:before="0" w:beforeAutospacing="0" w:after="0" w:afterAutospacing="0" w:line="360" w:lineRule="atLeast"/>
              <w:ind w:left="0" w:right="0"/>
              <w:jc w:val="left"/>
              <w:rPr>
                <w:rFonts w:hint="default" w:ascii="宋体" w:hAnsi="宋体" w:cs="宋体"/>
                <w:color w:val="auto"/>
                <w:sz w:val="22"/>
                <w:szCs w:val="22"/>
                <w:highlight w:val="none"/>
              </w:rPr>
            </w:pPr>
          </w:p>
        </w:tc>
        <w:tc>
          <w:tcPr>
            <w:tcW w:w="6853" w:type="dxa"/>
            <w:vAlign w:val="center"/>
          </w:tcPr>
          <w:p w14:paraId="55ED59E3">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服务退出，如果服务期内单项服务故障总时长超过48小时，或云服务故障，数据丢失，酿成重大事故（正常工作日系统终端24小时以上或社会影响重大）的采购方有权终止合同。</w:t>
            </w:r>
          </w:p>
        </w:tc>
        <w:tc>
          <w:tcPr>
            <w:tcW w:w="1469" w:type="dxa"/>
            <w:vAlign w:val="center"/>
          </w:tcPr>
          <w:p w14:paraId="120D777E">
            <w:pPr>
              <w:keepNext w:val="0"/>
              <w:keepLines w:val="0"/>
              <w:suppressLineNumbers w:val="0"/>
              <w:snapToGrid w:val="0"/>
              <w:spacing w:before="0" w:beforeAutospacing="0" w:after="0" w:afterAutospacing="0" w:line="360" w:lineRule="atLeast"/>
              <w:ind w:left="0" w:right="0"/>
              <w:rPr>
                <w:rFonts w:hint="default" w:ascii="宋体" w:hAnsi="宋体" w:cs="宋体"/>
                <w:color w:val="auto"/>
                <w:sz w:val="22"/>
                <w:szCs w:val="22"/>
                <w:highlight w:val="none"/>
              </w:rPr>
            </w:pPr>
          </w:p>
        </w:tc>
      </w:tr>
    </w:tbl>
    <w:p w14:paraId="047A13CB">
      <w:pPr>
        <w:adjustRightInd w:val="0"/>
        <w:snapToGrid w:val="0"/>
        <w:spacing w:line="400" w:lineRule="atLeast"/>
        <w:rPr>
          <w:rFonts w:ascii="宋体" w:hAnsi="宋体"/>
          <w:b/>
          <w:color w:val="auto"/>
          <w:kern w:val="0"/>
          <w:sz w:val="22"/>
          <w:szCs w:val="22"/>
          <w:highlight w:val="none"/>
        </w:rPr>
      </w:pPr>
      <w:r>
        <w:rPr>
          <w:rFonts w:hint="eastAsia" w:ascii="宋体" w:hAnsi="宋体"/>
          <w:b/>
          <w:color w:val="auto"/>
          <w:kern w:val="0"/>
          <w:sz w:val="22"/>
          <w:szCs w:val="22"/>
          <w:highlight w:val="none"/>
        </w:rPr>
        <w:t>（九）商务条款</w:t>
      </w:r>
    </w:p>
    <w:p w14:paraId="57F06737">
      <w:pPr>
        <w:snapToGrid w:val="0"/>
        <w:spacing w:line="400" w:lineRule="atLeast"/>
        <w:ind w:firstLine="442" w:firstLineChars="200"/>
        <w:rPr>
          <w:rFonts w:ascii="宋体" w:hAnsi="宋体"/>
          <w:b/>
          <w:color w:val="auto"/>
          <w:kern w:val="0"/>
          <w:sz w:val="22"/>
          <w:szCs w:val="22"/>
          <w:highlight w:val="none"/>
        </w:rPr>
      </w:pPr>
      <w:r>
        <w:rPr>
          <w:rFonts w:hint="eastAsia" w:ascii="宋体" w:hAnsi="宋体" w:cs="宋体"/>
          <w:b/>
          <w:bCs/>
          <w:color w:val="auto"/>
          <w:kern w:val="0"/>
          <w:sz w:val="22"/>
          <w:szCs w:val="22"/>
          <w:highlight w:val="none"/>
        </w:rPr>
        <w:t>1、</w:t>
      </w:r>
      <w:r>
        <w:rPr>
          <w:rFonts w:hint="eastAsia" w:ascii="宋体" w:hAnsi="宋体"/>
          <w:b/>
          <w:color w:val="auto"/>
          <w:kern w:val="0"/>
          <w:sz w:val="22"/>
          <w:szCs w:val="22"/>
          <w:highlight w:val="none"/>
        </w:rPr>
        <w:t>付款方式：</w:t>
      </w:r>
    </w:p>
    <w:p w14:paraId="42F6C00D">
      <w:pPr>
        <w:snapToGrid w:val="0"/>
        <w:spacing w:line="400" w:lineRule="atLeast"/>
        <w:ind w:firstLine="440" w:firstLineChars="200"/>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合同签订后，服务提供方按实际需求提供服务（招标前未支付的服务费用均按照此次招标结果计费支付），同时，需提供各使用单位实际使用的服务项目（产品类型）、数量的服务费用清单，并经过使用单位确认后由采购人结算服务费用。合同期内一次</w:t>
      </w:r>
      <w:r>
        <w:rPr>
          <w:rFonts w:hint="eastAsia" w:ascii="宋体" w:hAnsi="宋体" w:cs="宋体"/>
          <w:bCs/>
          <w:color w:val="auto"/>
          <w:kern w:val="0"/>
          <w:sz w:val="22"/>
          <w:szCs w:val="22"/>
          <w:highlight w:val="none"/>
          <w:u w:val="single"/>
          <w:lang w:val="en-US" w:eastAsia="zh-CN"/>
        </w:rPr>
        <w:t>性支付费用清单内的</w:t>
      </w:r>
      <w:r>
        <w:rPr>
          <w:rFonts w:hint="eastAsia" w:ascii="宋体" w:hAnsi="宋体" w:cs="宋体"/>
          <w:bCs/>
          <w:color w:val="auto"/>
          <w:kern w:val="0"/>
          <w:sz w:val="22"/>
          <w:szCs w:val="22"/>
          <w:highlight w:val="none"/>
          <w:u w:val="single"/>
        </w:rPr>
        <w:t>服务费，经双方确认</w:t>
      </w:r>
      <w:r>
        <w:rPr>
          <w:rFonts w:hint="eastAsia" w:ascii="宋体" w:hAnsi="宋体" w:cs="宋体"/>
          <w:bCs/>
          <w:color w:val="auto"/>
          <w:kern w:val="0"/>
          <w:sz w:val="22"/>
          <w:szCs w:val="22"/>
          <w:highlight w:val="none"/>
          <w:u w:val="single"/>
          <w:lang w:val="en-US" w:eastAsia="zh-CN"/>
        </w:rPr>
        <w:t>并签订支付协议</w:t>
      </w:r>
      <w:r>
        <w:rPr>
          <w:rFonts w:hint="eastAsia" w:ascii="宋体" w:hAnsi="宋体" w:cs="宋体"/>
          <w:bCs/>
          <w:color w:val="auto"/>
          <w:kern w:val="0"/>
          <w:sz w:val="22"/>
          <w:szCs w:val="22"/>
          <w:highlight w:val="none"/>
          <w:u w:val="single"/>
        </w:rPr>
        <w:t>，成交供应商出具发票后7个工作日内支付服务费。</w:t>
      </w:r>
    </w:p>
    <w:p w14:paraId="3DA8BB5F">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2、服务期限：所有政务云服务计费方式均按照此次结果执行，直至出现新的政务云招标结果为止。</w:t>
      </w:r>
    </w:p>
    <w:p w14:paraId="1B4660AA">
      <w:pPr>
        <w:snapToGrid w:val="0"/>
        <w:spacing w:line="40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3、本项目为单价合同，具体服务金额按照实际使用情况对照此次单价和</w:t>
      </w:r>
      <w:r>
        <w:rPr>
          <w:rFonts w:hint="eastAsia" w:ascii="宋体" w:hAnsi="宋体"/>
          <w:b/>
          <w:bCs/>
          <w:color w:val="auto"/>
          <w:sz w:val="22"/>
          <w:szCs w:val="22"/>
          <w:highlight w:val="none"/>
        </w:rPr>
        <w:t>统一折扣率</w:t>
      </w:r>
      <w:r>
        <w:rPr>
          <w:rFonts w:hint="eastAsia" w:ascii="宋体" w:hAnsi="宋体"/>
          <w:b/>
          <w:color w:val="auto"/>
          <w:sz w:val="22"/>
          <w:szCs w:val="22"/>
          <w:highlight w:val="none"/>
        </w:rPr>
        <w:t>计算并支付。</w:t>
      </w:r>
    </w:p>
    <w:p w14:paraId="550520EC">
      <w:pPr>
        <w:snapToGrid w:val="0"/>
        <w:spacing w:line="400" w:lineRule="atLeast"/>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4、报价说明</w:t>
      </w:r>
    </w:p>
    <w:p w14:paraId="79094DBA">
      <w:pPr>
        <w:snapToGrid w:val="0"/>
        <w:spacing w:line="40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1）鉴于各使用单位应用系统数量为动态数值，故本项目不能确定各项服务总量，本次招标采购的是云主机等资源每月租赁费的单价（不足1月按实际产生天数计费，每日租赁费=月租赁费/30）。  </w:t>
      </w:r>
    </w:p>
    <w:p w14:paraId="31CE0D5B">
      <w:pPr>
        <w:snapToGrid w:val="0"/>
        <w:spacing w:line="400" w:lineRule="atLeast"/>
        <w:ind w:firstLine="440" w:firstLineChars="200"/>
        <w:rPr>
          <w:color w:val="auto"/>
          <w:highlight w:val="none"/>
        </w:rPr>
      </w:pPr>
      <w:r>
        <w:rPr>
          <w:rFonts w:hint="eastAsia" w:ascii="宋体" w:hAnsi="宋体"/>
          <w:color w:val="auto"/>
          <w:sz w:val="22"/>
          <w:szCs w:val="22"/>
          <w:highlight w:val="none"/>
        </w:rPr>
        <w:t>2）本次投标品目采购人已设单价最高限价，投标供应商在采购人设定的最高限价的基础上根据企业自身实力及市场行情自行填报折扣率，</w:t>
      </w:r>
      <w:r>
        <w:rPr>
          <w:rFonts w:hint="eastAsia"/>
          <w:color w:val="auto"/>
          <w:highlight w:val="none"/>
        </w:rPr>
        <w:t>▲</w:t>
      </w:r>
      <w:r>
        <w:rPr>
          <w:rFonts w:hint="eastAsia" w:ascii="宋体" w:hAnsi="宋体" w:cs="宋体"/>
          <w:b/>
          <w:bCs/>
          <w:color w:val="auto"/>
          <w:highlight w:val="none"/>
        </w:rPr>
        <w:t>不同投标品目要求填报统一的折扣率（即所有投标品目的折扣率均相同），否则其报价无效并作无效标处理</w:t>
      </w:r>
      <w:r>
        <w:rPr>
          <w:rFonts w:hint="eastAsia" w:ascii="宋体" w:hAnsi="宋体" w:cs="宋体"/>
          <w:color w:val="auto"/>
          <w:highlight w:val="none"/>
        </w:rPr>
        <w:t>。</w:t>
      </w:r>
    </w:p>
    <w:p w14:paraId="2310C83C">
      <w:pPr>
        <w:snapToGrid w:val="0"/>
        <w:spacing w:line="400" w:lineRule="atLeast"/>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3）本项目按各单价最高限价×最高限价的统一折扣率×各部门各实际服务数量进行结算。各单价最高限价详见下表：</w:t>
      </w:r>
    </w:p>
    <w:p w14:paraId="2EDAF8E1">
      <w:pPr>
        <w:snapToGrid w:val="0"/>
        <w:spacing w:line="400" w:lineRule="atLeast"/>
        <w:jc w:val="center"/>
        <w:rPr>
          <w:rFonts w:ascii="宋体" w:hAnsi="宋体"/>
          <w:b/>
          <w:color w:val="auto"/>
          <w:sz w:val="22"/>
          <w:szCs w:val="22"/>
          <w:highlight w:val="none"/>
        </w:rPr>
      </w:pPr>
      <w:r>
        <w:rPr>
          <w:color w:val="auto"/>
          <w:highlight w:val="none"/>
        </w:rPr>
        <w:fldChar w:fldCharType="begin"/>
      </w:r>
      <w:r>
        <w:rPr>
          <w:color w:val="auto"/>
          <w:highlight w:val="none"/>
        </w:rPr>
        <w:instrText xml:space="preserve"> HYPERLINK "https://www.zcygov.cn/proj-procurement/project-result-detail/5ee955ecdf4d3b97" \t "https://www.zcygov.cn/bid-inviting/purchaseFileMake/_blank" </w:instrText>
      </w:r>
      <w:r>
        <w:rPr>
          <w:color w:val="auto"/>
          <w:highlight w:val="none"/>
        </w:rPr>
        <w:fldChar w:fldCharType="separate"/>
      </w:r>
      <w:r>
        <w:rPr>
          <w:rFonts w:hint="eastAsia" w:ascii="宋体" w:hAnsi="宋体"/>
          <w:b/>
          <w:color w:val="auto"/>
          <w:sz w:val="22"/>
          <w:szCs w:val="22"/>
          <w:highlight w:val="none"/>
        </w:rPr>
        <w:t>洞头区政务云（私有云）服务</w:t>
      </w:r>
      <w:r>
        <w:rPr>
          <w:rFonts w:hint="eastAsia" w:ascii="宋体" w:hAnsi="宋体"/>
          <w:b/>
          <w:color w:val="auto"/>
          <w:sz w:val="22"/>
          <w:szCs w:val="22"/>
          <w:highlight w:val="none"/>
        </w:rPr>
        <w:fldChar w:fldCharType="end"/>
      </w:r>
      <w:r>
        <w:rPr>
          <w:rFonts w:hint="eastAsia" w:ascii="宋体" w:hAnsi="宋体"/>
          <w:b/>
          <w:color w:val="auto"/>
          <w:sz w:val="22"/>
          <w:szCs w:val="22"/>
          <w:highlight w:val="none"/>
        </w:rPr>
        <w:t>内容清单和最高限价</w:t>
      </w:r>
    </w:p>
    <w:p w14:paraId="0C943973">
      <w:pPr>
        <w:spacing w:line="400" w:lineRule="atLeas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单位：(元/月)</w:t>
      </w:r>
    </w:p>
    <w:tbl>
      <w:tblPr>
        <w:tblStyle w:val="46"/>
        <w:tblW w:w="10042" w:type="dxa"/>
        <w:tblInd w:w="0" w:type="dxa"/>
        <w:tblLayout w:type="fixed"/>
        <w:tblCellMar>
          <w:top w:w="0" w:type="dxa"/>
          <w:left w:w="108" w:type="dxa"/>
          <w:bottom w:w="0" w:type="dxa"/>
          <w:right w:w="108" w:type="dxa"/>
        </w:tblCellMar>
      </w:tblPr>
      <w:tblGrid>
        <w:gridCol w:w="749"/>
        <w:gridCol w:w="1271"/>
        <w:gridCol w:w="1030"/>
        <w:gridCol w:w="1175"/>
        <w:gridCol w:w="1141"/>
        <w:gridCol w:w="1629"/>
        <w:gridCol w:w="1334"/>
        <w:gridCol w:w="1713"/>
      </w:tblGrid>
      <w:tr w14:paraId="22344562">
        <w:tblPrEx>
          <w:tblCellMar>
            <w:top w:w="0" w:type="dxa"/>
            <w:left w:w="108" w:type="dxa"/>
            <w:bottom w:w="0" w:type="dxa"/>
            <w:right w:w="108" w:type="dxa"/>
          </w:tblCellMar>
        </w:tblPrEx>
        <w:trPr>
          <w:trHeight w:val="30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AADCEE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黑体"/>
                <w:color w:val="auto"/>
                <w:sz w:val="22"/>
                <w:szCs w:val="22"/>
                <w:highlight w:val="none"/>
              </w:rPr>
            </w:pPr>
            <w:r>
              <w:rPr>
                <w:rFonts w:hint="eastAsia" w:ascii="宋体" w:hAnsi="宋体" w:cs="黑体"/>
                <w:color w:val="auto"/>
                <w:kern w:val="0"/>
                <w:sz w:val="22"/>
                <w:szCs w:val="22"/>
                <w:highlight w:val="none"/>
              </w:rPr>
              <w:t>序号</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04FB03A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黑体"/>
                <w:color w:val="auto"/>
                <w:sz w:val="22"/>
                <w:szCs w:val="22"/>
                <w:highlight w:val="none"/>
              </w:rPr>
            </w:pPr>
            <w:r>
              <w:rPr>
                <w:rFonts w:hint="eastAsia" w:ascii="宋体" w:hAnsi="宋体" w:cs="黑体"/>
                <w:color w:val="auto"/>
                <w:kern w:val="0"/>
                <w:sz w:val="22"/>
                <w:szCs w:val="22"/>
                <w:highlight w:val="none"/>
              </w:rPr>
              <w:t>服务类型</w:t>
            </w:r>
          </w:p>
        </w:tc>
        <w:tc>
          <w:tcPr>
            <w:tcW w:w="1030" w:type="dxa"/>
            <w:tcBorders>
              <w:top w:val="single" w:color="000000" w:sz="4" w:space="0"/>
              <w:left w:val="single" w:color="000000" w:sz="4" w:space="0"/>
              <w:bottom w:val="single" w:color="000000" w:sz="4" w:space="0"/>
              <w:right w:val="single" w:color="000000" w:sz="4" w:space="0"/>
            </w:tcBorders>
            <w:vAlign w:val="center"/>
          </w:tcPr>
          <w:p w14:paraId="683BC87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黑体"/>
                <w:b/>
                <w:bCs/>
                <w:color w:val="auto"/>
                <w:sz w:val="22"/>
                <w:szCs w:val="22"/>
                <w:highlight w:val="none"/>
              </w:rPr>
            </w:pPr>
            <w:r>
              <w:rPr>
                <w:rFonts w:hint="eastAsia" w:ascii="宋体" w:hAnsi="宋体" w:cs="黑体"/>
                <w:b/>
                <w:bCs/>
                <w:color w:val="auto"/>
                <w:kern w:val="0"/>
                <w:sz w:val="22"/>
                <w:szCs w:val="22"/>
                <w:highlight w:val="none"/>
              </w:rPr>
              <w:t>计费项</w:t>
            </w: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14:paraId="0D95ED4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黑体"/>
                <w:b/>
                <w:bCs/>
                <w:color w:val="auto"/>
                <w:sz w:val="22"/>
                <w:szCs w:val="22"/>
                <w:highlight w:val="none"/>
              </w:rPr>
            </w:pPr>
            <w:r>
              <w:rPr>
                <w:rFonts w:hint="eastAsia" w:ascii="宋体" w:hAnsi="宋体" w:cs="黑体"/>
                <w:b/>
                <w:bCs/>
                <w:color w:val="auto"/>
                <w:kern w:val="0"/>
                <w:sz w:val="22"/>
                <w:szCs w:val="22"/>
                <w:highlight w:val="none"/>
              </w:rPr>
              <w:t>规格说明</w:t>
            </w:r>
          </w:p>
        </w:tc>
        <w:tc>
          <w:tcPr>
            <w:tcW w:w="1629" w:type="dxa"/>
            <w:tcBorders>
              <w:top w:val="single" w:color="000000" w:sz="4" w:space="0"/>
              <w:left w:val="single" w:color="000000" w:sz="4" w:space="0"/>
              <w:bottom w:val="single" w:color="000000" w:sz="4" w:space="0"/>
              <w:right w:val="single" w:color="000000" w:sz="4" w:space="0"/>
            </w:tcBorders>
            <w:vAlign w:val="center"/>
          </w:tcPr>
          <w:p w14:paraId="72B069E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黑体"/>
                <w:b/>
                <w:bCs/>
                <w:color w:val="auto"/>
                <w:sz w:val="22"/>
                <w:szCs w:val="22"/>
                <w:highlight w:val="none"/>
              </w:rPr>
            </w:pPr>
            <w:r>
              <w:rPr>
                <w:rFonts w:hint="eastAsia" w:ascii="宋体" w:hAnsi="宋体" w:cs="黑体"/>
                <w:b/>
                <w:bCs/>
                <w:color w:val="auto"/>
                <w:kern w:val="0"/>
                <w:sz w:val="22"/>
                <w:szCs w:val="22"/>
                <w:highlight w:val="none"/>
              </w:rPr>
              <w:t>说明</w:t>
            </w:r>
          </w:p>
        </w:tc>
        <w:tc>
          <w:tcPr>
            <w:tcW w:w="1334" w:type="dxa"/>
            <w:tcBorders>
              <w:top w:val="single" w:color="000000" w:sz="4" w:space="0"/>
              <w:left w:val="single" w:color="000000" w:sz="4" w:space="0"/>
              <w:bottom w:val="single" w:color="000000" w:sz="4" w:space="0"/>
              <w:right w:val="single" w:color="000000" w:sz="4" w:space="0"/>
            </w:tcBorders>
            <w:vAlign w:val="center"/>
          </w:tcPr>
          <w:p w14:paraId="7929C5B3">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黑体"/>
                <w:b/>
                <w:bCs/>
                <w:color w:val="auto"/>
                <w:sz w:val="22"/>
                <w:szCs w:val="22"/>
                <w:highlight w:val="none"/>
              </w:rPr>
            </w:pPr>
            <w:r>
              <w:rPr>
                <w:rFonts w:hint="eastAsia" w:ascii="宋体" w:hAnsi="宋体" w:cs="黑体"/>
                <w:b/>
                <w:bCs/>
                <w:color w:val="auto"/>
                <w:kern w:val="0"/>
                <w:sz w:val="22"/>
                <w:szCs w:val="22"/>
                <w:highlight w:val="none"/>
              </w:rPr>
              <w:t>最高限价</w:t>
            </w:r>
          </w:p>
        </w:tc>
        <w:tc>
          <w:tcPr>
            <w:tcW w:w="1713" w:type="dxa"/>
            <w:tcBorders>
              <w:top w:val="single" w:color="000000" w:sz="4" w:space="0"/>
              <w:left w:val="single" w:color="000000" w:sz="4" w:space="0"/>
              <w:bottom w:val="single" w:color="000000" w:sz="4" w:space="0"/>
              <w:right w:val="single" w:color="000000" w:sz="4" w:space="0"/>
            </w:tcBorders>
            <w:vAlign w:val="center"/>
          </w:tcPr>
          <w:p w14:paraId="586E35A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黑体"/>
                <w:b/>
                <w:bCs/>
                <w:color w:val="auto"/>
                <w:sz w:val="22"/>
                <w:szCs w:val="22"/>
                <w:highlight w:val="none"/>
              </w:rPr>
            </w:pPr>
            <w:r>
              <w:rPr>
                <w:rFonts w:hint="eastAsia" w:ascii="宋体" w:hAnsi="宋体" w:cs="黑体"/>
                <w:b/>
                <w:bCs/>
                <w:color w:val="auto"/>
                <w:kern w:val="0"/>
                <w:sz w:val="22"/>
                <w:szCs w:val="22"/>
                <w:highlight w:val="none"/>
              </w:rPr>
              <w:t>备注</w:t>
            </w:r>
          </w:p>
        </w:tc>
      </w:tr>
      <w:tr w14:paraId="1A401129">
        <w:tblPrEx>
          <w:tblCellMar>
            <w:top w:w="0" w:type="dxa"/>
            <w:left w:w="108" w:type="dxa"/>
            <w:bottom w:w="0" w:type="dxa"/>
            <w:right w:w="108" w:type="dxa"/>
          </w:tblCellMar>
        </w:tblPrEx>
        <w:trPr>
          <w:trHeight w:val="310" w:hRule="atLeast"/>
        </w:trPr>
        <w:tc>
          <w:tcPr>
            <w:tcW w:w="10042" w:type="dxa"/>
            <w:gridSpan w:val="8"/>
            <w:tcBorders>
              <w:top w:val="single" w:color="000000" w:sz="4" w:space="0"/>
              <w:left w:val="single" w:color="000000" w:sz="4" w:space="0"/>
              <w:bottom w:val="single" w:color="000000" w:sz="4" w:space="0"/>
              <w:right w:val="single" w:color="000000" w:sz="4" w:space="0"/>
            </w:tcBorders>
            <w:vAlign w:val="center"/>
          </w:tcPr>
          <w:p w14:paraId="4A1F5804">
            <w:pPr>
              <w:keepNext w:val="0"/>
              <w:keepLines w:val="0"/>
              <w:suppressLineNumbers w:val="0"/>
              <w:spacing w:before="0" w:beforeAutospacing="0" w:after="0" w:afterAutospacing="0" w:line="320" w:lineRule="atLeast"/>
              <w:ind w:left="0" w:right="0"/>
              <w:rPr>
                <w:rFonts w:hint="default" w:ascii="宋体" w:hAnsi="宋体" w:cs="仿宋"/>
                <w:color w:val="auto"/>
                <w:sz w:val="22"/>
                <w:szCs w:val="22"/>
                <w:highlight w:val="none"/>
              </w:rPr>
            </w:pPr>
            <w:r>
              <w:rPr>
                <w:rFonts w:hint="eastAsia" w:ascii="宋体" w:hAnsi="宋体" w:cs="仿宋"/>
                <w:b/>
                <w:bCs/>
                <w:color w:val="auto"/>
                <w:kern w:val="0"/>
                <w:sz w:val="22"/>
                <w:szCs w:val="22"/>
                <w:highlight w:val="none"/>
              </w:rPr>
              <w:t>一、基础服务（IaaS)</w:t>
            </w:r>
          </w:p>
        </w:tc>
      </w:tr>
      <w:tr w14:paraId="0BB46181">
        <w:tblPrEx>
          <w:tblCellMar>
            <w:top w:w="0" w:type="dxa"/>
            <w:left w:w="108" w:type="dxa"/>
            <w:bottom w:w="0" w:type="dxa"/>
            <w:right w:w="108" w:type="dxa"/>
          </w:tblCellMar>
        </w:tblPrEx>
        <w:trPr>
          <w:trHeight w:val="310" w:hRule="atLeast"/>
        </w:trPr>
        <w:tc>
          <w:tcPr>
            <w:tcW w:w="749" w:type="dxa"/>
            <w:vMerge w:val="restart"/>
            <w:tcBorders>
              <w:top w:val="single" w:color="000000" w:sz="4" w:space="0"/>
              <w:left w:val="single" w:color="000000" w:sz="4" w:space="0"/>
              <w:bottom w:val="single" w:color="000000" w:sz="4" w:space="0"/>
              <w:right w:val="single" w:color="000000" w:sz="4" w:space="0"/>
            </w:tcBorders>
            <w:vAlign w:val="center"/>
          </w:tcPr>
          <w:p w14:paraId="430BFBF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w:t>
            </w:r>
          </w:p>
        </w:tc>
        <w:tc>
          <w:tcPr>
            <w:tcW w:w="1271" w:type="dxa"/>
            <w:vMerge w:val="restart"/>
            <w:tcBorders>
              <w:top w:val="single" w:color="000000" w:sz="4" w:space="0"/>
              <w:left w:val="single" w:color="000000" w:sz="4" w:space="0"/>
              <w:bottom w:val="single" w:color="000000" w:sz="4" w:space="0"/>
              <w:right w:val="single" w:color="000000" w:sz="4" w:space="0"/>
            </w:tcBorders>
            <w:vAlign w:val="center"/>
          </w:tcPr>
          <w:p w14:paraId="55F55F6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计算服务</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14:paraId="0F84B49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增强型云主机</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208C457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一核</w:t>
            </w:r>
          </w:p>
        </w:tc>
        <w:tc>
          <w:tcPr>
            <w:tcW w:w="1141" w:type="dxa"/>
            <w:tcBorders>
              <w:top w:val="single" w:color="000000" w:sz="4" w:space="0"/>
              <w:left w:val="single" w:color="000000" w:sz="4" w:space="0"/>
              <w:bottom w:val="single" w:color="000000" w:sz="4" w:space="0"/>
              <w:right w:val="single" w:color="000000" w:sz="4" w:space="0"/>
            </w:tcBorders>
            <w:vAlign w:val="center"/>
          </w:tcPr>
          <w:p w14:paraId="2D2E8DCD">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1GB</w:t>
            </w:r>
          </w:p>
        </w:tc>
        <w:tc>
          <w:tcPr>
            <w:tcW w:w="1629" w:type="dxa"/>
            <w:vMerge w:val="restart"/>
            <w:tcBorders>
              <w:top w:val="single" w:color="000000" w:sz="4" w:space="0"/>
              <w:left w:val="single" w:color="000000" w:sz="4" w:space="0"/>
              <w:bottom w:val="single" w:color="000000" w:sz="4" w:space="0"/>
              <w:right w:val="single" w:color="000000" w:sz="4" w:space="0"/>
            </w:tcBorders>
            <w:vAlign w:val="center"/>
          </w:tcPr>
          <w:p w14:paraId="4A9B9C12">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CPU主频≥2.3GHz；以上云主机价格包含操作系统正版授权；40G系统盘（SATA），linux系统盘40G，Windows系统盘40G；不含数据盘的价格</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7F1D9F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35</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14:paraId="7F8F8D5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需额外订购云主机数据盘进行搭配使用</w:t>
            </w:r>
          </w:p>
        </w:tc>
      </w:tr>
      <w:tr w14:paraId="1160DF7A">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3C2AF7A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E8C79E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0BFDE32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1C4AA0E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7351CC1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3AD97818">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0CF8616">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64</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45462ED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A2B234D">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6EFE6CC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47996F4">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06C60D2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1332588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23BECCFD">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5138AB17">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A19418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725747B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122E7828">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6EA2B0D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684A37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4B3C024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366B1BB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0ADE49D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1AAC18BC">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D97179A">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294</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70D2AAD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6D9489A5">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64BFDA2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95C151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78BF2C1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3DD67F4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两核</w:t>
            </w:r>
          </w:p>
        </w:tc>
        <w:tc>
          <w:tcPr>
            <w:tcW w:w="1141" w:type="dxa"/>
            <w:tcBorders>
              <w:top w:val="single" w:color="000000" w:sz="4" w:space="0"/>
              <w:left w:val="single" w:color="000000" w:sz="4" w:space="0"/>
              <w:bottom w:val="single" w:color="000000" w:sz="4" w:space="0"/>
              <w:right w:val="single" w:color="000000" w:sz="4" w:space="0"/>
            </w:tcBorders>
            <w:vAlign w:val="center"/>
          </w:tcPr>
          <w:p w14:paraId="19AB160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56686E29">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A7F0FED">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178</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5B364FD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279C80D">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254C730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B9B08D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0CA3D0D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75C8ED9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1DC2BEB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6CF6F94B">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BFB3E46">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238</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72218C4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554ED99">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211B787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2132DD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527B1F0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6CFF38B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43F9E78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5BFE9DEB">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AF0965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352</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4CD5833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0093ACDF">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7FB65A1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D67038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71E69BF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795C815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53E3F06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5918DAA4">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37A4313">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525</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0A09858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52B9A4D5">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3790A1B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3A51A6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6BC8DD4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5C70123A">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四核</w:t>
            </w:r>
          </w:p>
        </w:tc>
        <w:tc>
          <w:tcPr>
            <w:tcW w:w="1141" w:type="dxa"/>
            <w:tcBorders>
              <w:top w:val="single" w:color="000000" w:sz="4" w:space="0"/>
              <w:left w:val="single" w:color="000000" w:sz="4" w:space="0"/>
              <w:bottom w:val="single" w:color="000000" w:sz="4" w:space="0"/>
              <w:right w:val="single" w:color="000000" w:sz="4" w:space="0"/>
            </w:tcBorders>
            <w:vAlign w:val="center"/>
          </w:tcPr>
          <w:p w14:paraId="5AF7ED2F">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1D50CB9E">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763E2A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350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469E6D4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5CA4C11">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48D0DCB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3584C5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0EFB6D4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0FA55E6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6F217DC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13F96A35">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4A870A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470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42139FF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52AC6C77">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5A5BB88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54219C4">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2F1F5D7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237447D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2B9B258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07C9FFA0">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8E80F7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700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563BF184">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431DD9C">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0B0E5B6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F9867D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464ED54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26D013A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7D26BB2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5920015B">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11ED64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1040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04833EF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3A997D86">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410DBEC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F8537A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371DF14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6CFD9FD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八核</w:t>
            </w:r>
          </w:p>
        </w:tc>
        <w:tc>
          <w:tcPr>
            <w:tcW w:w="1141" w:type="dxa"/>
            <w:tcBorders>
              <w:top w:val="single" w:color="000000" w:sz="4" w:space="0"/>
              <w:left w:val="single" w:color="000000" w:sz="4" w:space="0"/>
              <w:bottom w:val="single" w:color="000000" w:sz="4" w:space="0"/>
              <w:right w:val="single" w:color="000000" w:sz="4" w:space="0"/>
            </w:tcBorders>
            <w:vAlign w:val="center"/>
          </w:tcPr>
          <w:p w14:paraId="7F92B76F">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48EA27BD">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2458B1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660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18DDDC9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61E50A3F">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25E5D06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7283C1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1A540D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38225BA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784A679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0E51DD40">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183AE2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880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2B9E085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13442368">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4DDC3C8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450B33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52FF8F5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0CA1181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27401D7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23FDE09B">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BDB577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1315</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3BD1EE4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8113979">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2DD6FFF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101301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2B407FF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665185F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75B2996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64GB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50DBEEFA">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D9E4BA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1960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087CC31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0DF149E9">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7D67FC4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AB7D20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4123BEF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61C8993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十六核</w:t>
            </w:r>
          </w:p>
        </w:tc>
        <w:tc>
          <w:tcPr>
            <w:tcW w:w="1141" w:type="dxa"/>
            <w:tcBorders>
              <w:top w:val="single" w:color="000000" w:sz="4" w:space="0"/>
              <w:left w:val="single" w:color="000000" w:sz="4" w:space="0"/>
              <w:bottom w:val="single" w:color="000000" w:sz="4" w:space="0"/>
              <w:right w:val="single" w:color="000000" w:sz="4" w:space="0"/>
            </w:tcBorders>
            <w:vAlign w:val="center"/>
          </w:tcPr>
          <w:p w14:paraId="42EDACF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46CDF508">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42952F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1300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4615EF1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C1F42D6">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2AF9D29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73503F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6ECEC3D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3464135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5F01C58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5D8EE68F">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5EDDBC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1745</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0761075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92DF0A4">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77CD4A8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566C20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DC57C0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2F77AE2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0BB3D2A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64GB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465A7FD7">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90D560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2620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36087E8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F27A646">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1C08354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AFA975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0CC24E0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1F73271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03ADEC5A">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128GB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1D9FD6A5">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FE97B8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3840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27EEBEB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14DA8FC4">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24631C2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29A3DD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111150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521E870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三十二核</w:t>
            </w:r>
          </w:p>
        </w:tc>
        <w:tc>
          <w:tcPr>
            <w:tcW w:w="1141" w:type="dxa"/>
            <w:tcBorders>
              <w:top w:val="single" w:color="000000" w:sz="4" w:space="0"/>
              <w:left w:val="single" w:color="000000" w:sz="4" w:space="0"/>
              <w:bottom w:val="single" w:color="000000" w:sz="4" w:space="0"/>
              <w:right w:val="single" w:color="000000" w:sz="4" w:space="0"/>
            </w:tcBorders>
            <w:vAlign w:val="center"/>
          </w:tcPr>
          <w:p w14:paraId="22F2D8D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64GB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375ABDFC">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DBF3FC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3490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0FF9E88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AF66C08">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3BA4BC4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E168C8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ACD48C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5D521BE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1EB85CE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128GB</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6323A49E">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C666BE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5200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345C91C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4F71F39C">
        <w:tblPrEx>
          <w:tblCellMar>
            <w:top w:w="0" w:type="dxa"/>
            <w:left w:w="108" w:type="dxa"/>
            <w:bottom w:w="0" w:type="dxa"/>
            <w:right w:w="108" w:type="dxa"/>
          </w:tblCellMar>
        </w:tblPrEx>
        <w:trPr>
          <w:trHeight w:val="600" w:hRule="atLeast"/>
        </w:trPr>
        <w:tc>
          <w:tcPr>
            <w:tcW w:w="749" w:type="dxa"/>
            <w:vMerge w:val="restart"/>
            <w:tcBorders>
              <w:top w:val="single" w:color="000000" w:sz="4" w:space="0"/>
              <w:left w:val="single" w:color="000000" w:sz="4" w:space="0"/>
              <w:bottom w:val="single" w:color="000000" w:sz="4" w:space="0"/>
              <w:right w:val="single" w:color="000000" w:sz="4" w:space="0"/>
            </w:tcBorders>
            <w:vAlign w:val="center"/>
          </w:tcPr>
          <w:p w14:paraId="56445EAD">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w:t>
            </w:r>
          </w:p>
        </w:tc>
        <w:tc>
          <w:tcPr>
            <w:tcW w:w="1271" w:type="dxa"/>
            <w:vMerge w:val="restart"/>
            <w:tcBorders>
              <w:top w:val="single" w:color="000000" w:sz="4" w:space="0"/>
              <w:left w:val="single" w:color="000000" w:sz="4" w:space="0"/>
              <w:bottom w:val="single" w:color="000000" w:sz="4" w:space="0"/>
              <w:right w:val="single" w:color="000000" w:sz="4" w:space="0"/>
            </w:tcBorders>
            <w:vAlign w:val="center"/>
          </w:tcPr>
          <w:p w14:paraId="14EDABE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存储服务</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14:paraId="708F6F3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云主机数据盘</w:t>
            </w:r>
          </w:p>
        </w:tc>
        <w:tc>
          <w:tcPr>
            <w:tcW w:w="1175" w:type="dxa"/>
            <w:tcBorders>
              <w:top w:val="single" w:color="000000" w:sz="4" w:space="0"/>
              <w:left w:val="single" w:color="000000" w:sz="4" w:space="0"/>
              <w:bottom w:val="single" w:color="000000" w:sz="4" w:space="0"/>
              <w:right w:val="single" w:color="000000" w:sz="4" w:space="0"/>
            </w:tcBorders>
            <w:vAlign w:val="center"/>
          </w:tcPr>
          <w:p w14:paraId="1265F3EA">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SSD数据盘</w:t>
            </w:r>
          </w:p>
        </w:tc>
        <w:tc>
          <w:tcPr>
            <w:tcW w:w="1141" w:type="dxa"/>
            <w:tcBorders>
              <w:top w:val="single" w:color="000000" w:sz="4" w:space="0"/>
              <w:left w:val="single" w:color="000000" w:sz="4" w:space="0"/>
              <w:bottom w:val="single" w:color="000000" w:sz="4" w:space="0"/>
              <w:right w:val="single" w:color="000000" w:sz="4" w:space="0"/>
            </w:tcBorders>
            <w:vAlign w:val="center"/>
          </w:tcPr>
          <w:p w14:paraId="21C7D5CA">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100GB</w:t>
            </w:r>
          </w:p>
        </w:tc>
        <w:tc>
          <w:tcPr>
            <w:tcW w:w="1629" w:type="dxa"/>
            <w:tcBorders>
              <w:top w:val="single" w:color="000000" w:sz="4" w:space="0"/>
              <w:left w:val="single" w:color="000000" w:sz="4" w:space="0"/>
              <w:bottom w:val="single" w:color="000000" w:sz="4" w:space="0"/>
              <w:right w:val="single" w:color="000000" w:sz="4" w:space="0"/>
            </w:tcBorders>
            <w:vAlign w:val="center"/>
          </w:tcPr>
          <w:p w14:paraId="2890AC13">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需挂载在云主机上使用，需以100G为单位订购</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E30F62F">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70</w:t>
            </w:r>
          </w:p>
        </w:tc>
        <w:tc>
          <w:tcPr>
            <w:tcW w:w="1713" w:type="dxa"/>
            <w:tcBorders>
              <w:top w:val="single" w:color="000000" w:sz="4" w:space="0"/>
              <w:left w:val="single" w:color="000000" w:sz="4" w:space="0"/>
              <w:bottom w:val="single" w:color="000000" w:sz="4" w:space="0"/>
              <w:right w:val="single" w:color="000000" w:sz="4" w:space="0"/>
            </w:tcBorders>
            <w:vAlign w:val="center"/>
          </w:tcPr>
          <w:p w14:paraId="1F36D12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需以100G为单位订购</w:t>
            </w:r>
          </w:p>
        </w:tc>
      </w:tr>
      <w:tr w14:paraId="3A5E2ED2">
        <w:tblPrEx>
          <w:tblCellMar>
            <w:top w:w="0" w:type="dxa"/>
            <w:left w:w="108" w:type="dxa"/>
            <w:bottom w:w="0" w:type="dxa"/>
            <w:right w:w="108" w:type="dxa"/>
          </w:tblCellMar>
        </w:tblPrEx>
        <w:trPr>
          <w:trHeight w:val="416"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3CAEE28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941A83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61159CE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0850127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高效数据盘</w:t>
            </w:r>
          </w:p>
        </w:tc>
        <w:tc>
          <w:tcPr>
            <w:tcW w:w="1141" w:type="dxa"/>
            <w:tcBorders>
              <w:top w:val="single" w:color="000000" w:sz="4" w:space="0"/>
              <w:left w:val="single" w:color="000000" w:sz="4" w:space="0"/>
              <w:bottom w:val="single" w:color="000000" w:sz="4" w:space="0"/>
              <w:right w:val="single" w:color="000000" w:sz="4" w:space="0"/>
            </w:tcBorders>
            <w:vAlign w:val="center"/>
          </w:tcPr>
          <w:p w14:paraId="6AB9980D">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100GB</w:t>
            </w:r>
          </w:p>
        </w:tc>
        <w:tc>
          <w:tcPr>
            <w:tcW w:w="1629" w:type="dxa"/>
            <w:tcBorders>
              <w:top w:val="single" w:color="000000" w:sz="4" w:space="0"/>
              <w:left w:val="single" w:color="000000" w:sz="4" w:space="0"/>
              <w:bottom w:val="single" w:color="000000" w:sz="4" w:space="0"/>
              <w:right w:val="single" w:color="000000" w:sz="4" w:space="0"/>
            </w:tcBorders>
            <w:vAlign w:val="center"/>
          </w:tcPr>
          <w:p w14:paraId="15531EE0">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需挂载在云主机上使用，需以100G为单位订购</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DC0FD0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41</w:t>
            </w:r>
          </w:p>
        </w:tc>
        <w:tc>
          <w:tcPr>
            <w:tcW w:w="1713" w:type="dxa"/>
            <w:tcBorders>
              <w:top w:val="single" w:color="000000" w:sz="4" w:space="0"/>
              <w:left w:val="single" w:color="000000" w:sz="4" w:space="0"/>
              <w:bottom w:val="single" w:color="000000" w:sz="4" w:space="0"/>
              <w:right w:val="single" w:color="000000" w:sz="4" w:space="0"/>
            </w:tcBorders>
            <w:vAlign w:val="center"/>
          </w:tcPr>
          <w:p w14:paraId="203D2A5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需以100G为单位订购</w:t>
            </w:r>
          </w:p>
        </w:tc>
      </w:tr>
      <w:tr w14:paraId="76CDD051">
        <w:tblPrEx>
          <w:tblCellMar>
            <w:top w:w="0" w:type="dxa"/>
            <w:left w:w="108" w:type="dxa"/>
            <w:bottom w:w="0" w:type="dxa"/>
            <w:right w:w="108" w:type="dxa"/>
          </w:tblCellMar>
        </w:tblPrEx>
        <w:trPr>
          <w:trHeight w:val="60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5B3558A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1B38DF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0FBE2F0F">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云存储</w:t>
            </w:r>
          </w:p>
        </w:tc>
        <w:tc>
          <w:tcPr>
            <w:tcW w:w="1175" w:type="dxa"/>
            <w:tcBorders>
              <w:top w:val="single" w:color="000000" w:sz="4" w:space="0"/>
              <w:left w:val="single" w:color="000000" w:sz="4" w:space="0"/>
              <w:bottom w:val="single" w:color="000000" w:sz="4" w:space="0"/>
              <w:right w:val="single" w:color="000000" w:sz="4" w:space="0"/>
            </w:tcBorders>
            <w:vAlign w:val="center"/>
          </w:tcPr>
          <w:p w14:paraId="33E3A1D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每TeraByte (TB)字节</w:t>
            </w:r>
          </w:p>
        </w:tc>
        <w:tc>
          <w:tcPr>
            <w:tcW w:w="1141" w:type="dxa"/>
            <w:tcBorders>
              <w:top w:val="single" w:color="000000" w:sz="4" w:space="0"/>
              <w:left w:val="single" w:color="000000" w:sz="4" w:space="0"/>
              <w:bottom w:val="single" w:color="000000" w:sz="4" w:space="0"/>
              <w:right w:val="single" w:color="000000" w:sz="4" w:space="0"/>
            </w:tcBorders>
            <w:vAlign w:val="center"/>
          </w:tcPr>
          <w:p w14:paraId="6ABA00D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1T</w:t>
            </w:r>
          </w:p>
        </w:tc>
        <w:tc>
          <w:tcPr>
            <w:tcW w:w="1629" w:type="dxa"/>
            <w:tcBorders>
              <w:top w:val="single" w:color="000000" w:sz="4" w:space="0"/>
              <w:left w:val="single" w:color="000000" w:sz="4" w:space="0"/>
              <w:bottom w:val="single" w:color="000000" w:sz="4" w:space="0"/>
              <w:right w:val="single" w:color="000000" w:sz="4" w:space="0"/>
            </w:tcBorders>
            <w:vAlign w:val="center"/>
          </w:tcPr>
          <w:p w14:paraId="586584F8">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对象存储OSS，需以1T为单位订购</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1D7D05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181</w:t>
            </w:r>
          </w:p>
        </w:tc>
        <w:tc>
          <w:tcPr>
            <w:tcW w:w="1713" w:type="dxa"/>
            <w:tcBorders>
              <w:top w:val="single" w:color="000000" w:sz="4" w:space="0"/>
              <w:left w:val="single" w:color="000000" w:sz="4" w:space="0"/>
              <w:bottom w:val="single" w:color="000000" w:sz="4" w:space="0"/>
              <w:right w:val="single" w:color="000000" w:sz="4" w:space="0"/>
            </w:tcBorders>
            <w:vAlign w:val="center"/>
          </w:tcPr>
          <w:p w14:paraId="022F20A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需以1T为单位订购</w:t>
            </w:r>
          </w:p>
        </w:tc>
      </w:tr>
      <w:tr w14:paraId="48606CEC">
        <w:tblPrEx>
          <w:tblCellMar>
            <w:top w:w="0" w:type="dxa"/>
            <w:left w:w="108" w:type="dxa"/>
            <w:bottom w:w="0" w:type="dxa"/>
            <w:right w:w="108" w:type="dxa"/>
          </w:tblCellMar>
        </w:tblPrEx>
        <w:trPr>
          <w:trHeight w:val="90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04EA57F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BA4384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268F2F3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NAS存储</w:t>
            </w:r>
          </w:p>
        </w:tc>
        <w:tc>
          <w:tcPr>
            <w:tcW w:w="1175" w:type="dxa"/>
            <w:tcBorders>
              <w:top w:val="single" w:color="000000" w:sz="4" w:space="0"/>
              <w:left w:val="single" w:color="000000" w:sz="4" w:space="0"/>
              <w:bottom w:val="single" w:color="000000" w:sz="4" w:space="0"/>
              <w:right w:val="single" w:color="000000" w:sz="4" w:space="0"/>
            </w:tcBorders>
            <w:vAlign w:val="center"/>
          </w:tcPr>
          <w:p w14:paraId="6CD297F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以100GB为单价</w:t>
            </w:r>
          </w:p>
        </w:tc>
        <w:tc>
          <w:tcPr>
            <w:tcW w:w="1141" w:type="dxa"/>
            <w:tcBorders>
              <w:top w:val="single" w:color="000000" w:sz="4" w:space="0"/>
              <w:left w:val="single" w:color="000000" w:sz="4" w:space="0"/>
              <w:bottom w:val="single" w:color="000000" w:sz="4" w:space="0"/>
              <w:right w:val="single" w:color="000000" w:sz="4" w:space="0"/>
            </w:tcBorders>
            <w:vAlign w:val="center"/>
          </w:tcPr>
          <w:p w14:paraId="1D510AF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100GB</w:t>
            </w:r>
          </w:p>
        </w:tc>
        <w:tc>
          <w:tcPr>
            <w:tcW w:w="1629" w:type="dxa"/>
            <w:tcBorders>
              <w:top w:val="single" w:color="000000" w:sz="4" w:space="0"/>
              <w:left w:val="single" w:color="000000" w:sz="4" w:space="0"/>
              <w:bottom w:val="single" w:color="000000" w:sz="4" w:space="0"/>
              <w:right w:val="single" w:color="000000" w:sz="4" w:space="0"/>
            </w:tcBorders>
            <w:vAlign w:val="center"/>
          </w:tcPr>
          <w:p w14:paraId="1368CE35">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可提供常见标准接口协议提供存储服务，需以100G为单位订购</w:t>
            </w:r>
          </w:p>
        </w:tc>
        <w:tc>
          <w:tcPr>
            <w:tcW w:w="1334" w:type="dxa"/>
            <w:tcBorders>
              <w:top w:val="single" w:color="000000" w:sz="4" w:space="0"/>
              <w:left w:val="single" w:color="000000" w:sz="4" w:space="0"/>
              <w:bottom w:val="single" w:color="000000" w:sz="4" w:space="0"/>
              <w:right w:val="single" w:color="000000" w:sz="4" w:space="0"/>
            </w:tcBorders>
            <w:vAlign w:val="center"/>
          </w:tcPr>
          <w:p w14:paraId="0381D70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23</w:t>
            </w:r>
          </w:p>
        </w:tc>
        <w:tc>
          <w:tcPr>
            <w:tcW w:w="1713" w:type="dxa"/>
            <w:tcBorders>
              <w:top w:val="single" w:color="000000" w:sz="4" w:space="0"/>
              <w:left w:val="single" w:color="000000" w:sz="4" w:space="0"/>
              <w:bottom w:val="single" w:color="000000" w:sz="4" w:space="0"/>
              <w:right w:val="single" w:color="000000" w:sz="4" w:space="0"/>
            </w:tcBorders>
            <w:vAlign w:val="center"/>
          </w:tcPr>
          <w:p w14:paraId="65E0D96F">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需以100G为单位订购</w:t>
            </w:r>
          </w:p>
        </w:tc>
      </w:tr>
      <w:tr w14:paraId="1DE87B71">
        <w:tblPrEx>
          <w:tblCellMar>
            <w:top w:w="0" w:type="dxa"/>
            <w:left w:w="108" w:type="dxa"/>
            <w:bottom w:w="0" w:type="dxa"/>
            <w:right w:w="108" w:type="dxa"/>
          </w:tblCellMar>
        </w:tblPrEx>
        <w:trPr>
          <w:trHeight w:val="310" w:hRule="atLeast"/>
        </w:trPr>
        <w:tc>
          <w:tcPr>
            <w:tcW w:w="749" w:type="dxa"/>
            <w:vMerge w:val="restart"/>
            <w:tcBorders>
              <w:top w:val="single" w:color="000000" w:sz="4" w:space="0"/>
              <w:left w:val="single" w:color="000000" w:sz="4" w:space="0"/>
              <w:bottom w:val="single" w:color="000000" w:sz="4" w:space="0"/>
              <w:right w:val="single" w:color="000000" w:sz="4" w:space="0"/>
            </w:tcBorders>
            <w:vAlign w:val="center"/>
          </w:tcPr>
          <w:p w14:paraId="75AE427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w:t>
            </w:r>
          </w:p>
        </w:tc>
        <w:tc>
          <w:tcPr>
            <w:tcW w:w="1271" w:type="dxa"/>
            <w:vMerge w:val="restart"/>
            <w:tcBorders>
              <w:top w:val="single" w:color="000000" w:sz="4" w:space="0"/>
              <w:left w:val="single" w:color="000000" w:sz="4" w:space="0"/>
              <w:bottom w:val="single" w:color="000000" w:sz="4" w:space="0"/>
              <w:right w:val="single" w:color="000000" w:sz="4" w:space="0"/>
            </w:tcBorders>
            <w:vAlign w:val="center"/>
          </w:tcPr>
          <w:p w14:paraId="501B43CA">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网络服务</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14:paraId="01E9B2C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共享互联网出口带宽</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3C47FC8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共享带宽</w:t>
            </w:r>
          </w:p>
        </w:tc>
        <w:tc>
          <w:tcPr>
            <w:tcW w:w="1141" w:type="dxa"/>
            <w:tcBorders>
              <w:top w:val="single" w:color="000000" w:sz="4" w:space="0"/>
              <w:left w:val="single" w:color="000000" w:sz="4" w:space="0"/>
              <w:bottom w:val="single" w:color="000000" w:sz="4" w:space="0"/>
              <w:right w:val="single" w:color="000000" w:sz="4" w:space="0"/>
            </w:tcBorders>
            <w:vAlign w:val="center"/>
          </w:tcPr>
          <w:p w14:paraId="27D1D68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500 Mbps</w:t>
            </w:r>
          </w:p>
        </w:tc>
        <w:tc>
          <w:tcPr>
            <w:tcW w:w="1629" w:type="dxa"/>
            <w:vMerge w:val="restart"/>
            <w:tcBorders>
              <w:top w:val="single" w:color="000000" w:sz="4" w:space="0"/>
              <w:left w:val="single" w:color="000000" w:sz="4" w:space="0"/>
              <w:bottom w:val="single" w:color="000000" w:sz="4" w:space="0"/>
              <w:right w:val="single" w:color="000000" w:sz="4" w:space="0"/>
            </w:tcBorders>
            <w:vAlign w:val="center"/>
          </w:tcPr>
          <w:p w14:paraId="523DE14B">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云平台共享互联网出口；提供配套的IP地址</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E37A6D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6856</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14:paraId="08F942D4">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30D0B29B">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1D94AB8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630FF7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4E9F3F6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42EAD0C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6BF981A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1000 Mbps</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26F055E8">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8FED8D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13711</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134ACDD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30199556">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1D58324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94C419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0A0383F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05968A9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43A63B16">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每增加100Mbps</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52DDC840">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D5708A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1644</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690BFB8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43A65D4F">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273DE6C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348BAC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14:paraId="637105D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独享互联网出口带宽</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525DAF4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独享带宽</w:t>
            </w:r>
          </w:p>
        </w:tc>
        <w:tc>
          <w:tcPr>
            <w:tcW w:w="1141" w:type="dxa"/>
            <w:tcBorders>
              <w:top w:val="single" w:color="000000" w:sz="4" w:space="0"/>
              <w:left w:val="single" w:color="000000" w:sz="4" w:space="0"/>
              <w:bottom w:val="single" w:color="000000" w:sz="4" w:space="0"/>
              <w:right w:val="single" w:color="000000" w:sz="4" w:space="0"/>
            </w:tcBorders>
            <w:vAlign w:val="center"/>
          </w:tcPr>
          <w:p w14:paraId="227193F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10M</w:t>
            </w:r>
          </w:p>
        </w:tc>
        <w:tc>
          <w:tcPr>
            <w:tcW w:w="1629" w:type="dxa"/>
            <w:vMerge w:val="restart"/>
            <w:tcBorders>
              <w:top w:val="single" w:color="000000" w:sz="4" w:space="0"/>
              <w:left w:val="single" w:color="000000" w:sz="4" w:space="0"/>
              <w:bottom w:val="single" w:color="000000" w:sz="4" w:space="0"/>
              <w:right w:val="single" w:color="000000" w:sz="4" w:space="0"/>
            </w:tcBorders>
            <w:vAlign w:val="center"/>
          </w:tcPr>
          <w:p w14:paraId="067B4C3C">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D3368A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363</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14:paraId="4EF2265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1B38A806">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4E4FD2D4">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3BB56E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61136E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65B4159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62A728C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20M</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4B2DA606">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F64D79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727</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29A0885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0A70B11">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62CD99A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9D8D1F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7901048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489D62E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626864F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50M</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734536BC">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9C4395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1091</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4D326ED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3CF851B9">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48922BE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2E5A57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4BD0D1A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5873AA3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283E13A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100M</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06602591">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D2DC7E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2182</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1483D42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5554770C">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196F625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A4381F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309298C4">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56AF545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2A08093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200M</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3CD54D66">
            <w:pPr>
              <w:keepNext w:val="0"/>
              <w:keepLines w:val="0"/>
              <w:suppressLineNumbers w:val="0"/>
              <w:spacing w:before="0" w:beforeAutospacing="0" w:after="0" w:afterAutospacing="0" w:line="320" w:lineRule="atLeast"/>
              <w:ind w:left="0" w:right="0"/>
              <w:jc w:val="left"/>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0A165C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3819</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0DE7D0E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672A63D2">
        <w:tblPrEx>
          <w:tblCellMar>
            <w:top w:w="0" w:type="dxa"/>
            <w:left w:w="108" w:type="dxa"/>
            <w:bottom w:w="0" w:type="dxa"/>
            <w:right w:w="108" w:type="dxa"/>
          </w:tblCellMar>
        </w:tblPrEx>
        <w:trPr>
          <w:trHeight w:val="34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71E688E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522159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14:paraId="56E833FA">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云负载均衡</w:t>
            </w:r>
          </w:p>
        </w:tc>
        <w:tc>
          <w:tcPr>
            <w:tcW w:w="1175" w:type="dxa"/>
            <w:tcBorders>
              <w:top w:val="single" w:color="000000" w:sz="4" w:space="0"/>
              <w:left w:val="single" w:color="000000" w:sz="4" w:space="0"/>
              <w:bottom w:val="single" w:color="000000" w:sz="4" w:space="0"/>
              <w:right w:val="single" w:color="000000" w:sz="4" w:space="0"/>
            </w:tcBorders>
            <w:vAlign w:val="center"/>
          </w:tcPr>
          <w:p w14:paraId="7FFA821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以1个实例为单位</w:t>
            </w:r>
          </w:p>
        </w:tc>
        <w:tc>
          <w:tcPr>
            <w:tcW w:w="1141" w:type="dxa"/>
            <w:tcBorders>
              <w:top w:val="single" w:color="000000" w:sz="4" w:space="0"/>
              <w:left w:val="single" w:color="000000" w:sz="4" w:space="0"/>
              <w:bottom w:val="single" w:color="000000" w:sz="4" w:space="0"/>
              <w:right w:val="single" w:color="000000" w:sz="4" w:space="0"/>
            </w:tcBorders>
            <w:vAlign w:val="center"/>
          </w:tcPr>
          <w:p w14:paraId="62C3877D">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实例</w:t>
            </w:r>
          </w:p>
        </w:tc>
        <w:tc>
          <w:tcPr>
            <w:tcW w:w="1629" w:type="dxa"/>
            <w:tcBorders>
              <w:top w:val="single" w:color="000000" w:sz="4" w:space="0"/>
              <w:left w:val="single" w:color="000000" w:sz="4" w:space="0"/>
              <w:bottom w:val="single" w:color="000000" w:sz="4" w:space="0"/>
              <w:right w:val="single" w:color="000000" w:sz="4" w:space="0"/>
            </w:tcBorders>
            <w:vAlign w:val="center"/>
          </w:tcPr>
          <w:p w14:paraId="4CE5055A">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提供4层和7层负载均衡。支持包括全局负载均衡和服务器负载均衡的功能；支持轮询、加权轮询、加权最小连接、动态反馈、最快响应、最小流量、带宽比例、哈希、主备、首个可用、UDP强行负载等算法。</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F4207A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 xml:space="preserve">639 </w:t>
            </w:r>
          </w:p>
        </w:tc>
        <w:tc>
          <w:tcPr>
            <w:tcW w:w="1713" w:type="dxa"/>
            <w:tcBorders>
              <w:top w:val="single" w:color="000000" w:sz="4" w:space="0"/>
              <w:left w:val="single" w:color="000000" w:sz="4" w:space="0"/>
              <w:bottom w:val="single" w:color="000000" w:sz="4" w:space="0"/>
              <w:right w:val="single" w:color="000000" w:sz="4" w:space="0"/>
            </w:tcBorders>
            <w:vAlign w:val="center"/>
          </w:tcPr>
          <w:p w14:paraId="6F31F48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提供4层和7层负载均衡</w:t>
            </w:r>
          </w:p>
        </w:tc>
      </w:tr>
      <w:tr w14:paraId="102B109F">
        <w:tblPrEx>
          <w:tblCellMar>
            <w:top w:w="0" w:type="dxa"/>
            <w:left w:w="108" w:type="dxa"/>
            <w:bottom w:w="0" w:type="dxa"/>
            <w:right w:w="108" w:type="dxa"/>
          </w:tblCellMar>
        </w:tblPrEx>
        <w:trPr>
          <w:trHeight w:val="310" w:hRule="atLeast"/>
        </w:trPr>
        <w:tc>
          <w:tcPr>
            <w:tcW w:w="10042" w:type="dxa"/>
            <w:gridSpan w:val="8"/>
            <w:tcBorders>
              <w:top w:val="single" w:color="000000" w:sz="4" w:space="0"/>
              <w:left w:val="single" w:color="000000" w:sz="4" w:space="0"/>
              <w:bottom w:val="single" w:color="000000" w:sz="4" w:space="0"/>
              <w:right w:val="single" w:color="000000" w:sz="4" w:space="0"/>
            </w:tcBorders>
            <w:vAlign w:val="center"/>
          </w:tcPr>
          <w:p w14:paraId="163858E4">
            <w:pPr>
              <w:keepNext w:val="0"/>
              <w:keepLines w:val="0"/>
              <w:suppressLineNumbers w:val="0"/>
              <w:spacing w:before="0" w:beforeAutospacing="0" w:after="0" w:afterAutospacing="0" w:line="320" w:lineRule="atLeast"/>
              <w:ind w:left="0" w:right="0"/>
              <w:jc w:val="left"/>
              <w:rPr>
                <w:rFonts w:hint="default" w:ascii="宋体" w:hAnsi="宋体" w:cs="仿宋_GB2312"/>
                <w:b/>
                <w:bCs/>
                <w:color w:val="auto"/>
                <w:sz w:val="22"/>
                <w:szCs w:val="22"/>
                <w:highlight w:val="none"/>
              </w:rPr>
            </w:pPr>
            <w:r>
              <w:rPr>
                <w:rFonts w:hint="eastAsia" w:ascii="宋体" w:hAnsi="宋体" w:cs="仿宋_GB2312"/>
                <w:b/>
                <w:bCs/>
                <w:color w:val="auto"/>
                <w:kern w:val="0"/>
                <w:sz w:val="22"/>
                <w:szCs w:val="22"/>
                <w:highlight w:val="none"/>
              </w:rPr>
              <w:t>二、平台</w:t>
            </w:r>
            <w:r>
              <w:rPr>
                <w:rFonts w:hint="eastAsia" w:ascii="宋体" w:hAnsi="宋体" w:cs="仿宋_GB2312"/>
                <w:color w:val="auto"/>
                <w:kern w:val="0"/>
                <w:sz w:val="22"/>
                <w:szCs w:val="22"/>
                <w:highlight w:val="none"/>
              </w:rPr>
              <w:t>即</w:t>
            </w:r>
            <w:r>
              <w:rPr>
                <w:rFonts w:hint="eastAsia" w:ascii="宋体" w:hAnsi="宋体" w:cs="仿宋_GB2312"/>
                <w:b/>
                <w:bCs/>
                <w:color w:val="auto"/>
                <w:kern w:val="0"/>
                <w:sz w:val="22"/>
                <w:szCs w:val="22"/>
                <w:highlight w:val="none"/>
              </w:rPr>
              <w:t>服务（PaaS）</w:t>
            </w:r>
          </w:p>
        </w:tc>
      </w:tr>
      <w:tr w14:paraId="06C5B14E">
        <w:tblPrEx>
          <w:tblCellMar>
            <w:top w:w="0" w:type="dxa"/>
            <w:left w:w="108" w:type="dxa"/>
            <w:bottom w:w="0" w:type="dxa"/>
            <w:right w:w="108" w:type="dxa"/>
          </w:tblCellMar>
        </w:tblPrEx>
        <w:trPr>
          <w:trHeight w:val="310" w:hRule="atLeast"/>
        </w:trPr>
        <w:tc>
          <w:tcPr>
            <w:tcW w:w="749" w:type="dxa"/>
            <w:vMerge w:val="restart"/>
            <w:tcBorders>
              <w:top w:val="single" w:color="000000" w:sz="4" w:space="0"/>
              <w:left w:val="single" w:color="000000" w:sz="4" w:space="0"/>
              <w:bottom w:val="single" w:color="000000" w:sz="4" w:space="0"/>
              <w:right w:val="single" w:color="000000" w:sz="4" w:space="0"/>
            </w:tcBorders>
            <w:vAlign w:val="center"/>
          </w:tcPr>
          <w:p w14:paraId="005D4D0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w:t>
            </w:r>
          </w:p>
        </w:tc>
        <w:tc>
          <w:tcPr>
            <w:tcW w:w="1271" w:type="dxa"/>
            <w:vMerge w:val="restart"/>
            <w:tcBorders>
              <w:top w:val="single" w:color="000000" w:sz="4" w:space="0"/>
              <w:left w:val="single" w:color="000000" w:sz="4" w:space="0"/>
              <w:bottom w:val="single" w:color="000000" w:sz="4" w:space="0"/>
              <w:right w:val="single" w:color="000000" w:sz="4" w:space="0"/>
            </w:tcBorders>
            <w:vAlign w:val="center"/>
          </w:tcPr>
          <w:p w14:paraId="699FBD9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云数据库</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14:paraId="2E9AB87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云数据库</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26E8556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My SQL数据库服务（最大连接数）</w:t>
            </w:r>
          </w:p>
        </w:tc>
        <w:tc>
          <w:tcPr>
            <w:tcW w:w="1141" w:type="dxa"/>
            <w:tcBorders>
              <w:top w:val="single" w:color="000000" w:sz="4" w:space="0"/>
              <w:left w:val="single" w:color="000000" w:sz="4" w:space="0"/>
              <w:bottom w:val="single" w:color="000000" w:sz="4" w:space="0"/>
              <w:right w:val="single" w:color="000000" w:sz="4" w:space="0"/>
            </w:tcBorders>
            <w:vAlign w:val="center"/>
          </w:tcPr>
          <w:p w14:paraId="49A835F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60</w:t>
            </w:r>
          </w:p>
        </w:tc>
        <w:tc>
          <w:tcPr>
            <w:tcW w:w="1629" w:type="dxa"/>
            <w:tcBorders>
              <w:top w:val="single" w:color="000000" w:sz="4" w:space="0"/>
              <w:left w:val="single" w:color="000000" w:sz="4" w:space="0"/>
              <w:bottom w:val="single" w:color="000000" w:sz="4" w:space="0"/>
              <w:right w:val="single" w:color="000000" w:sz="4" w:space="0"/>
            </w:tcBorders>
            <w:vAlign w:val="center"/>
          </w:tcPr>
          <w:p w14:paraId="34C88023">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约占用内存240MB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DC1387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27</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14:paraId="6AD8827D">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不含“数据库存储”，需额外订购“数据库存储”，数据库存储单价为76.5元/100G/月，数据库存储需以100G为单位订购。</w:t>
            </w:r>
          </w:p>
        </w:tc>
      </w:tr>
      <w:tr w14:paraId="4B4969C7">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6721D9F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F15A65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9CCDAD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520D6E6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04E7FC9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150</w:t>
            </w:r>
          </w:p>
        </w:tc>
        <w:tc>
          <w:tcPr>
            <w:tcW w:w="1629" w:type="dxa"/>
            <w:tcBorders>
              <w:top w:val="single" w:color="000000" w:sz="4" w:space="0"/>
              <w:left w:val="single" w:color="000000" w:sz="4" w:space="0"/>
              <w:bottom w:val="single" w:color="000000" w:sz="4" w:space="0"/>
              <w:right w:val="single" w:color="000000" w:sz="4" w:space="0"/>
            </w:tcBorders>
            <w:vAlign w:val="center"/>
          </w:tcPr>
          <w:p w14:paraId="7BD273EC">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约占用内存600MB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46BFE0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67</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00AE5C9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6B464E6F">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45852F4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9A9754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4FFAE0B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4C5AB0D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41DF138F">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300</w:t>
            </w:r>
          </w:p>
        </w:tc>
        <w:tc>
          <w:tcPr>
            <w:tcW w:w="1629" w:type="dxa"/>
            <w:tcBorders>
              <w:top w:val="single" w:color="000000" w:sz="4" w:space="0"/>
              <w:left w:val="single" w:color="000000" w:sz="4" w:space="0"/>
              <w:bottom w:val="single" w:color="000000" w:sz="4" w:space="0"/>
              <w:right w:val="single" w:color="000000" w:sz="4" w:space="0"/>
            </w:tcBorders>
            <w:vAlign w:val="center"/>
          </w:tcPr>
          <w:p w14:paraId="214189E2">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约占用内存1200MB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567483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127</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364765A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5615DEFF">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7301506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3B08FE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7B9AE96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4B461CB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3E1D4DAA">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600</w:t>
            </w:r>
          </w:p>
        </w:tc>
        <w:tc>
          <w:tcPr>
            <w:tcW w:w="1629" w:type="dxa"/>
            <w:tcBorders>
              <w:top w:val="single" w:color="000000" w:sz="4" w:space="0"/>
              <w:left w:val="single" w:color="000000" w:sz="4" w:space="0"/>
              <w:bottom w:val="single" w:color="000000" w:sz="4" w:space="0"/>
              <w:right w:val="single" w:color="000000" w:sz="4" w:space="0"/>
            </w:tcBorders>
            <w:vAlign w:val="center"/>
          </w:tcPr>
          <w:p w14:paraId="3A837E0D">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约占用内存2400MB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67808D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247</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637FA2D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8E30069">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62E8644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8D4612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5AABF7C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103279C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74DFF20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1500</w:t>
            </w:r>
          </w:p>
        </w:tc>
        <w:tc>
          <w:tcPr>
            <w:tcW w:w="1629" w:type="dxa"/>
            <w:tcBorders>
              <w:top w:val="single" w:color="000000" w:sz="4" w:space="0"/>
              <w:left w:val="single" w:color="000000" w:sz="4" w:space="0"/>
              <w:bottom w:val="single" w:color="000000" w:sz="4" w:space="0"/>
              <w:right w:val="single" w:color="000000" w:sz="4" w:space="0"/>
            </w:tcBorders>
            <w:vAlign w:val="center"/>
          </w:tcPr>
          <w:p w14:paraId="7FEA4142">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约占用内存6000MB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55FAD8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620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5756ACF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38694E1E">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12CAC6E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CE11D7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7261085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708A68A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037130F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2000</w:t>
            </w:r>
          </w:p>
        </w:tc>
        <w:tc>
          <w:tcPr>
            <w:tcW w:w="1629" w:type="dxa"/>
            <w:tcBorders>
              <w:top w:val="single" w:color="000000" w:sz="4" w:space="0"/>
              <w:left w:val="single" w:color="000000" w:sz="4" w:space="0"/>
              <w:bottom w:val="single" w:color="000000" w:sz="4" w:space="0"/>
              <w:right w:val="single" w:color="000000" w:sz="4" w:space="0"/>
            </w:tcBorders>
            <w:vAlign w:val="center"/>
          </w:tcPr>
          <w:p w14:paraId="44F2D59E">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约占用内存12000MB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8234D9F">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1102</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6AFCAA2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3E135090">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6040256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EE54C1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745777A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5805BE4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7850CF1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2000</w:t>
            </w:r>
          </w:p>
        </w:tc>
        <w:tc>
          <w:tcPr>
            <w:tcW w:w="1629" w:type="dxa"/>
            <w:tcBorders>
              <w:top w:val="single" w:color="000000" w:sz="4" w:space="0"/>
              <w:left w:val="single" w:color="000000" w:sz="4" w:space="0"/>
              <w:bottom w:val="single" w:color="000000" w:sz="4" w:space="0"/>
              <w:right w:val="single" w:color="000000" w:sz="4" w:space="0"/>
            </w:tcBorders>
            <w:vAlign w:val="center"/>
          </w:tcPr>
          <w:p w14:paraId="3310E05F">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约占用内存24000MB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8B1987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2029</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64AFAB1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CE35474">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4D90F21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B596E8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7A6A5EF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27F63704">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36C280F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2000</w:t>
            </w:r>
          </w:p>
        </w:tc>
        <w:tc>
          <w:tcPr>
            <w:tcW w:w="1629" w:type="dxa"/>
            <w:tcBorders>
              <w:top w:val="single" w:color="000000" w:sz="4" w:space="0"/>
              <w:left w:val="single" w:color="000000" w:sz="4" w:space="0"/>
              <w:bottom w:val="single" w:color="000000" w:sz="4" w:space="0"/>
              <w:right w:val="single" w:color="000000" w:sz="4" w:space="0"/>
            </w:tcBorders>
            <w:vAlign w:val="center"/>
          </w:tcPr>
          <w:p w14:paraId="601F2F8A">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约占用内存48000MB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337C3F3">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3940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095E540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CDC5D9F">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2A5D78F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336DF0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9B8D75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06A73AF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MS SQL Server数据库服务（最大连接数）</w:t>
            </w:r>
          </w:p>
        </w:tc>
        <w:tc>
          <w:tcPr>
            <w:tcW w:w="1141" w:type="dxa"/>
            <w:tcBorders>
              <w:top w:val="single" w:color="000000" w:sz="4" w:space="0"/>
              <w:left w:val="single" w:color="000000" w:sz="4" w:space="0"/>
              <w:bottom w:val="single" w:color="000000" w:sz="4" w:space="0"/>
              <w:right w:val="single" w:color="000000" w:sz="4" w:space="0"/>
            </w:tcBorders>
            <w:vAlign w:val="center"/>
          </w:tcPr>
          <w:p w14:paraId="585D1DC3">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w:t>
            </w:r>
          </w:p>
        </w:tc>
        <w:tc>
          <w:tcPr>
            <w:tcW w:w="1629" w:type="dxa"/>
            <w:tcBorders>
              <w:top w:val="single" w:color="000000" w:sz="4" w:space="0"/>
              <w:left w:val="single" w:color="000000" w:sz="4" w:space="0"/>
              <w:bottom w:val="single" w:color="000000" w:sz="4" w:space="0"/>
              <w:right w:val="single" w:color="000000" w:sz="4" w:space="0"/>
            </w:tcBorders>
            <w:vAlign w:val="center"/>
          </w:tcPr>
          <w:p w14:paraId="20E00F82">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约占用内存1000MB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6B38F5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91</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1268039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5576A88">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554496B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0BB171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2546E1D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5091EF2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1746BB7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w:t>
            </w:r>
          </w:p>
        </w:tc>
        <w:tc>
          <w:tcPr>
            <w:tcW w:w="1629" w:type="dxa"/>
            <w:tcBorders>
              <w:top w:val="single" w:color="000000" w:sz="4" w:space="0"/>
              <w:left w:val="single" w:color="000000" w:sz="4" w:space="0"/>
              <w:bottom w:val="single" w:color="000000" w:sz="4" w:space="0"/>
              <w:right w:val="single" w:color="000000" w:sz="4" w:space="0"/>
            </w:tcBorders>
            <w:vAlign w:val="center"/>
          </w:tcPr>
          <w:p w14:paraId="10CB8B6F">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约占用内存2000MB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06F76ED">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183</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7C43032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207120D">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2266287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E7BB79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04CB16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1B72EEC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6742F016">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400</w:t>
            </w:r>
          </w:p>
        </w:tc>
        <w:tc>
          <w:tcPr>
            <w:tcW w:w="1629" w:type="dxa"/>
            <w:tcBorders>
              <w:top w:val="single" w:color="000000" w:sz="4" w:space="0"/>
              <w:left w:val="single" w:color="000000" w:sz="4" w:space="0"/>
              <w:bottom w:val="single" w:color="000000" w:sz="4" w:space="0"/>
              <w:right w:val="single" w:color="000000" w:sz="4" w:space="0"/>
            </w:tcBorders>
            <w:vAlign w:val="center"/>
          </w:tcPr>
          <w:p w14:paraId="2CF1F066">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约占用内存4000MB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F65A94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365</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26CBC7C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EA8E6D9">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3BA2AB6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9058B4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6A1A03C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064F9BD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79F14DA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600</w:t>
            </w:r>
          </w:p>
        </w:tc>
        <w:tc>
          <w:tcPr>
            <w:tcW w:w="1629" w:type="dxa"/>
            <w:tcBorders>
              <w:top w:val="single" w:color="000000" w:sz="4" w:space="0"/>
              <w:left w:val="single" w:color="000000" w:sz="4" w:space="0"/>
              <w:bottom w:val="single" w:color="000000" w:sz="4" w:space="0"/>
              <w:right w:val="single" w:color="000000" w:sz="4" w:space="0"/>
            </w:tcBorders>
            <w:vAlign w:val="center"/>
          </w:tcPr>
          <w:p w14:paraId="26A7FCD2">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约占用内存6000MB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E092A6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550</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5709B72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1E482D62">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44DEA78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7C9AF8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3836D2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409CDA9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1E16E40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800</w:t>
            </w:r>
          </w:p>
        </w:tc>
        <w:tc>
          <w:tcPr>
            <w:tcW w:w="1629" w:type="dxa"/>
            <w:tcBorders>
              <w:top w:val="single" w:color="000000" w:sz="4" w:space="0"/>
              <w:left w:val="single" w:color="000000" w:sz="4" w:space="0"/>
              <w:bottom w:val="single" w:color="000000" w:sz="4" w:space="0"/>
              <w:right w:val="single" w:color="000000" w:sz="4" w:space="0"/>
            </w:tcBorders>
            <w:vAlign w:val="center"/>
          </w:tcPr>
          <w:p w14:paraId="01D95966">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约占用内存8000MB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033FAF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732</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59BD418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1C16AA85">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5AF3158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D1CFFF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328FCA7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221EFA0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7357147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1200</w:t>
            </w:r>
          </w:p>
        </w:tc>
        <w:tc>
          <w:tcPr>
            <w:tcW w:w="1629" w:type="dxa"/>
            <w:tcBorders>
              <w:top w:val="single" w:color="000000" w:sz="4" w:space="0"/>
              <w:left w:val="single" w:color="000000" w:sz="4" w:space="0"/>
              <w:bottom w:val="single" w:color="000000" w:sz="4" w:space="0"/>
              <w:right w:val="single" w:color="000000" w:sz="4" w:space="0"/>
            </w:tcBorders>
            <w:vAlign w:val="center"/>
          </w:tcPr>
          <w:p w14:paraId="5B1A318D">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约占用内存12000MB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0061AE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1097</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209C4D0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E862DF8">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5D96D2F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1D884B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5B7849C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2CBFD25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1D7ABFF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2000</w:t>
            </w:r>
          </w:p>
        </w:tc>
        <w:tc>
          <w:tcPr>
            <w:tcW w:w="1629" w:type="dxa"/>
            <w:tcBorders>
              <w:top w:val="single" w:color="000000" w:sz="4" w:space="0"/>
              <w:left w:val="single" w:color="000000" w:sz="4" w:space="0"/>
              <w:bottom w:val="single" w:color="000000" w:sz="4" w:space="0"/>
              <w:right w:val="single" w:color="000000" w:sz="4" w:space="0"/>
            </w:tcBorders>
            <w:vAlign w:val="center"/>
          </w:tcPr>
          <w:p w14:paraId="6613BE14">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约占用内存24000MB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70B83E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1736</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6ADD643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220966E">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0895758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9301B7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698C78B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2EA7C05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0ABE82DD">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2000</w:t>
            </w:r>
          </w:p>
        </w:tc>
        <w:tc>
          <w:tcPr>
            <w:tcW w:w="1629" w:type="dxa"/>
            <w:tcBorders>
              <w:top w:val="single" w:color="000000" w:sz="4" w:space="0"/>
              <w:left w:val="single" w:color="000000" w:sz="4" w:space="0"/>
              <w:bottom w:val="single" w:color="000000" w:sz="4" w:space="0"/>
              <w:right w:val="single" w:color="000000" w:sz="4" w:space="0"/>
            </w:tcBorders>
            <w:vAlign w:val="center"/>
          </w:tcPr>
          <w:p w14:paraId="0F302DEC">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约占用内存48000MB</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727B2D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3292</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4B4F524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5AF731CB">
        <w:tblPrEx>
          <w:tblCellMar>
            <w:top w:w="0" w:type="dxa"/>
            <w:left w:w="108" w:type="dxa"/>
            <w:bottom w:w="0" w:type="dxa"/>
            <w:right w:w="108" w:type="dxa"/>
          </w:tblCellMar>
        </w:tblPrEx>
        <w:trPr>
          <w:trHeight w:val="600" w:hRule="atLeas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14:paraId="67CC442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73193A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923581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36FD548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数据库存储（以100GB为单价）</w:t>
            </w:r>
          </w:p>
        </w:tc>
        <w:tc>
          <w:tcPr>
            <w:tcW w:w="1141" w:type="dxa"/>
            <w:tcBorders>
              <w:top w:val="single" w:color="000000" w:sz="4" w:space="0"/>
              <w:left w:val="single" w:color="000000" w:sz="4" w:space="0"/>
              <w:bottom w:val="single" w:color="000000" w:sz="4" w:space="0"/>
              <w:right w:val="single" w:color="000000" w:sz="4" w:space="0"/>
            </w:tcBorders>
            <w:vAlign w:val="center"/>
          </w:tcPr>
          <w:p w14:paraId="6591267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100GB</w:t>
            </w:r>
          </w:p>
        </w:tc>
        <w:tc>
          <w:tcPr>
            <w:tcW w:w="1629" w:type="dxa"/>
            <w:tcBorders>
              <w:top w:val="single" w:color="000000" w:sz="4" w:space="0"/>
              <w:left w:val="single" w:color="000000" w:sz="4" w:space="0"/>
              <w:bottom w:val="single" w:color="000000" w:sz="4" w:space="0"/>
              <w:right w:val="single" w:color="000000" w:sz="4" w:space="0"/>
            </w:tcBorders>
            <w:vAlign w:val="center"/>
          </w:tcPr>
          <w:p w14:paraId="7CA868AD">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SSD存储，以100GB为单价</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B38945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70</w:t>
            </w:r>
          </w:p>
        </w:tc>
        <w:tc>
          <w:tcPr>
            <w:tcW w:w="1713" w:type="dxa"/>
            <w:tcBorders>
              <w:top w:val="single" w:color="000000" w:sz="4" w:space="0"/>
              <w:left w:val="single" w:color="000000" w:sz="4" w:space="0"/>
              <w:bottom w:val="single" w:color="000000" w:sz="4" w:space="0"/>
              <w:right w:val="single" w:color="000000" w:sz="4" w:space="0"/>
            </w:tcBorders>
            <w:vAlign w:val="center"/>
          </w:tcPr>
          <w:p w14:paraId="273076D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与数据库搭配使用，需以100G为单位订购</w:t>
            </w:r>
          </w:p>
        </w:tc>
      </w:tr>
      <w:tr w14:paraId="67671C59">
        <w:tblPrEx>
          <w:tblCellMar>
            <w:top w:w="0" w:type="dxa"/>
            <w:left w:w="108" w:type="dxa"/>
            <w:bottom w:w="0" w:type="dxa"/>
            <w:right w:w="108" w:type="dxa"/>
          </w:tblCellMar>
        </w:tblPrEx>
        <w:trPr>
          <w:trHeight w:val="310" w:hRule="atLeast"/>
        </w:trPr>
        <w:tc>
          <w:tcPr>
            <w:tcW w:w="10042" w:type="dxa"/>
            <w:gridSpan w:val="8"/>
            <w:tcBorders>
              <w:top w:val="single" w:color="000000" w:sz="4" w:space="0"/>
              <w:left w:val="single" w:color="000000" w:sz="4" w:space="0"/>
              <w:bottom w:val="single" w:color="000000" w:sz="4" w:space="0"/>
              <w:right w:val="single" w:color="000000" w:sz="4" w:space="0"/>
            </w:tcBorders>
            <w:vAlign w:val="center"/>
          </w:tcPr>
          <w:p w14:paraId="0CBD8BB3">
            <w:pPr>
              <w:keepNext w:val="0"/>
              <w:keepLines w:val="0"/>
              <w:suppressLineNumbers w:val="0"/>
              <w:spacing w:before="0" w:beforeAutospacing="0" w:after="0" w:afterAutospacing="0" w:line="320" w:lineRule="atLeast"/>
              <w:ind w:left="0" w:right="0"/>
              <w:jc w:val="left"/>
              <w:rPr>
                <w:rFonts w:hint="default" w:ascii="宋体" w:hAnsi="宋体" w:cs="仿宋_GB2312"/>
                <w:b/>
                <w:bCs/>
                <w:color w:val="auto"/>
                <w:sz w:val="22"/>
                <w:szCs w:val="22"/>
                <w:highlight w:val="none"/>
              </w:rPr>
            </w:pPr>
            <w:r>
              <w:rPr>
                <w:rFonts w:hint="eastAsia" w:ascii="宋体" w:hAnsi="宋体" w:cs="仿宋_GB2312"/>
                <w:b/>
                <w:bCs/>
                <w:color w:val="auto"/>
                <w:kern w:val="0"/>
                <w:sz w:val="22"/>
                <w:szCs w:val="22"/>
                <w:highlight w:val="none"/>
              </w:rPr>
              <w:t>三、云安全服务</w:t>
            </w:r>
          </w:p>
        </w:tc>
      </w:tr>
      <w:tr w14:paraId="451341C6">
        <w:tblPrEx>
          <w:tblCellMar>
            <w:top w:w="0" w:type="dxa"/>
            <w:left w:w="108" w:type="dxa"/>
            <w:bottom w:w="0" w:type="dxa"/>
            <w:right w:w="108" w:type="dxa"/>
          </w:tblCellMar>
        </w:tblPrEx>
        <w:trPr>
          <w:trHeight w:val="600" w:hRule="atLeast"/>
        </w:trPr>
        <w:tc>
          <w:tcPr>
            <w:tcW w:w="749" w:type="dxa"/>
            <w:vMerge w:val="restart"/>
            <w:tcBorders>
              <w:top w:val="single" w:color="000000" w:sz="4" w:space="0"/>
              <w:left w:val="single" w:color="000000" w:sz="4" w:space="0"/>
              <w:bottom w:val="single" w:color="000000" w:sz="4" w:space="0"/>
              <w:right w:val="single" w:color="000000" w:sz="4" w:space="0"/>
            </w:tcBorders>
            <w:noWrap/>
            <w:vAlign w:val="center"/>
          </w:tcPr>
          <w:p w14:paraId="28B424B2">
            <w:pPr>
              <w:keepNext w:val="0"/>
              <w:keepLines w:val="0"/>
              <w:widowControl/>
              <w:suppressLineNumbers w:val="0"/>
              <w:spacing w:before="0" w:beforeAutospacing="0" w:after="0" w:afterAutospacing="0" w:line="320" w:lineRule="atLeast"/>
              <w:ind w:left="0" w:right="0"/>
              <w:jc w:val="center"/>
              <w:textAlignment w:val="center"/>
              <w:rPr>
                <w:rFonts w:hint="eastAsia" w:ascii="宋体" w:hAnsi="宋体" w:eastAsia="宋体" w:cs="仿宋_GB2312"/>
                <w:color w:val="auto"/>
                <w:sz w:val="22"/>
                <w:szCs w:val="22"/>
                <w:highlight w:val="none"/>
                <w:lang w:eastAsia="zh-CN"/>
              </w:rPr>
            </w:pPr>
            <w:r>
              <w:rPr>
                <w:rFonts w:hint="eastAsia" w:ascii="宋体" w:hAnsi="宋体" w:cs="仿宋_GB2312"/>
                <w:color w:val="auto"/>
                <w:kern w:val="0"/>
                <w:sz w:val="22"/>
                <w:szCs w:val="22"/>
                <w:highlight w:val="none"/>
                <w:lang w:val="en-US" w:eastAsia="zh-CN"/>
              </w:rPr>
              <w:t>1</w:t>
            </w:r>
          </w:p>
        </w:tc>
        <w:tc>
          <w:tcPr>
            <w:tcW w:w="1271" w:type="dxa"/>
            <w:vMerge w:val="restart"/>
            <w:tcBorders>
              <w:top w:val="single" w:color="000000" w:sz="4" w:space="0"/>
              <w:left w:val="single" w:color="000000" w:sz="4" w:space="0"/>
              <w:bottom w:val="single" w:color="000000" w:sz="4" w:space="0"/>
              <w:right w:val="single" w:color="000000" w:sz="4" w:space="0"/>
            </w:tcBorders>
            <w:vAlign w:val="center"/>
          </w:tcPr>
          <w:p w14:paraId="15530F8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自主云安全服务</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14:paraId="5BF1487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自主云安全服务</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0A50DB9F">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WAF</w:t>
            </w:r>
          </w:p>
        </w:tc>
        <w:tc>
          <w:tcPr>
            <w:tcW w:w="1141" w:type="dxa"/>
            <w:tcBorders>
              <w:top w:val="single" w:color="000000" w:sz="4" w:space="0"/>
              <w:left w:val="single" w:color="000000" w:sz="4" w:space="0"/>
              <w:bottom w:val="single" w:color="000000" w:sz="4" w:space="0"/>
              <w:right w:val="single" w:color="000000" w:sz="4" w:space="0"/>
            </w:tcBorders>
            <w:vAlign w:val="center"/>
          </w:tcPr>
          <w:p w14:paraId="5967163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25M</w:t>
            </w:r>
          </w:p>
        </w:tc>
        <w:tc>
          <w:tcPr>
            <w:tcW w:w="1629" w:type="dxa"/>
            <w:tcBorders>
              <w:top w:val="single" w:color="000000" w:sz="4" w:space="0"/>
              <w:left w:val="single" w:color="000000" w:sz="4" w:space="0"/>
              <w:bottom w:val="single" w:color="000000" w:sz="4" w:space="0"/>
              <w:right w:val="single" w:color="000000" w:sz="4" w:space="0"/>
            </w:tcBorders>
            <w:vAlign w:val="center"/>
          </w:tcPr>
          <w:p w14:paraId="6CD3DFD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1个一级域名和10个二级域名（流量上限为25M）</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A224DA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702</w:t>
            </w:r>
          </w:p>
        </w:tc>
        <w:tc>
          <w:tcPr>
            <w:tcW w:w="1713" w:type="dxa"/>
            <w:tcBorders>
              <w:top w:val="single" w:color="000000" w:sz="4" w:space="0"/>
              <w:left w:val="single" w:color="000000" w:sz="4" w:space="0"/>
              <w:bottom w:val="single" w:color="000000" w:sz="4" w:space="0"/>
              <w:right w:val="single" w:color="000000" w:sz="4" w:space="0"/>
            </w:tcBorders>
            <w:vAlign w:val="center"/>
          </w:tcPr>
          <w:p w14:paraId="569C1D9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1个一级域名和10个二级域名（流量上限为25M）</w:t>
            </w:r>
          </w:p>
        </w:tc>
      </w:tr>
      <w:tr w14:paraId="593876AE">
        <w:tblPrEx>
          <w:tblCellMar>
            <w:top w:w="0" w:type="dxa"/>
            <w:left w:w="108" w:type="dxa"/>
            <w:bottom w:w="0" w:type="dxa"/>
            <w:right w:w="108" w:type="dxa"/>
          </w:tblCellMar>
        </w:tblPrEx>
        <w:trPr>
          <w:trHeight w:val="60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77D4AAF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FF699E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5537084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1ED5B1C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0C0AA68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50M</w:t>
            </w:r>
          </w:p>
        </w:tc>
        <w:tc>
          <w:tcPr>
            <w:tcW w:w="1629" w:type="dxa"/>
            <w:tcBorders>
              <w:top w:val="single" w:color="000000" w:sz="4" w:space="0"/>
              <w:left w:val="single" w:color="000000" w:sz="4" w:space="0"/>
              <w:bottom w:val="single" w:color="000000" w:sz="4" w:space="0"/>
              <w:right w:val="single" w:color="000000" w:sz="4" w:space="0"/>
            </w:tcBorders>
            <w:vAlign w:val="center"/>
          </w:tcPr>
          <w:p w14:paraId="1A9E531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2个一级域名和20个二级域名（流量上限为50M）</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E840599">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1163</w:t>
            </w:r>
          </w:p>
        </w:tc>
        <w:tc>
          <w:tcPr>
            <w:tcW w:w="1713" w:type="dxa"/>
            <w:tcBorders>
              <w:top w:val="single" w:color="000000" w:sz="4" w:space="0"/>
              <w:left w:val="single" w:color="000000" w:sz="4" w:space="0"/>
              <w:bottom w:val="single" w:color="000000" w:sz="4" w:space="0"/>
              <w:right w:val="single" w:color="000000" w:sz="4" w:space="0"/>
            </w:tcBorders>
            <w:vAlign w:val="center"/>
          </w:tcPr>
          <w:p w14:paraId="71F5D20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2个一级域名和20个二级域名（流量上限为50M）</w:t>
            </w:r>
          </w:p>
        </w:tc>
      </w:tr>
      <w:tr w14:paraId="7BC75F83">
        <w:tblPrEx>
          <w:tblCellMar>
            <w:top w:w="0" w:type="dxa"/>
            <w:left w:w="108" w:type="dxa"/>
            <w:bottom w:w="0" w:type="dxa"/>
            <w:right w:w="108" w:type="dxa"/>
          </w:tblCellMar>
        </w:tblPrEx>
        <w:trPr>
          <w:trHeight w:val="90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2AF4604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B27AF1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DC9B0A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2F99D18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3B3740F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100M</w:t>
            </w:r>
          </w:p>
        </w:tc>
        <w:tc>
          <w:tcPr>
            <w:tcW w:w="1629" w:type="dxa"/>
            <w:tcBorders>
              <w:top w:val="single" w:color="000000" w:sz="4" w:space="0"/>
              <w:left w:val="single" w:color="000000" w:sz="4" w:space="0"/>
              <w:bottom w:val="single" w:color="000000" w:sz="4" w:space="0"/>
              <w:right w:val="single" w:color="000000" w:sz="4" w:space="0"/>
            </w:tcBorders>
            <w:vAlign w:val="center"/>
          </w:tcPr>
          <w:p w14:paraId="38CFD0C2">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4个一级域名和40个二级域名（流量上限为100M）</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530FBC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1888</w:t>
            </w:r>
          </w:p>
        </w:tc>
        <w:tc>
          <w:tcPr>
            <w:tcW w:w="1713" w:type="dxa"/>
            <w:tcBorders>
              <w:top w:val="single" w:color="000000" w:sz="4" w:space="0"/>
              <w:left w:val="single" w:color="000000" w:sz="4" w:space="0"/>
              <w:bottom w:val="single" w:color="000000" w:sz="4" w:space="0"/>
              <w:right w:val="single" w:color="000000" w:sz="4" w:space="0"/>
            </w:tcBorders>
            <w:vAlign w:val="center"/>
          </w:tcPr>
          <w:p w14:paraId="020E2EA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4个一级域名和40个二级域名（流量上限为100M）</w:t>
            </w:r>
          </w:p>
        </w:tc>
      </w:tr>
      <w:tr w14:paraId="4E14FFFE">
        <w:tblPrEx>
          <w:tblCellMar>
            <w:top w:w="0" w:type="dxa"/>
            <w:left w:w="108" w:type="dxa"/>
            <w:bottom w:w="0" w:type="dxa"/>
            <w:right w:w="108" w:type="dxa"/>
          </w:tblCellMar>
        </w:tblPrEx>
        <w:trPr>
          <w:trHeight w:val="90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73168A2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60C15D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5A7A767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664FF5E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2322AF2A">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200M</w:t>
            </w:r>
          </w:p>
        </w:tc>
        <w:tc>
          <w:tcPr>
            <w:tcW w:w="1629" w:type="dxa"/>
            <w:tcBorders>
              <w:top w:val="single" w:color="000000" w:sz="4" w:space="0"/>
              <w:left w:val="single" w:color="000000" w:sz="4" w:space="0"/>
              <w:bottom w:val="single" w:color="000000" w:sz="4" w:space="0"/>
              <w:right w:val="single" w:color="000000" w:sz="4" w:space="0"/>
            </w:tcBorders>
            <w:vAlign w:val="center"/>
          </w:tcPr>
          <w:p w14:paraId="2DEC0B4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8个一级域名和80个二级域名（流量上限为200M）</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ECE36DC">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3097</w:t>
            </w:r>
          </w:p>
        </w:tc>
        <w:tc>
          <w:tcPr>
            <w:tcW w:w="1713" w:type="dxa"/>
            <w:tcBorders>
              <w:top w:val="single" w:color="000000" w:sz="4" w:space="0"/>
              <w:left w:val="single" w:color="000000" w:sz="4" w:space="0"/>
              <w:bottom w:val="single" w:color="000000" w:sz="4" w:space="0"/>
              <w:right w:val="single" w:color="000000" w:sz="4" w:space="0"/>
            </w:tcBorders>
            <w:vAlign w:val="center"/>
          </w:tcPr>
          <w:p w14:paraId="55EA67B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8个一级域名和80个二级域名（流量上限为200M）</w:t>
            </w:r>
          </w:p>
        </w:tc>
      </w:tr>
      <w:tr w14:paraId="636CE459">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3A10084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A897DC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0A474B03">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21062AE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4FDC01F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500M</w:t>
            </w:r>
          </w:p>
        </w:tc>
        <w:tc>
          <w:tcPr>
            <w:tcW w:w="1629" w:type="dxa"/>
            <w:tcBorders>
              <w:top w:val="single" w:color="000000" w:sz="4" w:space="0"/>
              <w:left w:val="single" w:color="000000" w:sz="4" w:space="0"/>
              <w:bottom w:val="single" w:color="000000" w:sz="4" w:space="0"/>
              <w:right w:val="single" w:color="000000" w:sz="4" w:space="0"/>
            </w:tcBorders>
            <w:vAlign w:val="center"/>
          </w:tcPr>
          <w:p w14:paraId="2E2D3C4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A14869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4687</w:t>
            </w:r>
          </w:p>
        </w:tc>
        <w:tc>
          <w:tcPr>
            <w:tcW w:w="1713" w:type="dxa"/>
            <w:tcBorders>
              <w:top w:val="single" w:color="000000" w:sz="4" w:space="0"/>
              <w:left w:val="single" w:color="000000" w:sz="4" w:space="0"/>
              <w:bottom w:val="single" w:color="000000" w:sz="4" w:space="0"/>
              <w:right w:val="single" w:color="000000" w:sz="4" w:space="0"/>
            </w:tcBorders>
            <w:vAlign w:val="center"/>
          </w:tcPr>
          <w:p w14:paraId="06E984A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57D1A476">
        <w:tblPrEx>
          <w:tblCellMar>
            <w:top w:w="0" w:type="dxa"/>
            <w:left w:w="108" w:type="dxa"/>
            <w:bottom w:w="0" w:type="dxa"/>
            <w:right w:w="108" w:type="dxa"/>
          </w:tblCellMar>
        </w:tblPrEx>
        <w:trPr>
          <w:trHeight w:val="60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0B29D6B4">
            <w:pPr>
              <w:keepNext w:val="0"/>
              <w:keepLines w:val="0"/>
              <w:widowControl/>
              <w:suppressLineNumbers w:val="0"/>
              <w:spacing w:before="0" w:beforeAutospacing="0" w:after="0" w:afterAutospacing="0" w:line="320" w:lineRule="atLeast"/>
              <w:ind w:left="0" w:right="0"/>
              <w:jc w:val="center"/>
              <w:textAlignment w:val="center"/>
              <w:rPr>
                <w:rFonts w:hint="eastAsia" w:ascii="宋体" w:hAnsi="宋体" w:eastAsia="宋体" w:cs="仿宋_GB2312"/>
                <w:color w:val="auto"/>
                <w:sz w:val="22"/>
                <w:szCs w:val="22"/>
                <w:highlight w:val="none"/>
                <w:lang w:eastAsia="zh-CN"/>
              </w:rPr>
            </w:pPr>
            <w:r>
              <w:rPr>
                <w:rFonts w:hint="eastAsia" w:ascii="宋体" w:hAnsi="宋体" w:cs="仿宋_GB2312"/>
                <w:color w:val="auto"/>
                <w:kern w:val="0"/>
                <w:sz w:val="22"/>
                <w:szCs w:val="22"/>
                <w:highlight w:val="none"/>
                <w:lang w:val="en-US" w:eastAsia="zh-CN"/>
              </w:rPr>
              <w:t>2</w:t>
            </w: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698B46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487F833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5BE579D6">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网页防篡改</w:t>
            </w:r>
          </w:p>
        </w:tc>
        <w:tc>
          <w:tcPr>
            <w:tcW w:w="1141" w:type="dxa"/>
            <w:tcBorders>
              <w:top w:val="single" w:color="000000" w:sz="4" w:space="0"/>
              <w:left w:val="single" w:color="000000" w:sz="4" w:space="0"/>
              <w:bottom w:val="single" w:color="000000" w:sz="4" w:space="0"/>
              <w:right w:val="single" w:color="000000" w:sz="4" w:space="0"/>
            </w:tcBorders>
            <w:vAlign w:val="center"/>
          </w:tcPr>
          <w:p w14:paraId="4E2FFE62">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防篡改防护服务（1个网站）</w:t>
            </w:r>
          </w:p>
        </w:tc>
        <w:tc>
          <w:tcPr>
            <w:tcW w:w="1629" w:type="dxa"/>
            <w:tcBorders>
              <w:top w:val="single" w:color="000000" w:sz="4" w:space="0"/>
              <w:left w:val="single" w:color="000000" w:sz="4" w:space="0"/>
              <w:bottom w:val="single" w:color="000000" w:sz="4" w:space="0"/>
              <w:right w:val="single" w:color="000000" w:sz="4" w:space="0"/>
            </w:tcBorders>
            <w:vAlign w:val="center"/>
          </w:tcPr>
          <w:p w14:paraId="0F1D0D3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3BE1B7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355</w:t>
            </w:r>
          </w:p>
        </w:tc>
        <w:tc>
          <w:tcPr>
            <w:tcW w:w="1713" w:type="dxa"/>
            <w:tcBorders>
              <w:top w:val="single" w:color="000000" w:sz="4" w:space="0"/>
              <w:left w:val="single" w:color="000000" w:sz="4" w:space="0"/>
              <w:bottom w:val="single" w:color="000000" w:sz="4" w:space="0"/>
              <w:right w:val="single" w:color="000000" w:sz="4" w:space="0"/>
            </w:tcBorders>
            <w:vAlign w:val="center"/>
          </w:tcPr>
          <w:p w14:paraId="4BA92E7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0F191B40">
        <w:tblPrEx>
          <w:tblCellMar>
            <w:top w:w="0" w:type="dxa"/>
            <w:left w:w="108" w:type="dxa"/>
            <w:bottom w:w="0" w:type="dxa"/>
            <w:right w:w="108" w:type="dxa"/>
          </w:tblCellMar>
        </w:tblPrEx>
        <w:trPr>
          <w:trHeight w:val="310" w:hRule="atLeast"/>
        </w:trPr>
        <w:tc>
          <w:tcPr>
            <w:tcW w:w="749" w:type="dxa"/>
            <w:vMerge w:val="restart"/>
            <w:tcBorders>
              <w:top w:val="single" w:color="000000" w:sz="4" w:space="0"/>
              <w:left w:val="single" w:color="000000" w:sz="4" w:space="0"/>
              <w:bottom w:val="single" w:color="000000" w:sz="4" w:space="0"/>
              <w:right w:val="single" w:color="000000" w:sz="4" w:space="0"/>
            </w:tcBorders>
            <w:noWrap/>
            <w:vAlign w:val="center"/>
          </w:tcPr>
          <w:p w14:paraId="7AA1B6B5">
            <w:pPr>
              <w:keepNext w:val="0"/>
              <w:keepLines w:val="0"/>
              <w:widowControl/>
              <w:suppressLineNumbers w:val="0"/>
              <w:spacing w:before="0" w:beforeAutospacing="0" w:after="0" w:afterAutospacing="0" w:line="320" w:lineRule="atLeast"/>
              <w:ind w:left="0" w:right="0"/>
              <w:jc w:val="center"/>
              <w:textAlignment w:val="center"/>
              <w:rPr>
                <w:rFonts w:hint="eastAsia" w:ascii="宋体" w:hAnsi="宋体" w:eastAsia="宋体" w:cs="仿宋_GB2312"/>
                <w:color w:val="auto"/>
                <w:sz w:val="22"/>
                <w:szCs w:val="22"/>
                <w:highlight w:val="none"/>
                <w:lang w:eastAsia="zh-CN"/>
              </w:rPr>
            </w:pPr>
            <w:r>
              <w:rPr>
                <w:rFonts w:hint="eastAsia" w:ascii="宋体" w:hAnsi="宋体" w:cs="仿宋_GB2312"/>
                <w:color w:val="auto"/>
                <w:kern w:val="0"/>
                <w:sz w:val="22"/>
                <w:szCs w:val="22"/>
                <w:highlight w:val="none"/>
                <w:lang w:val="en-US" w:eastAsia="zh-CN"/>
              </w:rPr>
              <w:t>3</w:t>
            </w: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E2CA02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2BBE81D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29C1BEEB">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主机防护</w:t>
            </w:r>
            <w:r>
              <w:rPr>
                <w:rFonts w:hint="eastAsia" w:ascii="宋体" w:hAnsi="宋体" w:cs="仿宋_GB2312"/>
                <w:color w:val="auto"/>
                <w:kern w:val="0"/>
                <w:sz w:val="22"/>
                <w:szCs w:val="22"/>
                <w:highlight w:val="none"/>
              </w:rPr>
              <w:br w:type="textWrapping"/>
            </w:r>
            <w:r>
              <w:rPr>
                <w:rFonts w:hint="eastAsia" w:ascii="宋体" w:hAnsi="宋体" w:cs="仿宋_GB2312"/>
                <w:color w:val="auto"/>
                <w:kern w:val="0"/>
                <w:sz w:val="22"/>
                <w:szCs w:val="22"/>
                <w:highlight w:val="none"/>
              </w:rPr>
              <w:t>（EDR）</w:t>
            </w:r>
          </w:p>
        </w:tc>
        <w:tc>
          <w:tcPr>
            <w:tcW w:w="1141" w:type="dxa"/>
            <w:tcBorders>
              <w:top w:val="single" w:color="000000" w:sz="4" w:space="0"/>
              <w:left w:val="single" w:color="000000" w:sz="4" w:space="0"/>
              <w:bottom w:val="single" w:color="000000" w:sz="4" w:space="0"/>
              <w:right w:val="single" w:color="000000" w:sz="4" w:space="0"/>
            </w:tcBorders>
            <w:vAlign w:val="center"/>
          </w:tcPr>
          <w:p w14:paraId="263F5B20">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1台服务器</w:t>
            </w:r>
          </w:p>
        </w:tc>
        <w:tc>
          <w:tcPr>
            <w:tcW w:w="1629" w:type="dxa"/>
            <w:vMerge w:val="restart"/>
            <w:tcBorders>
              <w:top w:val="single" w:color="000000" w:sz="4" w:space="0"/>
              <w:left w:val="single" w:color="000000" w:sz="4" w:space="0"/>
              <w:bottom w:val="single" w:color="000000" w:sz="4" w:space="0"/>
              <w:right w:val="single" w:color="000000" w:sz="4" w:space="0"/>
            </w:tcBorders>
            <w:vAlign w:val="center"/>
          </w:tcPr>
          <w:p w14:paraId="16DBC87A">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单价*数量计算总价</w:t>
            </w: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B61019E">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120元/台</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14:paraId="28762C5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单价*数量计算总价</w:t>
            </w:r>
          </w:p>
        </w:tc>
      </w:tr>
      <w:tr w14:paraId="6FBDC13A">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1F8852D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CC3D9E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6DDB7E54">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418CD3D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74B8D8FC">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10台服务器</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6B6A134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711DC93">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94元/台</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3FEF524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4EAF2E8C">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26CFEBE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36C649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656161A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4315E54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3094D02F">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50台服务器</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4661A46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29CA31D">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84元/台</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3E7B2C1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1C0599FF">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4CC7559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CCC197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3269827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077EBC4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0F7FD245">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200台服务器</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4644FED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8B132B1">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75元/台</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5FF3B16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C5AF4BF">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402D3AE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150DBD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2FA74DD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10D66A8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520FBC42">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300台以上</w:t>
            </w: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14:paraId="6337536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2FD25BE0">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65元/台</w:t>
            </w: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14:paraId="2538AFB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6801AD55">
        <w:tblPrEx>
          <w:tblCellMar>
            <w:top w:w="0" w:type="dxa"/>
            <w:left w:w="108" w:type="dxa"/>
            <w:bottom w:w="0" w:type="dxa"/>
            <w:right w:w="108" w:type="dxa"/>
          </w:tblCellMar>
        </w:tblPrEx>
        <w:trPr>
          <w:trHeight w:val="310" w:hRule="atLeast"/>
        </w:trPr>
        <w:tc>
          <w:tcPr>
            <w:tcW w:w="749" w:type="dxa"/>
            <w:vMerge w:val="restart"/>
            <w:tcBorders>
              <w:top w:val="single" w:color="000000" w:sz="4" w:space="0"/>
              <w:left w:val="single" w:color="000000" w:sz="4" w:space="0"/>
              <w:bottom w:val="single" w:color="000000" w:sz="4" w:space="0"/>
              <w:right w:val="single" w:color="000000" w:sz="4" w:space="0"/>
            </w:tcBorders>
            <w:noWrap/>
            <w:vAlign w:val="center"/>
          </w:tcPr>
          <w:p w14:paraId="7D462537">
            <w:pPr>
              <w:keepNext w:val="0"/>
              <w:keepLines w:val="0"/>
              <w:widowControl/>
              <w:suppressLineNumbers w:val="0"/>
              <w:spacing w:before="0" w:beforeAutospacing="0" w:after="0" w:afterAutospacing="0" w:line="320" w:lineRule="atLeast"/>
              <w:ind w:left="0" w:right="0"/>
              <w:jc w:val="center"/>
              <w:textAlignment w:val="center"/>
              <w:rPr>
                <w:rFonts w:hint="eastAsia" w:ascii="宋体" w:hAnsi="宋体" w:eastAsia="宋体" w:cs="仿宋_GB2312"/>
                <w:color w:val="auto"/>
                <w:sz w:val="22"/>
                <w:szCs w:val="22"/>
                <w:highlight w:val="none"/>
                <w:lang w:eastAsia="zh-CN"/>
              </w:rPr>
            </w:pPr>
            <w:r>
              <w:rPr>
                <w:rFonts w:hint="eastAsia" w:ascii="宋体" w:hAnsi="宋体" w:cs="仿宋_GB2312"/>
                <w:color w:val="auto"/>
                <w:kern w:val="0"/>
                <w:sz w:val="22"/>
                <w:szCs w:val="22"/>
                <w:highlight w:val="none"/>
                <w:lang w:val="en-US" w:eastAsia="zh-CN"/>
              </w:rPr>
              <w:t>4</w:t>
            </w: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39F4A4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66650FE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4DDDF53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防火墙</w:t>
            </w:r>
          </w:p>
        </w:tc>
        <w:tc>
          <w:tcPr>
            <w:tcW w:w="1141" w:type="dxa"/>
            <w:tcBorders>
              <w:top w:val="single" w:color="000000" w:sz="4" w:space="0"/>
              <w:left w:val="single" w:color="000000" w:sz="4" w:space="0"/>
              <w:bottom w:val="single" w:color="000000" w:sz="4" w:space="0"/>
              <w:right w:val="single" w:color="000000" w:sz="4" w:space="0"/>
            </w:tcBorders>
            <w:vAlign w:val="center"/>
          </w:tcPr>
          <w:p w14:paraId="0459B9DA">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100M吞吐量</w:t>
            </w:r>
          </w:p>
        </w:tc>
        <w:tc>
          <w:tcPr>
            <w:tcW w:w="1629" w:type="dxa"/>
            <w:tcBorders>
              <w:top w:val="single" w:color="000000" w:sz="4" w:space="0"/>
              <w:left w:val="single" w:color="000000" w:sz="4" w:space="0"/>
              <w:bottom w:val="single" w:color="000000" w:sz="4" w:space="0"/>
              <w:right w:val="single" w:color="000000" w:sz="4" w:space="0"/>
            </w:tcBorders>
            <w:vAlign w:val="center"/>
          </w:tcPr>
          <w:p w14:paraId="6D63427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380965F">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535</w:t>
            </w:r>
          </w:p>
        </w:tc>
        <w:tc>
          <w:tcPr>
            <w:tcW w:w="1713" w:type="dxa"/>
            <w:tcBorders>
              <w:top w:val="single" w:color="000000" w:sz="4" w:space="0"/>
              <w:left w:val="single" w:color="000000" w:sz="4" w:space="0"/>
              <w:bottom w:val="single" w:color="000000" w:sz="4" w:space="0"/>
              <w:right w:val="single" w:color="000000" w:sz="4" w:space="0"/>
            </w:tcBorders>
            <w:vAlign w:val="center"/>
          </w:tcPr>
          <w:p w14:paraId="474C4E99">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EA009C6">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37D916E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567483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27D6FB9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186510C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7152AA42">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200M吞吐量</w:t>
            </w:r>
          </w:p>
        </w:tc>
        <w:tc>
          <w:tcPr>
            <w:tcW w:w="1629" w:type="dxa"/>
            <w:tcBorders>
              <w:top w:val="single" w:color="000000" w:sz="4" w:space="0"/>
              <w:left w:val="single" w:color="000000" w:sz="4" w:space="0"/>
              <w:bottom w:val="single" w:color="000000" w:sz="4" w:space="0"/>
              <w:right w:val="single" w:color="000000" w:sz="4" w:space="0"/>
            </w:tcBorders>
            <w:vAlign w:val="center"/>
          </w:tcPr>
          <w:p w14:paraId="02522F3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7F7D766">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825</w:t>
            </w:r>
          </w:p>
        </w:tc>
        <w:tc>
          <w:tcPr>
            <w:tcW w:w="1713" w:type="dxa"/>
            <w:tcBorders>
              <w:top w:val="single" w:color="000000" w:sz="4" w:space="0"/>
              <w:left w:val="single" w:color="000000" w:sz="4" w:space="0"/>
              <w:bottom w:val="single" w:color="000000" w:sz="4" w:space="0"/>
              <w:right w:val="single" w:color="000000" w:sz="4" w:space="0"/>
            </w:tcBorders>
            <w:vAlign w:val="center"/>
          </w:tcPr>
          <w:p w14:paraId="246352C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35AFFF9E">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1EF757F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03B390C">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53FE4A3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33C975B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39CE8A27">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500M吞吐量</w:t>
            </w:r>
          </w:p>
        </w:tc>
        <w:tc>
          <w:tcPr>
            <w:tcW w:w="1629" w:type="dxa"/>
            <w:tcBorders>
              <w:top w:val="single" w:color="000000" w:sz="4" w:space="0"/>
              <w:left w:val="single" w:color="000000" w:sz="4" w:space="0"/>
              <w:bottom w:val="single" w:color="000000" w:sz="4" w:space="0"/>
              <w:right w:val="single" w:color="000000" w:sz="4" w:space="0"/>
            </w:tcBorders>
            <w:vAlign w:val="center"/>
          </w:tcPr>
          <w:p w14:paraId="6724F03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58913C37">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1379</w:t>
            </w:r>
          </w:p>
        </w:tc>
        <w:tc>
          <w:tcPr>
            <w:tcW w:w="1713" w:type="dxa"/>
            <w:tcBorders>
              <w:top w:val="single" w:color="000000" w:sz="4" w:space="0"/>
              <w:left w:val="single" w:color="000000" w:sz="4" w:space="0"/>
              <w:bottom w:val="single" w:color="000000" w:sz="4" w:space="0"/>
              <w:right w:val="single" w:color="000000" w:sz="4" w:space="0"/>
            </w:tcBorders>
            <w:vAlign w:val="center"/>
          </w:tcPr>
          <w:p w14:paraId="17B616E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76589C98">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3C7A80B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FEFD80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71D9646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654A5D56">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4E2829D6">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1000M吞吐量</w:t>
            </w:r>
          </w:p>
        </w:tc>
        <w:tc>
          <w:tcPr>
            <w:tcW w:w="1629" w:type="dxa"/>
            <w:tcBorders>
              <w:top w:val="single" w:color="000000" w:sz="4" w:space="0"/>
              <w:left w:val="single" w:color="000000" w:sz="4" w:space="0"/>
              <w:bottom w:val="single" w:color="000000" w:sz="4" w:space="0"/>
              <w:right w:val="single" w:color="000000" w:sz="4" w:space="0"/>
            </w:tcBorders>
            <w:vAlign w:val="center"/>
          </w:tcPr>
          <w:p w14:paraId="7039ABD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7BB6EB3">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2110</w:t>
            </w:r>
          </w:p>
        </w:tc>
        <w:tc>
          <w:tcPr>
            <w:tcW w:w="1713" w:type="dxa"/>
            <w:tcBorders>
              <w:top w:val="single" w:color="000000" w:sz="4" w:space="0"/>
              <w:left w:val="single" w:color="000000" w:sz="4" w:space="0"/>
              <w:bottom w:val="single" w:color="000000" w:sz="4" w:space="0"/>
              <w:right w:val="single" w:color="000000" w:sz="4" w:space="0"/>
            </w:tcBorders>
            <w:vAlign w:val="center"/>
          </w:tcPr>
          <w:p w14:paraId="6FBFE65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1066DC63">
        <w:tblPrEx>
          <w:tblCellMar>
            <w:top w:w="0" w:type="dxa"/>
            <w:left w:w="108" w:type="dxa"/>
            <w:bottom w:w="0" w:type="dxa"/>
            <w:right w:w="108" w:type="dxa"/>
          </w:tblCellMar>
        </w:tblPrEx>
        <w:trPr>
          <w:trHeight w:val="310" w:hRule="atLeast"/>
        </w:trPr>
        <w:tc>
          <w:tcPr>
            <w:tcW w:w="749" w:type="dxa"/>
            <w:vMerge w:val="restart"/>
            <w:tcBorders>
              <w:top w:val="single" w:color="000000" w:sz="4" w:space="0"/>
              <w:left w:val="single" w:color="000000" w:sz="4" w:space="0"/>
              <w:bottom w:val="single" w:color="000000" w:sz="4" w:space="0"/>
              <w:right w:val="single" w:color="000000" w:sz="4" w:space="0"/>
            </w:tcBorders>
            <w:noWrap/>
            <w:vAlign w:val="center"/>
          </w:tcPr>
          <w:p w14:paraId="2591681D">
            <w:pPr>
              <w:keepNext w:val="0"/>
              <w:keepLines w:val="0"/>
              <w:widowControl/>
              <w:suppressLineNumbers w:val="0"/>
              <w:spacing w:before="0" w:beforeAutospacing="0" w:after="0" w:afterAutospacing="0" w:line="320" w:lineRule="atLeast"/>
              <w:ind w:left="0" w:right="0"/>
              <w:jc w:val="center"/>
              <w:textAlignment w:val="center"/>
              <w:rPr>
                <w:rFonts w:hint="eastAsia" w:ascii="宋体" w:hAnsi="宋体" w:eastAsia="宋体" w:cs="仿宋_GB2312"/>
                <w:color w:val="auto"/>
                <w:sz w:val="22"/>
                <w:szCs w:val="22"/>
                <w:highlight w:val="none"/>
                <w:lang w:eastAsia="zh-CN"/>
              </w:rPr>
            </w:pPr>
            <w:r>
              <w:rPr>
                <w:rFonts w:hint="eastAsia" w:ascii="宋体" w:hAnsi="宋体" w:cs="仿宋_GB2312"/>
                <w:color w:val="auto"/>
                <w:kern w:val="0"/>
                <w:sz w:val="22"/>
                <w:szCs w:val="22"/>
                <w:highlight w:val="none"/>
                <w:lang w:val="en-US" w:eastAsia="zh-CN"/>
              </w:rPr>
              <w:t>5</w:t>
            </w: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DCB0FD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449C0B3E">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1C995DF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入侵防护/入侵监测</w:t>
            </w:r>
          </w:p>
        </w:tc>
        <w:tc>
          <w:tcPr>
            <w:tcW w:w="1141" w:type="dxa"/>
            <w:tcBorders>
              <w:top w:val="single" w:color="000000" w:sz="4" w:space="0"/>
              <w:left w:val="single" w:color="000000" w:sz="4" w:space="0"/>
              <w:bottom w:val="single" w:color="000000" w:sz="4" w:space="0"/>
              <w:right w:val="single" w:color="000000" w:sz="4" w:space="0"/>
            </w:tcBorders>
            <w:vAlign w:val="center"/>
          </w:tcPr>
          <w:p w14:paraId="6077103C">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500M吞吐量</w:t>
            </w:r>
          </w:p>
        </w:tc>
        <w:tc>
          <w:tcPr>
            <w:tcW w:w="1629" w:type="dxa"/>
            <w:tcBorders>
              <w:top w:val="single" w:color="000000" w:sz="4" w:space="0"/>
              <w:left w:val="single" w:color="000000" w:sz="4" w:space="0"/>
              <w:bottom w:val="single" w:color="000000" w:sz="4" w:space="0"/>
              <w:right w:val="single" w:color="000000" w:sz="4" w:space="0"/>
            </w:tcBorders>
            <w:vAlign w:val="center"/>
          </w:tcPr>
          <w:p w14:paraId="15A0B91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73540235">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450</w:t>
            </w:r>
          </w:p>
        </w:tc>
        <w:tc>
          <w:tcPr>
            <w:tcW w:w="1713" w:type="dxa"/>
            <w:tcBorders>
              <w:top w:val="single" w:color="000000" w:sz="4" w:space="0"/>
              <w:left w:val="single" w:color="000000" w:sz="4" w:space="0"/>
              <w:bottom w:val="single" w:color="000000" w:sz="4" w:space="0"/>
              <w:right w:val="single" w:color="000000" w:sz="4" w:space="0"/>
            </w:tcBorders>
            <w:vAlign w:val="center"/>
          </w:tcPr>
          <w:p w14:paraId="0BDA4D3B">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1E7B311F">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5BBEE90A">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826D3E7">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1249EB1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4B38CF01">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157EDB0F">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1G吞吐量</w:t>
            </w:r>
          </w:p>
        </w:tc>
        <w:tc>
          <w:tcPr>
            <w:tcW w:w="1629" w:type="dxa"/>
            <w:tcBorders>
              <w:top w:val="single" w:color="000000" w:sz="4" w:space="0"/>
              <w:left w:val="single" w:color="000000" w:sz="4" w:space="0"/>
              <w:bottom w:val="single" w:color="000000" w:sz="4" w:space="0"/>
              <w:right w:val="single" w:color="000000" w:sz="4" w:space="0"/>
            </w:tcBorders>
            <w:vAlign w:val="center"/>
          </w:tcPr>
          <w:p w14:paraId="162566F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E680034">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800</w:t>
            </w:r>
          </w:p>
        </w:tc>
        <w:tc>
          <w:tcPr>
            <w:tcW w:w="1713" w:type="dxa"/>
            <w:tcBorders>
              <w:top w:val="single" w:color="000000" w:sz="4" w:space="0"/>
              <w:left w:val="single" w:color="000000" w:sz="4" w:space="0"/>
              <w:bottom w:val="single" w:color="000000" w:sz="4" w:space="0"/>
              <w:right w:val="single" w:color="000000" w:sz="4" w:space="0"/>
            </w:tcBorders>
            <w:vAlign w:val="center"/>
          </w:tcPr>
          <w:p w14:paraId="31D9B7AF">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r w14:paraId="257C87BE">
        <w:tblPrEx>
          <w:tblCellMar>
            <w:top w:w="0" w:type="dxa"/>
            <w:left w:w="108" w:type="dxa"/>
            <w:bottom w:w="0" w:type="dxa"/>
            <w:right w:w="108" w:type="dxa"/>
          </w:tblCellMar>
        </w:tblPrEx>
        <w:trPr>
          <w:trHeight w:val="310" w:hRule="atLeast"/>
        </w:trPr>
        <w:tc>
          <w:tcPr>
            <w:tcW w:w="749" w:type="dxa"/>
            <w:vMerge w:val="continue"/>
            <w:tcBorders>
              <w:top w:val="single" w:color="000000" w:sz="4" w:space="0"/>
              <w:left w:val="single" w:color="000000" w:sz="4" w:space="0"/>
              <w:bottom w:val="single" w:color="000000" w:sz="4" w:space="0"/>
              <w:right w:val="single" w:color="000000" w:sz="4" w:space="0"/>
            </w:tcBorders>
            <w:noWrap/>
            <w:vAlign w:val="center"/>
          </w:tcPr>
          <w:p w14:paraId="3C3FEFCD">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D4FCA85">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14:paraId="302394B2">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378E8500">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14:paraId="3858EB9C">
            <w:pPr>
              <w:keepNext w:val="0"/>
              <w:keepLines w:val="0"/>
              <w:widowControl/>
              <w:suppressLineNumbers w:val="0"/>
              <w:spacing w:before="0" w:beforeAutospacing="0" w:after="0" w:afterAutospacing="0" w:line="320" w:lineRule="atLeast"/>
              <w:ind w:left="0" w:right="0"/>
              <w:jc w:val="left"/>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2G吞吐量</w:t>
            </w:r>
          </w:p>
        </w:tc>
        <w:tc>
          <w:tcPr>
            <w:tcW w:w="1629" w:type="dxa"/>
            <w:tcBorders>
              <w:top w:val="single" w:color="000000" w:sz="4" w:space="0"/>
              <w:left w:val="single" w:color="000000" w:sz="4" w:space="0"/>
              <w:bottom w:val="single" w:color="000000" w:sz="4" w:space="0"/>
              <w:right w:val="single" w:color="000000" w:sz="4" w:space="0"/>
            </w:tcBorders>
            <w:vAlign w:val="center"/>
          </w:tcPr>
          <w:p w14:paraId="13083124">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6DF133C8">
            <w:pPr>
              <w:keepNext w:val="0"/>
              <w:keepLines w:val="0"/>
              <w:widowControl/>
              <w:suppressLineNumbers w:val="0"/>
              <w:spacing w:before="0" w:beforeAutospacing="0" w:after="0" w:afterAutospacing="0" w:line="320" w:lineRule="atLeast"/>
              <w:ind w:left="0" w:right="0"/>
              <w:jc w:val="center"/>
              <w:textAlignment w:val="center"/>
              <w:rPr>
                <w:rFonts w:hint="default" w:ascii="宋体" w:hAnsi="宋体" w:cs="仿宋_GB2312"/>
                <w:color w:val="auto"/>
                <w:sz w:val="22"/>
                <w:szCs w:val="22"/>
                <w:highlight w:val="none"/>
              </w:rPr>
            </w:pPr>
            <w:r>
              <w:rPr>
                <w:rFonts w:hint="eastAsia" w:ascii="宋体" w:hAnsi="宋体" w:cs="仿宋_GB2312"/>
                <w:color w:val="auto"/>
                <w:kern w:val="0"/>
                <w:sz w:val="22"/>
                <w:szCs w:val="22"/>
                <w:highlight w:val="none"/>
              </w:rPr>
              <w:t>1500</w:t>
            </w:r>
          </w:p>
        </w:tc>
        <w:tc>
          <w:tcPr>
            <w:tcW w:w="1713" w:type="dxa"/>
            <w:tcBorders>
              <w:top w:val="single" w:color="000000" w:sz="4" w:space="0"/>
              <w:left w:val="single" w:color="000000" w:sz="4" w:space="0"/>
              <w:bottom w:val="single" w:color="000000" w:sz="4" w:space="0"/>
              <w:right w:val="single" w:color="000000" w:sz="4" w:space="0"/>
            </w:tcBorders>
            <w:vAlign w:val="center"/>
          </w:tcPr>
          <w:p w14:paraId="36DA19E8">
            <w:pPr>
              <w:keepNext w:val="0"/>
              <w:keepLines w:val="0"/>
              <w:suppressLineNumbers w:val="0"/>
              <w:spacing w:before="0" w:beforeAutospacing="0" w:after="0" w:afterAutospacing="0" w:line="320" w:lineRule="atLeast"/>
              <w:ind w:left="0" w:right="0"/>
              <w:jc w:val="center"/>
              <w:rPr>
                <w:rFonts w:hint="default" w:ascii="宋体" w:hAnsi="宋体" w:cs="仿宋_GB2312"/>
                <w:color w:val="auto"/>
                <w:sz w:val="22"/>
                <w:szCs w:val="22"/>
                <w:highlight w:val="none"/>
              </w:rPr>
            </w:pPr>
          </w:p>
        </w:tc>
      </w:tr>
    </w:tbl>
    <w:p w14:paraId="7499BC87">
      <w:pPr>
        <w:spacing w:line="390" w:lineRule="atLeast"/>
        <w:ind w:firstLine="440" w:firstLineChars="200"/>
        <w:rPr>
          <w:rFonts w:ascii="宋体" w:hAnsi="宋体"/>
          <w:color w:val="auto"/>
          <w:sz w:val="22"/>
          <w:highlight w:val="none"/>
        </w:rPr>
      </w:pPr>
    </w:p>
    <w:p w14:paraId="1391DD73">
      <w:pPr>
        <w:widowControl/>
        <w:jc w:val="center"/>
        <w:rPr>
          <w:rFonts w:ascii="宋体" w:hAnsi="宋体"/>
          <w:color w:val="auto"/>
          <w:sz w:val="36"/>
          <w:szCs w:val="20"/>
          <w:highlight w:val="none"/>
        </w:rPr>
      </w:pPr>
    </w:p>
    <w:p w14:paraId="1588D5E1">
      <w:pPr>
        <w:widowControl/>
        <w:jc w:val="center"/>
        <w:rPr>
          <w:rFonts w:ascii="宋体" w:hAnsi="宋体"/>
          <w:color w:val="auto"/>
          <w:sz w:val="36"/>
          <w:szCs w:val="20"/>
          <w:highlight w:val="none"/>
        </w:rPr>
      </w:pPr>
    </w:p>
    <w:p w14:paraId="5FF30CBB">
      <w:pPr>
        <w:widowControl/>
        <w:jc w:val="center"/>
        <w:rPr>
          <w:rFonts w:ascii="宋体" w:hAnsi="宋体"/>
          <w:color w:val="auto"/>
          <w:sz w:val="36"/>
          <w:szCs w:val="20"/>
          <w:highlight w:val="none"/>
        </w:rPr>
      </w:pPr>
    </w:p>
    <w:p w14:paraId="587872D7">
      <w:pPr>
        <w:widowControl/>
        <w:jc w:val="center"/>
        <w:rPr>
          <w:rFonts w:ascii="宋体" w:hAnsi="宋体"/>
          <w:color w:val="auto"/>
          <w:sz w:val="36"/>
          <w:szCs w:val="20"/>
          <w:highlight w:val="none"/>
        </w:rPr>
      </w:pPr>
    </w:p>
    <w:p w14:paraId="3DD78DF3">
      <w:pPr>
        <w:widowControl/>
        <w:jc w:val="center"/>
        <w:rPr>
          <w:rFonts w:ascii="宋体" w:hAnsi="宋体"/>
          <w:color w:val="auto"/>
          <w:sz w:val="36"/>
          <w:szCs w:val="20"/>
          <w:highlight w:val="none"/>
        </w:rPr>
      </w:pPr>
    </w:p>
    <w:p w14:paraId="11ADCA56">
      <w:pPr>
        <w:widowControl/>
        <w:jc w:val="center"/>
        <w:rPr>
          <w:rFonts w:ascii="宋体" w:hAnsi="宋体"/>
          <w:color w:val="auto"/>
          <w:sz w:val="36"/>
          <w:szCs w:val="20"/>
          <w:highlight w:val="none"/>
        </w:rPr>
      </w:pPr>
    </w:p>
    <w:p w14:paraId="289CB0B7">
      <w:pPr>
        <w:widowControl/>
        <w:jc w:val="center"/>
        <w:rPr>
          <w:rFonts w:ascii="宋体" w:hAnsi="宋体"/>
          <w:color w:val="auto"/>
          <w:sz w:val="36"/>
          <w:szCs w:val="20"/>
          <w:highlight w:val="none"/>
        </w:rPr>
      </w:pPr>
    </w:p>
    <w:p w14:paraId="2EB62D67">
      <w:pPr>
        <w:widowControl/>
        <w:jc w:val="center"/>
        <w:rPr>
          <w:rFonts w:ascii="宋体" w:hAnsi="宋体"/>
          <w:color w:val="auto"/>
          <w:sz w:val="36"/>
          <w:szCs w:val="20"/>
          <w:highlight w:val="none"/>
        </w:rPr>
      </w:pPr>
    </w:p>
    <w:p w14:paraId="27D7CE03">
      <w:pPr>
        <w:widowControl/>
        <w:jc w:val="center"/>
        <w:rPr>
          <w:rFonts w:ascii="宋体" w:hAnsi="宋体"/>
          <w:color w:val="auto"/>
          <w:sz w:val="36"/>
          <w:szCs w:val="20"/>
          <w:highlight w:val="none"/>
        </w:rPr>
      </w:pPr>
    </w:p>
    <w:p w14:paraId="43903421">
      <w:pPr>
        <w:widowControl/>
        <w:jc w:val="center"/>
        <w:rPr>
          <w:rFonts w:ascii="宋体" w:hAnsi="宋体"/>
          <w:color w:val="auto"/>
          <w:sz w:val="36"/>
          <w:szCs w:val="20"/>
          <w:highlight w:val="none"/>
        </w:rPr>
      </w:pPr>
    </w:p>
    <w:p w14:paraId="4D390415">
      <w:pPr>
        <w:widowControl/>
        <w:jc w:val="center"/>
        <w:rPr>
          <w:rFonts w:ascii="宋体" w:hAnsi="宋体"/>
          <w:color w:val="auto"/>
          <w:sz w:val="36"/>
          <w:szCs w:val="20"/>
          <w:highlight w:val="none"/>
        </w:rPr>
      </w:pPr>
    </w:p>
    <w:p w14:paraId="0C26CE74">
      <w:pPr>
        <w:widowControl/>
        <w:jc w:val="center"/>
        <w:rPr>
          <w:rFonts w:ascii="宋体" w:hAnsi="宋体"/>
          <w:color w:val="auto"/>
          <w:sz w:val="36"/>
          <w:szCs w:val="20"/>
          <w:highlight w:val="none"/>
        </w:rPr>
      </w:pPr>
    </w:p>
    <w:p w14:paraId="379B23F3">
      <w:pPr>
        <w:widowControl/>
        <w:jc w:val="center"/>
        <w:rPr>
          <w:rFonts w:ascii="宋体" w:hAnsi="宋体"/>
          <w:color w:val="auto"/>
          <w:sz w:val="36"/>
          <w:szCs w:val="20"/>
          <w:highlight w:val="none"/>
        </w:rPr>
      </w:pPr>
    </w:p>
    <w:p w14:paraId="7A91982C">
      <w:pPr>
        <w:widowControl/>
        <w:jc w:val="center"/>
        <w:rPr>
          <w:rFonts w:ascii="宋体" w:hAnsi="宋体"/>
          <w:color w:val="auto"/>
          <w:sz w:val="36"/>
          <w:szCs w:val="20"/>
          <w:highlight w:val="none"/>
        </w:rPr>
      </w:pPr>
    </w:p>
    <w:p w14:paraId="2A88040A">
      <w:pPr>
        <w:widowControl/>
        <w:jc w:val="center"/>
        <w:rPr>
          <w:rFonts w:ascii="宋体" w:hAnsi="宋体"/>
          <w:color w:val="auto"/>
          <w:sz w:val="36"/>
          <w:szCs w:val="20"/>
          <w:highlight w:val="none"/>
        </w:rPr>
      </w:pPr>
    </w:p>
    <w:p w14:paraId="7302749D">
      <w:pPr>
        <w:widowControl/>
        <w:jc w:val="center"/>
        <w:rPr>
          <w:rFonts w:ascii="宋体" w:hAnsi="宋体"/>
          <w:color w:val="auto"/>
          <w:sz w:val="36"/>
          <w:szCs w:val="20"/>
          <w:highlight w:val="none"/>
        </w:rPr>
      </w:pPr>
    </w:p>
    <w:p w14:paraId="124F7D04">
      <w:pPr>
        <w:widowControl/>
        <w:jc w:val="center"/>
        <w:rPr>
          <w:rFonts w:ascii="宋体" w:hAnsi="宋体"/>
          <w:color w:val="auto"/>
          <w:sz w:val="36"/>
          <w:szCs w:val="20"/>
          <w:highlight w:val="none"/>
        </w:rPr>
      </w:pPr>
      <w:r>
        <w:rPr>
          <w:rFonts w:hint="eastAsia" w:ascii="宋体" w:hAnsi="宋体"/>
          <w:color w:val="auto"/>
          <w:sz w:val="36"/>
          <w:szCs w:val="20"/>
          <w:highlight w:val="none"/>
        </w:rPr>
        <w:t>第三部分   供应商须知</w:t>
      </w:r>
    </w:p>
    <w:p w14:paraId="103DD8B9">
      <w:pPr>
        <w:autoSpaceDE w:val="0"/>
        <w:autoSpaceDN w:val="0"/>
        <w:adjustRightInd w:val="0"/>
        <w:snapToGrid w:val="0"/>
        <w:spacing w:line="460" w:lineRule="atLeast"/>
        <w:textAlignment w:val="bottom"/>
        <w:rPr>
          <w:rFonts w:ascii="宋体" w:hAnsi="宋体"/>
          <w:color w:val="auto"/>
          <w:sz w:val="22"/>
          <w:szCs w:val="22"/>
          <w:highlight w:val="none"/>
        </w:rPr>
      </w:pPr>
      <w:r>
        <w:rPr>
          <w:rFonts w:hint="eastAsia" w:ascii="宋体" w:hAnsi="宋体"/>
          <w:color w:val="auto"/>
          <w:sz w:val="22"/>
          <w:szCs w:val="22"/>
          <w:highlight w:val="none"/>
        </w:rPr>
        <w:t>一、说明</w:t>
      </w:r>
    </w:p>
    <w:p w14:paraId="5C5BB391">
      <w:pPr>
        <w:autoSpaceDE w:val="0"/>
        <w:autoSpaceDN w:val="0"/>
        <w:adjustRightInd w:val="0"/>
        <w:snapToGrid w:val="0"/>
        <w:spacing w:line="460" w:lineRule="atLeast"/>
        <w:ind w:firstLine="431" w:firstLineChars="196"/>
        <w:textAlignment w:val="bottom"/>
        <w:rPr>
          <w:rFonts w:ascii="宋体" w:hAnsi="宋体" w:cs="仿宋_GB2312"/>
          <w:color w:val="auto"/>
          <w:sz w:val="22"/>
          <w:highlight w:val="none"/>
          <w:lang w:val="zh-CN"/>
        </w:rPr>
      </w:pPr>
      <w:r>
        <w:rPr>
          <w:rFonts w:hint="eastAsia" w:ascii="宋体" w:hAnsi="宋体"/>
          <w:color w:val="auto"/>
          <w:sz w:val="22"/>
          <w:szCs w:val="22"/>
          <w:highlight w:val="none"/>
        </w:rPr>
        <w:t>1、</w:t>
      </w:r>
      <w:r>
        <w:rPr>
          <w:rFonts w:hint="eastAsia" w:ascii="宋体" w:hAnsi="宋体" w:cs="仿宋_GB2312"/>
          <w:color w:val="auto"/>
          <w:sz w:val="22"/>
          <w:highlight w:val="none"/>
          <w:lang w:val="zh-CN"/>
        </w:rPr>
        <w:t>本次采购工作是按照《中华人民共和国政府采购法》、《中华人民共和国政府采购法实施条例》、</w:t>
      </w:r>
      <w:r>
        <w:rPr>
          <w:rFonts w:ascii="宋体" w:hAnsi="宋体" w:cs="仿宋_GB2312"/>
          <w:color w:val="auto"/>
          <w:sz w:val="22"/>
          <w:highlight w:val="none"/>
          <w:lang w:val="zh-CN"/>
        </w:rPr>
        <w:t>《政府采购竞争性磋商采购方式管理暂行办法》</w:t>
      </w:r>
      <w:r>
        <w:rPr>
          <w:rFonts w:hint="eastAsia" w:ascii="宋体" w:hAnsi="宋体" w:cs="仿宋_GB2312"/>
          <w:color w:val="auto"/>
          <w:sz w:val="22"/>
          <w:highlight w:val="none"/>
          <w:lang w:val="zh-CN"/>
        </w:rPr>
        <w:t>、并参照《浙江省财政厅、省监察厅关于进一步规范政府采购活动的若干意见》及相关法律规章组织和实施。</w:t>
      </w:r>
    </w:p>
    <w:p w14:paraId="7D03C976">
      <w:pPr>
        <w:autoSpaceDE w:val="0"/>
        <w:autoSpaceDN w:val="0"/>
        <w:adjustRightInd w:val="0"/>
        <w:snapToGrid w:val="0"/>
        <w:spacing w:line="460" w:lineRule="atLeast"/>
        <w:ind w:firstLine="431" w:firstLineChars="196"/>
        <w:textAlignment w:val="bottom"/>
        <w:rPr>
          <w:rFonts w:ascii="宋体" w:hAnsi="宋体" w:cs="仿宋_GB2312"/>
          <w:color w:val="auto"/>
          <w:sz w:val="22"/>
          <w:highlight w:val="none"/>
          <w:lang w:val="zh-CN"/>
        </w:rPr>
      </w:pPr>
      <w:r>
        <w:rPr>
          <w:rFonts w:hint="eastAsia" w:ascii="宋体" w:hAnsi="宋体" w:cs="仿宋_GB2312"/>
          <w:color w:val="auto"/>
          <w:sz w:val="22"/>
          <w:highlight w:val="none"/>
          <w:lang w:val="zh-CN"/>
        </w:rPr>
        <w:t>2、</w:t>
      </w:r>
      <w:r>
        <w:rPr>
          <w:rFonts w:ascii="宋体" w:hAnsi="宋体" w:cs="仿宋_GB2312"/>
          <w:color w:val="auto"/>
          <w:sz w:val="22"/>
          <w:highlight w:val="none"/>
          <w:lang w:val="zh-CN"/>
        </w:rPr>
        <w:t>投标供应商根据自身情况可选择标项进行投标，也可以同时对多个标项进行投标，但必须对所投标项中全部采购内容进行投标，不允许仅对所投标项中部分内容进行投标</w:t>
      </w:r>
      <w:r>
        <w:rPr>
          <w:rFonts w:hint="eastAsia" w:ascii="宋体" w:hAnsi="宋体" w:cs="仿宋_GB2312"/>
          <w:color w:val="auto"/>
          <w:sz w:val="22"/>
          <w:highlight w:val="none"/>
          <w:lang w:val="zh-CN"/>
        </w:rPr>
        <w:t>，否则按无效投标处理。</w:t>
      </w:r>
    </w:p>
    <w:p w14:paraId="2F5D05ED">
      <w:pPr>
        <w:autoSpaceDE w:val="0"/>
        <w:autoSpaceDN w:val="0"/>
        <w:adjustRightInd w:val="0"/>
        <w:snapToGrid w:val="0"/>
        <w:spacing w:line="460" w:lineRule="atLeast"/>
        <w:ind w:firstLine="431" w:firstLineChars="196"/>
        <w:textAlignment w:val="bottom"/>
        <w:rPr>
          <w:rFonts w:ascii="宋体" w:hAnsi="宋体" w:cs="仿宋_GB2312"/>
          <w:color w:val="auto"/>
          <w:sz w:val="22"/>
          <w:highlight w:val="none"/>
          <w:lang w:val="zh-CN"/>
        </w:rPr>
      </w:pPr>
      <w:r>
        <w:rPr>
          <w:rFonts w:hint="eastAsia" w:ascii="宋体" w:hAnsi="宋体" w:cs="仿宋_GB2312"/>
          <w:color w:val="auto"/>
          <w:sz w:val="22"/>
          <w:highlight w:val="none"/>
          <w:lang w:val="zh-CN"/>
        </w:rPr>
        <w:t>3、无论投标过程中的作法和结果如何，供应商自行承担采购活动中所发生的全部费用。采购人有权选择成交供应商的供货及服务范围。</w:t>
      </w:r>
    </w:p>
    <w:p w14:paraId="00D86FAF">
      <w:pPr>
        <w:autoSpaceDE w:val="0"/>
        <w:autoSpaceDN w:val="0"/>
        <w:adjustRightInd w:val="0"/>
        <w:snapToGrid w:val="0"/>
        <w:spacing w:line="460" w:lineRule="atLeast"/>
        <w:ind w:firstLine="431" w:firstLineChars="196"/>
        <w:textAlignment w:val="bottom"/>
        <w:rPr>
          <w:rFonts w:ascii="宋体" w:hAnsi="宋体"/>
          <w:b/>
          <w:color w:val="auto"/>
          <w:sz w:val="22"/>
          <w:szCs w:val="22"/>
          <w:highlight w:val="none"/>
        </w:rPr>
      </w:pPr>
      <w:r>
        <w:rPr>
          <w:rFonts w:hint="eastAsia" w:ascii="宋体" w:hAnsi="宋体"/>
          <w:color w:val="auto"/>
          <w:sz w:val="22"/>
          <w:szCs w:val="22"/>
          <w:highlight w:val="none"/>
        </w:rPr>
        <w:t>4、</w:t>
      </w:r>
      <w:r>
        <w:rPr>
          <w:rFonts w:hint="eastAsia" w:ascii="宋体" w:hAnsi="宋体"/>
          <w:b/>
          <w:color w:val="auto"/>
          <w:sz w:val="22"/>
          <w:szCs w:val="22"/>
          <w:highlight w:val="none"/>
        </w:rPr>
        <w:t>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提交磋商响应文件的供应商，在提交最后报价之前，可以根据磋商情况退出磋商。</w:t>
      </w:r>
    </w:p>
    <w:p w14:paraId="231FA890">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5、知识产权</w:t>
      </w:r>
    </w:p>
    <w:p w14:paraId="4EA16B1F">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5.1投标供应商应保证，采购人在中华人民共和国使用货物和服务的任何一部分时，免受第三方提出侵犯其专利权、商标权或其它知识产权的起诉。</w:t>
      </w:r>
    </w:p>
    <w:p w14:paraId="048140B9">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5.2投标供应商应对采购人在使用该产品时所涉及到的专利权负责，不损害采购人的利益。</w:t>
      </w:r>
    </w:p>
    <w:p w14:paraId="5C9F0111">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5.3报价应包括所有应支付的对专利权和版权、设计或其他知识产权而需要向其他方支付的版税。</w:t>
      </w:r>
    </w:p>
    <w:p w14:paraId="32AFD1E8">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5.4投标供应商提供得货物或服务中如使用其他公司的相关专利，应在标书中出示相关授权，如未出示但使用了其他公司的专利，导致供应商中标而引起相关诉讼，由投标供应商承担。</w:t>
      </w:r>
    </w:p>
    <w:p w14:paraId="4DA66F63">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6、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3B8145CB">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除单一来源采购项目外，为采购项目提供整体设计、规范编制或者项目管理、监理、检测等服务的供应商，不得再参加该采购项目的其他采购活动。</w:t>
      </w:r>
    </w:p>
    <w:p w14:paraId="46E12E55">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7、本项目投标供应商如涉及分公司的，负责人等同于法定代表人（磋商文件以下同）。</w:t>
      </w:r>
    </w:p>
    <w:p w14:paraId="7A7AC28B">
      <w:pPr>
        <w:snapToGrid w:val="0"/>
        <w:spacing w:line="460" w:lineRule="atLeast"/>
        <w:ind w:firstLine="442" w:firstLineChars="200"/>
        <w:rPr>
          <w:rFonts w:ascii="宋体" w:hAnsi="宋体" w:cs="仿宋_GB2312"/>
          <w:b/>
          <w:color w:val="auto"/>
          <w:sz w:val="22"/>
          <w:highlight w:val="none"/>
          <w:lang w:val="zh-CN"/>
        </w:rPr>
      </w:pPr>
      <w:r>
        <w:rPr>
          <w:rFonts w:hint="eastAsia" w:ascii="宋体" w:hAnsi="宋体" w:cs="仿宋_GB2312"/>
          <w:b/>
          <w:color w:val="auto"/>
          <w:sz w:val="22"/>
          <w:highlight w:val="none"/>
          <w:lang w:val="zh-CN"/>
        </w:rPr>
        <w:t>8、</w:t>
      </w:r>
      <w:r>
        <w:rPr>
          <w:rFonts w:hint="eastAsia" w:ascii="宋体" w:hAnsi="宋体" w:cs="仿宋_GB2312"/>
          <w:b/>
          <w:color w:val="auto"/>
          <w:sz w:val="22"/>
          <w:highlight w:val="none"/>
        </w:rPr>
        <w:t>根据</w:t>
      </w:r>
      <w:r>
        <w:rPr>
          <w:rFonts w:ascii="宋体" w:hAnsi="宋体" w:cs="仿宋_GB2312"/>
          <w:b/>
          <w:color w:val="auto"/>
          <w:sz w:val="22"/>
          <w:highlight w:val="none"/>
        </w:rPr>
        <w:t>《工业和信息化部、国家统计局、国家发展和改革委员会、财政部关于印发中小企业划型标准规定的通知》（工信部联企业[2011]300号）</w:t>
      </w:r>
      <w:r>
        <w:rPr>
          <w:rFonts w:hint="eastAsia" w:ascii="宋体" w:hAnsi="宋体" w:cs="仿宋_GB2312"/>
          <w:b/>
          <w:color w:val="auto"/>
          <w:sz w:val="22"/>
          <w:highlight w:val="none"/>
        </w:rPr>
        <w:t>，</w:t>
      </w:r>
      <w:r>
        <w:rPr>
          <w:rFonts w:ascii="宋体" w:hAnsi="宋体" w:cs="仿宋_GB2312"/>
          <w:b/>
          <w:color w:val="auto"/>
          <w:sz w:val="22"/>
          <w:highlight w:val="none"/>
        </w:rPr>
        <w:t>本项目所属行业为</w:t>
      </w:r>
      <w:r>
        <w:rPr>
          <w:rFonts w:hint="eastAsia" w:ascii="宋体" w:hAnsi="宋体" w:cs="仿宋_GB2312"/>
          <w:b/>
          <w:color w:val="auto"/>
          <w:sz w:val="22"/>
          <w:highlight w:val="none"/>
        </w:rPr>
        <w:t>信息传输业，</w:t>
      </w:r>
      <w:r>
        <w:rPr>
          <w:rFonts w:ascii="宋体" w:hAnsi="宋体" w:cs="仿宋_GB2312"/>
          <w:b/>
          <w:color w:val="auto"/>
          <w:sz w:val="22"/>
          <w:highlight w:val="none"/>
        </w:rPr>
        <w:t>投标供应商属于</w:t>
      </w:r>
      <w:r>
        <w:rPr>
          <w:rFonts w:hint="eastAsia" w:ascii="宋体" w:hAnsi="宋体" w:cs="仿宋_GB2312"/>
          <w:b/>
          <w:color w:val="auto"/>
          <w:sz w:val="22"/>
          <w:highlight w:val="none"/>
        </w:rPr>
        <w:t>磋商</w:t>
      </w:r>
      <w:r>
        <w:rPr>
          <w:rFonts w:ascii="宋体" w:hAnsi="宋体" w:cs="仿宋_GB2312"/>
          <w:b/>
          <w:color w:val="auto"/>
          <w:sz w:val="22"/>
          <w:highlight w:val="none"/>
        </w:rPr>
        <w:t>文件中明确的行业所对应的小微企业享受价格优惠折扣</w:t>
      </w:r>
      <w:r>
        <w:rPr>
          <w:rFonts w:hint="eastAsia" w:ascii="宋体" w:hAnsi="宋体" w:cs="仿宋_GB2312"/>
          <w:b/>
          <w:color w:val="auto"/>
          <w:sz w:val="22"/>
          <w:highlight w:val="none"/>
        </w:rPr>
        <w:t>，</w:t>
      </w:r>
      <w:r>
        <w:rPr>
          <w:rFonts w:ascii="宋体" w:hAnsi="宋体" w:cs="仿宋_GB2312"/>
          <w:b/>
          <w:color w:val="auto"/>
          <w:sz w:val="22"/>
          <w:highlight w:val="none"/>
        </w:rPr>
        <w:t>否则不享受</w:t>
      </w:r>
      <w:r>
        <w:rPr>
          <w:rFonts w:hint="eastAsia" w:ascii="宋体" w:hAnsi="宋体" w:cs="仿宋_GB2312"/>
          <w:b/>
          <w:color w:val="auto"/>
          <w:sz w:val="22"/>
          <w:highlight w:val="none"/>
        </w:rPr>
        <w:t>。</w:t>
      </w:r>
    </w:p>
    <w:p w14:paraId="1A3F7EEA">
      <w:pPr>
        <w:snapToGrid w:val="0"/>
        <w:spacing w:line="460" w:lineRule="atLeast"/>
        <w:ind w:firstLine="440" w:firstLineChars="200"/>
        <w:rPr>
          <w:rFonts w:ascii="宋体" w:hAnsi="宋体" w:cs="仿宋_GB2312"/>
          <w:color w:val="auto"/>
          <w:sz w:val="22"/>
          <w:highlight w:val="none"/>
          <w:lang w:val="zh-CN"/>
        </w:rPr>
      </w:pPr>
      <w:r>
        <w:rPr>
          <w:rFonts w:hint="eastAsia" w:ascii="宋体" w:hAnsi="宋体" w:cs="仿宋_GB2312"/>
          <w:color w:val="auto"/>
          <w:sz w:val="22"/>
          <w:highlight w:val="none"/>
          <w:lang w:val="zh-CN"/>
        </w:rPr>
        <w:t>9、为使投标供应商对本项目情况有所了解，投标供应商可自行到采购人实地进行现场勘察，以便获取由投标供应商自行负责编制响应文件和签订合同所需的一切资料并充分理解了为之所承担的风险、义务和责任。</w:t>
      </w:r>
    </w:p>
    <w:p w14:paraId="67CAD274">
      <w:pPr>
        <w:autoSpaceDE w:val="0"/>
        <w:autoSpaceDN w:val="0"/>
        <w:adjustRightInd w:val="0"/>
        <w:snapToGrid w:val="0"/>
        <w:spacing w:line="440" w:lineRule="atLeast"/>
        <w:ind w:firstLine="446" w:firstLineChars="203"/>
        <w:textAlignment w:val="bottom"/>
        <w:rPr>
          <w:rFonts w:ascii="宋体"/>
          <w:color w:val="auto"/>
          <w:sz w:val="22"/>
          <w:highlight w:val="none"/>
        </w:rPr>
      </w:pPr>
      <w:r>
        <w:rPr>
          <w:rFonts w:hint="eastAsia" w:ascii="宋体"/>
          <w:color w:val="auto"/>
          <w:sz w:val="22"/>
          <w:highlight w:val="none"/>
        </w:rPr>
        <w:t>10、安全生产</w:t>
      </w:r>
    </w:p>
    <w:p w14:paraId="1618E3B0">
      <w:pPr>
        <w:snapToGrid w:val="0"/>
        <w:spacing w:line="460" w:lineRule="atLeast"/>
        <w:ind w:firstLine="440" w:firstLineChars="200"/>
        <w:rPr>
          <w:rFonts w:ascii="宋体"/>
          <w:color w:val="auto"/>
          <w:sz w:val="22"/>
          <w:highlight w:val="none"/>
        </w:rPr>
      </w:pPr>
      <w:r>
        <w:rPr>
          <w:rFonts w:hint="eastAsia" w:ascii="宋体"/>
          <w:color w:val="auto"/>
          <w:sz w:val="22"/>
          <w:highlight w:val="none"/>
        </w:rPr>
        <w:t>在招标及合同执行过程中，投标供应商应承担由于其行为所造成的人身伤害、财产损失或损坏的责任，无论何种原因所造成，采购人均不负责。</w:t>
      </w:r>
    </w:p>
    <w:p w14:paraId="7D3C2A3A">
      <w:pPr>
        <w:snapToGrid w:val="0"/>
        <w:spacing w:line="460" w:lineRule="atLeast"/>
        <w:ind w:firstLine="440" w:firstLineChars="200"/>
        <w:rPr>
          <w:rFonts w:ascii="宋体" w:hAnsi="宋体" w:cs="Arial"/>
          <w:b/>
          <w:color w:val="auto"/>
          <w:sz w:val="22"/>
          <w:szCs w:val="22"/>
          <w:highlight w:val="none"/>
        </w:rPr>
      </w:pPr>
      <w:r>
        <w:rPr>
          <w:rFonts w:hint="eastAsia" w:ascii="宋体" w:hAnsi="宋体"/>
          <w:color w:val="auto"/>
          <w:sz w:val="22"/>
          <w:highlight w:val="none"/>
        </w:rPr>
        <w:t>11、</w:t>
      </w:r>
      <w:r>
        <w:rPr>
          <w:rFonts w:hint="eastAsia" w:ascii="宋体" w:hAnsi="宋体" w:cs="Arial"/>
          <w:b/>
          <w:color w:val="auto"/>
          <w:sz w:val="22"/>
          <w:szCs w:val="22"/>
          <w:highlight w:val="none"/>
        </w:rPr>
        <w:t>法定代表人（负责人）授权书中法定代表人（负责人）必须签字或盖章，否则做无效投标处理</w:t>
      </w:r>
      <w:r>
        <w:rPr>
          <w:rFonts w:ascii="宋体" w:hAnsi="宋体" w:cs="Arial"/>
          <w:b/>
          <w:color w:val="auto"/>
          <w:sz w:val="22"/>
          <w:szCs w:val="22"/>
          <w:highlight w:val="none"/>
        </w:rPr>
        <w:t>。</w:t>
      </w:r>
    </w:p>
    <w:p w14:paraId="766EF8C6">
      <w:pPr>
        <w:adjustRightInd w:val="0"/>
        <w:spacing w:line="440" w:lineRule="atLeast"/>
        <w:ind w:firstLine="433" w:firstLineChars="196"/>
        <w:jc w:val="left"/>
        <w:rPr>
          <w:rFonts w:ascii="宋体"/>
          <w:b/>
          <w:color w:val="auto"/>
          <w:sz w:val="22"/>
          <w:highlight w:val="none"/>
        </w:rPr>
      </w:pPr>
      <w:r>
        <w:rPr>
          <w:rFonts w:hint="eastAsia" w:ascii="宋体"/>
          <w:b/>
          <w:color w:val="auto"/>
          <w:sz w:val="22"/>
          <w:highlight w:val="none"/>
        </w:rPr>
        <w:t>12、本项目磋商文件如有补充、更正均见浙江政府采购网（</w:t>
      </w:r>
      <w:r>
        <w:rPr>
          <w:rFonts w:ascii="宋体"/>
          <w:b/>
          <w:color w:val="auto"/>
          <w:sz w:val="22"/>
          <w:highlight w:val="none"/>
        </w:rPr>
        <w:t>http://zfcg.czt.zj.gov.cn/</w:t>
      </w:r>
      <w:r>
        <w:rPr>
          <w:rFonts w:hint="eastAsia" w:ascii="宋体"/>
          <w:b/>
          <w:color w:val="auto"/>
          <w:sz w:val="22"/>
          <w:highlight w:val="none"/>
        </w:rPr>
        <w:t>）。供应商须在投标截止前自行查看是否有补充、更正文件，并按补充、更正文件要求投标，否则责任自负。</w:t>
      </w:r>
    </w:p>
    <w:p w14:paraId="5F4671DC">
      <w:pPr>
        <w:adjustRightInd w:val="0"/>
        <w:spacing w:line="440" w:lineRule="atLeast"/>
        <w:ind w:firstLine="433" w:firstLineChars="196"/>
        <w:jc w:val="left"/>
        <w:rPr>
          <w:rFonts w:ascii="宋体"/>
          <w:b/>
          <w:color w:val="auto"/>
          <w:sz w:val="22"/>
          <w:highlight w:val="none"/>
        </w:rPr>
      </w:pPr>
      <w:r>
        <w:rPr>
          <w:rFonts w:hint="eastAsia" w:ascii="宋体"/>
          <w:b/>
          <w:color w:val="auto"/>
          <w:sz w:val="22"/>
          <w:highlight w:val="none"/>
        </w:rPr>
        <w:t>13、</w:t>
      </w:r>
      <w:r>
        <w:rPr>
          <w:rFonts w:ascii="宋体"/>
          <w:b/>
          <w:color w:val="auto"/>
          <w:sz w:val="22"/>
          <w:highlight w:val="none"/>
        </w:rPr>
        <w:t>供应商如果获取</w:t>
      </w:r>
      <w:r>
        <w:rPr>
          <w:rFonts w:hint="eastAsia" w:ascii="宋体"/>
          <w:b/>
          <w:color w:val="auto"/>
          <w:sz w:val="22"/>
          <w:highlight w:val="none"/>
        </w:rPr>
        <w:t>磋商</w:t>
      </w:r>
      <w:r>
        <w:rPr>
          <w:rFonts w:ascii="宋体"/>
          <w:b/>
          <w:color w:val="auto"/>
          <w:sz w:val="22"/>
          <w:highlight w:val="none"/>
        </w:rPr>
        <w:t>文件后不来参与</w:t>
      </w:r>
      <w:r>
        <w:rPr>
          <w:rFonts w:hint="eastAsia" w:ascii="宋体"/>
          <w:b/>
          <w:color w:val="auto"/>
          <w:sz w:val="22"/>
          <w:highlight w:val="none"/>
        </w:rPr>
        <w:t>本次投标</w:t>
      </w:r>
      <w:r>
        <w:rPr>
          <w:rFonts w:ascii="宋体"/>
          <w:b/>
          <w:color w:val="auto"/>
          <w:sz w:val="22"/>
          <w:highlight w:val="none"/>
        </w:rPr>
        <w:t>要在</w:t>
      </w:r>
      <w:r>
        <w:rPr>
          <w:rFonts w:hint="eastAsia" w:ascii="宋体"/>
          <w:b/>
          <w:color w:val="auto"/>
          <w:sz w:val="22"/>
          <w:highlight w:val="none"/>
        </w:rPr>
        <w:t>响应文件递交</w:t>
      </w:r>
      <w:r>
        <w:rPr>
          <w:rFonts w:ascii="宋体"/>
          <w:b/>
          <w:color w:val="auto"/>
          <w:sz w:val="22"/>
          <w:highlight w:val="none"/>
        </w:rPr>
        <w:t>截止前给予书面告知及其理由，否则采购组织机构将该情况报同级财政部门，并视情</w:t>
      </w:r>
      <w:r>
        <w:rPr>
          <w:rFonts w:hint="eastAsia" w:ascii="宋体"/>
          <w:b/>
          <w:color w:val="auto"/>
          <w:sz w:val="22"/>
          <w:highlight w:val="none"/>
        </w:rPr>
        <w:t>况</w:t>
      </w:r>
      <w:r>
        <w:rPr>
          <w:rFonts w:ascii="宋体"/>
          <w:b/>
          <w:color w:val="auto"/>
          <w:sz w:val="22"/>
          <w:highlight w:val="none"/>
        </w:rPr>
        <w:t>将其列入不良供应商名单。</w:t>
      </w:r>
    </w:p>
    <w:p w14:paraId="6B210DD5">
      <w:pPr>
        <w:autoSpaceDE w:val="0"/>
        <w:autoSpaceDN w:val="0"/>
        <w:adjustRightInd w:val="0"/>
        <w:snapToGrid w:val="0"/>
        <w:spacing w:line="460" w:lineRule="atLeast"/>
        <w:ind w:firstLine="422" w:firstLineChars="191"/>
        <w:textAlignment w:val="bottom"/>
        <w:rPr>
          <w:rFonts w:ascii="宋体" w:hAnsi="宋体" w:cs="黑体"/>
          <w:color w:val="auto"/>
          <w:sz w:val="22"/>
          <w:szCs w:val="22"/>
          <w:highlight w:val="none"/>
        </w:rPr>
      </w:pPr>
      <w:r>
        <w:rPr>
          <w:rFonts w:hint="eastAsia" w:ascii="宋体"/>
          <w:b/>
          <w:color w:val="auto"/>
          <w:sz w:val="22"/>
          <w:highlight w:val="none"/>
        </w:rPr>
        <w:t>14、成交供应商必须是已申请加入浙江省政府采购供应商库的，未申请加入的请到浙江省政府采购网申请加入：</w:t>
      </w:r>
      <w:r>
        <w:rPr>
          <w:rFonts w:ascii="宋体"/>
          <w:b/>
          <w:color w:val="auto"/>
          <w:sz w:val="22"/>
          <w:highlight w:val="none"/>
        </w:rPr>
        <w:t>http://zfcg.czt.zj.gov.cn/</w:t>
      </w:r>
      <w:r>
        <w:rPr>
          <w:rFonts w:hint="eastAsia" w:ascii="宋体"/>
          <w:b/>
          <w:color w:val="auto"/>
          <w:sz w:val="22"/>
          <w:highlight w:val="none"/>
        </w:rPr>
        <w:t>。</w:t>
      </w:r>
    </w:p>
    <w:p w14:paraId="6C24EDAD">
      <w:pPr>
        <w:autoSpaceDE w:val="0"/>
        <w:autoSpaceDN w:val="0"/>
        <w:adjustRightInd w:val="0"/>
        <w:snapToGrid w:val="0"/>
        <w:spacing w:line="460" w:lineRule="atLeast"/>
        <w:ind w:firstLine="422" w:firstLineChars="191"/>
        <w:textAlignment w:val="bottom"/>
        <w:rPr>
          <w:rFonts w:ascii="宋体" w:hAnsi="宋体" w:cs="黑体"/>
          <w:b/>
          <w:color w:val="auto"/>
          <w:sz w:val="22"/>
          <w:szCs w:val="22"/>
          <w:highlight w:val="none"/>
        </w:rPr>
      </w:pPr>
      <w:r>
        <w:rPr>
          <w:rFonts w:hint="eastAsia" w:ascii="宋体"/>
          <w:b/>
          <w:color w:val="auto"/>
          <w:sz w:val="22"/>
          <w:highlight w:val="none"/>
        </w:rPr>
        <w:t>15、本</w:t>
      </w:r>
      <w:r>
        <w:rPr>
          <w:rFonts w:hint="eastAsia" w:ascii="宋体" w:hAnsi="宋体" w:cs="黑体"/>
          <w:b/>
          <w:color w:val="auto"/>
          <w:sz w:val="22"/>
          <w:szCs w:val="22"/>
          <w:highlight w:val="none"/>
        </w:rPr>
        <w:t>项目采用在线投标响应方式，执行《浙江省财政厅关于印发浙江省政府采购项目电子交易管理暂行办法的通知》（浙财采监〔</w:t>
      </w:r>
      <w:r>
        <w:rPr>
          <w:rFonts w:ascii="宋体" w:hAnsi="宋体" w:cs="黑体"/>
          <w:b/>
          <w:color w:val="auto"/>
          <w:sz w:val="22"/>
          <w:szCs w:val="22"/>
          <w:highlight w:val="none"/>
        </w:rPr>
        <w:t>2019〕10 号）等相关规定。</w:t>
      </w:r>
    </w:p>
    <w:p w14:paraId="117181DD">
      <w:pPr>
        <w:autoSpaceDE w:val="0"/>
        <w:autoSpaceDN w:val="0"/>
        <w:adjustRightInd w:val="0"/>
        <w:snapToGrid w:val="0"/>
        <w:spacing w:line="460" w:lineRule="atLeast"/>
        <w:ind w:firstLine="420" w:firstLineChars="191"/>
        <w:textAlignment w:val="bottom"/>
        <w:rPr>
          <w:rFonts w:ascii="宋体" w:hAnsi="宋体" w:cs="Arial"/>
          <w:b/>
          <w:color w:val="auto"/>
          <w:sz w:val="22"/>
          <w:szCs w:val="22"/>
          <w:highlight w:val="none"/>
        </w:rPr>
      </w:pPr>
      <w:r>
        <w:rPr>
          <w:rFonts w:hint="eastAsia" w:ascii="宋体" w:hAnsi="宋体" w:cs="黑体"/>
          <w:color w:val="auto"/>
          <w:sz w:val="22"/>
          <w:szCs w:val="22"/>
          <w:highlight w:val="none"/>
        </w:rPr>
        <w:t>16、</w:t>
      </w:r>
      <w:r>
        <w:rPr>
          <w:rFonts w:hint="eastAsia" w:ascii="宋体"/>
          <w:color w:val="auto"/>
          <w:sz w:val="22"/>
          <w:szCs w:val="22"/>
          <w:highlight w:val="none"/>
        </w:rPr>
        <w:t>为支持和促进中小企业发展，进一步发挥政府采购政策功能，温州市财政局出台了《温州市财政局关于温州市政府采购支持中小企业信用融资的通知》（温财采〔</w:t>
      </w:r>
      <w:r>
        <w:rPr>
          <w:rFonts w:ascii="宋体"/>
          <w:color w:val="auto"/>
          <w:sz w:val="22"/>
          <w:szCs w:val="22"/>
          <w:highlight w:val="none"/>
        </w:rPr>
        <w:t>2020〕3号），供应商若有融资意向，可直接登录http://jinrong.zcygov.cn，查看信用融资政策文件及各相关银行服务方案，也可直接向各银行咨询相关业务。</w:t>
      </w:r>
    </w:p>
    <w:p w14:paraId="71908390">
      <w:pPr>
        <w:autoSpaceDE w:val="0"/>
        <w:autoSpaceDN w:val="0"/>
        <w:adjustRightInd w:val="0"/>
        <w:snapToGrid w:val="0"/>
        <w:spacing w:line="460" w:lineRule="atLeast"/>
        <w:textAlignment w:val="bottom"/>
        <w:rPr>
          <w:rFonts w:ascii="宋体" w:hAnsi="宋体"/>
          <w:color w:val="auto"/>
          <w:sz w:val="22"/>
          <w:szCs w:val="22"/>
          <w:highlight w:val="none"/>
        </w:rPr>
      </w:pPr>
      <w:r>
        <w:rPr>
          <w:rFonts w:hint="eastAsia" w:ascii="宋体" w:hAnsi="宋体"/>
          <w:color w:val="auto"/>
          <w:sz w:val="22"/>
          <w:szCs w:val="22"/>
          <w:highlight w:val="none"/>
        </w:rPr>
        <w:t>二、竞争性磋商文件</w:t>
      </w:r>
    </w:p>
    <w:p w14:paraId="3C634CFB">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1、竞争性磋商文件</w:t>
      </w:r>
    </w:p>
    <w:p w14:paraId="7C098B5F">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1.1 磋商文件发放</w:t>
      </w:r>
    </w:p>
    <w:p w14:paraId="684DC7DB">
      <w:pPr>
        <w:snapToGrid w:val="0"/>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投标供应商网上自行下载磋商文件。</w:t>
      </w:r>
    </w:p>
    <w:p w14:paraId="21C0C2A5">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1.2 竞争性磋商文件约束力</w:t>
      </w:r>
    </w:p>
    <w:p w14:paraId="35DCFAA9">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u w:val="single"/>
        </w:rPr>
      </w:pPr>
      <w:r>
        <w:rPr>
          <w:rFonts w:hint="eastAsia" w:ascii="宋体" w:hAnsi="宋体"/>
          <w:color w:val="auto"/>
          <w:sz w:val="22"/>
          <w:szCs w:val="22"/>
          <w:highlight w:val="none"/>
        </w:rPr>
        <w:t>▲</w:t>
      </w:r>
      <w:r>
        <w:rPr>
          <w:rFonts w:hint="eastAsia" w:ascii="宋体" w:hAnsi="宋体"/>
          <w:color w:val="auto"/>
          <w:sz w:val="22"/>
          <w:szCs w:val="22"/>
          <w:highlight w:val="none"/>
          <w:u w:val="single"/>
        </w:rPr>
        <w:t>供应商一旦获取了本竞争性磋商文件并参加磋商采购，即被认为接受了本竞争性磋商文件中所有条款和规定。</w:t>
      </w:r>
    </w:p>
    <w:p w14:paraId="1ADD92B0">
      <w:pPr>
        <w:autoSpaceDE w:val="0"/>
        <w:autoSpaceDN w:val="0"/>
        <w:adjustRightInd w:val="0"/>
        <w:snapToGrid w:val="0"/>
        <w:spacing w:line="460" w:lineRule="atLeast"/>
        <w:textAlignment w:val="bottom"/>
        <w:rPr>
          <w:rFonts w:ascii="宋体" w:hAnsi="宋体"/>
          <w:color w:val="auto"/>
          <w:sz w:val="22"/>
          <w:szCs w:val="22"/>
          <w:highlight w:val="none"/>
        </w:rPr>
      </w:pPr>
      <w:r>
        <w:rPr>
          <w:rFonts w:hint="eastAsia" w:ascii="宋体" w:hAnsi="宋体"/>
          <w:color w:val="auto"/>
          <w:sz w:val="22"/>
          <w:szCs w:val="22"/>
          <w:highlight w:val="none"/>
        </w:rPr>
        <w:t xml:space="preserve">    1.3 竞争性磋商文件的组成</w:t>
      </w:r>
    </w:p>
    <w:p w14:paraId="3B06CA79">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竞争性磋商文件由竞争性磋商文件总目录所列内容及补充资料等组成。</w:t>
      </w:r>
    </w:p>
    <w:p w14:paraId="05A31C6F">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2、竞争性磋商文件的澄清</w:t>
      </w:r>
    </w:p>
    <w:p w14:paraId="6228610A">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供应商对竞争性磋商文件如有疑点要求澄清，</w:t>
      </w:r>
      <w:r>
        <w:rPr>
          <w:rFonts w:hint="eastAsia" w:ascii="宋体" w:hAnsi="宋体" w:cs="仿宋_GB2312"/>
          <w:bCs/>
          <w:color w:val="auto"/>
          <w:sz w:val="22"/>
          <w:highlight w:val="none"/>
          <w:lang w:val="zh-CN"/>
        </w:rPr>
        <w:t>或认为有必要与采购人进行技术交流，</w:t>
      </w:r>
      <w:r>
        <w:rPr>
          <w:rFonts w:hint="eastAsia" w:ascii="宋体" w:hAnsi="宋体"/>
          <w:color w:val="auto"/>
          <w:sz w:val="22"/>
          <w:szCs w:val="22"/>
          <w:highlight w:val="none"/>
        </w:rPr>
        <w:t>可用书面形式（包括信函、传真，下同）通知采购代理机构，但通知不得迟于规定的质疑时间前使采购代理机构收到，采购代理机构将用书面形式予以答复。如有必要，可将不说明来源的答复书面发给各有关供应商</w:t>
      </w:r>
      <w:r>
        <w:rPr>
          <w:rFonts w:hint="eastAsia" w:ascii="宋体" w:hAnsi="宋体" w:cs="仿宋_GB2312"/>
          <w:bCs/>
          <w:color w:val="auto"/>
          <w:sz w:val="22"/>
          <w:highlight w:val="none"/>
          <w:lang w:val="zh-CN"/>
        </w:rPr>
        <w:t>并予以公告。任何口头答复均不作为报价依据。</w:t>
      </w:r>
    </w:p>
    <w:p w14:paraId="43073656">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3、竞争性磋商文件的修改</w:t>
      </w:r>
    </w:p>
    <w:p w14:paraId="49C5F1F0">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3.1 在响应文件递交截止时间前，采购人有权澄清或者修改磋商文件，并以书面形式（补充、更正文件）通知供应商。补充、更正文件作为磋商文件的组成部分，对所有供应商均有约束力。</w:t>
      </w:r>
    </w:p>
    <w:p w14:paraId="0793A7E8">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 xml:space="preserve">3.2 </w:t>
      </w:r>
      <w:r>
        <w:rPr>
          <w:rFonts w:ascii="宋体" w:hAnsi="宋体"/>
          <w:color w:val="auto"/>
          <w:sz w:val="22"/>
          <w:szCs w:val="22"/>
          <w:highlight w:val="none"/>
        </w:rPr>
        <w:t>澄清或者修改的内容可能影响</w:t>
      </w:r>
      <w:r>
        <w:rPr>
          <w:rFonts w:hint="eastAsia" w:ascii="宋体" w:hAnsi="宋体"/>
          <w:color w:val="auto"/>
          <w:sz w:val="22"/>
          <w:szCs w:val="22"/>
          <w:highlight w:val="none"/>
        </w:rPr>
        <w:t>响应</w:t>
      </w:r>
      <w:r>
        <w:rPr>
          <w:rFonts w:ascii="宋体" w:hAnsi="宋体"/>
          <w:color w:val="auto"/>
          <w:sz w:val="22"/>
          <w:szCs w:val="22"/>
          <w:highlight w:val="none"/>
        </w:rPr>
        <w:t>文件编制的，采购人或者采购代理机构在</w:t>
      </w:r>
      <w:r>
        <w:rPr>
          <w:rFonts w:hint="eastAsia" w:ascii="宋体" w:hAnsi="宋体"/>
          <w:color w:val="auto"/>
          <w:sz w:val="22"/>
          <w:szCs w:val="22"/>
          <w:highlight w:val="none"/>
        </w:rPr>
        <w:t>响应文件递交截止时间</w:t>
      </w:r>
      <w:r>
        <w:rPr>
          <w:rFonts w:ascii="宋体" w:hAnsi="宋体"/>
          <w:color w:val="auto"/>
          <w:sz w:val="22"/>
          <w:szCs w:val="22"/>
          <w:highlight w:val="none"/>
        </w:rPr>
        <w:t>至少5个</w:t>
      </w:r>
      <w:r>
        <w:rPr>
          <w:rFonts w:hint="eastAsia" w:ascii="宋体" w:hAnsi="宋体"/>
          <w:color w:val="auto"/>
          <w:sz w:val="22"/>
          <w:szCs w:val="22"/>
          <w:highlight w:val="none"/>
        </w:rPr>
        <w:t>工作</w:t>
      </w:r>
      <w:r>
        <w:rPr>
          <w:rFonts w:ascii="宋体" w:hAnsi="宋体"/>
          <w:color w:val="auto"/>
          <w:sz w:val="22"/>
          <w:szCs w:val="22"/>
          <w:highlight w:val="none"/>
        </w:rPr>
        <w:t>日前，以书面形式通知所有获取磋商文件的潜在供应商；不足5个</w:t>
      </w:r>
      <w:r>
        <w:rPr>
          <w:rFonts w:hint="eastAsia" w:ascii="宋体" w:hAnsi="宋体"/>
          <w:color w:val="auto"/>
          <w:sz w:val="22"/>
          <w:szCs w:val="22"/>
          <w:highlight w:val="none"/>
        </w:rPr>
        <w:t>工作</w:t>
      </w:r>
      <w:r>
        <w:rPr>
          <w:rFonts w:ascii="宋体" w:hAnsi="宋体"/>
          <w:color w:val="auto"/>
          <w:sz w:val="22"/>
          <w:szCs w:val="22"/>
          <w:highlight w:val="none"/>
        </w:rPr>
        <w:t>日的，采购人或者采购代理机构顺延提交</w:t>
      </w:r>
      <w:r>
        <w:rPr>
          <w:rFonts w:hint="eastAsia" w:ascii="宋体" w:hAnsi="宋体"/>
          <w:color w:val="auto"/>
          <w:sz w:val="22"/>
          <w:szCs w:val="22"/>
          <w:highlight w:val="none"/>
        </w:rPr>
        <w:t>响应</w:t>
      </w:r>
      <w:r>
        <w:rPr>
          <w:rFonts w:ascii="宋体" w:hAnsi="宋体"/>
          <w:color w:val="auto"/>
          <w:sz w:val="22"/>
          <w:szCs w:val="22"/>
          <w:highlight w:val="none"/>
        </w:rPr>
        <w:t>文件的截止时间。</w:t>
      </w:r>
    </w:p>
    <w:p w14:paraId="7EFACF90">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3.3 补充、更正文件在浙江政府采购网（</w:t>
      </w:r>
      <w:r>
        <w:rPr>
          <w:rFonts w:ascii="宋体" w:hAnsi="宋体"/>
          <w:color w:val="auto"/>
          <w:sz w:val="22"/>
          <w:szCs w:val="22"/>
          <w:highlight w:val="none"/>
        </w:rPr>
        <w:t>http://www.zjzfcg.gov.cn/</w:t>
      </w:r>
      <w:r>
        <w:rPr>
          <w:rFonts w:hint="eastAsia" w:ascii="宋体" w:hAnsi="宋体"/>
          <w:color w:val="auto"/>
          <w:sz w:val="22"/>
          <w:szCs w:val="22"/>
          <w:highlight w:val="none"/>
        </w:rPr>
        <w:t>）予以公告公布。</w:t>
      </w:r>
    </w:p>
    <w:p w14:paraId="7536B0A5">
      <w:pPr>
        <w:autoSpaceDE w:val="0"/>
        <w:autoSpaceDN w:val="0"/>
        <w:adjustRightInd w:val="0"/>
        <w:snapToGrid w:val="0"/>
        <w:spacing w:line="460" w:lineRule="atLeast"/>
        <w:textAlignment w:val="bottom"/>
        <w:rPr>
          <w:rFonts w:ascii="宋体" w:hAnsi="宋体"/>
          <w:color w:val="auto"/>
          <w:sz w:val="22"/>
          <w:szCs w:val="22"/>
          <w:highlight w:val="none"/>
        </w:rPr>
      </w:pPr>
      <w:r>
        <w:rPr>
          <w:rFonts w:hint="eastAsia" w:ascii="宋体" w:hAnsi="宋体"/>
          <w:color w:val="auto"/>
          <w:sz w:val="22"/>
          <w:szCs w:val="22"/>
          <w:highlight w:val="none"/>
        </w:rPr>
        <w:t>三、磋商响应文件</w:t>
      </w:r>
    </w:p>
    <w:p w14:paraId="4181A14F">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1、磋商响应文件</w:t>
      </w:r>
    </w:p>
    <w:p w14:paraId="2B340715">
      <w:pPr>
        <w:autoSpaceDE w:val="0"/>
        <w:autoSpaceDN w:val="0"/>
        <w:adjustRightInd w:val="0"/>
        <w:snapToGrid w:val="0"/>
        <w:spacing w:line="460" w:lineRule="atLeast"/>
        <w:ind w:firstLine="431" w:firstLineChars="196"/>
        <w:textAlignment w:val="bottom"/>
        <w:rPr>
          <w:rFonts w:ascii="宋体" w:hAnsi="宋体" w:cs="Arial"/>
          <w:color w:val="auto"/>
          <w:sz w:val="22"/>
          <w:szCs w:val="22"/>
          <w:highlight w:val="none"/>
        </w:rPr>
      </w:pPr>
      <w:r>
        <w:rPr>
          <w:rFonts w:hint="eastAsia" w:ascii="宋体" w:hAnsi="宋体"/>
          <w:color w:val="auto"/>
          <w:sz w:val="22"/>
          <w:szCs w:val="22"/>
          <w:highlight w:val="none"/>
        </w:rPr>
        <w:t>1.1 供应商应</w:t>
      </w:r>
      <w:r>
        <w:rPr>
          <w:rFonts w:hint="eastAsia" w:ascii="宋体" w:hAnsi="宋体" w:cs="Arial"/>
          <w:color w:val="auto"/>
          <w:sz w:val="22"/>
          <w:szCs w:val="22"/>
          <w:highlight w:val="none"/>
        </w:rPr>
        <w:t>仔细阅读竞争性磋商文件中的所有内容，按照竞争性磋商文件要求，详细编制磋商响应文件。并对竞争性磋商文件的要求做出实质性响应。实质性响应的磋商响应文件应该是与竞争性磋商文件要求没有重大偏离。未实质性响应的磋商响应文件将被拒绝，但允许在基本满足采购技术要求的前提下出现的微小差异。</w:t>
      </w:r>
    </w:p>
    <w:p w14:paraId="55647A19">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仿宋_GB2312"/>
          <w:color w:val="auto"/>
          <w:sz w:val="22"/>
          <w:szCs w:val="22"/>
          <w:highlight w:val="none"/>
          <w:lang w:val="zh-CN"/>
        </w:rPr>
        <w:t xml:space="preserve">1.2 </w:t>
      </w:r>
      <w:r>
        <w:rPr>
          <w:rFonts w:hint="eastAsia" w:ascii="宋体" w:hAnsi="宋体" w:cs="Arial"/>
          <w:color w:val="auto"/>
          <w:sz w:val="22"/>
          <w:szCs w:val="22"/>
          <w:highlight w:val="none"/>
        </w:rPr>
        <w:t>供应商必须按竞争性磋商文件的要求提供相关技术参数、资料，包括采用的计量单位，并保证</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的正确性和真实性。</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全部内容应保持一致，否则可能导致对其不利评定甚至被拒绝。技术和商务如有偏离均应填写偏离表。</w:t>
      </w:r>
    </w:p>
    <w:p w14:paraId="5081C094">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s="仿宋_GB2312"/>
          <w:color w:val="auto"/>
          <w:sz w:val="22"/>
          <w:szCs w:val="22"/>
          <w:highlight w:val="none"/>
          <w:lang w:val="zh-CN"/>
        </w:rPr>
        <w:t>1.3 供应商应仔细阅读竞争性磋商文件中的所有内容，按照竞争性磋商文件要求，详细编制</w:t>
      </w:r>
      <w:r>
        <w:rPr>
          <w:rFonts w:hint="eastAsia" w:ascii="宋体" w:hAnsi="宋体"/>
          <w:color w:val="auto"/>
          <w:sz w:val="22"/>
          <w:szCs w:val="22"/>
          <w:highlight w:val="none"/>
        </w:rPr>
        <w:t>磋商响应文件</w:t>
      </w:r>
      <w:r>
        <w:rPr>
          <w:rFonts w:hint="eastAsia" w:ascii="宋体" w:hAnsi="宋体" w:cs="仿宋_GB2312"/>
          <w:color w:val="auto"/>
          <w:sz w:val="22"/>
          <w:szCs w:val="22"/>
          <w:highlight w:val="none"/>
          <w:lang w:val="zh-CN"/>
        </w:rPr>
        <w:t>，所有文件资料必须是针对本次采购。不按竞争性磋商文件的要求提供的</w:t>
      </w:r>
      <w:r>
        <w:rPr>
          <w:rFonts w:hint="eastAsia" w:ascii="宋体" w:hAnsi="宋体"/>
          <w:color w:val="auto"/>
          <w:sz w:val="22"/>
          <w:szCs w:val="22"/>
          <w:highlight w:val="none"/>
        </w:rPr>
        <w:t>磋商响应文件</w:t>
      </w:r>
      <w:r>
        <w:rPr>
          <w:rFonts w:hint="eastAsia" w:ascii="宋体" w:hAnsi="宋体" w:cs="仿宋_GB2312"/>
          <w:color w:val="auto"/>
          <w:sz w:val="22"/>
          <w:szCs w:val="22"/>
          <w:highlight w:val="none"/>
          <w:lang w:val="zh-CN"/>
        </w:rPr>
        <w:t>可能导致被拒绝。</w:t>
      </w:r>
    </w:p>
    <w:p w14:paraId="712E09AE">
      <w:pPr>
        <w:autoSpaceDE w:val="0"/>
        <w:autoSpaceDN w:val="0"/>
        <w:adjustRightInd w:val="0"/>
        <w:snapToGrid w:val="0"/>
        <w:spacing w:line="460" w:lineRule="atLeast"/>
        <w:ind w:firstLine="431" w:firstLineChars="196"/>
        <w:textAlignment w:val="bottom"/>
        <w:rPr>
          <w:rFonts w:ascii="宋体" w:hAnsi="宋体"/>
          <w:color w:val="auto"/>
          <w:sz w:val="22"/>
          <w:szCs w:val="22"/>
          <w:highlight w:val="none"/>
        </w:rPr>
      </w:pPr>
      <w:r>
        <w:rPr>
          <w:rFonts w:hint="eastAsia" w:ascii="宋体" w:hAnsi="宋体"/>
          <w:color w:val="auto"/>
          <w:sz w:val="22"/>
          <w:szCs w:val="22"/>
          <w:highlight w:val="none"/>
        </w:rPr>
        <w:t xml:space="preserve">2、磋商响应文件的组成  </w:t>
      </w:r>
    </w:p>
    <w:p w14:paraId="069D6F93">
      <w:pPr>
        <w:autoSpaceDE w:val="0"/>
        <w:autoSpaceDN w:val="0"/>
        <w:adjustRightInd w:val="0"/>
        <w:snapToGrid w:val="0"/>
        <w:spacing w:line="460" w:lineRule="atLeast"/>
        <w:ind w:firstLine="440" w:firstLineChars="200"/>
        <w:rPr>
          <w:rFonts w:ascii="宋体" w:hAnsi="宋体" w:cs="Arial"/>
          <w:b/>
          <w:bCs/>
          <w:color w:val="auto"/>
          <w:sz w:val="22"/>
          <w:szCs w:val="22"/>
          <w:highlight w:val="none"/>
          <w:u w:val="single"/>
        </w:rPr>
      </w:pPr>
      <w:r>
        <w:rPr>
          <w:rFonts w:hint="eastAsia" w:ascii="宋体" w:hAnsi="宋体"/>
          <w:color w:val="auto"/>
          <w:sz w:val="22"/>
          <w:szCs w:val="22"/>
          <w:highlight w:val="none"/>
        </w:rPr>
        <w:t>▲</w:t>
      </w:r>
      <w:r>
        <w:rPr>
          <w:rFonts w:hint="eastAsia" w:ascii="宋体" w:hAnsi="宋体" w:cs="Arial"/>
          <w:b/>
          <w:bCs/>
          <w:color w:val="auto"/>
          <w:sz w:val="22"/>
          <w:szCs w:val="22"/>
          <w:highlight w:val="none"/>
          <w:u w:val="single"/>
        </w:rPr>
        <w:t>磋商响应文件由资格文件、报价文件、商务技术文件组成。</w:t>
      </w:r>
    </w:p>
    <w:p w14:paraId="275A9A88">
      <w:pPr>
        <w:autoSpaceDE w:val="0"/>
        <w:autoSpaceDN w:val="0"/>
        <w:adjustRightInd w:val="0"/>
        <w:snapToGrid w:val="0"/>
        <w:spacing w:line="460" w:lineRule="atLeast"/>
        <w:ind w:firstLine="442" w:firstLineChars="20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2.1 资格文件组成</w:t>
      </w:r>
    </w:p>
    <w:tbl>
      <w:tblPr>
        <w:tblStyle w:val="4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08"/>
      </w:tblGrid>
      <w:tr w14:paraId="5757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485E26C">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序号</w:t>
            </w:r>
          </w:p>
        </w:tc>
        <w:tc>
          <w:tcPr>
            <w:tcW w:w="9008" w:type="dxa"/>
          </w:tcPr>
          <w:p w14:paraId="27590DCF">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内容（</w:t>
            </w:r>
            <w:r>
              <w:rPr>
                <w:rFonts w:hint="eastAsia" w:ascii="宋体" w:hAnsi="宋体" w:cs="Courier New"/>
                <w:b/>
                <w:color w:val="auto"/>
                <w:sz w:val="22"/>
                <w:highlight w:val="none"/>
                <w:lang w:val="zh-CN"/>
              </w:rPr>
              <w:t>以下1-3项内容投标供应商必须提供，否则不能通过资格审查的，责任自负。</w:t>
            </w:r>
            <w:r>
              <w:rPr>
                <w:rFonts w:hint="eastAsia" w:ascii="宋体" w:hAnsi="宋体" w:cs="Courier New"/>
                <w:color w:val="auto"/>
                <w:sz w:val="22"/>
                <w:highlight w:val="none"/>
                <w:lang w:val="zh-CN"/>
              </w:rPr>
              <w:t>）</w:t>
            </w:r>
          </w:p>
        </w:tc>
      </w:tr>
      <w:tr w14:paraId="039E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1F71879">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rPr>
            </w:pPr>
            <w:r>
              <w:rPr>
                <w:rFonts w:hint="eastAsia" w:ascii="宋体" w:hAnsi="宋体" w:cs="Courier New"/>
                <w:color w:val="auto"/>
                <w:sz w:val="22"/>
                <w:highlight w:val="none"/>
              </w:rPr>
              <w:t>1</w:t>
            </w:r>
          </w:p>
        </w:tc>
        <w:tc>
          <w:tcPr>
            <w:tcW w:w="9008" w:type="dxa"/>
          </w:tcPr>
          <w:p w14:paraId="59946D9A">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highlight w:val="none"/>
              </w:rPr>
            </w:pPr>
            <w:r>
              <w:rPr>
                <w:rFonts w:hint="eastAsia" w:ascii="宋体" w:hAnsi="宋体"/>
                <w:color w:val="auto"/>
                <w:sz w:val="22"/>
                <w:highlight w:val="none"/>
              </w:rPr>
              <w:t>投标供应商的营业执照、税务登记证（如为多证合一仅需提供营业执照，扫描件加盖有效公章）。</w:t>
            </w:r>
          </w:p>
        </w:tc>
      </w:tr>
      <w:tr w14:paraId="737D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694B3D">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rPr>
            </w:pPr>
            <w:r>
              <w:rPr>
                <w:rFonts w:hint="eastAsia" w:ascii="宋体" w:hAnsi="宋体" w:cs="Courier New"/>
                <w:color w:val="auto"/>
                <w:sz w:val="22"/>
                <w:highlight w:val="none"/>
              </w:rPr>
              <w:t>2</w:t>
            </w:r>
          </w:p>
        </w:tc>
        <w:tc>
          <w:tcPr>
            <w:tcW w:w="9008" w:type="dxa"/>
          </w:tcPr>
          <w:p w14:paraId="5DC84BE1">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highlight w:val="none"/>
              </w:rPr>
            </w:pPr>
            <w:r>
              <w:rPr>
                <w:rFonts w:hint="eastAsia" w:ascii="宋体" w:hAnsi="宋体" w:cs="Courier New"/>
                <w:color w:val="auto"/>
                <w:sz w:val="22"/>
                <w:highlight w:val="none"/>
              </w:rPr>
              <w:t>投标供应商参与政府采购活动投标资格声明函（附件一）</w:t>
            </w:r>
          </w:p>
        </w:tc>
      </w:tr>
      <w:tr w14:paraId="1777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9B8910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rPr>
            </w:pPr>
            <w:r>
              <w:rPr>
                <w:rFonts w:hint="eastAsia" w:ascii="宋体" w:hAnsi="宋体" w:cs="Courier New"/>
                <w:color w:val="auto"/>
                <w:sz w:val="22"/>
                <w:highlight w:val="none"/>
              </w:rPr>
              <w:t>3</w:t>
            </w:r>
          </w:p>
        </w:tc>
        <w:tc>
          <w:tcPr>
            <w:tcW w:w="9008" w:type="dxa"/>
          </w:tcPr>
          <w:p w14:paraId="3A2DF89B">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highlight w:val="none"/>
              </w:rPr>
            </w:pPr>
            <w:r>
              <w:rPr>
                <w:rFonts w:hint="eastAsia" w:ascii="宋体" w:hAnsi="宋体" w:cs="Courier New"/>
                <w:color w:val="auto"/>
                <w:sz w:val="22"/>
                <w:highlight w:val="none"/>
              </w:rPr>
              <w:t>投标供应商特定资格条件证明：</w:t>
            </w:r>
            <w:r>
              <w:rPr>
                <w:rFonts w:hint="default" w:ascii="宋体" w:hAnsi="宋体" w:cs="宋体"/>
                <w:color w:val="auto"/>
                <w:kern w:val="0"/>
                <w:sz w:val="22"/>
                <w:highlight w:val="none"/>
              </w:rPr>
              <w:t>供应商须具有增值电信业务经营资质（提供增值电信业务经营许可证）运营商或其分支机构（提供有效授权或证明文件）</w:t>
            </w:r>
          </w:p>
        </w:tc>
      </w:tr>
    </w:tbl>
    <w:p w14:paraId="22BFEF1E">
      <w:pPr>
        <w:autoSpaceDE w:val="0"/>
        <w:autoSpaceDN w:val="0"/>
        <w:adjustRightInd w:val="0"/>
        <w:snapToGrid w:val="0"/>
        <w:spacing w:line="460" w:lineRule="atLeast"/>
        <w:ind w:firstLine="442" w:firstLineChars="20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2.2 报价文件组成</w:t>
      </w:r>
    </w:p>
    <w:tbl>
      <w:tblPr>
        <w:tblStyle w:val="4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997"/>
      </w:tblGrid>
      <w:tr w14:paraId="663D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BE8110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序号</w:t>
            </w:r>
          </w:p>
        </w:tc>
        <w:tc>
          <w:tcPr>
            <w:tcW w:w="8997" w:type="dxa"/>
          </w:tcPr>
          <w:p w14:paraId="5C51ADAF">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内容（▲</w:t>
            </w:r>
            <w:r>
              <w:rPr>
                <w:rFonts w:hint="eastAsia" w:ascii="宋体" w:hAnsi="宋体" w:cs="Courier New"/>
                <w:b/>
                <w:color w:val="auto"/>
                <w:sz w:val="22"/>
                <w:highlight w:val="none"/>
                <w:lang w:val="zh-CN"/>
              </w:rPr>
              <w:t>序号2项投标供应商必须提供，否则不能通过符合性审查的，责任自负</w:t>
            </w:r>
            <w:r>
              <w:rPr>
                <w:rFonts w:hint="eastAsia" w:ascii="宋体" w:hAnsi="宋体" w:cs="Courier New"/>
                <w:color w:val="auto"/>
                <w:sz w:val="22"/>
                <w:highlight w:val="none"/>
                <w:lang w:val="zh-CN"/>
              </w:rPr>
              <w:t>。）</w:t>
            </w:r>
          </w:p>
        </w:tc>
      </w:tr>
      <w:tr w14:paraId="0C27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2AB3D6E">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1</w:t>
            </w:r>
          </w:p>
        </w:tc>
        <w:tc>
          <w:tcPr>
            <w:tcW w:w="8997" w:type="dxa"/>
          </w:tcPr>
          <w:p w14:paraId="6F0ED2E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highlight w:val="none"/>
                <w:lang w:val="zh-CN"/>
              </w:rPr>
            </w:pPr>
            <w:r>
              <w:rPr>
                <w:rFonts w:hint="eastAsia" w:ascii="宋体" w:hAnsi="宋体"/>
                <w:color w:val="auto"/>
                <w:sz w:val="22"/>
                <w:szCs w:val="22"/>
                <w:highlight w:val="none"/>
              </w:rPr>
              <w:t>报价文件封面（格式自拟）</w:t>
            </w:r>
          </w:p>
        </w:tc>
      </w:tr>
      <w:tr w14:paraId="28CD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19D8ED5">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2</w:t>
            </w:r>
          </w:p>
        </w:tc>
        <w:tc>
          <w:tcPr>
            <w:tcW w:w="8997" w:type="dxa"/>
          </w:tcPr>
          <w:p w14:paraId="275B6135">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default" w:ascii="宋体" w:hAnsi="宋体" w:cs="Courier New"/>
                <w:color w:val="auto"/>
                <w:sz w:val="22"/>
                <w:highlight w:val="none"/>
              </w:rPr>
            </w:pPr>
            <w:r>
              <w:rPr>
                <w:rFonts w:hint="eastAsia" w:ascii="宋体" w:hAnsi="宋体" w:cs="Courier New"/>
                <w:color w:val="auto"/>
                <w:sz w:val="22"/>
                <w:highlight w:val="none"/>
              </w:rPr>
              <w:t>开标一览表（附件二）</w:t>
            </w:r>
          </w:p>
        </w:tc>
      </w:tr>
      <w:tr w14:paraId="20F4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993EC6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3</w:t>
            </w:r>
          </w:p>
        </w:tc>
        <w:tc>
          <w:tcPr>
            <w:tcW w:w="8997" w:type="dxa"/>
          </w:tcPr>
          <w:p w14:paraId="15BD4F09">
            <w:pPr>
              <w:keepNext w:val="0"/>
              <w:keepLines w:val="0"/>
              <w:suppressLineNumbers w:val="0"/>
              <w:autoSpaceDE w:val="0"/>
              <w:autoSpaceDN w:val="0"/>
              <w:adjustRightInd w:val="0"/>
              <w:snapToGrid w:val="0"/>
              <w:spacing w:before="0" w:beforeAutospacing="0" w:after="0" w:afterAutospacing="0" w:line="430" w:lineRule="atLeast"/>
              <w:ind w:left="0" w:right="0"/>
              <w:jc w:val="left"/>
              <w:rPr>
                <w:rFonts w:hint="default" w:ascii="宋体"/>
                <w:color w:val="auto"/>
                <w:sz w:val="22"/>
                <w:szCs w:val="22"/>
                <w:highlight w:val="none"/>
              </w:rPr>
            </w:pPr>
            <w:r>
              <w:rPr>
                <w:rFonts w:hint="eastAsia" w:ascii="宋体"/>
                <w:color w:val="auto"/>
                <w:sz w:val="22"/>
                <w:szCs w:val="22"/>
                <w:highlight w:val="none"/>
              </w:rPr>
              <w:t>1、投标供应商享受小微企业价格折扣应提供以下证明材料（放在报价文件中，</w:t>
            </w:r>
            <w:r>
              <w:rPr>
                <w:rFonts w:hint="default" w:ascii="宋体"/>
                <w:color w:val="auto"/>
                <w:sz w:val="22"/>
                <w:szCs w:val="22"/>
                <w:highlight w:val="none"/>
              </w:rPr>
              <w:t>不提供的不享受价格折扣</w:t>
            </w:r>
            <w:r>
              <w:rPr>
                <w:rFonts w:hint="eastAsia" w:ascii="宋体"/>
                <w:color w:val="auto"/>
                <w:sz w:val="22"/>
                <w:szCs w:val="22"/>
                <w:highlight w:val="none"/>
              </w:rPr>
              <w:t>）：</w:t>
            </w:r>
          </w:p>
          <w:p w14:paraId="47D33677">
            <w:pPr>
              <w:keepNext w:val="0"/>
              <w:keepLines w:val="0"/>
              <w:suppressLineNumbers w:val="0"/>
              <w:autoSpaceDE w:val="0"/>
              <w:autoSpaceDN w:val="0"/>
              <w:adjustRightInd w:val="0"/>
              <w:snapToGrid w:val="0"/>
              <w:spacing w:before="0" w:beforeAutospacing="0" w:after="0" w:afterAutospacing="0" w:line="430" w:lineRule="atLeast"/>
              <w:ind w:left="0" w:right="0"/>
              <w:jc w:val="left"/>
              <w:rPr>
                <w:rFonts w:hint="default" w:ascii="宋体"/>
                <w:color w:val="auto"/>
                <w:sz w:val="22"/>
                <w:szCs w:val="22"/>
                <w:highlight w:val="none"/>
              </w:rPr>
            </w:pPr>
            <w:r>
              <w:rPr>
                <w:rFonts w:hint="eastAsia" w:ascii="宋体"/>
                <w:color w:val="auto"/>
                <w:sz w:val="22"/>
                <w:szCs w:val="22"/>
                <w:highlight w:val="none"/>
              </w:rPr>
              <w:t>（</w:t>
            </w:r>
            <w:r>
              <w:rPr>
                <w:rFonts w:hint="default" w:ascii="宋体"/>
                <w:color w:val="auto"/>
                <w:sz w:val="22"/>
                <w:szCs w:val="22"/>
                <w:highlight w:val="none"/>
              </w:rPr>
              <w:t>1）《中小企业声明函》（加盖供应商公章，</w:t>
            </w:r>
            <w:r>
              <w:rPr>
                <w:rFonts w:hint="eastAsia" w:ascii="宋体"/>
                <w:color w:val="auto"/>
                <w:sz w:val="22"/>
                <w:szCs w:val="22"/>
                <w:highlight w:val="none"/>
              </w:rPr>
              <w:t>格式见磋商文件第四部分</w:t>
            </w:r>
            <w:r>
              <w:rPr>
                <w:rFonts w:hint="default" w:ascii="宋体"/>
                <w:color w:val="auto"/>
                <w:sz w:val="22"/>
                <w:szCs w:val="22"/>
                <w:highlight w:val="none"/>
              </w:rPr>
              <w:t>附件1）</w:t>
            </w:r>
            <w:r>
              <w:rPr>
                <w:rFonts w:hint="eastAsia" w:ascii="宋体"/>
                <w:color w:val="auto"/>
                <w:sz w:val="22"/>
                <w:szCs w:val="22"/>
                <w:highlight w:val="none"/>
              </w:rPr>
              <w:t>。</w:t>
            </w:r>
          </w:p>
          <w:p w14:paraId="0FAFDAAA">
            <w:pPr>
              <w:keepNext w:val="0"/>
              <w:keepLines w:val="0"/>
              <w:suppressLineNumbers w:val="0"/>
              <w:autoSpaceDE w:val="0"/>
              <w:autoSpaceDN w:val="0"/>
              <w:adjustRightInd w:val="0"/>
              <w:snapToGrid w:val="0"/>
              <w:spacing w:before="0" w:beforeAutospacing="0" w:after="0" w:afterAutospacing="0" w:line="430" w:lineRule="atLeast"/>
              <w:ind w:left="0" w:right="0"/>
              <w:jc w:val="left"/>
              <w:rPr>
                <w:rFonts w:hint="default" w:ascii="宋体"/>
                <w:color w:val="auto"/>
                <w:sz w:val="22"/>
                <w:szCs w:val="22"/>
                <w:highlight w:val="none"/>
              </w:rPr>
            </w:pPr>
            <w:r>
              <w:rPr>
                <w:rFonts w:hint="eastAsia" w:ascii="宋体"/>
                <w:color w:val="auto"/>
                <w:sz w:val="22"/>
                <w:szCs w:val="22"/>
                <w:highlight w:val="none"/>
              </w:rPr>
              <w:t>2、投标供应商</w:t>
            </w:r>
            <w:r>
              <w:rPr>
                <w:rFonts w:hint="default" w:ascii="宋体"/>
                <w:color w:val="auto"/>
                <w:sz w:val="22"/>
                <w:szCs w:val="22"/>
                <w:highlight w:val="none"/>
              </w:rPr>
              <w:t>享受监狱企业价格折扣应提供以下证明材料（</w:t>
            </w:r>
            <w:r>
              <w:rPr>
                <w:rFonts w:hint="eastAsia" w:ascii="宋体"/>
                <w:color w:val="auto"/>
                <w:sz w:val="22"/>
                <w:szCs w:val="22"/>
                <w:highlight w:val="none"/>
              </w:rPr>
              <w:t>放在报价文件中，</w:t>
            </w:r>
            <w:r>
              <w:rPr>
                <w:rFonts w:hint="default" w:ascii="宋体"/>
                <w:color w:val="auto"/>
                <w:sz w:val="22"/>
                <w:szCs w:val="22"/>
                <w:highlight w:val="none"/>
              </w:rPr>
              <w:t>不提供的不享受价格折扣）：</w:t>
            </w:r>
          </w:p>
          <w:p w14:paraId="495D4925">
            <w:pPr>
              <w:keepNext w:val="0"/>
              <w:keepLines w:val="0"/>
              <w:suppressLineNumbers w:val="0"/>
              <w:autoSpaceDE w:val="0"/>
              <w:autoSpaceDN w:val="0"/>
              <w:adjustRightInd w:val="0"/>
              <w:snapToGrid w:val="0"/>
              <w:spacing w:before="0" w:beforeAutospacing="0" w:after="0" w:afterAutospacing="0" w:line="430" w:lineRule="atLeast"/>
              <w:ind w:left="0" w:right="0"/>
              <w:jc w:val="left"/>
              <w:rPr>
                <w:rFonts w:hint="default" w:ascii="宋体"/>
                <w:color w:val="auto"/>
                <w:sz w:val="22"/>
                <w:szCs w:val="22"/>
                <w:highlight w:val="none"/>
              </w:rPr>
            </w:pPr>
            <w:r>
              <w:rPr>
                <w:rFonts w:hint="eastAsia" w:ascii="宋体"/>
                <w:color w:val="auto"/>
                <w:sz w:val="22"/>
                <w:szCs w:val="22"/>
                <w:highlight w:val="none"/>
              </w:rPr>
              <w:t>（</w:t>
            </w:r>
            <w:r>
              <w:rPr>
                <w:rFonts w:hint="default" w:ascii="宋体"/>
                <w:color w:val="auto"/>
                <w:sz w:val="22"/>
                <w:szCs w:val="22"/>
                <w:highlight w:val="none"/>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434D9205">
            <w:pPr>
              <w:keepNext w:val="0"/>
              <w:keepLines w:val="0"/>
              <w:suppressLineNumbers w:val="0"/>
              <w:autoSpaceDE w:val="0"/>
              <w:autoSpaceDN w:val="0"/>
              <w:adjustRightInd w:val="0"/>
              <w:snapToGrid w:val="0"/>
              <w:spacing w:before="0" w:beforeAutospacing="0" w:after="0" w:afterAutospacing="0" w:line="430" w:lineRule="atLeast"/>
              <w:ind w:left="0" w:right="0"/>
              <w:jc w:val="left"/>
              <w:rPr>
                <w:rFonts w:hint="default" w:ascii="宋体"/>
                <w:color w:val="auto"/>
                <w:sz w:val="22"/>
                <w:szCs w:val="22"/>
                <w:highlight w:val="none"/>
              </w:rPr>
            </w:pPr>
            <w:r>
              <w:rPr>
                <w:rFonts w:hint="eastAsia" w:ascii="宋体"/>
                <w:color w:val="auto"/>
                <w:sz w:val="22"/>
                <w:szCs w:val="22"/>
                <w:highlight w:val="none"/>
              </w:rPr>
              <w:t>3、投标供应商享受</w:t>
            </w:r>
            <w:r>
              <w:rPr>
                <w:rFonts w:hint="default" w:ascii="宋体"/>
                <w:color w:val="auto"/>
                <w:sz w:val="22"/>
                <w:szCs w:val="22"/>
                <w:highlight w:val="none"/>
              </w:rPr>
              <w:t>残疾人福利性单位价格折扣应提供以下证明材料（</w:t>
            </w:r>
            <w:r>
              <w:rPr>
                <w:rFonts w:hint="eastAsia" w:ascii="宋体"/>
                <w:color w:val="auto"/>
                <w:sz w:val="22"/>
                <w:szCs w:val="22"/>
                <w:highlight w:val="none"/>
              </w:rPr>
              <w:t>放在报价文件中，</w:t>
            </w:r>
            <w:r>
              <w:rPr>
                <w:rFonts w:hint="default" w:ascii="宋体"/>
                <w:color w:val="auto"/>
                <w:sz w:val="22"/>
                <w:szCs w:val="22"/>
                <w:highlight w:val="none"/>
              </w:rPr>
              <w:t>不提供的不享受价格折扣）：</w:t>
            </w:r>
          </w:p>
          <w:p w14:paraId="263D33AA">
            <w:pPr>
              <w:keepNext w:val="0"/>
              <w:keepLines w:val="0"/>
              <w:suppressLineNumbers w:val="0"/>
              <w:autoSpaceDE w:val="0"/>
              <w:autoSpaceDN w:val="0"/>
              <w:adjustRightInd w:val="0"/>
              <w:snapToGrid w:val="0"/>
              <w:spacing w:before="0" w:beforeAutospacing="0" w:after="0" w:afterAutospacing="0" w:line="430" w:lineRule="atLeast"/>
              <w:ind w:left="0" w:right="0"/>
              <w:jc w:val="left"/>
              <w:rPr>
                <w:rFonts w:hint="default" w:ascii="宋体"/>
                <w:color w:val="auto"/>
                <w:sz w:val="22"/>
                <w:szCs w:val="22"/>
                <w:highlight w:val="none"/>
              </w:rPr>
            </w:pPr>
            <w:r>
              <w:rPr>
                <w:rFonts w:hint="eastAsia" w:ascii="宋体"/>
                <w:color w:val="auto"/>
                <w:sz w:val="22"/>
                <w:szCs w:val="22"/>
                <w:highlight w:val="none"/>
              </w:rPr>
              <w:t>（</w:t>
            </w:r>
            <w:r>
              <w:rPr>
                <w:rFonts w:hint="default" w:ascii="宋体"/>
                <w:color w:val="auto"/>
                <w:sz w:val="22"/>
                <w:szCs w:val="22"/>
                <w:highlight w:val="none"/>
              </w:rPr>
              <w:t>1）残疾人福利性单位声明函（加盖投标供应商公章，</w:t>
            </w:r>
            <w:r>
              <w:rPr>
                <w:rFonts w:hint="eastAsia" w:ascii="宋体"/>
                <w:color w:val="auto"/>
                <w:sz w:val="22"/>
                <w:szCs w:val="22"/>
                <w:highlight w:val="none"/>
              </w:rPr>
              <w:t>格式见磋商文件第四部分</w:t>
            </w:r>
            <w:r>
              <w:rPr>
                <w:rFonts w:hint="default" w:ascii="宋体"/>
                <w:color w:val="auto"/>
                <w:sz w:val="22"/>
                <w:szCs w:val="22"/>
                <w:highlight w:val="none"/>
              </w:rPr>
              <w:t>附件</w:t>
            </w:r>
            <w:r>
              <w:rPr>
                <w:rFonts w:hint="eastAsia" w:ascii="宋体"/>
                <w:color w:val="auto"/>
                <w:sz w:val="22"/>
                <w:szCs w:val="22"/>
                <w:highlight w:val="none"/>
              </w:rPr>
              <w:t>2</w:t>
            </w:r>
            <w:r>
              <w:rPr>
                <w:rFonts w:hint="default" w:ascii="宋体"/>
                <w:color w:val="auto"/>
                <w:sz w:val="22"/>
                <w:szCs w:val="22"/>
                <w:highlight w:val="none"/>
              </w:rPr>
              <w:t>）</w:t>
            </w:r>
            <w:r>
              <w:rPr>
                <w:rFonts w:hint="eastAsia" w:ascii="宋体"/>
                <w:color w:val="auto"/>
                <w:sz w:val="22"/>
                <w:szCs w:val="22"/>
                <w:highlight w:val="none"/>
              </w:rPr>
              <w:t>。</w:t>
            </w:r>
            <w:r>
              <w:rPr>
                <w:rFonts w:hint="default" w:ascii="宋体"/>
                <w:color w:val="auto"/>
                <w:sz w:val="22"/>
                <w:szCs w:val="22"/>
                <w:highlight w:val="none"/>
              </w:rPr>
              <w:t>在政府采购活动中，残疾人福利性单位视同小型、微型企业，享受评审中价格扣除政策。</w:t>
            </w:r>
          </w:p>
          <w:p w14:paraId="113EE29B">
            <w:pPr>
              <w:keepNext w:val="0"/>
              <w:keepLines w:val="0"/>
              <w:suppressLineNumbers w:val="0"/>
              <w:autoSpaceDE w:val="0"/>
              <w:autoSpaceDN w:val="0"/>
              <w:adjustRightInd w:val="0"/>
              <w:snapToGrid w:val="0"/>
              <w:spacing w:before="0" w:beforeAutospacing="0" w:after="0" w:afterAutospacing="0" w:line="430" w:lineRule="atLeast"/>
              <w:ind w:left="0" w:right="0"/>
              <w:jc w:val="left"/>
              <w:rPr>
                <w:rFonts w:hint="default" w:ascii="宋体"/>
                <w:color w:val="auto"/>
                <w:sz w:val="22"/>
                <w:szCs w:val="22"/>
                <w:highlight w:val="none"/>
              </w:rPr>
            </w:pPr>
            <w:r>
              <w:rPr>
                <w:rFonts w:hint="eastAsia" w:ascii="宋体"/>
                <w:color w:val="auto"/>
                <w:sz w:val="22"/>
                <w:szCs w:val="22"/>
                <w:highlight w:val="none"/>
              </w:rPr>
              <w:t>说明：供应商企业属于以上多种性质的，不重复享受扶持政策。</w:t>
            </w:r>
          </w:p>
        </w:tc>
      </w:tr>
    </w:tbl>
    <w:p w14:paraId="40A89D30">
      <w:pPr>
        <w:autoSpaceDE w:val="0"/>
        <w:autoSpaceDN w:val="0"/>
        <w:adjustRightInd w:val="0"/>
        <w:snapToGrid w:val="0"/>
        <w:spacing w:line="460" w:lineRule="atLeast"/>
        <w:ind w:firstLine="442" w:firstLineChars="200"/>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2.3 商务技术文件组成</w:t>
      </w:r>
    </w:p>
    <w:tbl>
      <w:tblPr>
        <w:tblStyle w:val="46"/>
        <w:tblpPr w:leftFromText="180" w:rightFromText="180" w:vertAnchor="text" w:tblpY="1"/>
        <w:tblOverlap w:val="neve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008"/>
      </w:tblGrid>
      <w:tr w14:paraId="78AC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C34AA73">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序号</w:t>
            </w:r>
          </w:p>
        </w:tc>
        <w:tc>
          <w:tcPr>
            <w:tcW w:w="9008" w:type="dxa"/>
          </w:tcPr>
          <w:p w14:paraId="2B8A2FC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szCs w:val="22"/>
                <w:highlight w:val="none"/>
                <w:lang w:val="zh-CN"/>
              </w:rPr>
            </w:pPr>
            <w:r>
              <w:rPr>
                <w:rFonts w:hint="eastAsia" w:ascii="宋体" w:hAnsi="宋体" w:cs="Courier New"/>
                <w:color w:val="auto"/>
                <w:sz w:val="22"/>
                <w:szCs w:val="22"/>
                <w:highlight w:val="none"/>
                <w:lang w:val="zh-CN"/>
              </w:rPr>
              <w:t>内容（</w:t>
            </w:r>
            <w:r>
              <w:rPr>
                <w:rFonts w:hint="eastAsia" w:ascii="宋体" w:hAnsi="宋体" w:cs="Courier New"/>
                <w:b/>
                <w:color w:val="auto"/>
                <w:sz w:val="22"/>
                <w:highlight w:val="none"/>
                <w:lang w:val="zh-CN"/>
              </w:rPr>
              <w:t>投标供应商应提供相关内容，否则不能通过符合性审查的，责任自负</w:t>
            </w:r>
            <w:r>
              <w:rPr>
                <w:rFonts w:hint="eastAsia" w:ascii="宋体" w:hAnsi="宋体" w:cs="Courier New"/>
                <w:color w:val="auto"/>
                <w:sz w:val="22"/>
                <w:highlight w:val="none"/>
                <w:lang w:val="zh-CN"/>
              </w:rPr>
              <w:t>。</w:t>
            </w:r>
            <w:r>
              <w:rPr>
                <w:rFonts w:hint="eastAsia" w:ascii="宋体" w:hAnsi="宋体" w:cs="Courier New"/>
                <w:color w:val="auto"/>
                <w:sz w:val="22"/>
                <w:szCs w:val="22"/>
                <w:highlight w:val="none"/>
                <w:lang w:val="zh-CN"/>
              </w:rPr>
              <w:t>）</w:t>
            </w:r>
          </w:p>
        </w:tc>
      </w:tr>
      <w:tr w14:paraId="4374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93B8EA7">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1</w:t>
            </w:r>
          </w:p>
        </w:tc>
        <w:tc>
          <w:tcPr>
            <w:tcW w:w="9008" w:type="dxa"/>
          </w:tcPr>
          <w:p w14:paraId="609ABAE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szCs w:val="22"/>
                <w:highlight w:val="none"/>
                <w:lang w:val="zh-CN"/>
              </w:rPr>
            </w:pPr>
            <w:r>
              <w:rPr>
                <w:rFonts w:hint="eastAsia" w:ascii="宋体" w:hAnsi="宋体"/>
                <w:color w:val="auto"/>
                <w:sz w:val="22"/>
                <w:szCs w:val="22"/>
                <w:highlight w:val="none"/>
              </w:rPr>
              <w:t>商务技术文件封面（格式自拟）</w:t>
            </w:r>
          </w:p>
        </w:tc>
      </w:tr>
      <w:tr w14:paraId="60F0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08651B">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2</w:t>
            </w:r>
          </w:p>
        </w:tc>
        <w:tc>
          <w:tcPr>
            <w:tcW w:w="9008" w:type="dxa"/>
          </w:tcPr>
          <w:p w14:paraId="297965F5">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highlight w:val="none"/>
                <w:lang w:val="zh-CN"/>
              </w:rPr>
            </w:pPr>
            <w:r>
              <w:rPr>
                <w:rFonts w:hint="eastAsia" w:ascii="宋体" w:hAnsi="宋体" w:cs="Courier New"/>
                <w:color w:val="auto"/>
                <w:sz w:val="22"/>
                <w:highlight w:val="none"/>
              </w:rPr>
              <w:t>投标函（附件三）</w:t>
            </w:r>
          </w:p>
        </w:tc>
      </w:tr>
      <w:tr w14:paraId="6477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3DE7D8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lang w:val="zh-CN"/>
              </w:rPr>
            </w:pPr>
            <w:r>
              <w:rPr>
                <w:rFonts w:hint="eastAsia" w:ascii="宋体" w:hAnsi="宋体" w:cs="Courier New"/>
                <w:color w:val="auto"/>
                <w:sz w:val="22"/>
                <w:highlight w:val="none"/>
                <w:lang w:val="zh-CN"/>
              </w:rPr>
              <w:t>3</w:t>
            </w:r>
          </w:p>
        </w:tc>
        <w:tc>
          <w:tcPr>
            <w:tcW w:w="9008" w:type="dxa"/>
          </w:tcPr>
          <w:p w14:paraId="6ED2E389">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szCs w:val="22"/>
                <w:highlight w:val="none"/>
              </w:rPr>
            </w:pPr>
            <w:r>
              <w:rPr>
                <w:rFonts w:hint="eastAsia" w:ascii="宋体" w:hAnsi="宋体"/>
                <w:color w:val="auto"/>
                <w:sz w:val="22"/>
                <w:highlight w:val="none"/>
              </w:rPr>
              <w:t>供应商法定代表人授权书（附件四），如为法定代表人参与的只须提供法定代表人身份证扫描件。</w:t>
            </w:r>
          </w:p>
        </w:tc>
      </w:tr>
      <w:tr w14:paraId="39A7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A36E20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rPr>
            </w:pPr>
            <w:r>
              <w:rPr>
                <w:rFonts w:hint="eastAsia" w:ascii="宋体" w:hAnsi="宋体" w:cs="Courier New"/>
                <w:color w:val="auto"/>
                <w:sz w:val="22"/>
                <w:highlight w:val="none"/>
              </w:rPr>
              <w:t>4</w:t>
            </w:r>
          </w:p>
        </w:tc>
        <w:tc>
          <w:tcPr>
            <w:tcW w:w="9008" w:type="dxa"/>
          </w:tcPr>
          <w:p w14:paraId="23486AED">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s="Courier New"/>
                <w:color w:val="auto"/>
                <w:sz w:val="22"/>
                <w:highlight w:val="none"/>
              </w:rPr>
            </w:pPr>
            <w:r>
              <w:rPr>
                <w:rFonts w:hint="eastAsia" w:ascii="宋体" w:hAnsi="宋体" w:cs="Courier New"/>
                <w:color w:val="auto"/>
                <w:sz w:val="22"/>
                <w:highlight w:val="none"/>
              </w:rPr>
              <w:t>法定代表人诚信投标承诺书（附件五）</w:t>
            </w:r>
          </w:p>
        </w:tc>
      </w:tr>
      <w:tr w14:paraId="4CC9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AE85CBC">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rPr>
            </w:pPr>
            <w:r>
              <w:rPr>
                <w:rFonts w:hint="eastAsia" w:ascii="宋体" w:hAnsi="宋体" w:cs="Courier New"/>
                <w:color w:val="auto"/>
                <w:sz w:val="22"/>
                <w:highlight w:val="none"/>
              </w:rPr>
              <w:t>5</w:t>
            </w:r>
          </w:p>
        </w:tc>
        <w:tc>
          <w:tcPr>
            <w:tcW w:w="9008" w:type="dxa"/>
          </w:tcPr>
          <w:p w14:paraId="71504F06">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highlight w:val="none"/>
              </w:rPr>
              <w:t>供应商相关资质、资信或信用证书、荣誉证书、获奖证书等（如有则提供，扫描件加盖有效公章）</w:t>
            </w:r>
          </w:p>
        </w:tc>
      </w:tr>
      <w:tr w14:paraId="716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16AB10F">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s="Courier New"/>
                <w:color w:val="auto"/>
                <w:sz w:val="22"/>
                <w:highlight w:val="none"/>
              </w:rPr>
            </w:pPr>
            <w:r>
              <w:rPr>
                <w:rFonts w:hint="eastAsia" w:ascii="宋体" w:hAnsi="宋体" w:cs="Courier New"/>
                <w:color w:val="auto"/>
                <w:sz w:val="22"/>
                <w:highlight w:val="none"/>
              </w:rPr>
              <w:t>6</w:t>
            </w:r>
          </w:p>
        </w:tc>
        <w:tc>
          <w:tcPr>
            <w:tcW w:w="9008" w:type="dxa"/>
          </w:tcPr>
          <w:p w14:paraId="61C4F8EC">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highlight w:val="none"/>
              </w:rPr>
              <w:t>投标供应商业绩（附件六，如有则提供）</w:t>
            </w:r>
          </w:p>
        </w:tc>
      </w:tr>
      <w:tr w14:paraId="27E4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524DA75">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7</w:t>
            </w:r>
          </w:p>
        </w:tc>
        <w:tc>
          <w:tcPr>
            <w:tcW w:w="9008" w:type="dxa"/>
          </w:tcPr>
          <w:p w14:paraId="0A3C531E">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highlight w:val="none"/>
              </w:rPr>
              <w:t>商务偏离表（附件七（一））、技术偏离表（附件七（二））</w:t>
            </w:r>
          </w:p>
        </w:tc>
      </w:tr>
      <w:tr w14:paraId="31D2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6710266">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8</w:t>
            </w:r>
          </w:p>
        </w:tc>
        <w:tc>
          <w:tcPr>
            <w:tcW w:w="9008" w:type="dxa"/>
          </w:tcPr>
          <w:p w14:paraId="165FAE6F">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highlight w:val="none"/>
              </w:rPr>
              <w:t>云平台资质（具体要求见各标项评分项）</w:t>
            </w:r>
          </w:p>
        </w:tc>
      </w:tr>
      <w:tr w14:paraId="697D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5079BC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9</w:t>
            </w:r>
          </w:p>
        </w:tc>
        <w:tc>
          <w:tcPr>
            <w:tcW w:w="9008" w:type="dxa"/>
          </w:tcPr>
          <w:p w14:paraId="0A16D360">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highlight w:val="none"/>
              </w:rPr>
              <w:t>云平台技术方案（具体要求见各标项评分项）</w:t>
            </w:r>
          </w:p>
        </w:tc>
      </w:tr>
      <w:tr w14:paraId="23C3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96FEC14">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10</w:t>
            </w:r>
          </w:p>
        </w:tc>
        <w:tc>
          <w:tcPr>
            <w:tcW w:w="9008" w:type="dxa"/>
          </w:tcPr>
          <w:p w14:paraId="469EA152">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highlight w:val="none"/>
              </w:rPr>
              <w:t>云平台安全方案（具体要求见各标项评分项）</w:t>
            </w:r>
          </w:p>
        </w:tc>
      </w:tr>
      <w:tr w14:paraId="188A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EC9822D">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11</w:t>
            </w:r>
          </w:p>
        </w:tc>
        <w:tc>
          <w:tcPr>
            <w:tcW w:w="9008" w:type="dxa"/>
          </w:tcPr>
          <w:p w14:paraId="40B659B5">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szCs w:val="22"/>
                <w:highlight w:val="none"/>
              </w:rPr>
              <w:t>技术服务能力</w:t>
            </w:r>
            <w:r>
              <w:rPr>
                <w:rFonts w:hint="eastAsia" w:ascii="宋体" w:hAnsi="宋体"/>
                <w:color w:val="auto"/>
                <w:sz w:val="22"/>
                <w:highlight w:val="none"/>
              </w:rPr>
              <w:t>（具体要求见各标项评分项）</w:t>
            </w:r>
          </w:p>
        </w:tc>
      </w:tr>
      <w:tr w14:paraId="4B0B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CA8CAC1">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12</w:t>
            </w:r>
          </w:p>
        </w:tc>
        <w:tc>
          <w:tcPr>
            <w:tcW w:w="9008" w:type="dxa"/>
          </w:tcPr>
          <w:p w14:paraId="24058D55">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highlight w:val="none"/>
              </w:rPr>
              <w:t>机房要求（具体要求见各标项评分项）</w:t>
            </w:r>
          </w:p>
        </w:tc>
      </w:tr>
      <w:tr w14:paraId="43F9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CD7238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13</w:t>
            </w:r>
          </w:p>
        </w:tc>
        <w:tc>
          <w:tcPr>
            <w:tcW w:w="9008" w:type="dxa"/>
          </w:tcPr>
          <w:p w14:paraId="20AA4A67">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highlight w:val="none"/>
              </w:rPr>
              <w:t>技术服务方案（具体要求见各标项评分项）</w:t>
            </w:r>
          </w:p>
        </w:tc>
      </w:tr>
      <w:tr w14:paraId="5B94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B219135">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14</w:t>
            </w:r>
          </w:p>
        </w:tc>
        <w:tc>
          <w:tcPr>
            <w:tcW w:w="9008" w:type="dxa"/>
          </w:tcPr>
          <w:p w14:paraId="234A2390">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highlight w:val="none"/>
              </w:rPr>
              <w:t>项目服务人员汇总表（附件八，具体要求见各标项评分项）</w:t>
            </w:r>
          </w:p>
        </w:tc>
      </w:tr>
      <w:tr w14:paraId="4661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75E295B">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15</w:t>
            </w:r>
          </w:p>
        </w:tc>
        <w:tc>
          <w:tcPr>
            <w:tcW w:w="9008" w:type="dxa"/>
          </w:tcPr>
          <w:p w14:paraId="5CC471C8">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宋体" w:hAnsi="宋体"/>
                <w:color w:val="auto"/>
                <w:sz w:val="22"/>
                <w:highlight w:val="none"/>
              </w:rPr>
            </w:pPr>
            <w:r>
              <w:rPr>
                <w:rFonts w:hint="eastAsia" w:ascii="宋体" w:hAnsi="宋体"/>
                <w:color w:val="auto"/>
                <w:sz w:val="22"/>
                <w:highlight w:val="none"/>
              </w:rPr>
              <w:t>拟派项目人员情况表（附件九，具体要求见各标项评分项）</w:t>
            </w:r>
          </w:p>
        </w:tc>
      </w:tr>
      <w:tr w14:paraId="14D7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9A0FA87">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16</w:t>
            </w:r>
          </w:p>
        </w:tc>
        <w:tc>
          <w:tcPr>
            <w:tcW w:w="9008" w:type="dxa"/>
          </w:tcPr>
          <w:p w14:paraId="151FFC03">
            <w:pPr>
              <w:keepNext w:val="0"/>
              <w:keepLines w:val="0"/>
              <w:suppressLineNumbers w:val="0"/>
              <w:autoSpaceDE w:val="0"/>
              <w:autoSpaceDN w:val="0"/>
              <w:adjustRightInd w:val="0"/>
              <w:snapToGrid w:val="0"/>
              <w:spacing w:before="0" w:beforeAutospacing="0" w:after="0" w:afterAutospacing="0" w:line="430" w:lineRule="atLeast"/>
              <w:ind w:left="0" w:right="0"/>
              <w:jc w:val="left"/>
              <w:rPr>
                <w:rFonts w:hint="default" w:ascii="宋体" w:hAnsi="宋体"/>
                <w:color w:val="auto"/>
                <w:sz w:val="22"/>
                <w:highlight w:val="none"/>
              </w:rPr>
            </w:pPr>
            <w:r>
              <w:rPr>
                <w:rFonts w:hint="eastAsia" w:ascii="宋体" w:hAnsi="宋体"/>
                <w:color w:val="auto"/>
                <w:sz w:val="22"/>
                <w:highlight w:val="none"/>
              </w:rPr>
              <w:t>根据磋商文件中的采购内容与技术要求、评标细则，需要提供的其它文件和资料。</w:t>
            </w:r>
          </w:p>
        </w:tc>
      </w:tr>
      <w:tr w14:paraId="36B9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1F26E67">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17</w:t>
            </w:r>
          </w:p>
        </w:tc>
        <w:tc>
          <w:tcPr>
            <w:tcW w:w="9008" w:type="dxa"/>
          </w:tcPr>
          <w:p w14:paraId="2A650FA7">
            <w:pPr>
              <w:keepNext w:val="0"/>
              <w:keepLines w:val="0"/>
              <w:suppressLineNumbers w:val="0"/>
              <w:autoSpaceDE w:val="0"/>
              <w:autoSpaceDN w:val="0"/>
              <w:adjustRightInd w:val="0"/>
              <w:snapToGrid w:val="0"/>
              <w:spacing w:before="0" w:beforeAutospacing="0" w:after="0" w:afterAutospacing="0" w:line="430" w:lineRule="atLeast"/>
              <w:ind w:left="0" w:right="0"/>
              <w:jc w:val="left"/>
              <w:rPr>
                <w:rFonts w:hint="default" w:ascii="宋体" w:hAnsi="宋体"/>
                <w:color w:val="auto"/>
                <w:sz w:val="22"/>
                <w:highlight w:val="none"/>
              </w:rPr>
            </w:pPr>
            <w:r>
              <w:rPr>
                <w:rFonts w:hint="eastAsia" w:ascii="宋体" w:hAnsi="宋体"/>
                <w:color w:val="auto"/>
                <w:sz w:val="22"/>
                <w:highlight w:val="none"/>
              </w:rPr>
              <w:t>其它供应商须说明的资料（如有则提供）</w:t>
            </w:r>
          </w:p>
        </w:tc>
      </w:tr>
      <w:tr w14:paraId="77FA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A304CB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hAnsi="宋体"/>
                <w:color w:val="auto"/>
                <w:sz w:val="22"/>
                <w:highlight w:val="none"/>
              </w:rPr>
            </w:pPr>
            <w:r>
              <w:rPr>
                <w:rFonts w:hint="eastAsia" w:ascii="宋体" w:hAnsi="宋体"/>
                <w:color w:val="auto"/>
                <w:sz w:val="22"/>
                <w:highlight w:val="none"/>
              </w:rPr>
              <w:t>18</w:t>
            </w:r>
          </w:p>
        </w:tc>
        <w:tc>
          <w:tcPr>
            <w:tcW w:w="9008" w:type="dxa"/>
          </w:tcPr>
          <w:p w14:paraId="748C28BA">
            <w:pPr>
              <w:keepNext w:val="0"/>
              <w:keepLines w:val="0"/>
              <w:suppressLineNumbers w:val="0"/>
              <w:autoSpaceDE w:val="0"/>
              <w:autoSpaceDN w:val="0"/>
              <w:adjustRightInd w:val="0"/>
              <w:snapToGrid w:val="0"/>
              <w:spacing w:before="0" w:beforeAutospacing="0" w:after="0" w:afterAutospacing="0" w:line="430" w:lineRule="atLeast"/>
              <w:ind w:left="0" w:right="0"/>
              <w:jc w:val="left"/>
              <w:rPr>
                <w:rFonts w:hint="default" w:ascii="宋体" w:hAnsi="宋体"/>
                <w:color w:val="auto"/>
                <w:sz w:val="22"/>
                <w:highlight w:val="none"/>
              </w:rPr>
            </w:pPr>
            <w:r>
              <w:rPr>
                <w:rFonts w:hint="eastAsia" w:ascii="宋体" w:hAnsi="宋体"/>
                <w:color w:val="auto"/>
                <w:sz w:val="22"/>
                <w:highlight w:val="none"/>
              </w:rPr>
              <w:t>供应商针对评分细则，编制目录索引，注明评标细则项目所在响应文件页码。</w:t>
            </w:r>
          </w:p>
        </w:tc>
      </w:tr>
    </w:tbl>
    <w:p w14:paraId="5769F2AB">
      <w:pPr>
        <w:autoSpaceDE w:val="0"/>
        <w:autoSpaceDN w:val="0"/>
        <w:adjustRightInd w:val="0"/>
        <w:snapToGrid w:val="0"/>
        <w:spacing w:line="460" w:lineRule="atLeast"/>
        <w:ind w:firstLine="440" w:firstLineChars="200"/>
        <w:textAlignment w:val="bottom"/>
        <w:rPr>
          <w:rFonts w:ascii="宋体" w:hAnsi="宋体"/>
          <w:color w:val="auto"/>
          <w:sz w:val="22"/>
          <w:highlight w:val="none"/>
        </w:rPr>
      </w:pPr>
      <w:r>
        <w:rPr>
          <w:rFonts w:hint="eastAsia" w:ascii="宋体" w:hAnsi="宋体"/>
          <w:color w:val="auto"/>
          <w:sz w:val="22"/>
          <w:highlight w:val="none"/>
        </w:rPr>
        <w:t>3、采购内容填写说明</w:t>
      </w:r>
    </w:p>
    <w:p w14:paraId="4073FB42">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 xml:space="preserve">3.1 </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格式</w:t>
      </w:r>
    </w:p>
    <w:p w14:paraId="12D3CB11">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供应商应按照磋商文件第三部分第三条第2款所列出的内容及格式</w:t>
      </w:r>
      <w:r>
        <w:rPr>
          <w:rFonts w:hint="eastAsia" w:ascii="宋体" w:hAnsi="宋体" w:cs="Arial"/>
          <w:bCs/>
          <w:color w:val="auto"/>
          <w:sz w:val="22"/>
          <w:szCs w:val="22"/>
          <w:highlight w:val="none"/>
          <w:u w:val="thick"/>
        </w:rPr>
        <w:t>逐一按顺序</w:t>
      </w:r>
      <w:r>
        <w:rPr>
          <w:rFonts w:hint="eastAsia" w:ascii="宋体" w:hAnsi="宋体" w:cs="Arial"/>
          <w:color w:val="auto"/>
          <w:sz w:val="22"/>
          <w:szCs w:val="22"/>
          <w:highlight w:val="none"/>
        </w:rPr>
        <w:t>组成</w:t>
      </w:r>
      <w:r>
        <w:rPr>
          <w:rFonts w:hint="eastAsia" w:ascii="宋体" w:hAnsi="宋体"/>
          <w:color w:val="auto"/>
          <w:sz w:val="22"/>
          <w:szCs w:val="22"/>
          <w:highlight w:val="none"/>
        </w:rPr>
        <w:t>磋商响应文件</w:t>
      </w:r>
      <w:r>
        <w:rPr>
          <w:rFonts w:hint="eastAsia" w:ascii="宋体" w:hAnsi="宋体" w:cs="Arial"/>
          <w:color w:val="auto"/>
          <w:sz w:val="22"/>
          <w:szCs w:val="22"/>
          <w:highlight w:val="none"/>
        </w:rPr>
        <w:t>。</w:t>
      </w:r>
    </w:p>
    <w:p w14:paraId="4CDEF3C5">
      <w:pPr>
        <w:autoSpaceDE w:val="0"/>
        <w:autoSpaceDN w:val="0"/>
        <w:adjustRightInd w:val="0"/>
        <w:spacing w:line="460" w:lineRule="atLeas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4、投标报价</w:t>
      </w:r>
    </w:p>
    <w:p w14:paraId="26C2A32D">
      <w:pPr>
        <w:autoSpaceDE w:val="0"/>
        <w:autoSpaceDN w:val="0"/>
        <w:adjustRightInd w:val="0"/>
        <w:snapToGrid w:val="0"/>
        <w:spacing w:line="420" w:lineRule="atLeast"/>
        <w:ind w:firstLine="450"/>
        <w:textAlignment w:val="bottom"/>
        <w:rPr>
          <w:rFonts w:ascii="宋体" w:hAnsi="宋体"/>
          <w:color w:val="auto"/>
          <w:kern w:val="0"/>
          <w:sz w:val="22"/>
          <w:szCs w:val="20"/>
          <w:highlight w:val="none"/>
        </w:rPr>
      </w:pPr>
      <w:r>
        <w:rPr>
          <w:rFonts w:hint="eastAsia" w:ascii="宋体" w:hAnsi="宋体" w:cs="Arial"/>
          <w:color w:val="auto"/>
          <w:kern w:val="0"/>
          <w:sz w:val="22"/>
          <w:highlight w:val="none"/>
        </w:rPr>
        <w:t>4.1</w:t>
      </w:r>
      <w:r>
        <w:rPr>
          <w:rFonts w:hint="eastAsia" w:ascii="宋体" w:hAnsi="宋体"/>
          <w:color w:val="auto"/>
          <w:kern w:val="0"/>
          <w:sz w:val="22"/>
          <w:highlight w:val="none"/>
        </w:rPr>
        <w:t>供应商应按磋商文件中《开标一览表》填写投标报价。</w:t>
      </w:r>
      <w:r>
        <w:rPr>
          <w:rFonts w:hint="eastAsia" w:ascii="宋体" w:hAnsi="宋体"/>
          <w:color w:val="auto"/>
          <w:kern w:val="0"/>
          <w:sz w:val="22"/>
          <w:szCs w:val="20"/>
          <w:highlight w:val="none"/>
        </w:rPr>
        <w:t xml:space="preserve"> </w:t>
      </w:r>
    </w:p>
    <w:p w14:paraId="62B9BB26">
      <w:pPr>
        <w:autoSpaceDE w:val="0"/>
        <w:autoSpaceDN w:val="0"/>
        <w:adjustRightInd w:val="0"/>
        <w:snapToGrid w:val="0"/>
        <w:spacing w:line="420" w:lineRule="atLeast"/>
        <w:ind w:firstLine="450"/>
        <w:textAlignment w:val="bottom"/>
        <w:rPr>
          <w:rFonts w:ascii="宋体" w:hAnsi="宋体" w:cs="Arial"/>
          <w:color w:val="auto"/>
          <w:kern w:val="0"/>
          <w:sz w:val="22"/>
          <w:highlight w:val="none"/>
        </w:rPr>
      </w:pPr>
      <w:r>
        <w:rPr>
          <w:rFonts w:hint="eastAsia" w:ascii="宋体" w:hAnsi="宋体" w:cs="Arial"/>
          <w:color w:val="auto"/>
          <w:kern w:val="0"/>
          <w:sz w:val="22"/>
          <w:highlight w:val="none"/>
        </w:rPr>
        <w:t>4.2项目执行过程中，如成交供应商不能全量提供所需资源，或所提供的资源基础平台（含新增）发生重大变更的，成交供应商需及时通知采购人，双方就相关问题进行协商。</w:t>
      </w:r>
    </w:p>
    <w:p w14:paraId="27ABEFDE">
      <w:pPr>
        <w:autoSpaceDE w:val="0"/>
        <w:autoSpaceDN w:val="0"/>
        <w:adjustRightInd w:val="0"/>
        <w:snapToGrid w:val="0"/>
        <w:spacing w:line="420" w:lineRule="atLeast"/>
        <w:ind w:firstLine="450"/>
        <w:textAlignment w:val="bottom"/>
        <w:rPr>
          <w:rFonts w:ascii="宋体" w:hAnsi="宋体"/>
          <w:color w:val="auto"/>
          <w:kern w:val="0"/>
          <w:sz w:val="22"/>
          <w:szCs w:val="20"/>
          <w:highlight w:val="none"/>
        </w:rPr>
      </w:pPr>
      <w:r>
        <w:rPr>
          <w:rFonts w:hint="eastAsia" w:ascii="宋体" w:hAnsi="宋体" w:cs="Arial"/>
          <w:color w:val="auto"/>
          <w:kern w:val="0"/>
          <w:sz w:val="22"/>
          <w:highlight w:val="none"/>
        </w:rPr>
        <w:t>4.3投标价必须包括完成租赁项目所需的租赁费用、人员支出费用、必要设备及工具、维护服务、器材、管理费用、税费、利润、招标代理费、完成合同所需的一切本身和不可或缺的所有工作开支、政策性文件规定及合同包含的所有风险、责任等各项全部费用并承担一切风险责任。</w:t>
      </w:r>
    </w:p>
    <w:p w14:paraId="6966FBEE">
      <w:pPr>
        <w:autoSpaceDE w:val="0"/>
        <w:autoSpaceDN w:val="0"/>
        <w:adjustRightInd w:val="0"/>
        <w:snapToGrid w:val="0"/>
        <w:spacing w:line="420" w:lineRule="atLeast"/>
        <w:ind w:firstLine="450"/>
        <w:textAlignment w:val="bottom"/>
        <w:rPr>
          <w:rFonts w:ascii="宋体" w:hAnsi="宋体"/>
          <w:color w:val="auto"/>
          <w:kern w:val="0"/>
          <w:sz w:val="22"/>
          <w:highlight w:val="none"/>
        </w:rPr>
      </w:pPr>
      <w:r>
        <w:rPr>
          <w:rFonts w:hint="eastAsia" w:ascii="宋体" w:hAnsi="宋体" w:cs="Arial"/>
          <w:color w:val="auto"/>
          <w:kern w:val="0"/>
          <w:sz w:val="22"/>
          <w:highlight w:val="none"/>
        </w:rPr>
        <w:t>4</w:t>
      </w:r>
      <w:r>
        <w:rPr>
          <w:rFonts w:hint="eastAsia" w:ascii="宋体" w:hAnsi="宋体"/>
          <w:color w:val="auto"/>
          <w:kern w:val="0"/>
          <w:sz w:val="22"/>
          <w:highlight w:val="none"/>
        </w:rPr>
        <w:t>.4供应商应考虑企业自身实力、经验及项目实施过程中的各种因素，根据采购说明，详细说明所能提供的各项具体服务内容，自主确定投标价。投标供应商应在各自技术和商务占优势的基础上并充分考虑本项目的重要性，提供对采购人最优惠的报价。</w:t>
      </w:r>
    </w:p>
    <w:p w14:paraId="5DE9D263">
      <w:pPr>
        <w:autoSpaceDE w:val="0"/>
        <w:autoSpaceDN w:val="0"/>
        <w:adjustRightInd w:val="0"/>
        <w:snapToGrid w:val="0"/>
        <w:spacing w:line="420" w:lineRule="atLeast"/>
        <w:ind w:firstLine="450"/>
        <w:textAlignment w:val="bottom"/>
        <w:rPr>
          <w:rFonts w:ascii="宋体" w:cs="Arial"/>
          <w:b/>
          <w:color w:val="auto"/>
          <w:sz w:val="22"/>
          <w:highlight w:val="none"/>
        </w:rPr>
      </w:pPr>
      <w:r>
        <w:rPr>
          <w:rFonts w:hint="eastAsia" w:ascii="宋体" w:hAnsi="宋体"/>
          <w:color w:val="auto"/>
          <w:kern w:val="0"/>
          <w:sz w:val="22"/>
          <w:highlight w:val="none"/>
        </w:rPr>
        <w:t>4.5</w:t>
      </w:r>
      <w:r>
        <w:rPr>
          <w:rFonts w:hint="eastAsia" w:ascii="宋体" w:cs="Arial"/>
          <w:b/>
          <w:color w:val="auto"/>
          <w:sz w:val="22"/>
          <w:highlight w:val="none"/>
        </w:rPr>
        <w:t>投标供应商在投标价中应充分考虑项目期间成本投入的市场风险、政策性调整及调查期间的不可预见因素，今后不再作调整，采购人要求变动的内容除外。供应商在最终报价中应充分考虑所有可能发生的费用，否则采购人将视报价中已包括所有费用。供应商须注意报价风险。</w:t>
      </w:r>
    </w:p>
    <w:p w14:paraId="1D18FB10">
      <w:pPr>
        <w:autoSpaceDE w:val="0"/>
        <w:autoSpaceDN w:val="0"/>
        <w:adjustRightInd w:val="0"/>
        <w:spacing w:line="460" w:lineRule="atLeast"/>
        <w:ind w:firstLine="442" w:firstLineChars="200"/>
        <w:textAlignment w:val="bottom"/>
        <w:rPr>
          <w:rFonts w:ascii="宋体" w:hAnsi="宋体"/>
          <w:b/>
          <w:color w:val="auto"/>
          <w:sz w:val="22"/>
          <w:highlight w:val="none"/>
          <w:u w:val="single"/>
        </w:rPr>
      </w:pPr>
      <w:r>
        <w:rPr>
          <w:rFonts w:hint="eastAsia" w:ascii="宋体" w:hAnsi="宋体"/>
          <w:b/>
          <w:color w:val="auto"/>
          <w:sz w:val="22"/>
          <w:highlight w:val="none"/>
          <w:u w:val="single"/>
        </w:rPr>
        <w:t>供应商对在合同执行中，除上述费用及磋商文件规定的由成交供应商负责的工作范围以外需要采购人协调或提供便利的工作应当在响应文件中说明。</w:t>
      </w:r>
    </w:p>
    <w:p w14:paraId="4FED3676">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olor w:val="auto"/>
          <w:sz w:val="22"/>
          <w:highlight w:val="none"/>
        </w:rPr>
        <w:t>填写报价表格时，各项费用应如实填写。</w:t>
      </w:r>
    </w:p>
    <w:p w14:paraId="713CCFF5">
      <w:pPr>
        <w:autoSpaceDE w:val="0"/>
        <w:autoSpaceDN w:val="0"/>
        <w:adjustRightInd w:val="0"/>
        <w:snapToGrid w:val="0"/>
        <w:spacing w:line="460" w:lineRule="atLeast"/>
        <w:ind w:firstLine="440" w:firstLineChars="200"/>
        <w:rPr>
          <w:rFonts w:ascii="宋体" w:hAnsi="宋体" w:cs="仿宋_GB2312"/>
          <w:color w:val="auto"/>
          <w:sz w:val="22"/>
          <w:szCs w:val="22"/>
          <w:highlight w:val="none"/>
          <w:lang w:val="zh-CN"/>
        </w:rPr>
      </w:pPr>
      <w:r>
        <w:rPr>
          <w:rFonts w:hint="eastAsia" w:ascii="宋体" w:hAnsi="宋体" w:cs="Arial"/>
          <w:color w:val="auto"/>
          <w:sz w:val="22"/>
          <w:szCs w:val="22"/>
          <w:highlight w:val="none"/>
        </w:rPr>
        <w:t>5、采购人要求分类报价是为了方便评审，但在任何情况下不限制采购人以其认为最合适的条款签订合同的权利。</w:t>
      </w:r>
    </w:p>
    <w:p w14:paraId="74A10B17">
      <w:pPr>
        <w:autoSpaceDE w:val="0"/>
        <w:autoSpaceDN w:val="0"/>
        <w:adjustRightInd w:val="0"/>
        <w:snapToGrid w:val="0"/>
        <w:spacing w:line="460" w:lineRule="atLeast"/>
        <w:ind w:firstLine="450"/>
        <w:textAlignment w:val="bottom"/>
        <w:rPr>
          <w:rFonts w:ascii="宋体" w:hAnsi="宋体" w:cs="Arial"/>
          <w:color w:val="auto"/>
          <w:sz w:val="22"/>
          <w:szCs w:val="22"/>
          <w:highlight w:val="none"/>
        </w:rPr>
      </w:pPr>
      <w:bookmarkStart w:id="58" w:name="_Toc132122116"/>
      <w:bookmarkStart w:id="59" w:name="_Toc132122413"/>
      <w:r>
        <w:rPr>
          <w:rFonts w:hint="eastAsia" w:ascii="宋体" w:hAnsi="宋体" w:cs="Arial"/>
          <w:color w:val="auto"/>
          <w:sz w:val="22"/>
          <w:szCs w:val="22"/>
          <w:highlight w:val="none"/>
        </w:rPr>
        <w:t>6、保证金</w:t>
      </w:r>
      <w:bookmarkEnd w:id="58"/>
      <w:bookmarkEnd w:id="59"/>
    </w:p>
    <w:p w14:paraId="7E2382ED">
      <w:pPr>
        <w:autoSpaceDE w:val="0"/>
        <w:autoSpaceDN w:val="0"/>
        <w:adjustRightInd w:val="0"/>
        <w:snapToGrid w:val="0"/>
        <w:spacing w:line="460" w:lineRule="atLeast"/>
        <w:ind w:firstLine="440" w:firstLineChars="200"/>
        <w:textAlignment w:val="bottom"/>
        <w:rPr>
          <w:rFonts w:ascii="宋体" w:hAnsi="宋体" w:cs="Arial"/>
          <w:color w:val="auto"/>
          <w:sz w:val="22"/>
          <w:szCs w:val="22"/>
          <w:highlight w:val="none"/>
        </w:rPr>
      </w:pPr>
      <w:r>
        <w:rPr>
          <w:rFonts w:hint="eastAsia" w:ascii="宋体" w:hAnsi="宋体" w:cs="Arial"/>
          <w:color w:val="auto"/>
          <w:sz w:val="22"/>
          <w:szCs w:val="22"/>
          <w:highlight w:val="none"/>
        </w:rPr>
        <w:t>无</w:t>
      </w:r>
    </w:p>
    <w:p w14:paraId="2E13E086">
      <w:pPr>
        <w:pStyle w:val="25"/>
        <w:adjustRightInd w:val="0"/>
        <w:snapToGrid w:val="0"/>
        <w:spacing w:line="460" w:lineRule="atLeast"/>
        <w:ind w:firstLine="440" w:firstLineChars="200"/>
        <w:rPr>
          <w:rFonts w:hAnsi="宋体" w:cs="Arial"/>
          <w:color w:val="auto"/>
          <w:sz w:val="22"/>
          <w:szCs w:val="22"/>
          <w:highlight w:val="none"/>
        </w:rPr>
      </w:pPr>
      <w:bookmarkStart w:id="60" w:name="_Toc132122414"/>
      <w:bookmarkStart w:id="61" w:name="_Toc132122117"/>
      <w:r>
        <w:rPr>
          <w:rFonts w:hint="eastAsia" w:hAnsi="宋体" w:cs="Arial"/>
          <w:color w:val="auto"/>
          <w:sz w:val="22"/>
          <w:szCs w:val="22"/>
          <w:highlight w:val="none"/>
        </w:rPr>
        <w:t>7、</w:t>
      </w:r>
      <w:r>
        <w:rPr>
          <w:rFonts w:hint="eastAsia" w:hAnsi="宋体"/>
          <w:color w:val="auto"/>
          <w:sz w:val="22"/>
          <w:szCs w:val="22"/>
          <w:highlight w:val="none"/>
        </w:rPr>
        <w:t>磋商响应文件</w:t>
      </w:r>
      <w:r>
        <w:rPr>
          <w:rFonts w:hint="eastAsia" w:hAnsi="宋体" w:cs="Arial"/>
          <w:color w:val="auto"/>
          <w:sz w:val="22"/>
          <w:szCs w:val="22"/>
          <w:highlight w:val="none"/>
        </w:rPr>
        <w:t>的有效期</w:t>
      </w:r>
      <w:bookmarkEnd w:id="60"/>
      <w:bookmarkEnd w:id="61"/>
    </w:p>
    <w:p w14:paraId="459EAB87">
      <w:pPr>
        <w:pStyle w:val="25"/>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7.1 自响应文件递交截止时间起90天内，</w:t>
      </w:r>
      <w:r>
        <w:rPr>
          <w:rFonts w:hint="eastAsia" w:hAnsi="宋体"/>
          <w:color w:val="auto"/>
          <w:sz w:val="22"/>
          <w:szCs w:val="22"/>
          <w:highlight w:val="none"/>
        </w:rPr>
        <w:t>磋商响应文件</w:t>
      </w:r>
      <w:r>
        <w:rPr>
          <w:rFonts w:hint="eastAsia" w:hAnsi="宋体" w:cs="Arial"/>
          <w:color w:val="auto"/>
          <w:sz w:val="22"/>
          <w:szCs w:val="22"/>
          <w:highlight w:val="none"/>
        </w:rPr>
        <w:t>应保持有效。有效期短于这个规定期限的</w:t>
      </w:r>
      <w:r>
        <w:rPr>
          <w:rFonts w:hint="eastAsia" w:hAnsi="宋体"/>
          <w:color w:val="auto"/>
          <w:sz w:val="22"/>
          <w:szCs w:val="22"/>
          <w:highlight w:val="none"/>
        </w:rPr>
        <w:t>磋商响应文件</w:t>
      </w:r>
      <w:r>
        <w:rPr>
          <w:rFonts w:hint="eastAsia" w:hAnsi="宋体" w:cs="Arial"/>
          <w:color w:val="auto"/>
          <w:sz w:val="22"/>
          <w:szCs w:val="22"/>
          <w:highlight w:val="none"/>
        </w:rPr>
        <w:t>将被拒绝。</w:t>
      </w:r>
    </w:p>
    <w:p w14:paraId="473C5FFA">
      <w:pPr>
        <w:pStyle w:val="25"/>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7.2 在特殊情况下，采购人可与供应商协商延长</w:t>
      </w:r>
      <w:r>
        <w:rPr>
          <w:rFonts w:hint="eastAsia" w:hAnsi="宋体"/>
          <w:color w:val="auto"/>
          <w:sz w:val="22"/>
          <w:szCs w:val="22"/>
          <w:highlight w:val="none"/>
        </w:rPr>
        <w:t>磋商响应文件</w:t>
      </w:r>
      <w:r>
        <w:rPr>
          <w:rFonts w:hint="eastAsia" w:hAnsi="宋体" w:cs="Arial"/>
          <w:color w:val="auto"/>
          <w:sz w:val="22"/>
          <w:szCs w:val="22"/>
          <w:highlight w:val="none"/>
        </w:rPr>
        <w:t>的有效期，这种要求和答复均应以书面形式进行。</w:t>
      </w:r>
    </w:p>
    <w:p w14:paraId="1C411051">
      <w:pPr>
        <w:pStyle w:val="25"/>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7.3 供应商可拒绝接受延期要求，同意延长有效期的供应商不能修改</w:t>
      </w:r>
      <w:r>
        <w:rPr>
          <w:rFonts w:hint="eastAsia" w:hAnsi="宋体"/>
          <w:color w:val="auto"/>
          <w:sz w:val="22"/>
          <w:szCs w:val="22"/>
          <w:highlight w:val="none"/>
        </w:rPr>
        <w:t>磋商响应文件</w:t>
      </w:r>
      <w:r>
        <w:rPr>
          <w:rFonts w:hint="eastAsia" w:hAnsi="宋体" w:cs="Arial"/>
          <w:color w:val="auto"/>
          <w:sz w:val="22"/>
          <w:szCs w:val="22"/>
          <w:highlight w:val="none"/>
        </w:rPr>
        <w:t>。</w:t>
      </w:r>
    </w:p>
    <w:p w14:paraId="173FAD57">
      <w:pPr>
        <w:pStyle w:val="25"/>
        <w:adjustRightInd w:val="0"/>
        <w:snapToGrid w:val="0"/>
        <w:spacing w:line="460" w:lineRule="atLeast"/>
        <w:ind w:firstLine="440" w:firstLineChars="200"/>
        <w:rPr>
          <w:rFonts w:hAnsi="宋体" w:cs="Arial"/>
          <w:color w:val="auto"/>
          <w:sz w:val="22"/>
          <w:szCs w:val="22"/>
          <w:highlight w:val="none"/>
        </w:rPr>
      </w:pPr>
      <w:bookmarkStart w:id="62" w:name="_Toc132122118"/>
      <w:bookmarkStart w:id="63" w:name="_Toc132122415"/>
      <w:r>
        <w:rPr>
          <w:rFonts w:hAnsi="宋体" w:cs="Arial"/>
          <w:color w:val="auto"/>
          <w:sz w:val="22"/>
          <w:szCs w:val="22"/>
          <w:highlight w:val="none"/>
        </w:rPr>
        <w:t>8、磋商响应文件的</w:t>
      </w:r>
      <w:bookmarkEnd w:id="62"/>
      <w:bookmarkEnd w:id="63"/>
      <w:r>
        <w:rPr>
          <w:rFonts w:hAnsi="宋体" w:cs="Arial"/>
          <w:color w:val="auto"/>
          <w:sz w:val="22"/>
          <w:szCs w:val="22"/>
          <w:highlight w:val="none"/>
        </w:rPr>
        <w:t>编制</w:t>
      </w:r>
    </w:p>
    <w:p w14:paraId="094C73AB">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8.1</w:t>
      </w:r>
      <w:r>
        <w:rPr>
          <w:rFonts w:hint="eastAsia" w:ascii="宋体" w:hAnsi="宋体"/>
          <w:b/>
          <w:color w:val="auto"/>
          <w:sz w:val="22"/>
          <w:szCs w:val="22"/>
          <w:highlight w:val="none"/>
        </w:rPr>
        <w:t xml:space="preserve"> </w:t>
      </w:r>
      <w:r>
        <w:rPr>
          <w:rFonts w:ascii="宋体" w:hAnsi="宋体"/>
          <w:b/>
          <w:color w:val="auto"/>
          <w:sz w:val="22"/>
          <w:szCs w:val="22"/>
          <w:highlight w:val="none"/>
        </w:rPr>
        <w:t>本项目通过“政府采购云平台（www.zcygov.cn）”实行在线投标响应（电子投标）。供应商应通过“政采云电子交易客户端”，并按照本</w:t>
      </w:r>
      <w:r>
        <w:rPr>
          <w:rFonts w:hint="eastAsia" w:ascii="宋体" w:hAnsi="宋体"/>
          <w:b/>
          <w:color w:val="auto"/>
          <w:sz w:val="22"/>
          <w:szCs w:val="22"/>
          <w:highlight w:val="none"/>
        </w:rPr>
        <w:t>磋商</w:t>
      </w:r>
      <w:r>
        <w:rPr>
          <w:rFonts w:ascii="宋体" w:hAnsi="宋体"/>
          <w:b/>
          <w:color w:val="auto"/>
          <w:sz w:val="22"/>
          <w:szCs w:val="22"/>
          <w:highlight w:val="none"/>
        </w:rPr>
        <w:t>文件和“政府采购云平台”的要求编制并加密磋商响应文件。</w:t>
      </w:r>
    </w:p>
    <w:p w14:paraId="5828EE67">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8.2</w:t>
      </w:r>
      <w:r>
        <w:rPr>
          <w:rFonts w:hint="eastAsia" w:ascii="宋体" w:hAnsi="宋体"/>
          <w:b/>
          <w:color w:val="auto"/>
          <w:sz w:val="22"/>
          <w:szCs w:val="22"/>
          <w:highlight w:val="none"/>
        </w:rPr>
        <w:t xml:space="preserve"> </w:t>
      </w:r>
      <w:r>
        <w:rPr>
          <w:rFonts w:ascii="宋体" w:hAnsi="宋体"/>
          <w:b/>
          <w:color w:val="auto"/>
          <w:sz w:val="22"/>
          <w:szCs w:val="22"/>
          <w:highlight w:val="none"/>
        </w:rPr>
        <w:t>投标供应商应当按照本章节“磋商响应文件组成”规定的内容及顺序在“政采云电子交易客户端”编制磋商响应文件。</w:t>
      </w:r>
    </w:p>
    <w:p w14:paraId="7C01F445">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8.3</w:t>
      </w:r>
      <w:r>
        <w:rPr>
          <w:rFonts w:hint="eastAsia" w:ascii="宋体" w:hAnsi="宋体"/>
          <w:b/>
          <w:color w:val="auto"/>
          <w:sz w:val="22"/>
          <w:szCs w:val="22"/>
          <w:highlight w:val="none"/>
        </w:rPr>
        <w:t xml:space="preserve"> </w:t>
      </w:r>
      <w:r>
        <w:rPr>
          <w:rFonts w:ascii="宋体" w:hAnsi="宋体"/>
          <w:b/>
          <w:color w:val="auto"/>
          <w:sz w:val="22"/>
          <w:szCs w:val="22"/>
          <w:highlight w:val="none"/>
        </w:rPr>
        <w:t>本文件《第六部分 磋商响应文件格式》中有提供格式的，投标供应商参照格式进行编制（格式中要求提供相关证明材料的还需后附相关证明材料）；本文件《第六部分 磋商响应文件格式》未提供格式的，请各投标单位自行拟定格式。</w:t>
      </w:r>
    </w:p>
    <w:p w14:paraId="20E1205F">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8.4</w:t>
      </w:r>
      <w:r>
        <w:rPr>
          <w:rFonts w:hint="eastAsia" w:ascii="宋体" w:hAnsi="宋体"/>
          <w:b/>
          <w:color w:val="auto"/>
          <w:sz w:val="22"/>
          <w:szCs w:val="22"/>
          <w:highlight w:val="none"/>
        </w:rPr>
        <w:t xml:space="preserve"> </w:t>
      </w:r>
      <w:r>
        <w:rPr>
          <w:rFonts w:ascii="宋体" w:hAnsi="宋体"/>
          <w:b/>
          <w:color w:val="auto"/>
          <w:sz w:val="22"/>
          <w:szCs w:val="22"/>
          <w:highlight w:val="none"/>
        </w:rPr>
        <w:t>《磋商响应文件》内容不完整、编排混乱导致《磋商响应文件》被误读、漏读或者查找不到相关内容的，相关责任由投标供应商自负。</w:t>
      </w:r>
    </w:p>
    <w:p w14:paraId="7469C1B3">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8.5</w:t>
      </w:r>
      <w:r>
        <w:rPr>
          <w:rFonts w:hint="eastAsia" w:ascii="宋体" w:hAnsi="宋体"/>
          <w:b/>
          <w:color w:val="auto"/>
          <w:sz w:val="22"/>
          <w:szCs w:val="22"/>
          <w:highlight w:val="none"/>
        </w:rPr>
        <w:t xml:space="preserve"> </w:t>
      </w:r>
      <w:r>
        <w:rPr>
          <w:rFonts w:ascii="宋体" w:hAnsi="宋体"/>
          <w:b/>
          <w:color w:val="auto"/>
          <w:sz w:val="22"/>
          <w:szCs w:val="22"/>
          <w:highlight w:val="none"/>
        </w:rPr>
        <w:t>《磋商响应文件》因字迹潦草或表达不清所引起的后果由投标供应商负责。</w:t>
      </w:r>
    </w:p>
    <w:p w14:paraId="0FC99816">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8.6</w:t>
      </w:r>
      <w:r>
        <w:rPr>
          <w:rFonts w:hint="eastAsia" w:ascii="宋体" w:hAnsi="宋体"/>
          <w:b/>
          <w:color w:val="auto"/>
          <w:sz w:val="22"/>
          <w:szCs w:val="22"/>
          <w:highlight w:val="none"/>
        </w:rPr>
        <w:t xml:space="preserve"> </w:t>
      </w:r>
      <w:r>
        <w:rPr>
          <w:rFonts w:ascii="宋体" w:hAnsi="宋体"/>
          <w:b/>
          <w:color w:val="auto"/>
          <w:sz w:val="22"/>
          <w:szCs w:val="22"/>
          <w:highlight w:val="none"/>
        </w:rPr>
        <w:t>投标供应商没有按照本章节“磋商响应文件组成”要求提供全部资料，或者没有仔细阅读磋商文件，或者没有对磋商文件在各方面的要求作出实质性响应，由此造成的一切后果由投标供应商自行承担。</w:t>
      </w:r>
    </w:p>
    <w:p w14:paraId="689DC678">
      <w:pPr>
        <w:pStyle w:val="25"/>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9、磋商响应文件的签章</w:t>
      </w:r>
    </w:p>
    <w:p w14:paraId="69375364">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9.1</w:t>
      </w:r>
      <w:r>
        <w:rPr>
          <w:rFonts w:hint="eastAsia" w:ascii="宋体" w:hAnsi="宋体"/>
          <w:b/>
          <w:color w:val="auto"/>
          <w:sz w:val="22"/>
          <w:szCs w:val="22"/>
          <w:highlight w:val="none"/>
        </w:rPr>
        <w:t xml:space="preserve"> </w:t>
      </w:r>
      <w:r>
        <w:rPr>
          <w:rFonts w:ascii="宋体" w:hAnsi="宋体"/>
          <w:b/>
          <w:color w:val="auto"/>
          <w:sz w:val="22"/>
          <w:szCs w:val="22"/>
          <w:highlight w:val="none"/>
        </w:rPr>
        <w:t xml:space="preserve">《磋商响应文件》的签章：见《第一部分  </w:t>
      </w:r>
      <w:r>
        <w:rPr>
          <w:rFonts w:hint="eastAsia" w:ascii="宋体" w:hAnsi="宋体"/>
          <w:b/>
          <w:color w:val="auto"/>
          <w:sz w:val="22"/>
          <w:szCs w:val="22"/>
          <w:highlight w:val="none"/>
        </w:rPr>
        <w:t>磋商邀请函（供应商须知前附表）</w:t>
      </w:r>
      <w:r>
        <w:rPr>
          <w:rFonts w:ascii="宋体" w:hAnsi="宋体"/>
          <w:b/>
          <w:color w:val="auto"/>
          <w:sz w:val="22"/>
          <w:szCs w:val="22"/>
          <w:highlight w:val="none"/>
        </w:rPr>
        <w:t>》；</w:t>
      </w:r>
    </w:p>
    <w:p w14:paraId="36519F79">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9.2</w:t>
      </w:r>
      <w:r>
        <w:rPr>
          <w:rFonts w:hint="eastAsia" w:ascii="宋体" w:hAnsi="宋体"/>
          <w:b/>
          <w:color w:val="auto"/>
          <w:sz w:val="22"/>
          <w:szCs w:val="22"/>
          <w:highlight w:val="none"/>
        </w:rPr>
        <w:t xml:space="preserve">  根据磋商文件要求在磋商响应文件相应位置由投标供应商法定代表人或授权代表签字（或盖章），需要加盖投标供应商公章的采用CA电子签章。</w:t>
      </w:r>
    </w:p>
    <w:p w14:paraId="0D777EB0">
      <w:pPr>
        <w:autoSpaceDE w:val="0"/>
        <w:autoSpaceDN w:val="0"/>
        <w:adjustRightInd w:val="0"/>
        <w:snapToGrid w:val="0"/>
        <w:spacing w:line="460" w:lineRule="atLeast"/>
        <w:ind w:firstLine="442" w:firstLineChars="200"/>
        <w:textAlignment w:val="bottom"/>
        <w:rPr>
          <w:rFonts w:ascii="宋体" w:hAnsi="宋体"/>
          <w:b/>
          <w:color w:val="auto"/>
          <w:sz w:val="22"/>
          <w:szCs w:val="22"/>
          <w:highlight w:val="none"/>
        </w:rPr>
      </w:pPr>
      <w:r>
        <w:rPr>
          <w:rFonts w:ascii="宋体" w:hAnsi="宋体"/>
          <w:b/>
          <w:color w:val="auto"/>
          <w:sz w:val="22"/>
          <w:szCs w:val="22"/>
          <w:highlight w:val="none"/>
        </w:rPr>
        <w:t>9.3</w:t>
      </w:r>
      <w:r>
        <w:rPr>
          <w:rFonts w:hint="eastAsia" w:ascii="宋体" w:hAnsi="宋体"/>
          <w:b/>
          <w:color w:val="auto"/>
          <w:sz w:val="22"/>
          <w:szCs w:val="22"/>
          <w:highlight w:val="none"/>
        </w:rPr>
        <w:t xml:space="preserve"> CA</w:t>
      </w:r>
      <w:r>
        <w:rPr>
          <w:rFonts w:ascii="宋体" w:hAnsi="宋体"/>
          <w:b/>
          <w:color w:val="auto"/>
          <w:sz w:val="22"/>
          <w:szCs w:val="22"/>
          <w:highlight w:val="none"/>
        </w:rPr>
        <w:t>电子签章操作指南详见《</w:t>
      </w:r>
      <w:r>
        <w:rPr>
          <w:rFonts w:hint="eastAsia" w:ascii="宋体" w:hAnsi="宋体"/>
          <w:b/>
          <w:color w:val="auto"/>
          <w:sz w:val="22"/>
          <w:szCs w:val="22"/>
          <w:highlight w:val="none"/>
        </w:rPr>
        <w:t>供应商-政府采购项目电子交易操作指南</w:t>
      </w:r>
      <w:r>
        <w:rPr>
          <w:rFonts w:ascii="宋体" w:hAnsi="宋体"/>
          <w:b/>
          <w:color w:val="auto"/>
          <w:sz w:val="22"/>
          <w:szCs w:val="22"/>
          <w:highlight w:val="none"/>
        </w:rPr>
        <w:t>》（https://help.zcygov.cn/web/site_2/2018/12-28/2573.html）。</w:t>
      </w:r>
    </w:p>
    <w:p w14:paraId="1336F66C">
      <w:pPr>
        <w:pStyle w:val="25"/>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10、磋商响应文件的形式</w:t>
      </w:r>
    </w:p>
    <w:p w14:paraId="0B9DE541">
      <w:pPr>
        <w:pStyle w:val="25"/>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10.1</w:t>
      </w:r>
      <w:r>
        <w:rPr>
          <w:rFonts w:hint="eastAsia" w:hAnsi="宋体"/>
          <w:b/>
          <w:color w:val="auto"/>
          <w:sz w:val="22"/>
          <w:szCs w:val="22"/>
          <w:highlight w:val="none"/>
        </w:rPr>
        <w:t xml:space="preserve"> </w:t>
      </w:r>
      <w:r>
        <w:rPr>
          <w:rFonts w:hAnsi="宋体"/>
          <w:b/>
          <w:color w:val="auto"/>
          <w:sz w:val="22"/>
          <w:szCs w:val="22"/>
          <w:highlight w:val="none"/>
        </w:rPr>
        <w:t xml:space="preserve">磋商响应文件的形式：见《第一部分   </w:t>
      </w:r>
      <w:r>
        <w:rPr>
          <w:rFonts w:hint="eastAsia" w:hAnsi="宋体"/>
          <w:b/>
          <w:color w:val="auto"/>
          <w:sz w:val="22"/>
          <w:szCs w:val="22"/>
          <w:highlight w:val="none"/>
        </w:rPr>
        <w:t>磋商邀请函（供应商须知前附表）</w:t>
      </w:r>
      <w:r>
        <w:rPr>
          <w:rFonts w:hAnsi="宋体"/>
          <w:b/>
          <w:color w:val="auto"/>
          <w:sz w:val="22"/>
          <w:szCs w:val="22"/>
          <w:highlight w:val="none"/>
        </w:rPr>
        <w:t>》；</w:t>
      </w:r>
    </w:p>
    <w:p w14:paraId="4C8B3327">
      <w:pPr>
        <w:pStyle w:val="25"/>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10.2</w:t>
      </w:r>
      <w:r>
        <w:rPr>
          <w:rFonts w:hint="eastAsia" w:hAnsi="宋体"/>
          <w:b/>
          <w:color w:val="auto"/>
          <w:sz w:val="22"/>
          <w:szCs w:val="22"/>
          <w:highlight w:val="none"/>
        </w:rPr>
        <w:t xml:space="preserve"> </w:t>
      </w:r>
      <w:r>
        <w:rPr>
          <w:rFonts w:hAnsi="宋体"/>
          <w:b/>
          <w:color w:val="auto"/>
          <w:sz w:val="22"/>
          <w:szCs w:val="22"/>
          <w:highlight w:val="none"/>
        </w:rPr>
        <w:t>“电子加密磋商响应文件”：“电子加密磋商响应文件”是指通过“政采云电子交易客户端”完成磋商响应文件编制后生成并加密的数据电文形式的磋商响应文件。</w:t>
      </w:r>
    </w:p>
    <w:p w14:paraId="37BA435B">
      <w:pPr>
        <w:pStyle w:val="25"/>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10.</w:t>
      </w:r>
      <w:r>
        <w:rPr>
          <w:rFonts w:hint="eastAsia" w:hAnsi="宋体"/>
          <w:b/>
          <w:color w:val="auto"/>
          <w:sz w:val="22"/>
          <w:szCs w:val="22"/>
          <w:highlight w:val="none"/>
        </w:rPr>
        <w:t>3</w:t>
      </w:r>
      <w:r>
        <w:rPr>
          <w:rFonts w:hAnsi="宋体"/>
          <w:b/>
          <w:color w:val="auto"/>
          <w:sz w:val="22"/>
          <w:szCs w:val="22"/>
          <w:highlight w:val="none"/>
        </w:rPr>
        <w:t>磋商响应文件的份数</w:t>
      </w:r>
    </w:p>
    <w:p w14:paraId="76947695">
      <w:pPr>
        <w:pStyle w:val="25"/>
        <w:adjustRightInd w:val="0"/>
        <w:snapToGrid w:val="0"/>
        <w:spacing w:line="460" w:lineRule="atLeast"/>
        <w:ind w:firstLine="422"/>
        <w:rPr>
          <w:rFonts w:hAnsi="宋体"/>
          <w:b/>
          <w:color w:val="auto"/>
          <w:sz w:val="22"/>
          <w:szCs w:val="22"/>
          <w:highlight w:val="none"/>
        </w:rPr>
      </w:pPr>
      <w:r>
        <w:rPr>
          <w:rFonts w:hAnsi="宋体"/>
          <w:b/>
          <w:color w:val="auto"/>
          <w:sz w:val="22"/>
          <w:szCs w:val="22"/>
          <w:highlight w:val="none"/>
        </w:rPr>
        <w:t xml:space="preserve">磋商响应文件的份数：见《第一部分   </w:t>
      </w:r>
      <w:r>
        <w:rPr>
          <w:rFonts w:hint="eastAsia" w:hAnsi="宋体"/>
          <w:b/>
          <w:color w:val="auto"/>
          <w:sz w:val="22"/>
          <w:szCs w:val="22"/>
          <w:highlight w:val="none"/>
        </w:rPr>
        <w:t>磋商邀请函（供应商须知前附表）</w:t>
      </w:r>
      <w:r>
        <w:rPr>
          <w:rFonts w:hAnsi="宋体"/>
          <w:b/>
          <w:color w:val="auto"/>
          <w:sz w:val="22"/>
          <w:szCs w:val="22"/>
          <w:highlight w:val="none"/>
        </w:rPr>
        <w:t>》。</w:t>
      </w:r>
    </w:p>
    <w:p w14:paraId="17DBBB09">
      <w:pPr>
        <w:snapToGrid w:val="0"/>
        <w:spacing w:line="460" w:lineRule="atLeast"/>
        <w:ind w:firstLine="440" w:firstLineChars="200"/>
        <w:rPr>
          <w:rFonts w:ascii="宋体" w:hAnsi="宋体"/>
          <w:color w:val="auto"/>
          <w:sz w:val="22"/>
          <w:szCs w:val="22"/>
          <w:highlight w:val="none"/>
        </w:rPr>
      </w:pPr>
      <w:bookmarkStart w:id="64" w:name="_Toc132123838"/>
      <w:bookmarkStart w:id="65" w:name="_Toc132125151"/>
      <w:bookmarkStart w:id="66" w:name="_Toc132122416"/>
      <w:bookmarkStart w:id="67" w:name="_Toc132655776"/>
      <w:bookmarkStart w:id="68" w:name="_Toc132125983"/>
      <w:bookmarkStart w:id="69" w:name="_Toc132125095"/>
      <w:bookmarkStart w:id="70" w:name="_Toc132123881"/>
      <w:bookmarkStart w:id="71" w:name="_Toc132124594"/>
      <w:bookmarkStart w:id="72" w:name="_Toc132125574"/>
      <w:bookmarkStart w:id="73" w:name="_Toc132123439"/>
      <w:bookmarkStart w:id="74" w:name="_Toc132123547"/>
      <w:bookmarkStart w:id="75" w:name="_Toc132125037"/>
      <w:bookmarkStart w:id="76" w:name="_Toc132123634"/>
      <w:bookmarkStart w:id="77" w:name="_Toc132126154"/>
      <w:bookmarkStart w:id="78" w:name="_Toc132122119"/>
      <w:r>
        <w:rPr>
          <w:rFonts w:hint="eastAsia" w:ascii="宋体" w:hAnsi="宋体"/>
          <w:color w:val="auto"/>
          <w:sz w:val="22"/>
          <w:szCs w:val="22"/>
          <w:highlight w:val="none"/>
        </w:rPr>
        <w:t>四、磋商响应文件递交</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C30CEB8">
      <w:pPr>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1、磋商响应文件的上传和递交</w:t>
      </w:r>
    </w:p>
    <w:p w14:paraId="6961C827">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“磋商响应文件”的上传、递交：见《</w:t>
      </w:r>
      <w:r>
        <w:rPr>
          <w:rFonts w:hint="eastAsia" w:ascii="宋体" w:hAnsi="宋体"/>
          <w:b/>
          <w:color w:val="auto"/>
          <w:sz w:val="22"/>
          <w:szCs w:val="22"/>
          <w:highlight w:val="none"/>
        </w:rPr>
        <w:t>第一部分</w:t>
      </w:r>
      <w:r>
        <w:rPr>
          <w:rFonts w:ascii="宋体" w:hAnsi="宋体"/>
          <w:b/>
          <w:color w:val="auto"/>
          <w:sz w:val="22"/>
          <w:szCs w:val="22"/>
          <w:highlight w:val="none"/>
        </w:rPr>
        <w:t xml:space="preserve">    </w:t>
      </w:r>
      <w:r>
        <w:rPr>
          <w:rFonts w:hint="eastAsia" w:ascii="宋体" w:hAnsi="宋体"/>
          <w:b/>
          <w:color w:val="auto"/>
          <w:sz w:val="22"/>
          <w:szCs w:val="22"/>
          <w:highlight w:val="none"/>
        </w:rPr>
        <w:t>磋商邀请函（供应商须知前附表）</w:t>
      </w:r>
      <w:r>
        <w:rPr>
          <w:rFonts w:ascii="宋体" w:hAnsi="宋体"/>
          <w:b/>
          <w:color w:val="auto"/>
          <w:sz w:val="22"/>
          <w:szCs w:val="22"/>
          <w:highlight w:val="none"/>
        </w:rPr>
        <w:t>》。</w:t>
      </w:r>
    </w:p>
    <w:p w14:paraId="52EE4C8B">
      <w:pPr>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2、“电子加密磋商响应文件”解密和异常情况处理</w:t>
      </w:r>
    </w:p>
    <w:p w14:paraId="0440BE9D">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“电子加密磋商响应文件”解密：见《</w:t>
      </w:r>
      <w:r>
        <w:rPr>
          <w:rFonts w:hint="eastAsia" w:ascii="宋体" w:hAnsi="宋体"/>
          <w:b/>
          <w:color w:val="auto"/>
          <w:sz w:val="22"/>
          <w:szCs w:val="22"/>
          <w:highlight w:val="none"/>
        </w:rPr>
        <w:t>第一部分</w:t>
      </w:r>
      <w:r>
        <w:rPr>
          <w:rFonts w:ascii="宋体" w:hAnsi="宋体"/>
          <w:b/>
          <w:color w:val="auto"/>
          <w:sz w:val="22"/>
          <w:szCs w:val="22"/>
          <w:highlight w:val="none"/>
        </w:rPr>
        <w:t xml:space="preserve">    </w:t>
      </w:r>
      <w:r>
        <w:rPr>
          <w:rFonts w:hint="eastAsia" w:ascii="宋体" w:hAnsi="宋体"/>
          <w:b/>
          <w:color w:val="auto"/>
          <w:sz w:val="22"/>
          <w:szCs w:val="22"/>
          <w:highlight w:val="none"/>
        </w:rPr>
        <w:t>磋商邀请函（供应商须知前附表）</w:t>
      </w:r>
      <w:r>
        <w:rPr>
          <w:rFonts w:ascii="宋体" w:hAnsi="宋体"/>
          <w:b/>
          <w:color w:val="auto"/>
          <w:sz w:val="22"/>
          <w:szCs w:val="22"/>
          <w:highlight w:val="none"/>
        </w:rPr>
        <w:t>》。</w:t>
      </w:r>
    </w:p>
    <w:p w14:paraId="759410A5">
      <w:pPr>
        <w:tabs>
          <w:tab w:val="center" w:pos="4810"/>
        </w:tabs>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3、磋商响应文件的补充、修改或撤回</w:t>
      </w:r>
      <w:r>
        <w:rPr>
          <w:rFonts w:ascii="宋体" w:hAnsi="宋体"/>
          <w:b/>
          <w:color w:val="auto"/>
          <w:sz w:val="22"/>
          <w:szCs w:val="22"/>
          <w:highlight w:val="none"/>
        </w:rPr>
        <w:tab/>
      </w:r>
    </w:p>
    <w:p w14:paraId="3F5A9755">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3.1</w:t>
      </w:r>
      <w:r>
        <w:rPr>
          <w:rFonts w:hint="eastAsia" w:ascii="宋体" w:hAnsi="宋体"/>
          <w:b/>
          <w:color w:val="auto"/>
          <w:sz w:val="22"/>
          <w:szCs w:val="22"/>
          <w:highlight w:val="none"/>
        </w:rPr>
        <w:t xml:space="preserve"> </w:t>
      </w:r>
      <w:r>
        <w:rPr>
          <w:rFonts w:ascii="宋体" w:hAnsi="宋体"/>
          <w:b/>
          <w:color w:val="auto"/>
          <w:sz w:val="22"/>
          <w:szCs w:val="22"/>
          <w:highlight w:val="none"/>
        </w:rPr>
        <w:t>供应商应当在响应文件递交截止时间前完成磋商响应文件的上传、递交，并可以补充、修改或者撤回磋商响应文件。补充或者修改磋商响应文件的，应当先行撤回原文件，补充、修改后重新上传、递交。响应文件递交截止时间前未完成上传、递交的，视为撤回磋商响应文件。响应文件递交截止时间后递交的磋商响应文件，“政府采购云平台”将予以拒收。</w:t>
      </w:r>
    </w:p>
    <w:p w14:paraId="65051841">
      <w:pPr>
        <w:snapToGrid w:val="0"/>
        <w:spacing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3.2</w:t>
      </w:r>
      <w:r>
        <w:rPr>
          <w:rFonts w:hint="eastAsia" w:ascii="宋体" w:hAnsi="宋体"/>
          <w:b/>
          <w:color w:val="auto"/>
          <w:sz w:val="22"/>
          <w:szCs w:val="22"/>
          <w:highlight w:val="none"/>
        </w:rPr>
        <w:t xml:space="preserve"> </w:t>
      </w:r>
      <w:r>
        <w:rPr>
          <w:rFonts w:ascii="宋体" w:hAnsi="宋体"/>
          <w:b/>
          <w:color w:val="auto"/>
          <w:sz w:val="22"/>
          <w:szCs w:val="22"/>
          <w:highlight w:val="none"/>
        </w:rPr>
        <w:t>响应文件递交截止时间后，投标供应商不得撤回、修改《磋商响应文件》。</w:t>
      </w:r>
    </w:p>
    <w:p w14:paraId="144484FA">
      <w:pPr>
        <w:snapToGrid w:val="0"/>
        <w:spacing w:line="460" w:lineRule="atLeast"/>
        <w:ind w:firstLine="442" w:firstLineChars="200"/>
        <w:rPr>
          <w:rFonts w:ascii="宋体" w:hAnsi="宋体"/>
          <w:b/>
          <w:color w:val="auto"/>
          <w:sz w:val="22"/>
          <w:szCs w:val="22"/>
          <w:highlight w:val="none"/>
        </w:rPr>
      </w:pPr>
      <w:r>
        <w:rPr>
          <w:rFonts w:hint="eastAsia" w:ascii="宋体" w:hAnsi="宋体"/>
          <w:b/>
          <w:color w:val="auto"/>
          <w:sz w:val="22"/>
          <w:szCs w:val="22"/>
          <w:highlight w:val="none"/>
        </w:rPr>
        <w:t>4、磋商响应文件的备选方案</w:t>
      </w:r>
    </w:p>
    <w:p w14:paraId="0223F26F">
      <w:pPr>
        <w:pStyle w:val="19"/>
        <w:adjustRightInd w:val="0"/>
        <w:snapToGrid w:val="0"/>
        <w:spacing w:after="50" w:line="460" w:lineRule="atLeast"/>
        <w:ind w:firstLine="442" w:firstLineChars="200"/>
        <w:rPr>
          <w:rFonts w:ascii="宋体" w:hAnsi="宋体"/>
          <w:b/>
          <w:color w:val="auto"/>
          <w:sz w:val="22"/>
          <w:szCs w:val="22"/>
          <w:highlight w:val="none"/>
        </w:rPr>
      </w:pPr>
      <w:r>
        <w:rPr>
          <w:rFonts w:ascii="宋体" w:hAnsi="宋体"/>
          <w:b/>
          <w:color w:val="auto"/>
          <w:sz w:val="22"/>
          <w:szCs w:val="22"/>
          <w:highlight w:val="none"/>
        </w:rPr>
        <w:t>投标供应商不得递交任何的投标备选（替代）方案，否则其磋商响应文件将作无效标处理。</w:t>
      </w:r>
    </w:p>
    <w:p w14:paraId="282E7EA4">
      <w:pPr>
        <w:pStyle w:val="25"/>
        <w:adjustRightInd w:val="0"/>
        <w:snapToGrid w:val="0"/>
        <w:spacing w:line="460" w:lineRule="atLeast"/>
        <w:rPr>
          <w:rFonts w:hAnsi="宋体"/>
          <w:color w:val="auto"/>
          <w:sz w:val="22"/>
          <w:szCs w:val="22"/>
          <w:highlight w:val="none"/>
        </w:rPr>
      </w:pPr>
      <w:r>
        <w:rPr>
          <w:rFonts w:hint="eastAsia" w:hAnsi="宋体"/>
          <w:color w:val="auto"/>
          <w:sz w:val="22"/>
          <w:szCs w:val="22"/>
          <w:highlight w:val="none"/>
        </w:rPr>
        <w:t>五、开标和评审</w:t>
      </w:r>
    </w:p>
    <w:p w14:paraId="52F03296">
      <w:pPr>
        <w:pStyle w:val="25"/>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1、开标</w:t>
      </w:r>
    </w:p>
    <w:p w14:paraId="5AE42DB4">
      <w:pPr>
        <w:pStyle w:val="25"/>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1.1</w:t>
      </w:r>
      <w:r>
        <w:rPr>
          <w:rFonts w:hint="eastAsia" w:hAnsi="宋体"/>
          <w:color w:val="auto"/>
          <w:sz w:val="22"/>
          <w:szCs w:val="22"/>
          <w:highlight w:val="none"/>
        </w:rPr>
        <w:t xml:space="preserve"> </w:t>
      </w:r>
      <w:r>
        <w:rPr>
          <w:rFonts w:hAnsi="宋体"/>
          <w:b/>
          <w:color w:val="auto"/>
          <w:sz w:val="22"/>
          <w:szCs w:val="22"/>
          <w:highlight w:val="none"/>
        </w:rPr>
        <w:t>采购代理机构按</w:t>
      </w:r>
      <w:r>
        <w:rPr>
          <w:rFonts w:hint="eastAsia" w:hAnsi="宋体"/>
          <w:b/>
          <w:color w:val="auto"/>
          <w:sz w:val="22"/>
          <w:szCs w:val="22"/>
          <w:highlight w:val="none"/>
        </w:rPr>
        <w:t>磋商</w:t>
      </w:r>
      <w:r>
        <w:rPr>
          <w:rFonts w:hAnsi="宋体"/>
          <w:b/>
          <w:color w:val="auto"/>
          <w:sz w:val="22"/>
          <w:szCs w:val="22"/>
          <w:highlight w:val="none"/>
        </w:rPr>
        <w:t>文件规定的时间、地点通过“政府采购云平台”组织开标、开启磋商响应文件，所有供应商均应当准时在线参加。投标供应商因未在线参加开标而导致磋商响应文件无法按时解密等一切后果由供应商自己承担</w:t>
      </w:r>
      <w:r>
        <w:rPr>
          <w:rFonts w:hAnsi="宋体"/>
          <w:color w:val="auto"/>
          <w:sz w:val="22"/>
          <w:szCs w:val="22"/>
          <w:highlight w:val="none"/>
        </w:rPr>
        <w:t>。</w:t>
      </w:r>
    </w:p>
    <w:p w14:paraId="2D650E30">
      <w:pPr>
        <w:pStyle w:val="25"/>
        <w:adjustRightInd w:val="0"/>
        <w:snapToGrid w:val="0"/>
        <w:spacing w:line="460" w:lineRule="atLeast"/>
        <w:ind w:firstLine="442" w:firstLineChars="200"/>
        <w:rPr>
          <w:rFonts w:hAnsi="宋体"/>
          <w:color w:val="auto"/>
          <w:sz w:val="22"/>
          <w:szCs w:val="22"/>
          <w:highlight w:val="none"/>
        </w:rPr>
      </w:pPr>
      <w:r>
        <w:rPr>
          <w:rFonts w:hint="eastAsia" w:hAnsi="宋体"/>
          <w:b/>
          <w:color w:val="auto"/>
          <w:sz w:val="22"/>
          <w:highlight w:val="none"/>
        </w:rPr>
        <w:t>在线开评标进行时，供应商投标代表需自行关注平台提示信息，期间有发出“询标/澄清函”、“多轮报价函”等相关线上函件时，因供应商自身原因逾期/错过回复时间，由此造成的后果由供应商自行承担。</w:t>
      </w:r>
    </w:p>
    <w:p w14:paraId="12DB8CF6">
      <w:pPr>
        <w:pStyle w:val="25"/>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 xml:space="preserve">2 </w:t>
      </w:r>
      <w:r>
        <w:rPr>
          <w:rFonts w:hAnsi="宋体"/>
          <w:color w:val="auto"/>
          <w:sz w:val="22"/>
          <w:szCs w:val="22"/>
          <w:highlight w:val="none"/>
        </w:rPr>
        <w:t>开标流程</w:t>
      </w:r>
    </w:p>
    <w:p w14:paraId="5F08425F">
      <w:pPr>
        <w:pStyle w:val="25"/>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（1）向各投标供应商发出电子加密磋商响应文件【开始解密】通知，由供应商按磋商文件规定的时间内自行进行磋商响应文件解密。</w:t>
      </w:r>
      <w:r>
        <w:rPr>
          <w:rFonts w:hAnsi="宋体"/>
          <w:b/>
          <w:color w:val="auto"/>
          <w:sz w:val="22"/>
          <w:szCs w:val="22"/>
          <w:highlight w:val="none"/>
        </w:rPr>
        <w:t>投标供应商在规定的时间内无法完成已递交的“电子加密磋商响应文件”解密的，</w:t>
      </w:r>
      <w:r>
        <w:rPr>
          <w:rFonts w:hint="eastAsia"/>
          <w:b/>
          <w:color w:val="auto"/>
          <w:sz w:val="22"/>
          <w:highlight w:val="none"/>
        </w:rPr>
        <w:t>其磋商响应文件按拒收处理。</w:t>
      </w:r>
    </w:p>
    <w:p w14:paraId="68C5EE35">
      <w:pPr>
        <w:pStyle w:val="25"/>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（2）磋商响应文件解密结束，</w:t>
      </w:r>
      <w:r>
        <w:rPr>
          <w:rFonts w:hint="eastAsia" w:hAnsi="宋体"/>
          <w:color w:val="auto"/>
          <w:sz w:val="22"/>
          <w:szCs w:val="22"/>
          <w:highlight w:val="none"/>
        </w:rPr>
        <w:t>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0DFEA879">
      <w:pPr>
        <w:pStyle w:val="25"/>
        <w:adjustRightInd w:val="0"/>
        <w:snapToGrid w:val="0"/>
        <w:spacing w:line="460" w:lineRule="atLeast"/>
        <w:ind w:firstLine="440" w:firstLineChars="200"/>
        <w:rPr>
          <w:rFonts w:hAnsi="宋体"/>
          <w:b/>
          <w:color w:val="auto"/>
          <w:sz w:val="22"/>
          <w:szCs w:val="22"/>
          <w:highlight w:val="none"/>
        </w:rPr>
      </w:pPr>
      <w:r>
        <w:rPr>
          <w:rFonts w:hAnsi="宋体"/>
          <w:color w:val="auto"/>
          <w:sz w:val="22"/>
          <w:szCs w:val="22"/>
          <w:highlight w:val="none"/>
        </w:rPr>
        <w:t>（</w:t>
      </w:r>
      <w:r>
        <w:rPr>
          <w:rFonts w:hint="eastAsia" w:hAnsi="宋体"/>
          <w:color w:val="auto"/>
          <w:sz w:val="22"/>
          <w:szCs w:val="22"/>
          <w:highlight w:val="none"/>
        </w:rPr>
        <w:t>3</w:t>
      </w:r>
      <w:r>
        <w:rPr>
          <w:rFonts w:hAnsi="宋体"/>
          <w:color w:val="auto"/>
          <w:sz w:val="22"/>
          <w:szCs w:val="22"/>
          <w:highlight w:val="none"/>
        </w:rPr>
        <w:t>）</w:t>
      </w:r>
      <w:r>
        <w:rPr>
          <w:rFonts w:hint="eastAsia" w:hAnsi="宋体"/>
          <w:color w:val="auto"/>
          <w:sz w:val="22"/>
          <w:szCs w:val="22"/>
          <w:highlight w:val="none"/>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w:t>
      </w:r>
      <w:r>
        <w:rPr>
          <w:rFonts w:hint="eastAsia" w:hAnsi="宋体"/>
          <w:b/>
          <w:color w:val="auto"/>
          <w:sz w:val="22"/>
          <w:szCs w:val="22"/>
          <w:highlight w:val="none"/>
        </w:rPr>
        <w:t>如竞争性磋商文件所列采购内容明确不需要修改的或供应商磋商响应文件清楚明确不需要澄清的，可以不进行磋商，直接要求供应商进行最终报价。</w:t>
      </w:r>
    </w:p>
    <w:p w14:paraId="7DA2D94A">
      <w:pPr>
        <w:pStyle w:val="25"/>
        <w:adjustRightInd w:val="0"/>
        <w:snapToGrid w:val="0"/>
        <w:spacing w:line="460" w:lineRule="atLeast"/>
        <w:ind w:firstLine="431" w:firstLineChars="196"/>
        <w:rPr>
          <w:rFonts w:hAnsi="宋体"/>
          <w:color w:val="auto"/>
          <w:sz w:val="22"/>
          <w:szCs w:val="22"/>
          <w:highlight w:val="none"/>
        </w:rPr>
      </w:pPr>
      <w:r>
        <w:rPr>
          <w:rFonts w:hint="eastAsia" w:hAnsi="宋体"/>
          <w:color w:val="auto"/>
          <w:sz w:val="22"/>
          <w:szCs w:val="22"/>
          <w:highlight w:val="none"/>
        </w:rPr>
        <w:t>（4）磋商结束后，磋商小组应当要求所有实质性响应的投标供应商在规定时间内提交最终报价。投标供应商未在规定时间提交最终报价的按无效投标处理。</w:t>
      </w:r>
    </w:p>
    <w:p w14:paraId="57DD83DD">
      <w:pPr>
        <w:pStyle w:val="25"/>
        <w:adjustRightInd w:val="0"/>
        <w:snapToGrid w:val="0"/>
        <w:spacing w:line="460" w:lineRule="atLeast"/>
        <w:ind w:firstLine="431" w:firstLineChars="196"/>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w:t>
      </w:r>
      <w:r>
        <w:rPr>
          <w:rFonts w:hint="eastAsia" w:hAnsi="宋体"/>
          <w:color w:val="auto"/>
          <w:sz w:val="22"/>
          <w:szCs w:val="22"/>
          <w:highlight w:val="none"/>
        </w:rPr>
        <w:t>所有实质性响应的投标供应商</w:t>
      </w:r>
      <w:r>
        <w:rPr>
          <w:rFonts w:hAnsi="宋体"/>
          <w:color w:val="auto"/>
          <w:sz w:val="22"/>
          <w:szCs w:val="22"/>
          <w:highlight w:val="none"/>
        </w:rPr>
        <w:t>的</w:t>
      </w:r>
      <w:r>
        <w:rPr>
          <w:rFonts w:hint="eastAsia" w:hAnsi="宋体"/>
          <w:color w:val="auto"/>
          <w:sz w:val="22"/>
          <w:szCs w:val="22"/>
          <w:highlight w:val="none"/>
        </w:rPr>
        <w:t>最终</w:t>
      </w:r>
      <w:r>
        <w:rPr>
          <w:rFonts w:hAnsi="宋体"/>
          <w:color w:val="auto"/>
          <w:sz w:val="22"/>
          <w:szCs w:val="22"/>
          <w:highlight w:val="none"/>
        </w:rPr>
        <w:t>报价。</w:t>
      </w:r>
    </w:p>
    <w:p w14:paraId="70318B95">
      <w:pPr>
        <w:pStyle w:val="25"/>
        <w:adjustRightInd w:val="0"/>
        <w:snapToGrid w:val="0"/>
        <w:spacing w:line="460" w:lineRule="atLeast"/>
        <w:ind w:firstLine="440" w:firstLineChars="200"/>
        <w:rPr>
          <w:rFonts w:hAnsi="宋体"/>
          <w:color w:val="auto"/>
          <w:sz w:val="22"/>
          <w:szCs w:val="22"/>
          <w:highlight w:val="none"/>
        </w:rPr>
      </w:pPr>
      <w:r>
        <w:rPr>
          <w:rFonts w:hAnsi="宋体"/>
          <w:color w:val="auto"/>
          <w:sz w:val="22"/>
          <w:szCs w:val="22"/>
          <w:highlight w:val="none"/>
        </w:rPr>
        <w:t>（</w:t>
      </w:r>
      <w:r>
        <w:rPr>
          <w:rFonts w:hint="eastAsia" w:hAnsi="宋体"/>
          <w:color w:val="auto"/>
          <w:sz w:val="22"/>
          <w:szCs w:val="22"/>
          <w:highlight w:val="none"/>
        </w:rPr>
        <w:t>6</w:t>
      </w:r>
      <w:r>
        <w:rPr>
          <w:rFonts w:hAnsi="宋体"/>
          <w:color w:val="auto"/>
          <w:sz w:val="22"/>
          <w:szCs w:val="22"/>
          <w:highlight w:val="none"/>
        </w:rPr>
        <w:t>）评审结束后，公布</w:t>
      </w:r>
      <w:r>
        <w:rPr>
          <w:rFonts w:hint="eastAsia" w:hAnsi="宋体"/>
          <w:color w:val="auto"/>
          <w:sz w:val="22"/>
          <w:szCs w:val="22"/>
          <w:highlight w:val="none"/>
        </w:rPr>
        <w:t>采购</w:t>
      </w:r>
      <w:r>
        <w:rPr>
          <w:rFonts w:hAnsi="宋体"/>
          <w:color w:val="auto"/>
          <w:sz w:val="22"/>
          <w:szCs w:val="22"/>
          <w:highlight w:val="none"/>
        </w:rPr>
        <w:t>结果。</w:t>
      </w:r>
    </w:p>
    <w:p w14:paraId="2027D2A5">
      <w:pPr>
        <w:pStyle w:val="25"/>
        <w:adjustRightInd w:val="0"/>
        <w:snapToGrid w:val="0"/>
        <w:spacing w:line="460" w:lineRule="atLeast"/>
        <w:ind w:firstLine="433" w:firstLineChars="196"/>
        <w:rPr>
          <w:rFonts w:hAnsi="宋体"/>
          <w:b/>
          <w:color w:val="auto"/>
          <w:sz w:val="22"/>
          <w:szCs w:val="22"/>
          <w:highlight w:val="none"/>
        </w:rPr>
      </w:pPr>
      <w:r>
        <w:rPr>
          <w:rFonts w:hAnsi="宋体"/>
          <w:b/>
          <w:color w:val="auto"/>
          <w:sz w:val="22"/>
          <w:szCs w:val="22"/>
          <w:highlight w:val="none"/>
        </w:rPr>
        <w:t>特别说明：如遇“政府采购云平台”电子化开标或评审程序调整的，按调整后程序执行。</w:t>
      </w:r>
    </w:p>
    <w:p w14:paraId="2D462F88">
      <w:pPr>
        <w:pStyle w:val="25"/>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2、评审</w:t>
      </w:r>
    </w:p>
    <w:p w14:paraId="11BC91C1">
      <w:pPr>
        <w:pStyle w:val="25"/>
        <w:adjustRightInd w:val="0"/>
        <w:snapToGrid w:val="0"/>
        <w:spacing w:line="46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2.1 评审由采购人依法组建的磋商小组负责</w:t>
      </w:r>
      <w:r>
        <w:rPr>
          <w:rFonts w:hint="eastAsia" w:hAnsi="宋体"/>
          <w:color w:val="auto"/>
          <w:sz w:val="22"/>
          <w:szCs w:val="22"/>
          <w:highlight w:val="none"/>
        </w:rPr>
        <w:t>，并独立履行下列职责：</w:t>
      </w:r>
    </w:p>
    <w:p w14:paraId="6131E650">
      <w:pPr>
        <w:snapToGrid w:val="0"/>
        <w:spacing w:line="460" w:lineRule="atLeast"/>
        <w:ind w:firstLine="431" w:firstLineChars="196"/>
        <w:rPr>
          <w:rFonts w:ascii="宋体" w:hAnsi="宋体"/>
          <w:color w:val="auto"/>
          <w:sz w:val="22"/>
          <w:szCs w:val="22"/>
          <w:highlight w:val="none"/>
        </w:rPr>
      </w:pPr>
      <w:r>
        <w:rPr>
          <w:rFonts w:hint="eastAsia" w:ascii="宋体" w:hAnsi="宋体"/>
          <w:color w:val="auto"/>
          <w:sz w:val="22"/>
          <w:szCs w:val="22"/>
          <w:highlight w:val="none"/>
        </w:rPr>
        <w:t>1）审查磋商响应文件是否符合竞争性磋商文件要求，并作出评价；</w:t>
      </w:r>
    </w:p>
    <w:p w14:paraId="14B5464E">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2）要求供应商对磋商响应文件有关事项作出解释或者澄清；</w:t>
      </w:r>
    </w:p>
    <w:p w14:paraId="3A114281">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3）按照竞争性磋商文件确定的评审办法对供应商进行排序，推荐候选供应商，将综合得分第一的供应商向采购人推荐其为成交供应商；</w:t>
      </w:r>
    </w:p>
    <w:p w14:paraId="084A224C">
      <w:pPr>
        <w:pStyle w:val="25"/>
        <w:adjustRightInd w:val="0"/>
        <w:snapToGrid w:val="0"/>
        <w:spacing w:line="460" w:lineRule="atLeast"/>
        <w:ind w:firstLine="431" w:firstLineChars="196"/>
        <w:rPr>
          <w:rFonts w:hAnsi="宋体"/>
          <w:color w:val="auto"/>
          <w:sz w:val="22"/>
          <w:szCs w:val="22"/>
          <w:highlight w:val="none"/>
        </w:rPr>
      </w:pPr>
      <w:r>
        <w:rPr>
          <w:rFonts w:hint="eastAsia" w:hAnsi="宋体"/>
          <w:color w:val="auto"/>
          <w:sz w:val="22"/>
          <w:szCs w:val="22"/>
          <w:highlight w:val="none"/>
        </w:rPr>
        <w:t>4）向采购代理机构或者有关部门报告非法干预评审工作的行为。</w:t>
      </w:r>
    </w:p>
    <w:p w14:paraId="2AA48874">
      <w:pPr>
        <w:snapToGrid w:val="0"/>
        <w:spacing w:line="460" w:lineRule="atLeast"/>
        <w:ind w:firstLine="431" w:firstLineChars="196"/>
        <w:rPr>
          <w:rFonts w:ascii="宋体" w:hAnsi="宋体"/>
          <w:color w:val="auto"/>
          <w:sz w:val="22"/>
          <w:szCs w:val="22"/>
          <w:highlight w:val="none"/>
        </w:rPr>
      </w:pPr>
      <w:r>
        <w:rPr>
          <w:rFonts w:hint="eastAsia" w:ascii="宋体" w:hAnsi="宋体"/>
          <w:color w:val="auto"/>
          <w:sz w:val="22"/>
          <w:szCs w:val="22"/>
          <w:highlight w:val="none"/>
        </w:rPr>
        <w:t>2.2 评审应当遵循下列工作程序：</w:t>
      </w:r>
    </w:p>
    <w:p w14:paraId="023994AE">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1）磋商响应文件初审。初审分为资格性检查和符合性检查。</w:t>
      </w:r>
    </w:p>
    <w:p w14:paraId="0024E314">
      <w:pPr>
        <w:snapToGrid w:val="0"/>
        <w:spacing w:line="460" w:lineRule="atLeast"/>
        <w:rPr>
          <w:rFonts w:ascii="宋体" w:hAnsi="宋体"/>
          <w:color w:val="auto"/>
          <w:sz w:val="22"/>
          <w:szCs w:val="22"/>
          <w:highlight w:val="none"/>
        </w:rPr>
      </w:pPr>
      <w:r>
        <w:rPr>
          <w:rFonts w:hint="eastAsia" w:ascii="宋体" w:hAnsi="宋体"/>
          <w:color w:val="auto"/>
          <w:sz w:val="22"/>
          <w:szCs w:val="22"/>
          <w:highlight w:val="none"/>
        </w:rPr>
        <w:t xml:space="preserve">   （1</w:t>
      </w:r>
      <w:r>
        <w:rPr>
          <w:rFonts w:ascii="宋体" w:hAnsi="宋体"/>
          <w:color w:val="auto"/>
          <w:sz w:val="22"/>
          <w:szCs w:val="22"/>
          <w:highlight w:val="none"/>
        </w:rPr>
        <w:t>）</w:t>
      </w:r>
      <w:r>
        <w:rPr>
          <w:rFonts w:hint="eastAsia" w:ascii="宋体" w:hAnsi="宋体"/>
          <w:color w:val="auto"/>
          <w:sz w:val="22"/>
          <w:szCs w:val="22"/>
          <w:highlight w:val="none"/>
        </w:rPr>
        <w:t>资格性检查。依据法律法规和竞争性磋商文件的规定，对磋商响应文件中的资格证明等进行审查，以确定供应商是否具备参与磋商资格。</w:t>
      </w:r>
    </w:p>
    <w:p w14:paraId="5FD6E15E">
      <w:pPr>
        <w:snapToGrid w:val="0"/>
        <w:spacing w:line="460" w:lineRule="atLeast"/>
        <w:rPr>
          <w:rFonts w:ascii="宋体" w:hAnsi="宋体"/>
          <w:color w:val="auto"/>
          <w:sz w:val="22"/>
          <w:szCs w:val="22"/>
          <w:highlight w:val="none"/>
        </w:rPr>
      </w:pPr>
      <w:r>
        <w:rPr>
          <w:rFonts w:hint="eastAsia" w:ascii="宋体" w:hAnsi="宋体"/>
          <w:color w:val="auto"/>
          <w:sz w:val="22"/>
          <w:szCs w:val="22"/>
          <w:highlight w:val="none"/>
        </w:rPr>
        <w:t xml:space="preserve">   （2</w:t>
      </w:r>
      <w:r>
        <w:rPr>
          <w:rFonts w:ascii="宋体" w:hAnsi="宋体"/>
          <w:color w:val="auto"/>
          <w:sz w:val="22"/>
          <w:szCs w:val="22"/>
          <w:highlight w:val="none"/>
        </w:rPr>
        <w:t>）</w:t>
      </w:r>
      <w:r>
        <w:rPr>
          <w:rFonts w:hint="eastAsia" w:ascii="宋体" w:hAnsi="宋体"/>
          <w:color w:val="auto"/>
          <w:sz w:val="22"/>
          <w:szCs w:val="22"/>
          <w:highlight w:val="none"/>
        </w:rPr>
        <w:t>符合性检查。依据竞争性磋商文件的规定，从磋商响应文件的有效性、完整性和对竞争性磋商文件的响应程度进行审查，以确定是否对竞争性磋商文件的实质性要求作出响应。</w:t>
      </w:r>
    </w:p>
    <w:p w14:paraId="3B3DE21E">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3A359714">
      <w:pPr>
        <w:snapToGrid w:val="0"/>
        <w:spacing w:line="460" w:lineRule="atLeast"/>
        <w:ind w:firstLine="450"/>
        <w:rPr>
          <w:rFonts w:ascii="宋体" w:hAnsi="宋体"/>
          <w:color w:val="auto"/>
          <w:sz w:val="22"/>
          <w:szCs w:val="22"/>
          <w:highlight w:val="none"/>
        </w:rPr>
      </w:pPr>
      <w:r>
        <w:rPr>
          <w:rFonts w:hint="eastAsia" w:ascii="宋体" w:hAnsi="宋体"/>
          <w:color w:val="auto"/>
          <w:sz w:val="22"/>
          <w:szCs w:val="22"/>
          <w:highlight w:val="none"/>
        </w:rPr>
        <w:t>3）比较与评价。按竞争性磋商文件中规定的评审方法和标准，对资格性检查和符合性检查合格的磋商响应文件进行商务和技术评估，综合比较与评价。</w:t>
      </w:r>
    </w:p>
    <w:p w14:paraId="1588A87B">
      <w:pPr>
        <w:pStyle w:val="25"/>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2.3 ▲</w:t>
      </w:r>
      <w:r>
        <w:rPr>
          <w:rFonts w:hint="eastAsia" w:hAnsi="宋体"/>
          <w:b/>
          <w:color w:val="auto"/>
          <w:sz w:val="22"/>
          <w:szCs w:val="22"/>
          <w:highlight w:val="none"/>
        </w:rPr>
        <w:t>供应商存在下列情况之一的，磋商响应文件按无效处理：</w:t>
      </w:r>
    </w:p>
    <w:p w14:paraId="7EE675B4">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1）磋商响应文件未按磋商文件要求签署或CA电子签章的；</w:t>
      </w:r>
    </w:p>
    <w:p w14:paraId="38EAD19E">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2）不具备磋商文件中规定的资格要求的；</w:t>
      </w:r>
    </w:p>
    <w:p w14:paraId="423F9D6D">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3）最终报价超过磋商文件中规定的预算金额或者最高限价的；</w:t>
      </w:r>
    </w:p>
    <w:p w14:paraId="42B612E1">
      <w:pPr>
        <w:pStyle w:val="25"/>
        <w:adjustRightInd w:val="0"/>
        <w:snapToGrid w:val="0"/>
        <w:spacing w:line="440" w:lineRule="atLeast"/>
        <w:ind w:firstLine="435" w:firstLineChars="197"/>
        <w:rPr>
          <w:rFonts w:hAnsi="宋体"/>
          <w:b/>
          <w:color w:val="auto"/>
          <w:sz w:val="22"/>
          <w:szCs w:val="22"/>
          <w:highlight w:val="none"/>
        </w:rPr>
      </w:pPr>
      <w:r>
        <w:rPr>
          <w:rFonts w:hint="eastAsia" w:hAnsi="宋体"/>
          <w:b/>
          <w:color w:val="auto"/>
          <w:sz w:val="22"/>
          <w:szCs w:val="22"/>
          <w:highlight w:val="none"/>
        </w:rPr>
        <w:t>4）</w:t>
      </w:r>
      <w:r>
        <w:rPr>
          <w:rFonts w:hAnsi="宋体"/>
          <w:b/>
          <w:color w:val="auto"/>
          <w:sz w:val="22"/>
          <w:szCs w:val="22"/>
          <w:highlight w:val="none"/>
        </w:rPr>
        <w:t>响应文件含有采购人不能接受的附加条件的</w:t>
      </w:r>
      <w:r>
        <w:rPr>
          <w:rFonts w:hint="eastAsia" w:hAnsi="宋体"/>
          <w:b/>
          <w:color w:val="auto"/>
          <w:sz w:val="22"/>
          <w:szCs w:val="22"/>
          <w:highlight w:val="none"/>
        </w:rPr>
        <w:t>（包括磋商文件中明确要求不得偏离的招标要求，存在负偏离的）；</w:t>
      </w:r>
    </w:p>
    <w:p w14:paraId="418668DF">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5）对关键条文的偏离、保留或反对，例如关于付款方式、服务期（完工期）、免费质保期、适用法律法规、标准、税费等其他内容；</w:t>
      </w:r>
    </w:p>
    <w:p w14:paraId="5F2FAF32">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6）存在串标或弄虚作假情况的；</w:t>
      </w:r>
    </w:p>
    <w:p w14:paraId="0CB6B8CE">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7）参与本项目的不同供应商单位负责人为同一人或者存在直接控股、管理关系的；</w:t>
      </w:r>
    </w:p>
    <w:p w14:paraId="48EE3F92">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8）在竞争性磋商文件未做任何调整的情况下，参与磋商的供应商最终报价超过其磋商响应文件中报价的；</w:t>
      </w:r>
    </w:p>
    <w:p w14:paraId="5F9F8E06">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9）未在规定时间提交最终报价的；</w:t>
      </w:r>
    </w:p>
    <w:p w14:paraId="60C26173">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10）法律、法规和磋商文件规定的其他无效情形（或出现重大偏差）。</w:t>
      </w:r>
    </w:p>
    <w:p w14:paraId="3613D16F">
      <w:pPr>
        <w:pStyle w:val="25"/>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2.4 ▲</w:t>
      </w:r>
      <w:r>
        <w:rPr>
          <w:rFonts w:hint="eastAsia" w:hAnsi="宋体"/>
          <w:b/>
          <w:color w:val="auto"/>
          <w:sz w:val="22"/>
          <w:szCs w:val="22"/>
          <w:highlight w:val="none"/>
        </w:rPr>
        <w:t>磋商小组发现磋商响应文件有下列情形之一的属于重大偏差(磋商小组按少数服从多数原则认定),按照无效投标处理</w:t>
      </w:r>
      <w:r>
        <w:rPr>
          <w:rFonts w:hint="eastAsia" w:hAnsi="宋体"/>
          <w:color w:val="auto"/>
          <w:sz w:val="22"/>
          <w:szCs w:val="22"/>
          <w:highlight w:val="none"/>
        </w:rPr>
        <w:t>：</w:t>
      </w:r>
    </w:p>
    <w:p w14:paraId="4148EC6F">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1）未按磋商文件要求编制或字迹模糊、辨认不清的磋商响应文件；</w:t>
      </w:r>
    </w:p>
    <w:p w14:paraId="623F66E6">
      <w:pPr>
        <w:pStyle w:val="25"/>
        <w:adjustRightInd w:val="0"/>
        <w:snapToGrid w:val="0"/>
        <w:spacing w:line="460" w:lineRule="atLeast"/>
        <w:ind w:firstLine="442" w:firstLineChars="200"/>
        <w:rPr>
          <w:rFonts w:hAnsi="宋体"/>
          <w:b/>
          <w:color w:val="auto"/>
          <w:sz w:val="22"/>
          <w:szCs w:val="22"/>
          <w:highlight w:val="none"/>
        </w:rPr>
      </w:pPr>
      <w:r>
        <w:rPr>
          <w:rFonts w:hint="eastAsia" w:hAnsi="宋体"/>
          <w:b/>
          <w:color w:val="auto"/>
          <w:sz w:val="22"/>
          <w:szCs w:val="22"/>
          <w:highlight w:val="none"/>
        </w:rPr>
        <w:t>2）除2.3条款以外，出现其它明显不符合采购要求的磋商响应文件；</w:t>
      </w:r>
    </w:p>
    <w:p w14:paraId="7DACD01C">
      <w:pPr>
        <w:pStyle w:val="25"/>
        <w:adjustRightInd w:val="0"/>
        <w:snapToGrid w:val="0"/>
        <w:spacing w:line="460" w:lineRule="atLeast"/>
        <w:ind w:firstLine="442" w:firstLineChars="200"/>
        <w:rPr>
          <w:rFonts w:hAnsi="宋体"/>
          <w:color w:val="auto"/>
          <w:sz w:val="22"/>
          <w:szCs w:val="22"/>
          <w:highlight w:val="none"/>
        </w:rPr>
      </w:pPr>
      <w:r>
        <w:rPr>
          <w:rFonts w:hint="eastAsia" w:hAnsi="宋体"/>
          <w:b/>
          <w:color w:val="auto"/>
          <w:sz w:val="22"/>
          <w:szCs w:val="22"/>
          <w:highlight w:val="none"/>
        </w:rPr>
        <w:t>3）除2.3条款以外，出现其它不符合磋商文件中规定的实质性要求的磋商响应文件，是否为偏离实质性要求由磋商小组认定。</w:t>
      </w:r>
    </w:p>
    <w:p w14:paraId="483D0C3E">
      <w:pPr>
        <w:pStyle w:val="25"/>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2.5 ▲</w:t>
      </w:r>
      <w:r>
        <w:rPr>
          <w:rFonts w:hint="eastAsia" w:hAnsi="宋体"/>
          <w:b/>
          <w:color w:val="auto"/>
          <w:sz w:val="22"/>
          <w:szCs w:val="22"/>
          <w:highlight w:val="none"/>
        </w:rPr>
        <w:t>磋商小组认为供应商的最终报价明显低于其他有效供应商的最终报价，有可能影响采购质量或者不能诚信履约的，评审时应当要求其在合理的时间内提供书面说明，必要时提交相关证明材料；供应商不能证明其报价合理性的，磋商小组应当将其作为无效投标处理</w:t>
      </w:r>
      <w:r>
        <w:rPr>
          <w:rFonts w:hint="eastAsia" w:hAnsi="宋体"/>
          <w:color w:val="auto"/>
          <w:sz w:val="22"/>
          <w:szCs w:val="22"/>
          <w:highlight w:val="none"/>
        </w:rPr>
        <w:t>。</w:t>
      </w:r>
    </w:p>
    <w:p w14:paraId="2EDE146D">
      <w:pPr>
        <w:pStyle w:val="25"/>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2.6 磋商小组在评标中，不得改变磋商文件中规定的评标标准、方法和中标条件。</w:t>
      </w:r>
    </w:p>
    <w:p w14:paraId="1FE06112">
      <w:pPr>
        <w:pStyle w:val="25"/>
        <w:adjustRightInd w:val="0"/>
        <w:snapToGrid w:val="0"/>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2.7 评标时如遇到磋商文件未规定的特殊情况，由磋商小组按少数服从多数原则集体决定处理。</w:t>
      </w:r>
    </w:p>
    <w:p w14:paraId="51650E16">
      <w:pPr>
        <w:pStyle w:val="25"/>
        <w:adjustRightInd w:val="0"/>
        <w:snapToGrid w:val="0"/>
        <w:spacing w:line="460" w:lineRule="atLeast"/>
        <w:ind w:firstLine="440" w:firstLineChars="200"/>
        <w:rPr>
          <w:rFonts w:hAnsi="宋体" w:cs="Arial"/>
          <w:color w:val="auto"/>
          <w:sz w:val="22"/>
          <w:szCs w:val="22"/>
          <w:highlight w:val="none"/>
        </w:rPr>
      </w:pPr>
      <w:r>
        <w:rPr>
          <w:rFonts w:hint="eastAsia" w:hAnsi="宋体"/>
          <w:color w:val="auto"/>
          <w:sz w:val="22"/>
          <w:szCs w:val="22"/>
          <w:highlight w:val="none"/>
        </w:rPr>
        <w:t>2.8 磋商小组对未中标的供应商不作解释。</w:t>
      </w:r>
    </w:p>
    <w:p w14:paraId="2C06EFBC">
      <w:pPr>
        <w:pStyle w:val="25"/>
        <w:adjustRightInd w:val="0"/>
        <w:snapToGrid w:val="0"/>
        <w:spacing w:line="460" w:lineRule="atLeast"/>
        <w:ind w:firstLine="450"/>
        <w:rPr>
          <w:rFonts w:hAnsi="宋体" w:cs="Arial"/>
          <w:color w:val="auto"/>
          <w:sz w:val="22"/>
          <w:szCs w:val="22"/>
          <w:highlight w:val="none"/>
        </w:rPr>
      </w:pPr>
      <w:r>
        <w:rPr>
          <w:rFonts w:hint="eastAsia" w:hAnsi="宋体" w:cs="Arial"/>
          <w:color w:val="auto"/>
          <w:sz w:val="22"/>
          <w:szCs w:val="22"/>
          <w:highlight w:val="none"/>
        </w:rPr>
        <w:t>3、磋商响应文件的澄清</w:t>
      </w:r>
    </w:p>
    <w:p w14:paraId="15DE8495">
      <w:pPr>
        <w:adjustRightInd w:val="0"/>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3.1 为有利于对磋商响应文件的比较和评议，必要时磋商小组可要求投标供应商对磋商响应文件相关事宜进行澄清。磋商小组将通过“政府采购云平台”在线询标的形式要求</w:t>
      </w:r>
      <w:r>
        <w:rPr>
          <w:rFonts w:ascii="宋体" w:hAnsi="宋体"/>
          <w:color w:val="auto"/>
          <w:sz w:val="22"/>
          <w:szCs w:val="22"/>
          <w:highlight w:val="none"/>
        </w:rPr>
        <w:t>投标供应商</w:t>
      </w:r>
      <w:r>
        <w:rPr>
          <w:rFonts w:hint="eastAsia" w:ascii="宋体" w:hAnsi="宋体"/>
          <w:color w:val="auto"/>
          <w:sz w:val="22"/>
          <w:szCs w:val="22"/>
          <w:highlight w:val="none"/>
        </w:rPr>
        <w:t>在规定的时间内作出必要的澄清、说明，供投标供应商澄清、说明时间不少于30分钟，投标供应商未在规定的时间内作出必要的澄清、说明将导致对其不利的评定。</w:t>
      </w:r>
    </w:p>
    <w:p w14:paraId="00D970A9">
      <w:pPr>
        <w:adjustRightInd w:val="0"/>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3.2 </w:t>
      </w:r>
      <w:r>
        <w:rPr>
          <w:rFonts w:ascii="宋体" w:hAnsi="宋体"/>
          <w:color w:val="auto"/>
          <w:sz w:val="22"/>
          <w:szCs w:val="22"/>
          <w:highlight w:val="none"/>
        </w:rPr>
        <w:t>投标供应商</w:t>
      </w:r>
      <w:r>
        <w:rPr>
          <w:rFonts w:hint="eastAsia" w:ascii="宋体" w:hAnsi="宋体"/>
          <w:color w:val="auto"/>
          <w:sz w:val="22"/>
          <w:szCs w:val="22"/>
          <w:highlight w:val="none"/>
        </w:rPr>
        <w:t>的澄清、说明应当通过“政府采购云平台”在线答复形式提交，并加盖公章。</w:t>
      </w:r>
      <w:r>
        <w:rPr>
          <w:rFonts w:ascii="宋体" w:hAnsi="宋体"/>
          <w:color w:val="auto"/>
          <w:sz w:val="22"/>
          <w:szCs w:val="22"/>
          <w:highlight w:val="none"/>
        </w:rPr>
        <w:t>投标供应商</w:t>
      </w:r>
      <w:r>
        <w:rPr>
          <w:rFonts w:hint="eastAsia" w:ascii="宋体" w:hAnsi="宋体"/>
          <w:color w:val="auto"/>
          <w:sz w:val="22"/>
          <w:szCs w:val="22"/>
          <w:highlight w:val="none"/>
        </w:rPr>
        <w:t>的澄清、说明不得超出磋商响应文件的范围或者改变磋商响应文件的实质性内容。</w:t>
      </w:r>
    </w:p>
    <w:p w14:paraId="5C930944">
      <w:pPr>
        <w:pStyle w:val="25"/>
        <w:adjustRightInd w:val="0"/>
        <w:snapToGrid w:val="0"/>
        <w:spacing w:line="440" w:lineRule="atLeast"/>
        <w:ind w:firstLine="440" w:firstLineChars="200"/>
        <w:rPr>
          <w:rFonts w:hAnsi="宋体"/>
          <w:color w:val="auto"/>
          <w:sz w:val="22"/>
          <w:szCs w:val="22"/>
          <w:highlight w:val="none"/>
        </w:rPr>
      </w:pPr>
      <w:r>
        <w:rPr>
          <w:rFonts w:hint="eastAsia" w:hAnsi="宋体"/>
          <w:color w:val="auto"/>
          <w:sz w:val="22"/>
          <w:szCs w:val="22"/>
          <w:highlight w:val="none"/>
        </w:rPr>
        <w:t>4、响应文件递交截止时或评审过程中有效投标供应商不足三家的，不予开标或评标（在评审过程中以下情况除外：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w:t>
      </w:r>
    </w:p>
    <w:p w14:paraId="2A20679D">
      <w:pPr>
        <w:snapToGrid w:val="0"/>
        <w:spacing w:line="460" w:lineRule="atLeast"/>
        <w:rPr>
          <w:rFonts w:ascii="宋体" w:hAnsi="宋体"/>
          <w:color w:val="auto"/>
          <w:sz w:val="22"/>
          <w:szCs w:val="22"/>
          <w:highlight w:val="none"/>
        </w:rPr>
      </w:pPr>
      <w:r>
        <w:rPr>
          <w:rFonts w:hint="eastAsia" w:ascii="宋体" w:hAnsi="宋体"/>
          <w:color w:val="auto"/>
          <w:sz w:val="22"/>
          <w:szCs w:val="22"/>
          <w:highlight w:val="none"/>
        </w:rPr>
        <w:t xml:space="preserve">    5、评审原则</w:t>
      </w:r>
    </w:p>
    <w:p w14:paraId="06BC1BA1">
      <w:pPr>
        <w:pStyle w:val="25"/>
        <w:adjustRightInd w:val="0"/>
        <w:snapToGrid w:val="0"/>
        <w:spacing w:line="460" w:lineRule="atLeast"/>
        <w:ind w:firstLine="450"/>
        <w:rPr>
          <w:rFonts w:hAnsi="宋体" w:cs="Arial"/>
          <w:color w:val="auto"/>
          <w:sz w:val="22"/>
          <w:szCs w:val="22"/>
          <w:highlight w:val="none"/>
        </w:rPr>
      </w:pPr>
      <w:r>
        <w:rPr>
          <w:rFonts w:hint="eastAsia" w:hAnsi="宋体"/>
          <w:color w:val="auto"/>
          <w:sz w:val="22"/>
          <w:szCs w:val="22"/>
          <w:highlight w:val="none"/>
        </w:rPr>
        <w:t>磋商小组按照竞争性磋商文件的要求和条件对磋商响应文件进行评估，综合比较与评价。</w:t>
      </w:r>
    </w:p>
    <w:p w14:paraId="22CF442C">
      <w:pPr>
        <w:pStyle w:val="25"/>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5.1 磋商小组负责审查磋商响应文件是否符合竞争性磋商文件的要求，并作出评价。磋商小组认为必要时，可向供应商进行询标澄清。</w:t>
      </w:r>
    </w:p>
    <w:p w14:paraId="5389DE4A">
      <w:pPr>
        <w:pStyle w:val="25"/>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 xml:space="preserve">5.2 磋商小组将综合分析合格供应商的各项指标，而不是以单项指标的优劣评选出成交的供应商。   </w:t>
      </w:r>
    </w:p>
    <w:p w14:paraId="46966802">
      <w:pPr>
        <w:pStyle w:val="25"/>
        <w:adjustRightInd w:val="0"/>
        <w:snapToGrid w:val="0"/>
        <w:spacing w:line="460" w:lineRule="atLeast"/>
        <w:ind w:firstLine="450"/>
        <w:rPr>
          <w:rFonts w:hAnsi="宋体"/>
          <w:color w:val="auto"/>
          <w:sz w:val="22"/>
          <w:szCs w:val="22"/>
          <w:highlight w:val="none"/>
        </w:rPr>
      </w:pPr>
      <w:r>
        <w:rPr>
          <w:rFonts w:hint="eastAsia" w:hAnsi="宋体"/>
          <w:color w:val="auto"/>
          <w:sz w:val="22"/>
          <w:szCs w:val="22"/>
          <w:highlight w:val="none"/>
        </w:rPr>
        <w:t>5.3 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磋商响应文件中报价的，则该供应商的报价按无效投标处理。</w:t>
      </w:r>
    </w:p>
    <w:p w14:paraId="5FE588B3">
      <w:pPr>
        <w:snapToGrid w:val="0"/>
        <w:spacing w:line="460" w:lineRule="atLeast"/>
        <w:ind w:firstLine="431" w:firstLineChars="196"/>
        <w:rPr>
          <w:rFonts w:ascii="宋体" w:hAnsi="宋体" w:cs="Arial"/>
          <w:color w:val="auto"/>
          <w:sz w:val="22"/>
          <w:szCs w:val="22"/>
          <w:highlight w:val="none"/>
        </w:rPr>
      </w:pPr>
      <w:r>
        <w:rPr>
          <w:rFonts w:hint="eastAsia" w:ascii="宋体" w:hAnsi="宋体"/>
          <w:color w:val="auto"/>
          <w:sz w:val="22"/>
          <w:szCs w:val="22"/>
          <w:highlight w:val="none"/>
        </w:rPr>
        <w:t>5.4本次</w:t>
      </w:r>
      <w:r>
        <w:rPr>
          <w:rFonts w:hint="eastAsia" w:hAnsi="宋体"/>
          <w:color w:val="auto"/>
          <w:sz w:val="22"/>
          <w:szCs w:val="22"/>
          <w:highlight w:val="none"/>
        </w:rPr>
        <w:t>评审采用综合评分法，磋商小组根据竞争性磋商文件制定的评审办法对供应商进行评审排序，将综合得分第一的供应商向采购人推荐其为成交供应商。</w:t>
      </w:r>
    </w:p>
    <w:p w14:paraId="0F2E1D45">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6、有下列情形之一的，视为供应商相互串通投标：</w:t>
      </w:r>
    </w:p>
    <w:p w14:paraId="507891C1">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6.1 不同供应商的磋商响应文件由同一单位或者个人编制；</w:t>
      </w:r>
    </w:p>
    <w:p w14:paraId="16C19525">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6.2 不同供应商委托同一单位或者个人办理投标事宜；</w:t>
      </w:r>
    </w:p>
    <w:p w14:paraId="62F4E2E9">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6.3 不同供应商的磋商响应文件载明的项目管理成员为同一人；</w:t>
      </w:r>
    </w:p>
    <w:p w14:paraId="33CD31FC">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6.4 不同供应商的磋商响应文件异常一致或者投标报价呈规律性差异；</w:t>
      </w:r>
    </w:p>
    <w:p w14:paraId="091AC167">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6.5 不同供应商的磋商响应文件相互混装；</w:t>
      </w:r>
    </w:p>
    <w:p w14:paraId="0898F271">
      <w:pPr>
        <w:snapToGrid w:val="0"/>
        <w:spacing w:line="4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7、经磋商小组认定供应商进行串通投标的，磋商小组可以对相关供应商做出无效投标处理，并上报政府采购管理部门进行进一步处理。</w:t>
      </w:r>
    </w:p>
    <w:p w14:paraId="29423EFE">
      <w:pPr>
        <w:pStyle w:val="25"/>
        <w:adjustRightInd w:val="0"/>
        <w:snapToGrid w:val="0"/>
        <w:spacing w:line="460" w:lineRule="atLeast"/>
        <w:ind w:left="218" w:leftChars="104" w:firstLine="221" w:firstLineChars="100"/>
        <w:rPr>
          <w:rFonts w:hAnsi="宋体"/>
          <w:b/>
          <w:color w:val="auto"/>
          <w:sz w:val="22"/>
          <w:szCs w:val="22"/>
          <w:highlight w:val="none"/>
        </w:rPr>
      </w:pPr>
      <w:r>
        <w:rPr>
          <w:rFonts w:hAnsi="宋体"/>
          <w:b/>
          <w:color w:val="auto"/>
          <w:sz w:val="22"/>
          <w:szCs w:val="22"/>
          <w:highlight w:val="none"/>
        </w:rPr>
        <w:t>8、可中止电子交易活动的情形</w:t>
      </w:r>
    </w:p>
    <w:p w14:paraId="39ADF2C4">
      <w:pPr>
        <w:pStyle w:val="25"/>
        <w:adjustRightInd w:val="0"/>
        <w:snapToGrid w:val="0"/>
        <w:spacing w:line="460" w:lineRule="atLeast"/>
        <w:ind w:left="218" w:leftChars="104" w:firstLine="442" w:firstLineChars="200"/>
        <w:rPr>
          <w:rFonts w:hAnsi="宋体"/>
          <w:b/>
          <w:color w:val="auto"/>
          <w:sz w:val="22"/>
          <w:szCs w:val="22"/>
          <w:highlight w:val="none"/>
        </w:rPr>
      </w:pPr>
      <w:r>
        <w:rPr>
          <w:rFonts w:hAnsi="宋体"/>
          <w:b/>
          <w:color w:val="auto"/>
          <w:sz w:val="22"/>
          <w:szCs w:val="22"/>
          <w:highlight w:val="none"/>
        </w:rPr>
        <w:t>采购过程中出现以下情形，导致电子交易平台无法正常运行，或者无法保证电子交易的公平、公正和安全时，采购组织机构可中止电子交易活动：</w:t>
      </w:r>
    </w:p>
    <w:p w14:paraId="301CB19A">
      <w:pPr>
        <w:pStyle w:val="25"/>
        <w:adjustRightInd w:val="0"/>
        <w:snapToGrid w:val="0"/>
        <w:spacing w:line="460" w:lineRule="atLeast"/>
        <w:ind w:left="218" w:leftChars="104" w:firstLine="221" w:firstLineChars="100"/>
        <w:rPr>
          <w:rFonts w:hAnsi="宋体"/>
          <w:b/>
          <w:color w:val="auto"/>
          <w:sz w:val="22"/>
          <w:szCs w:val="22"/>
          <w:highlight w:val="none"/>
        </w:rPr>
      </w:pPr>
      <w:r>
        <w:rPr>
          <w:rFonts w:hAnsi="宋体"/>
          <w:b/>
          <w:color w:val="auto"/>
          <w:sz w:val="22"/>
          <w:szCs w:val="22"/>
          <w:highlight w:val="none"/>
        </w:rPr>
        <w:t>1）电子交易平台发生故障而无法登录访问的；</w:t>
      </w:r>
    </w:p>
    <w:p w14:paraId="55AA1208">
      <w:pPr>
        <w:pStyle w:val="25"/>
        <w:adjustRightInd w:val="0"/>
        <w:snapToGrid w:val="0"/>
        <w:spacing w:line="460" w:lineRule="atLeast"/>
        <w:ind w:left="218" w:leftChars="104" w:firstLine="221" w:firstLineChars="100"/>
        <w:rPr>
          <w:rFonts w:hAnsi="宋体"/>
          <w:b/>
          <w:color w:val="auto"/>
          <w:sz w:val="22"/>
          <w:szCs w:val="22"/>
          <w:highlight w:val="none"/>
        </w:rPr>
      </w:pPr>
      <w:r>
        <w:rPr>
          <w:rFonts w:hAnsi="宋体"/>
          <w:b/>
          <w:color w:val="auto"/>
          <w:sz w:val="22"/>
          <w:szCs w:val="22"/>
          <w:highlight w:val="none"/>
        </w:rPr>
        <w:t>2）电子交易平台应用或数据库出现错误，不能进行正常操作的；</w:t>
      </w:r>
    </w:p>
    <w:p w14:paraId="3A49D483">
      <w:pPr>
        <w:pStyle w:val="25"/>
        <w:adjustRightInd w:val="0"/>
        <w:snapToGrid w:val="0"/>
        <w:spacing w:line="460" w:lineRule="atLeast"/>
        <w:ind w:left="218" w:leftChars="104" w:firstLine="221" w:firstLineChars="100"/>
        <w:rPr>
          <w:rFonts w:hAnsi="宋体"/>
          <w:b/>
          <w:color w:val="auto"/>
          <w:sz w:val="22"/>
          <w:szCs w:val="22"/>
          <w:highlight w:val="none"/>
        </w:rPr>
      </w:pPr>
      <w:r>
        <w:rPr>
          <w:rFonts w:hAnsi="宋体"/>
          <w:b/>
          <w:color w:val="auto"/>
          <w:sz w:val="22"/>
          <w:szCs w:val="22"/>
          <w:highlight w:val="none"/>
        </w:rPr>
        <w:t>3）电子交易平台发现严重安全漏洞，有潜在泄密危险的；</w:t>
      </w:r>
    </w:p>
    <w:p w14:paraId="3C275F3A">
      <w:pPr>
        <w:pStyle w:val="25"/>
        <w:adjustRightInd w:val="0"/>
        <w:snapToGrid w:val="0"/>
        <w:spacing w:line="460" w:lineRule="atLeast"/>
        <w:ind w:left="218" w:leftChars="104" w:firstLine="221" w:firstLineChars="100"/>
        <w:rPr>
          <w:rFonts w:hAnsi="宋体"/>
          <w:b/>
          <w:color w:val="auto"/>
          <w:sz w:val="22"/>
          <w:szCs w:val="22"/>
          <w:highlight w:val="none"/>
        </w:rPr>
      </w:pPr>
      <w:r>
        <w:rPr>
          <w:rFonts w:hAnsi="宋体"/>
          <w:b/>
          <w:color w:val="auto"/>
          <w:sz w:val="22"/>
          <w:szCs w:val="22"/>
          <w:highlight w:val="none"/>
        </w:rPr>
        <w:t>4）病毒发作导致不能进行正常操作的；</w:t>
      </w:r>
    </w:p>
    <w:p w14:paraId="718F9F19">
      <w:pPr>
        <w:pStyle w:val="25"/>
        <w:adjustRightInd w:val="0"/>
        <w:snapToGrid w:val="0"/>
        <w:spacing w:line="460" w:lineRule="atLeast"/>
        <w:ind w:left="218" w:leftChars="104" w:firstLine="221" w:firstLineChars="100"/>
        <w:rPr>
          <w:rFonts w:hAnsi="宋体"/>
          <w:b/>
          <w:color w:val="auto"/>
          <w:sz w:val="22"/>
          <w:szCs w:val="22"/>
          <w:highlight w:val="none"/>
        </w:rPr>
      </w:pPr>
      <w:r>
        <w:rPr>
          <w:rFonts w:hAnsi="宋体"/>
          <w:b/>
          <w:color w:val="auto"/>
          <w:sz w:val="22"/>
          <w:szCs w:val="22"/>
          <w:highlight w:val="none"/>
        </w:rPr>
        <w:t>5）其他无法保证电子交易的公平、公正和安全的情况。</w:t>
      </w:r>
    </w:p>
    <w:p w14:paraId="75958751">
      <w:pPr>
        <w:snapToGrid w:val="0"/>
        <w:spacing w:line="460" w:lineRule="atLeast"/>
        <w:ind w:firstLine="433" w:firstLineChars="196"/>
        <w:rPr>
          <w:rFonts w:ascii="宋体" w:hAnsi="宋体" w:cs="Arial"/>
          <w:b/>
          <w:color w:val="auto"/>
          <w:sz w:val="22"/>
          <w:szCs w:val="22"/>
          <w:highlight w:val="none"/>
        </w:rPr>
      </w:pPr>
      <w:r>
        <w:rPr>
          <w:rFonts w:ascii="宋体" w:hAnsi="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816A43E">
      <w:pPr>
        <w:pStyle w:val="25"/>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六、授予合同</w:t>
      </w:r>
    </w:p>
    <w:p w14:paraId="0C792154">
      <w:pPr>
        <w:pStyle w:val="25"/>
        <w:adjustRightInd w:val="0"/>
        <w:snapToGrid w:val="0"/>
        <w:spacing w:line="440" w:lineRule="atLeast"/>
        <w:ind w:firstLine="440" w:firstLineChars="200"/>
        <w:rPr>
          <w:rFonts w:hAnsi="宋体"/>
          <w:color w:val="auto"/>
          <w:sz w:val="22"/>
          <w:szCs w:val="22"/>
          <w:highlight w:val="none"/>
        </w:rPr>
      </w:pPr>
      <w:r>
        <w:rPr>
          <w:rFonts w:hint="eastAsia" w:hAnsi="宋体"/>
          <w:color w:val="auto"/>
          <w:sz w:val="22"/>
          <w:szCs w:val="22"/>
          <w:highlight w:val="none"/>
        </w:rPr>
        <w:t>1、决标</w:t>
      </w:r>
    </w:p>
    <w:p w14:paraId="03D43BC9">
      <w:pPr>
        <w:pStyle w:val="25"/>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磋商结束后，磋商小组按照竞争性磋商文件确定的评审办法，确定成交供应商。</w:t>
      </w:r>
    </w:p>
    <w:p w14:paraId="0C7B4913">
      <w:pPr>
        <w:pStyle w:val="25"/>
        <w:adjustRightInd w:val="0"/>
        <w:snapToGrid w:val="0"/>
        <w:spacing w:line="440" w:lineRule="atLeast"/>
        <w:rPr>
          <w:rFonts w:hAnsi="宋体"/>
          <w:b/>
          <w:color w:val="auto"/>
          <w:sz w:val="22"/>
          <w:szCs w:val="22"/>
          <w:highlight w:val="none"/>
        </w:rPr>
      </w:pPr>
      <w:r>
        <w:rPr>
          <w:rFonts w:hint="eastAsia" w:hAnsi="宋体"/>
          <w:color w:val="auto"/>
          <w:sz w:val="22"/>
          <w:szCs w:val="22"/>
          <w:highlight w:val="none"/>
        </w:rPr>
        <w:t xml:space="preserve">    </w:t>
      </w:r>
      <w:r>
        <w:rPr>
          <w:rFonts w:hint="eastAsia" w:hAnsi="宋体"/>
          <w:b/>
          <w:bCs/>
          <w:color w:val="auto"/>
          <w:sz w:val="22"/>
          <w:szCs w:val="22"/>
          <w:highlight w:val="none"/>
        </w:rPr>
        <w:t>采购人将把成交通知书授予最佳报价者</w:t>
      </w:r>
      <w:r>
        <w:rPr>
          <w:rFonts w:hint="eastAsia" w:hAnsi="宋体"/>
          <w:b/>
          <w:color w:val="auto"/>
          <w:sz w:val="22"/>
          <w:szCs w:val="22"/>
          <w:highlight w:val="none"/>
        </w:rPr>
        <w:t>，</w:t>
      </w:r>
      <w:r>
        <w:rPr>
          <w:rFonts w:hint="eastAsia" w:hAnsi="宋体"/>
          <w:b/>
          <w:bCs/>
          <w:color w:val="auto"/>
          <w:sz w:val="22"/>
          <w:szCs w:val="22"/>
          <w:highlight w:val="none"/>
        </w:rPr>
        <w:t>但最低报价不是成交的唯一保证。</w:t>
      </w:r>
    </w:p>
    <w:p w14:paraId="5D4DAC62">
      <w:pPr>
        <w:pStyle w:val="25"/>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2、成交通知书</w:t>
      </w:r>
    </w:p>
    <w:p w14:paraId="45FC7259">
      <w:pPr>
        <w:pStyle w:val="19"/>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2.1 评审结束后，采购代理机构在浙江政府采购网公告采购结果，同时发出成交通知书，成交公告期限为1个工作日。</w:t>
      </w:r>
    </w:p>
    <w:p w14:paraId="738A6BAC">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2.2 成交通知书对采购人和成交供应商具有法律约束力。成交通知书发出后，采购人改变成交结果或者成交供应商放弃成交资格的，应当承担法律责任。</w:t>
      </w:r>
    </w:p>
    <w:p w14:paraId="534B6F21">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2.3 成交无效</w:t>
      </w:r>
    </w:p>
    <w:p w14:paraId="57F7C465">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1）发现成交供应商资格无效或成交供应商放弃成交或拒绝与采购人签订合同的,按相关规定执行。</w:t>
      </w:r>
    </w:p>
    <w:p w14:paraId="4EDA59B7">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2）有《中华人民共和国政府采购法实施条例》第七十一条、第七十二条、第七十三条、第七十四条规定的违法行为之一，由政府采购监管部门依法处理。</w:t>
      </w:r>
    </w:p>
    <w:p w14:paraId="19C7BE3C">
      <w:pPr>
        <w:adjustRightInd w:val="0"/>
        <w:snapToGrid w:val="0"/>
        <w:spacing w:line="440" w:lineRule="atLeast"/>
        <w:rPr>
          <w:rFonts w:ascii="宋体" w:hAnsi="宋体"/>
          <w:color w:val="auto"/>
          <w:sz w:val="22"/>
          <w:szCs w:val="22"/>
          <w:highlight w:val="none"/>
        </w:rPr>
      </w:pPr>
      <w:r>
        <w:rPr>
          <w:rFonts w:hint="eastAsia" w:ascii="宋体" w:hAnsi="宋体"/>
          <w:color w:val="auto"/>
          <w:sz w:val="22"/>
          <w:szCs w:val="22"/>
          <w:highlight w:val="none"/>
        </w:rPr>
        <w:t xml:space="preserve">    3、磋商小组对未成交的供应商不作落标原因解释。</w:t>
      </w:r>
    </w:p>
    <w:p w14:paraId="6FA8628D">
      <w:pPr>
        <w:pStyle w:val="25"/>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4、签订合同</w:t>
      </w:r>
    </w:p>
    <w:p w14:paraId="0249FED0">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4.1 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43CBB677">
      <w:pPr>
        <w:adjustRightInd w:val="0"/>
        <w:snapToGrid w:val="0"/>
        <w:spacing w:line="44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4.2 磋商文件、成交供应商的磋商响应文件及投标修改文件、评标过程中有关澄清文件及经双方签字的询标纪要（承诺）和成交通知书均作为合同附件。</w:t>
      </w:r>
    </w:p>
    <w:p w14:paraId="1F79CEFB">
      <w:pPr>
        <w:pStyle w:val="25"/>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4.3 拒签合同的责任</w:t>
      </w:r>
    </w:p>
    <w:p w14:paraId="4447A362">
      <w:pPr>
        <w:pStyle w:val="25"/>
        <w:adjustRightInd w:val="0"/>
        <w:snapToGrid w:val="0"/>
        <w:spacing w:line="440" w:lineRule="atLeast"/>
        <w:rPr>
          <w:rFonts w:hAnsi="宋体"/>
          <w:color w:val="auto"/>
          <w:sz w:val="22"/>
          <w:szCs w:val="22"/>
          <w:highlight w:val="none"/>
        </w:rPr>
      </w:pPr>
      <w:r>
        <w:rPr>
          <w:rFonts w:hint="eastAsia" w:hAnsi="宋体"/>
          <w:color w:val="auto"/>
          <w:sz w:val="22"/>
          <w:szCs w:val="22"/>
          <w:highlight w:val="none"/>
        </w:rPr>
        <w:t xml:space="preserve">    成交供应商接到成交通知书后，在规定时间内（30日历天）借故否认已经承诺的条件而拒签合同，以违约处理，并赔偿采购人由此造成的直接经济损失；采购人重新组织采购的，所需费用由原成交供应商承担。</w:t>
      </w:r>
    </w:p>
    <w:p w14:paraId="18F60D3B">
      <w:pPr>
        <w:pStyle w:val="25"/>
        <w:snapToGrid w:val="0"/>
        <w:spacing w:line="420" w:lineRule="exact"/>
        <w:ind w:firstLine="440" w:firstLineChars="200"/>
        <w:rPr>
          <w:rFonts w:hAnsi="宋体" w:cs="Arial"/>
          <w:bCs/>
          <w:color w:val="auto"/>
          <w:sz w:val="22"/>
          <w:szCs w:val="22"/>
          <w:highlight w:val="none"/>
        </w:rPr>
      </w:pPr>
      <w:r>
        <w:rPr>
          <w:rFonts w:hint="eastAsia" w:hAnsi="宋体" w:cs="Arial"/>
          <w:bCs/>
          <w:color w:val="auto"/>
          <w:sz w:val="22"/>
          <w:szCs w:val="22"/>
          <w:highlight w:val="none"/>
        </w:rPr>
        <w:t>5、招标代理服务费</w:t>
      </w:r>
    </w:p>
    <w:p w14:paraId="277DED0F">
      <w:pPr>
        <w:pStyle w:val="25"/>
        <w:adjustRightInd w:val="0"/>
        <w:snapToGrid w:val="0"/>
        <w:spacing w:line="440" w:lineRule="atLeast"/>
        <w:ind w:firstLine="440" w:firstLineChars="200"/>
        <w:rPr>
          <w:rFonts w:hAnsi="宋体"/>
          <w:color w:val="auto"/>
          <w:sz w:val="22"/>
          <w:szCs w:val="22"/>
          <w:highlight w:val="none"/>
        </w:rPr>
      </w:pPr>
      <w:r>
        <w:rPr>
          <w:rFonts w:hint="eastAsia" w:hAnsi="宋体"/>
          <w:color w:val="auto"/>
          <w:sz w:val="22"/>
          <w:szCs w:val="22"/>
          <w:highlight w:val="none"/>
        </w:rPr>
        <w:t>中标后，各标项成交供应商需向招标代理机构支付招标代理服务费（标项1:16500元，标项2:11500元），招标代理服务费包含在报价中，但不在报价表中单列。</w:t>
      </w:r>
    </w:p>
    <w:p w14:paraId="53949F15">
      <w:pPr>
        <w:pStyle w:val="25"/>
        <w:adjustRightInd w:val="0"/>
        <w:snapToGrid w:val="0"/>
        <w:spacing w:line="440" w:lineRule="atLeast"/>
        <w:ind w:firstLine="440"/>
        <w:jc w:val="center"/>
        <w:rPr>
          <w:rFonts w:hAnsi="宋体"/>
          <w:color w:val="auto"/>
          <w:sz w:val="36"/>
          <w:highlight w:val="none"/>
        </w:rPr>
      </w:pPr>
    </w:p>
    <w:p w14:paraId="7B82AB8B">
      <w:pPr>
        <w:pStyle w:val="25"/>
        <w:adjustRightInd w:val="0"/>
        <w:snapToGrid w:val="0"/>
        <w:spacing w:line="440" w:lineRule="atLeast"/>
        <w:ind w:firstLine="440"/>
        <w:jc w:val="center"/>
        <w:rPr>
          <w:rFonts w:hAnsi="宋体"/>
          <w:color w:val="auto"/>
          <w:sz w:val="36"/>
          <w:highlight w:val="none"/>
        </w:rPr>
      </w:pPr>
    </w:p>
    <w:p w14:paraId="00DC7E13">
      <w:pPr>
        <w:pStyle w:val="25"/>
        <w:adjustRightInd w:val="0"/>
        <w:snapToGrid w:val="0"/>
        <w:spacing w:line="440" w:lineRule="atLeast"/>
        <w:ind w:firstLine="440"/>
        <w:jc w:val="center"/>
        <w:rPr>
          <w:rFonts w:hAnsi="宋体"/>
          <w:color w:val="auto"/>
          <w:sz w:val="36"/>
          <w:highlight w:val="none"/>
        </w:rPr>
      </w:pPr>
    </w:p>
    <w:p w14:paraId="4C1A4FBC">
      <w:pPr>
        <w:pStyle w:val="25"/>
        <w:adjustRightInd w:val="0"/>
        <w:snapToGrid w:val="0"/>
        <w:spacing w:line="440" w:lineRule="atLeast"/>
        <w:ind w:firstLine="440"/>
        <w:jc w:val="center"/>
        <w:rPr>
          <w:rFonts w:hAnsi="宋体"/>
          <w:color w:val="auto"/>
          <w:sz w:val="36"/>
          <w:highlight w:val="none"/>
        </w:rPr>
      </w:pPr>
    </w:p>
    <w:p w14:paraId="59003E45">
      <w:pPr>
        <w:pStyle w:val="25"/>
        <w:adjustRightInd w:val="0"/>
        <w:snapToGrid w:val="0"/>
        <w:spacing w:line="440" w:lineRule="atLeast"/>
        <w:ind w:firstLine="440"/>
        <w:jc w:val="center"/>
        <w:rPr>
          <w:rFonts w:hAnsi="宋体"/>
          <w:color w:val="auto"/>
          <w:sz w:val="36"/>
          <w:highlight w:val="none"/>
        </w:rPr>
      </w:pPr>
    </w:p>
    <w:p w14:paraId="4E5EAFB7">
      <w:pPr>
        <w:pStyle w:val="25"/>
        <w:adjustRightInd w:val="0"/>
        <w:snapToGrid w:val="0"/>
        <w:spacing w:line="440" w:lineRule="atLeast"/>
        <w:ind w:firstLine="440"/>
        <w:jc w:val="center"/>
        <w:rPr>
          <w:rFonts w:hAnsi="宋体"/>
          <w:color w:val="auto"/>
          <w:sz w:val="36"/>
          <w:highlight w:val="none"/>
        </w:rPr>
      </w:pPr>
    </w:p>
    <w:p w14:paraId="3FE5CC2C">
      <w:pPr>
        <w:pStyle w:val="25"/>
        <w:adjustRightInd w:val="0"/>
        <w:snapToGrid w:val="0"/>
        <w:spacing w:line="440" w:lineRule="atLeast"/>
        <w:ind w:firstLine="440"/>
        <w:jc w:val="center"/>
        <w:rPr>
          <w:rFonts w:hAnsi="宋体"/>
          <w:color w:val="auto"/>
          <w:sz w:val="36"/>
          <w:highlight w:val="none"/>
        </w:rPr>
      </w:pPr>
    </w:p>
    <w:p w14:paraId="336B2608">
      <w:pPr>
        <w:pStyle w:val="25"/>
        <w:adjustRightInd w:val="0"/>
        <w:snapToGrid w:val="0"/>
        <w:spacing w:line="440" w:lineRule="atLeast"/>
        <w:ind w:firstLine="440"/>
        <w:jc w:val="center"/>
        <w:rPr>
          <w:rFonts w:hAnsi="宋体"/>
          <w:color w:val="auto"/>
          <w:sz w:val="36"/>
          <w:highlight w:val="none"/>
        </w:rPr>
      </w:pPr>
    </w:p>
    <w:p w14:paraId="0D03641C">
      <w:pPr>
        <w:pStyle w:val="25"/>
        <w:adjustRightInd w:val="0"/>
        <w:snapToGrid w:val="0"/>
        <w:spacing w:line="440" w:lineRule="atLeast"/>
        <w:ind w:firstLine="440"/>
        <w:jc w:val="center"/>
        <w:rPr>
          <w:rFonts w:hAnsi="宋体"/>
          <w:color w:val="auto"/>
          <w:sz w:val="36"/>
          <w:highlight w:val="none"/>
        </w:rPr>
      </w:pPr>
    </w:p>
    <w:p w14:paraId="23E3F8FA">
      <w:pPr>
        <w:pStyle w:val="25"/>
        <w:adjustRightInd w:val="0"/>
        <w:snapToGrid w:val="0"/>
        <w:spacing w:line="440" w:lineRule="atLeast"/>
        <w:ind w:firstLine="440"/>
        <w:jc w:val="center"/>
        <w:rPr>
          <w:rFonts w:hAnsi="宋体"/>
          <w:color w:val="auto"/>
          <w:sz w:val="36"/>
          <w:highlight w:val="none"/>
        </w:rPr>
      </w:pPr>
    </w:p>
    <w:p w14:paraId="1F07008B">
      <w:pPr>
        <w:pStyle w:val="25"/>
        <w:adjustRightInd w:val="0"/>
        <w:snapToGrid w:val="0"/>
        <w:spacing w:line="440" w:lineRule="atLeast"/>
        <w:ind w:firstLine="440"/>
        <w:jc w:val="center"/>
        <w:rPr>
          <w:rFonts w:hAnsi="宋体"/>
          <w:color w:val="auto"/>
          <w:sz w:val="36"/>
          <w:highlight w:val="none"/>
        </w:rPr>
      </w:pPr>
    </w:p>
    <w:p w14:paraId="6EF22107">
      <w:pPr>
        <w:pStyle w:val="25"/>
        <w:adjustRightInd w:val="0"/>
        <w:snapToGrid w:val="0"/>
        <w:spacing w:line="440" w:lineRule="atLeast"/>
        <w:ind w:firstLine="440"/>
        <w:jc w:val="center"/>
        <w:rPr>
          <w:rFonts w:hAnsi="宋体"/>
          <w:color w:val="auto"/>
          <w:sz w:val="36"/>
          <w:highlight w:val="none"/>
        </w:rPr>
      </w:pPr>
    </w:p>
    <w:p w14:paraId="47A225AE">
      <w:pPr>
        <w:pStyle w:val="25"/>
        <w:adjustRightInd w:val="0"/>
        <w:snapToGrid w:val="0"/>
        <w:spacing w:line="440" w:lineRule="atLeast"/>
        <w:ind w:firstLine="440"/>
        <w:jc w:val="center"/>
        <w:rPr>
          <w:rFonts w:hAnsi="宋体"/>
          <w:color w:val="auto"/>
          <w:sz w:val="36"/>
          <w:highlight w:val="none"/>
        </w:rPr>
      </w:pPr>
    </w:p>
    <w:p w14:paraId="6289FDD7">
      <w:pPr>
        <w:pStyle w:val="25"/>
        <w:adjustRightInd w:val="0"/>
        <w:snapToGrid w:val="0"/>
        <w:spacing w:line="440" w:lineRule="atLeast"/>
        <w:ind w:firstLine="440"/>
        <w:jc w:val="center"/>
        <w:rPr>
          <w:rFonts w:hAnsi="宋体"/>
          <w:color w:val="auto"/>
          <w:sz w:val="36"/>
          <w:highlight w:val="none"/>
        </w:rPr>
      </w:pPr>
    </w:p>
    <w:p w14:paraId="35ABEE6E">
      <w:pPr>
        <w:pStyle w:val="25"/>
        <w:adjustRightInd w:val="0"/>
        <w:snapToGrid w:val="0"/>
        <w:spacing w:line="440" w:lineRule="atLeast"/>
        <w:ind w:firstLine="440"/>
        <w:jc w:val="center"/>
        <w:rPr>
          <w:rFonts w:hAnsi="宋体"/>
          <w:color w:val="auto"/>
          <w:sz w:val="36"/>
          <w:highlight w:val="none"/>
        </w:rPr>
      </w:pPr>
    </w:p>
    <w:p w14:paraId="54FEE738">
      <w:pPr>
        <w:pStyle w:val="25"/>
        <w:adjustRightInd w:val="0"/>
        <w:snapToGrid w:val="0"/>
        <w:spacing w:line="440" w:lineRule="atLeast"/>
        <w:ind w:firstLine="440"/>
        <w:jc w:val="center"/>
        <w:rPr>
          <w:rFonts w:hAnsi="宋体"/>
          <w:color w:val="auto"/>
          <w:sz w:val="36"/>
          <w:highlight w:val="none"/>
        </w:rPr>
      </w:pPr>
    </w:p>
    <w:p w14:paraId="49E30F44">
      <w:pPr>
        <w:pStyle w:val="25"/>
        <w:adjustRightInd w:val="0"/>
        <w:snapToGrid w:val="0"/>
        <w:spacing w:line="440" w:lineRule="atLeast"/>
        <w:ind w:firstLine="440"/>
        <w:jc w:val="center"/>
        <w:rPr>
          <w:rFonts w:hint="eastAsia" w:hAnsi="宋体"/>
          <w:color w:val="auto"/>
          <w:sz w:val="36"/>
          <w:highlight w:val="none"/>
        </w:rPr>
      </w:pPr>
    </w:p>
    <w:p w14:paraId="1066E3C1">
      <w:pPr>
        <w:pStyle w:val="25"/>
        <w:adjustRightInd w:val="0"/>
        <w:snapToGrid w:val="0"/>
        <w:spacing w:line="440" w:lineRule="atLeast"/>
        <w:ind w:firstLine="440"/>
        <w:jc w:val="center"/>
        <w:rPr>
          <w:rFonts w:hint="eastAsia" w:hAnsi="宋体"/>
          <w:color w:val="auto"/>
          <w:sz w:val="36"/>
          <w:highlight w:val="none"/>
        </w:rPr>
      </w:pPr>
    </w:p>
    <w:p w14:paraId="16ECBBC2">
      <w:pPr>
        <w:pStyle w:val="25"/>
        <w:adjustRightInd w:val="0"/>
        <w:snapToGrid w:val="0"/>
        <w:spacing w:line="440" w:lineRule="atLeast"/>
        <w:ind w:firstLine="440"/>
        <w:jc w:val="center"/>
        <w:rPr>
          <w:rFonts w:hint="eastAsia" w:hAnsi="宋体"/>
          <w:color w:val="auto"/>
          <w:sz w:val="36"/>
          <w:highlight w:val="none"/>
        </w:rPr>
      </w:pPr>
    </w:p>
    <w:p w14:paraId="66A6D91E">
      <w:pPr>
        <w:pStyle w:val="25"/>
        <w:adjustRightInd w:val="0"/>
        <w:snapToGrid w:val="0"/>
        <w:spacing w:line="440" w:lineRule="atLeast"/>
        <w:ind w:firstLine="440"/>
        <w:jc w:val="center"/>
        <w:rPr>
          <w:rFonts w:hint="eastAsia" w:hAnsi="宋体"/>
          <w:color w:val="auto"/>
          <w:sz w:val="36"/>
          <w:highlight w:val="none"/>
        </w:rPr>
      </w:pPr>
    </w:p>
    <w:p w14:paraId="5BDE1A07">
      <w:pPr>
        <w:pStyle w:val="25"/>
        <w:adjustRightInd w:val="0"/>
        <w:snapToGrid w:val="0"/>
        <w:spacing w:line="440" w:lineRule="atLeast"/>
        <w:ind w:firstLine="440"/>
        <w:jc w:val="center"/>
        <w:rPr>
          <w:rFonts w:hint="eastAsia" w:hAnsi="宋体"/>
          <w:color w:val="auto"/>
          <w:sz w:val="36"/>
          <w:highlight w:val="none"/>
        </w:rPr>
      </w:pPr>
    </w:p>
    <w:p w14:paraId="289682FE">
      <w:pPr>
        <w:pStyle w:val="25"/>
        <w:adjustRightInd w:val="0"/>
        <w:snapToGrid w:val="0"/>
        <w:spacing w:line="440" w:lineRule="atLeast"/>
        <w:ind w:firstLine="440"/>
        <w:jc w:val="center"/>
        <w:rPr>
          <w:rFonts w:hAnsi="宋体"/>
          <w:color w:val="auto"/>
          <w:sz w:val="36"/>
          <w:highlight w:val="none"/>
        </w:rPr>
      </w:pPr>
    </w:p>
    <w:p w14:paraId="50E0A029">
      <w:pPr>
        <w:pStyle w:val="25"/>
        <w:adjustRightInd w:val="0"/>
        <w:snapToGrid w:val="0"/>
        <w:spacing w:line="440" w:lineRule="atLeast"/>
        <w:ind w:firstLine="440"/>
        <w:jc w:val="center"/>
        <w:rPr>
          <w:rFonts w:hAnsi="宋体"/>
          <w:color w:val="auto"/>
          <w:sz w:val="36"/>
          <w:highlight w:val="none"/>
        </w:rPr>
      </w:pPr>
    </w:p>
    <w:p w14:paraId="4ABBB240">
      <w:pPr>
        <w:pStyle w:val="25"/>
        <w:adjustRightInd w:val="0"/>
        <w:snapToGrid w:val="0"/>
        <w:spacing w:line="440" w:lineRule="atLeast"/>
        <w:ind w:firstLine="440"/>
        <w:jc w:val="center"/>
        <w:rPr>
          <w:rFonts w:hAnsi="宋体"/>
          <w:color w:val="auto"/>
          <w:sz w:val="36"/>
          <w:highlight w:val="none"/>
        </w:rPr>
      </w:pPr>
    </w:p>
    <w:p w14:paraId="334B53FE">
      <w:pPr>
        <w:pStyle w:val="25"/>
        <w:adjustRightInd w:val="0"/>
        <w:snapToGrid w:val="0"/>
        <w:spacing w:line="440" w:lineRule="atLeast"/>
        <w:ind w:firstLine="440"/>
        <w:jc w:val="center"/>
        <w:rPr>
          <w:rFonts w:hAnsi="宋体"/>
          <w:color w:val="auto"/>
          <w:sz w:val="36"/>
          <w:highlight w:val="none"/>
        </w:rPr>
      </w:pPr>
      <w:r>
        <w:rPr>
          <w:rFonts w:hint="eastAsia" w:hAnsi="宋体"/>
          <w:color w:val="auto"/>
          <w:sz w:val="36"/>
          <w:highlight w:val="none"/>
        </w:rPr>
        <w:t>第四部分   政府采购政策功能相关说明</w:t>
      </w:r>
    </w:p>
    <w:p w14:paraId="58AF7919">
      <w:pPr>
        <w:snapToGrid w:val="0"/>
        <w:spacing w:line="46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一、小、微企业（含监狱企业、残疾人福利性单位）扶持政策说明</w:t>
      </w:r>
    </w:p>
    <w:p w14:paraId="42E4BDBC">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1、文件依据</w:t>
      </w:r>
    </w:p>
    <w:p w14:paraId="05A55CE6">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（1）关于印发《政府采购促进中小企业发展管理办法》的通知（财库〔2020〕46号）</w:t>
      </w:r>
    </w:p>
    <w:p w14:paraId="67FA57AD">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（2）浙江省省财政厅《关于开展政府采购供应商网上注册登记和诚信管理工作的通知》（浙财采监〔2010〕8号）</w:t>
      </w:r>
    </w:p>
    <w:p w14:paraId="2B9C0223">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（3）《工业和信息化部、国家统计局、国家发展和改革委员会、财政部关于印发中小企业划型标准规定的通知》（工信部联企业[2011]300号）</w:t>
      </w:r>
    </w:p>
    <w:p w14:paraId="0AEE6ED7">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（4）财政部、司法部《关于政府采购支持监狱企业发展有关问题的通知》（财库〔2014〕68号）</w:t>
      </w:r>
    </w:p>
    <w:p w14:paraId="7640439E">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（5）《财政部 民政部 中国残疾人联合会关于促进残疾人就业政府采购政策的通知》（财库〔2017〕 141号）</w:t>
      </w:r>
    </w:p>
    <w:p w14:paraId="38CF6E5A">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2、在政府采购活动中，供应商提供的货物、工程或者服务符合下列情形的，享受《政府采购促进中小企业发展管理办法》规定的中小企业扶持政策：</w:t>
      </w:r>
    </w:p>
    <w:p w14:paraId="1DC77F6B">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（一）在货物采购项目中，货物由中小企业制造，即货物由中小企业生产且使用该中小企业商号或者注册商标；</w:t>
      </w:r>
    </w:p>
    <w:p w14:paraId="12D7AE72">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（二）在工程采购项目中，工程由中小企业承建，即工程施工单位为中小企业；</w:t>
      </w:r>
    </w:p>
    <w:p w14:paraId="65415DCA">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（三）在服务采购项目中，服务由中小企业承接，即提供服务的人员为中小企业依照《中华人民共和国劳动合同法》订立劳动合同的从业人员。</w:t>
      </w:r>
    </w:p>
    <w:p w14:paraId="1DBC39F4">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在货物采购项目中，供应商提供的货物既有中小企业制造货物，也有大型企业制造货物的，不享受本办法规定的中小企业扶持政策。</w:t>
      </w:r>
    </w:p>
    <w:p w14:paraId="2F4C2689">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以联合体形式参加政府采购活动，联合体各方均为中小企业的，联合体视同中小企业。其中，联合体各方均为小微企业的，联合体视同小微企业。</w:t>
      </w:r>
    </w:p>
    <w:p w14:paraId="7E740A86">
      <w:pPr>
        <w:snapToGrid w:val="0"/>
        <w:spacing w:line="46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3、投标供应商享受小微企业价格折扣应提供以下证明材料（放在报价文件中，</w:t>
      </w:r>
      <w:r>
        <w:rPr>
          <w:rFonts w:ascii="宋体" w:hAnsi="宋体"/>
          <w:color w:val="auto"/>
          <w:kern w:val="0"/>
          <w:sz w:val="22"/>
          <w:szCs w:val="22"/>
          <w:highlight w:val="none"/>
        </w:rPr>
        <w:t>不提供的不享受价格折扣</w:t>
      </w:r>
      <w:r>
        <w:rPr>
          <w:rFonts w:hint="eastAsia" w:ascii="宋体" w:hAnsi="宋体"/>
          <w:color w:val="auto"/>
          <w:kern w:val="0"/>
          <w:sz w:val="22"/>
          <w:szCs w:val="22"/>
          <w:highlight w:val="none"/>
        </w:rPr>
        <w:t>）：</w:t>
      </w:r>
    </w:p>
    <w:p w14:paraId="46ED22B4">
      <w:pPr>
        <w:snapToGrid w:val="0"/>
        <w:spacing w:line="46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w:t>
      </w:r>
      <w:r>
        <w:rPr>
          <w:rFonts w:ascii="宋体" w:hAnsi="宋体"/>
          <w:color w:val="auto"/>
          <w:kern w:val="0"/>
          <w:sz w:val="22"/>
          <w:szCs w:val="22"/>
          <w:highlight w:val="none"/>
        </w:rPr>
        <w:t>1）《中小企业声明函》（加盖投标供应商公章，格式见附件1）</w:t>
      </w:r>
      <w:r>
        <w:rPr>
          <w:rFonts w:hint="eastAsia" w:ascii="宋体" w:hAnsi="宋体"/>
          <w:color w:val="auto"/>
          <w:kern w:val="0"/>
          <w:sz w:val="22"/>
          <w:szCs w:val="22"/>
          <w:highlight w:val="none"/>
        </w:rPr>
        <w:t>；</w:t>
      </w:r>
    </w:p>
    <w:p w14:paraId="2A6D27DB">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4、</w:t>
      </w:r>
      <w:r>
        <w:rPr>
          <w:rFonts w:hint="eastAsia" w:ascii="宋体" w:hAnsi="宋体"/>
          <w:color w:val="auto"/>
          <w:kern w:val="0"/>
          <w:sz w:val="22"/>
          <w:szCs w:val="22"/>
          <w:highlight w:val="none"/>
        </w:rPr>
        <w:t>投标供应商</w:t>
      </w:r>
      <w:r>
        <w:rPr>
          <w:rFonts w:ascii="宋体" w:hAnsi="宋体"/>
          <w:color w:val="auto"/>
          <w:kern w:val="0"/>
          <w:sz w:val="22"/>
          <w:szCs w:val="22"/>
          <w:highlight w:val="none"/>
        </w:rPr>
        <w:t>享受监狱企业价格折扣应提供以下证明材料（</w:t>
      </w:r>
      <w:r>
        <w:rPr>
          <w:rFonts w:hint="eastAsia" w:ascii="宋体" w:hAnsi="宋体"/>
          <w:color w:val="auto"/>
          <w:kern w:val="0"/>
          <w:sz w:val="22"/>
          <w:szCs w:val="22"/>
          <w:highlight w:val="none"/>
        </w:rPr>
        <w:t>放在报价文件中，</w:t>
      </w:r>
      <w:r>
        <w:rPr>
          <w:rFonts w:ascii="宋体" w:hAnsi="宋体"/>
          <w:color w:val="auto"/>
          <w:kern w:val="0"/>
          <w:sz w:val="22"/>
          <w:szCs w:val="22"/>
          <w:highlight w:val="none"/>
        </w:rPr>
        <w:t>不提供的不享受价格折扣）：</w:t>
      </w:r>
    </w:p>
    <w:p w14:paraId="3E6C0F8A">
      <w:pPr>
        <w:snapToGrid w:val="0"/>
        <w:spacing w:line="46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w:t>
      </w:r>
      <w:r>
        <w:rPr>
          <w:rFonts w:ascii="宋体" w:hAnsi="宋体"/>
          <w:color w:val="auto"/>
          <w:kern w:val="0"/>
          <w:sz w:val="22"/>
          <w:szCs w:val="22"/>
          <w:highlight w:val="none"/>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36A2393C">
      <w:pPr>
        <w:snapToGrid w:val="0"/>
        <w:spacing w:line="46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5、</w:t>
      </w:r>
      <w:r>
        <w:rPr>
          <w:rFonts w:hint="eastAsia" w:ascii="宋体" w:hAnsi="宋体"/>
          <w:color w:val="auto"/>
          <w:kern w:val="0"/>
          <w:sz w:val="22"/>
          <w:szCs w:val="22"/>
          <w:highlight w:val="none"/>
        </w:rPr>
        <w:t>投标供应商</w:t>
      </w:r>
      <w:r>
        <w:rPr>
          <w:rFonts w:ascii="宋体" w:hAnsi="宋体"/>
          <w:color w:val="auto"/>
          <w:kern w:val="0"/>
          <w:sz w:val="22"/>
          <w:szCs w:val="22"/>
          <w:highlight w:val="none"/>
        </w:rPr>
        <w:t>享受残疾人福利性单位价格折扣应提供以下证明材料（</w:t>
      </w:r>
      <w:r>
        <w:rPr>
          <w:rFonts w:hint="eastAsia" w:ascii="宋体" w:hAnsi="宋体"/>
          <w:color w:val="auto"/>
          <w:kern w:val="0"/>
          <w:sz w:val="22"/>
          <w:szCs w:val="22"/>
          <w:highlight w:val="none"/>
        </w:rPr>
        <w:t>放在报价文件中</w:t>
      </w:r>
      <w:r>
        <w:rPr>
          <w:rFonts w:ascii="宋体" w:hAnsi="宋体"/>
          <w:color w:val="auto"/>
          <w:kern w:val="0"/>
          <w:sz w:val="22"/>
          <w:szCs w:val="22"/>
          <w:highlight w:val="none"/>
        </w:rPr>
        <w:t>，不提供的不享受价格折扣）：</w:t>
      </w:r>
    </w:p>
    <w:p w14:paraId="770D5937">
      <w:pPr>
        <w:snapToGrid w:val="0"/>
        <w:spacing w:line="46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w:t>
      </w:r>
      <w:r>
        <w:rPr>
          <w:rFonts w:ascii="宋体" w:hAnsi="宋体"/>
          <w:color w:val="auto"/>
          <w:kern w:val="0"/>
          <w:sz w:val="22"/>
          <w:szCs w:val="22"/>
          <w:highlight w:val="none"/>
        </w:rPr>
        <w:t>1）残疾人福利性单位声明函（加盖投标供应商公章，格式见附件</w:t>
      </w:r>
      <w:r>
        <w:rPr>
          <w:rFonts w:hint="eastAsia" w:ascii="宋体" w:hAnsi="宋体"/>
          <w:color w:val="auto"/>
          <w:kern w:val="0"/>
          <w:sz w:val="22"/>
          <w:szCs w:val="22"/>
          <w:highlight w:val="none"/>
        </w:rPr>
        <w:t>2</w:t>
      </w:r>
      <w:r>
        <w:rPr>
          <w:rFonts w:ascii="宋体" w:hAnsi="宋体"/>
          <w:color w:val="auto"/>
          <w:kern w:val="0"/>
          <w:sz w:val="22"/>
          <w:szCs w:val="22"/>
          <w:highlight w:val="none"/>
        </w:rPr>
        <w:t>）</w:t>
      </w:r>
      <w:r>
        <w:rPr>
          <w:rFonts w:hint="eastAsia" w:ascii="宋体" w:hAnsi="宋体"/>
          <w:color w:val="auto"/>
          <w:kern w:val="0"/>
          <w:sz w:val="22"/>
          <w:szCs w:val="22"/>
          <w:highlight w:val="none"/>
        </w:rPr>
        <w:t>。在政府采购活动中，残疾人福利性单位视同小型、微型企业，享受评审中价格扣除政策。</w:t>
      </w:r>
    </w:p>
    <w:p w14:paraId="07C806B8">
      <w:pPr>
        <w:snapToGrid w:val="0"/>
        <w:spacing w:line="460" w:lineRule="exact"/>
        <w:ind w:firstLine="440" w:firstLineChars="200"/>
        <w:rPr>
          <w:rFonts w:ascii="宋体" w:hAnsi="宋体"/>
          <w:color w:val="auto"/>
          <w:kern w:val="0"/>
          <w:sz w:val="22"/>
          <w:szCs w:val="22"/>
          <w:highlight w:val="none"/>
        </w:rPr>
      </w:pPr>
    </w:p>
    <w:p w14:paraId="2B5DA8A2">
      <w:pPr>
        <w:spacing w:line="440" w:lineRule="atLeast"/>
        <w:jc w:val="left"/>
        <w:rPr>
          <w:rFonts w:ascii="宋体" w:hAnsi="宋体" w:cs="等线"/>
          <w:b/>
          <w:color w:val="auto"/>
          <w:kern w:val="0"/>
          <w:sz w:val="22"/>
          <w:szCs w:val="22"/>
          <w:highlight w:val="none"/>
        </w:rPr>
      </w:pPr>
    </w:p>
    <w:p w14:paraId="647A1D9D">
      <w:pPr>
        <w:spacing w:line="440" w:lineRule="atLeast"/>
        <w:jc w:val="left"/>
        <w:rPr>
          <w:rFonts w:ascii="宋体" w:hAnsi="宋体" w:cs="等线"/>
          <w:b/>
          <w:color w:val="auto"/>
          <w:kern w:val="0"/>
          <w:sz w:val="22"/>
          <w:szCs w:val="22"/>
          <w:highlight w:val="none"/>
        </w:rPr>
      </w:pPr>
    </w:p>
    <w:p w14:paraId="427BC1CC">
      <w:pPr>
        <w:spacing w:line="440" w:lineRule="atLeast"/>
        <w:jc w:val="left"/>
        <w:rPr>
          <w:rFonts w:ascii="宋体" w:hAnsi="宋体" w:cs="等线"/>
          <w:b/>
          <w:color w:val="auto"/>
          <w:kern w:val="0"/>
          <w:sz w:val="22"/>
          <w:szCs w:val="22"/>
          <w:highlight w:val="none"/>
        </w:rPr>
      </w:pPr>
    </w:p>
    <w:p w14:paraId="4E53F59B">
      <w:pPr>
        <w:spacing w:line="440" w:lineRule="atLeast"/>
        <w:jc w:val="left"/>
        <w:rPr>
          <w:rFonts w:ascii="宋体" w:hAnsi="宋体" w:cs="等线"/>
          <w:b/>
          <w:color w:val="auto"/>
          <w:kern w:val="0"/>
          <w:sz w:val="22"/>
          <w:szCs w:val="22"/>
          <w:highlight w:val="none"/>
        </w:rPr>
      </w:pPr>
    </w:p>
    <w:p w14:paraId="4D7DCB01">
      <w:pPr>
        <w:spacing w:line="440" w:lineRule="atLeast"/>
        <w:jc w:val="left"/>
        <w:rPr>
          <w:rFonts w:ascii="宋体" w:hAnsi="宋体" w:cs="等线"/>
          <w:b/>
          <w:color w:val="auto"/>
          <w:kern w:val="0"/>
          <w:sz w:val="22"/>
          <w:szCs w:val="22"/>
          <w:highlight w:val="none"/>
        </w:rPr>
      </w:pPr>
    </w:p>
    <w:p w14:paraId="01289402">
      <w:pPr>
        <w:spacing w:line="440" w:lineRule="atLeast"/>
        <w:jc w:val="left"/>
        <w:rPr>
          <w:rFonts w:ascii="宋体" w:hAnsi="宋体" w:cs="等线"/>
          <w:b/>
          <w:color w:val="auto"/>
          <w:kern w:val="0"/>
          <w:sz w:val="22"/>
          <w:szCs w:val="22"/>
          <w:highlight w:val="none"/>
        </w:rPr>
      </w:pPr>
    </w:p>
    <w:p w14:paraId="1B6CCB8D">
      <w:pPr>
        <w:spacing w:line="440" w:lineRule="atLeast"/>
        <w:jc w:val="left"/>
        <w:rPr>
          <w:rFonts w:ascii="宋体" w:hAnsi="宋体" w:cs="等线"/>
          <w:b/>
          <w:color w:val="auto"/>
          <w:kern w:val="0"/>
          <w:sz w:val="22"/>
          <w:szCs w:val="22"/>
          <w:highlight w:val="none"/>
        </w:rPr>
      </w:pPr>
    </w:p>
    <w:p w14:paraId="53303D9D">
      <w:pPr>
        <w:spacing w:line="440" w:lineRule="atLeast"/>
        <w:jc w:val="left"/>
        <w:rPr>
          <w:rFonts w:ascii="宋体" w:hAnsi="宋体" w:cs="等线"/>
          <w:b/>
          <w:color w:val="auto"/>
          <w:kern w:val="0"/>
          <w:sz w:val="22"/>
          <w:szCs w:val="22"/>
          <w:highlight w:val="none"/>
        </w:rPr>
      </w:pPr>
    </w:p>
    <w:p w14:paraId="4B6EABEE">
      <w:pPr>
        <w:spacing w:line="440" w:lineRule="atLeast"/>
        <w:jc w:val="left"/>
        <w:rPr>
          <w:rFonts w:ascii="宋体" w:hAnsi="宋体" w:cs="等线"/>
          <w:b/>
          <w:color w:val="auto"/>
          <w:kern w:val="0"/>
          <w:sz w:val="22"/>
          <w:szCs w:val="22"/>
          <w:highlight w:val="none"/>
        </w:rPr>
      </w:pPr>
    </w:p>
    <w:p w14:paraId="40ED186B">
      <w:pPr>
        <w:spacing w:line="440" w:lineRule="atLeast"/>
        <w:jc w:val="left"/>
        <w:rPr>
          <w:rFonts w:ascii="宋体" w:hAnsi="宋体" w:cs="等线"/>
          <w:b/>
          <w:color w:val="auto"/>
          <w:kern w:val="0"/>
          <w:sz w:val="22"/>
          <w:szCs w:val="22"/>
          <w:highlight w:val="none"/>
        </w:rPr>
      </w:pPr>
    </w:p>
    <w:p w14:paraId="468F4D11">
      <w:pPr>
        <w:spacing w:line="440" w:lineRule="atLeast"/>
        <w:jc w:val="left"/>
        <w:rPr>
          <w:rFonts w:ascii="宋体" w:hAnsi="宋体" w:cs="等线"/>
          <w:b/>
          <w:color w:val="auto"/>
          <w:kern w:val="0"/>
          <w:sz w:val="22"/>
          <w:szCs w:val="22"/>
          <w:highlight w:val="none"/>
        </w:rPr>
      </w:pPr>
    </w:p>
    <w:p w14:paraId="6538893F">
      <w:pPr>
        <w:spacing w:line="440" w:lineRule="atLeast"/>
        <w:jc w:val="left"/>
        <w:rPr>
          <w:rFonts w:ascii="宋体" w:hAnsi="宋体" w:cs="等线"/>
          <w:b/>
          <w:color w:val="auto"/>
          <w:kern w:val="0"/>
          <w:sz w:val="22"/>
          <w:szCs w:val="22"/>
          <w:highlight w:val="none"/>
        </w:rPr>
      </w:pPr>
    </w:p>
    <w:p w14:paraId="35BBB9DF">
      <w:pPr>
        <w:spacing w:line="440" w:lineRule="atLeast"/>
        <w:jc w:val="left"/>
        <w:rPr>
          <w:rFonts w:ascii="宋体" w:hAnsi="宋体" w:cs="等线"/>
          <w:b/>
          <w:color w:val="auto"/>
          <w:kern w:val="0"/>
          <w:sz w:val="22"/>
          <w:szCs w:val="22"/>
          <w:highlight w:val="none"/>
        </w:rPr>
      </w:pPr>
    </w:p>
    <w:p w14:paraId="7E14BF60">
      <w:pPr>
        <w:spacing w:line="440" w:lineRule="atLeast"/>
        <w:jc w:val="left"/>
        <w:rPr>
          <w:rFonts w:ascii="宋体" w:hAnsi="宋体" w:cs="等线"/>
          <w:b/>
          <w:color w:val="auto"/>
          <w:kern w:val="0"/>
          <w:sz w:val="22"/>
          <w:szCs w:val="22"/>
          <w:highlight w:val="none"/>
        </w:rPr>
      </w:pPr>
    </w:p>
    <w:p w14:paraId="17E4A322">
      <w:pPr>
        <w:spacing w:line="440" w:lineRule="atLeast"/>
        <w:jc w:val="left"/>
        <w:rPr>
          <w:rFonts w:ascii="宋体" w:hAnsi="宋体" w:cs="等线"/>
          <w:b/>
          <w:color w:val="auto"/>
          <w:kern w:val="0"/>
          <w:sz w:val="22"/>
          <w:szCs w:val="22"/>
          <w:highlight w:val="none"/>
        </w:rPr>
      </w:pPr>
    </w:p>
    <w:p w14:paraId="4AB5FAC4">
      <w:pPr>
        <w:spacing w:line="440" w:lineRule="atLeast"/>
        <w:jc w:val="left"/>
        <w:rPr>
          <w:rFonts w:ascii="宋体" w:hAnsi="宋体" w:cs="等线"/>
          <w:b/>
          <w:color w:val="auto"/>
          <w:kern w:val="0"/>
          <w:sz w:val="22"/>
          <w:szCs w:val="22"/>
          <w:highlight w:val="none"/>
        </w:rPr>
      </w:pPr>
    </w:p>
    <w:p w14:paraId="1635331D">
      <w:pPr>
        <w:spacing w:line="440" w:lineRule="atLeast"/>
        <w:jc w:val="left"/>
        <w:rPr>
          <w:rFonts w:ascii="宋体" w:hAnsi="宋体" w:cs="等线"/>
          <w:b/>
          <w:color w:val="auto"/>
          <w:kern w:val="0"/>
          <w:sz w:val="22"/>
          <w:szCs w:val="22"/>
          <w:highlight w:val="none"/>
        </w:rPr>
      </w:pPr>
    </w:p>
    <w:p w14:paraId="1508B4C1">
      <w:pPr>
        <w:spacing w:line="440" w:lineRule="atLeast"/>
        <w:jc w:val="left"/>
        <w:rPr>
          <w:rFonts w:ascii="宋体" w:hAnsi="宋体" w:cs="等线"/>
          <w:b/>
          <w:color w:val="auto"/>
          <w:kern w:val="0"/>
          <w:sz w:val="22"/>
          <w:szCs w:val="22"/>
          <w:highlight w:val="none"/>
        </w:rPr>
      </w:pPr>
    </w:p>
    <w:p w14:paraId="25490952">
      <w:pPr>
        <w:spacing w:line="440" w:lineRule="atLeast"/>
        <w:jc w:val="left"/>
        <w:rPr>
          <w:rFonts w:ascii="宋体" w:hAnsi="宋体" w:cs="等线"/>
          <w:b/>
          <w:color w:val="auto"/>
          <w:kern w:val="0"/>
          <w:sz w:val="22"/>
          <w:szCs w:val="22"/>
          <w:highlight w:val="none"/>
        </w:rPr>
      </w:pPr>
    </w:p>
    <w:p w14:paraId="7C4E49DE">
      <w:pPr>
        <w:spacing w:line="440" w:lineRule="atLeast"/>
        <w:jc w:val="left"/>
        <w:rPr>
          <w:rFonts w:ascii="宋体" w:hAnsi="宋体" w:cs="等线"/>
          <w:b/>
          <w:color w:val="auto"/>
          <w:kern w:val="0"/>
          <w:sz w:val="22"/>
          <w:szCs w:val="22"/>
          <w:highlight w:val="none"/>
        </w:rPr>
      </w:pPr>
    </w:p>
    <w:p w14:paraId="7F546964">
      <w:pPr>
        <w:spacing w:line="440" w:lineRule="atLeast"/>
        <w:jc w:val="left"/>
        <w:rPr>
          <w:rFonts w:ascii="宋体" w:hAnsi="宋体" w:cs="等线"/>
          <w:b/>
          <w:color w:val="auto"/>
          <w:kern w:val="0"/>
          <w:sz w:val="22"/>
          <w:szCs w:val="22"/>
          <w:highlight w:val="none"/>
        </w:rPr>
      </w:pPr>
    </w:p>
    <w:p w14:paraId="15382E54">
      <w:pPr>
        <w:spacing w:line="440" w:lineRule="atLeast"/>
        <w:jc w:val="left"/>
        <w:rPr>
          <w:rFonts w:ascii="宋体" w:hAnsi="宋体" w:cs="等线"/>
          <w:b/>
          <w:color w:val="auto"/>
          <w:kern w:val="0"/>
          <w:sz w:val="22"/>
          <w:szCs w:val="22"/>
          <w:highlight w:val="none"/>
        </w:rPr>
      </w:pPr>
    </w:p>
    <w:p w14:paraId="39C5BCE9">
      <w:pPr>
        <w:spacing w:line="440" w:lineRule="atLeast"/>
        <w:jc w:val="left"/>
        <w:rPr>
          <w:rFonts w:ascii="宋体" w:hAnsi="宋体" w:cs="等线"/>
          <w:b/>
          <w:color w:val="auto"/>
          <w:kern w:val="0"/>
          <w:sz w:val="22"/>
          <w:szCs w:val="22"/>
          <w:highlight w:val="none"/>
        </w:rPr>
      </w:pPr>
    </w:p>
    <w:p w14:paraId="5D9B660F">
      <w:pPr>
        <w:spacing w:line="440" w:lineRule="atLeast"/>
        <w:jc w:val="left"/>
        <w:rPr>
          <w:rFonts w:ascii="宋体" w:hAnsi="宋体" w:cs="等线"/>
          <w:b/>
          <w:color w:val="auto"/>
          <w:kern w:val="0"/>
          <w:sz w:val="22"/>
          <w:szCs w:val="22"/>
          <w:highlight w:val="none"/>
        </w:rPr>
      </w:pPr>
    </w:p>
    <w:p w14:paraId="64A1B0EB">
      <w:pPr>
        <w:spacing w:line="440" w:lineRule="atLeast"/>
        <w:jc w:val="left"/>
        <w:rPr>
          <w:rFonts w:ascii="宋体" w:hAnsi="宋体" w:cs="等线"/>
          <w:b/>
          <w:color w:val="auto"/>
          <w:kern w:val="0"/>
          <w:sz w:val="22"/>
          <w:szCs w:val="22"/>
          <w:highlight w:val="none"/>
        </w:rPr>
      </w:pPr>
    </w:p>
    <w:p w14:paraId="1C72CDA2">
      <w:pPr>
        <w:spacing w:line="440" w:lineRule="atLeast"/>
        <w:jc w:val="left"/>
        <w:rPr>
          <w:rFonts w:ascii="宋体" w:hAnsi="宋体" w:cs="等线"/>
          <w:b/>
          <w:color w:val="auto"/>
          <w:kern w:val="0"/>
          <w:sz w:val="22"/>
          <w:szCs w:val="22"/>
          <w:highlight w:val="none"/>
        </w:rPr>
      </w:pPr>
    </w:p>
    <w:p w14:paraId="1496A603">
      <w:pPr>
        <w:spacing w:line="440" w:lineRule="atLeast"/>
        <w:jc w:val="left"/>
        <w:rPr>
          <w:rFonts w:ascii="宋体" w:hAnsi="宋体"/>
          <w:color w:val="auto"/>
          <w:sz w:val="24"/>
          <w:highlight w:val="none"/>
        </w:rPr>
      </w:pPr>
      <w:r>
        <w:rPr>
          <w:rFonts w:hint="eastAsia" w:ascii="宋体" w:hAnsi="宋体"/>
          <w:color w:val="auto"/>
          <w:sz w:val="22"/>
          <w:highlight w:val="none"/>
        </w:rPr>
        <w:t>附件1：</w:t>
      </w:r>
    </w:p>
    <w:p w14:paraId="44A0F6A0">
      <w:pPr>
        <w:spacing w:line="460" w:lineRule="atLeast"/>
        <w:jc w:val="center"/>
        <w:rPr>
          <w:rFonts w:ascii="宋体" w:hAnsi="宋体"/>
          <w:color w:val="auto"/>
          <w:sz w:val="22"/>
          <w:highlight w:val="none"/>
        </w:rPr>
      </w:pPr>
      <w:r>
        <w:rPr>
          <w:rFonts w:hint="eastAsia" w:ascii="宋体" w:hAnsi="宋体"/>
          <w:color w:val="auto"/>
          <w:sz w:val="22"/>
          <w:highlight w:val="none"/>
        </w:rPr>
        <w:t>中小企业声明函（服务类）</w:t>
      </w:r>
    </w:p>
    <w:p w14:paraId="15E88712">
      <w:pPr>
        <w:spacing w:line="460" w:lineRule="atLeast"/>
        <w:jc w:val="left"/>
        <w:rPr>
          <w:rFonts w:ascii="宋体" w:hAnsi="宋体"/>
          <w:color w:val="auto"/>
          <w:sz w:val="22"/>
          <w:highlight w:val="none"/>
        </w:rPr>
      </w:pPr>
      <w:r>
        <w:rPr>
          <w:rFonts w:hint="eastAsia" w:ascii="宋体" w:hAnsi="宋体"/>
          <w:color w:val="auto"/>
          <w:sz w:val="22"/>
          <w:highlight w:val="none"/>
        </w:rPr>
        <w:t xml:space="preserve">     本公司（联合体）郑重声明，根据《政府采购促进中小企业发展管理办法》（财库﹝2020﹞46 号）的规定，本公司（联合体）参加</w:t>
      </w:r>
      <w:r>
        <w:rPr>
          <w:rFonts w:hint="eastAsia" w:ascii="宋体" w:hAnsi="宋体"/>
          <w:color w:val="auto"/>
          <w:sz w:val="22"/>
          <w:highlight w:val="none"/>
          <w:u w:val="single"/>
        </w:rPr>
        <w:t>（单位名称）</w:t>
      </w:r>
      <w:r>
        <w:rPr>
          <w:rFonts w:hint="eastAsia" w:ascii="宋体" w:hAnsi="宋体"/>
          <w:color w:val="auto"/>
          <w:sz w:val="22"/>
          <w:highlight w:val="none"/>
        </w:rPr>
        <w:t>的</w:t>
      </w:r>
      <w:r>
        <w:rPr>
          <w:rFonts w:hint="eastAsia" w:ascii="宋体" w:hAnsi="宋体"/>
          <w:color w:val="auto"/>
          <w:sz w:val="22"/>
          <w:highlight w:val="none"/>
          <w:u w:val="single"/>
        </w:rPr>
        <w:t>（项目名称）</w:t>
      </w:r>
      <w:r>
        <w:rPr>
          <w:rFonts w:hint="eastAsia" w:ascii="宋体" w:hAnsi="宋体"/>
          <w:color w:val="auto"/>
          <w:sz w:val="22"/>
          <w:highlight w:val="none"/>
        </w:rPr>
        <w:t>采购活动，服务全部由符合政策要求的中小企业承接。相关企业（含联合体中的中小企业、签订分包意向协议的中小企业）的具体情况如下：</w:t>
      </w:r>
    </w:p>
    <w:p w14:paraId="5E30229D">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 xml:space="preserve">1. </w:t>
      </w:r>
      <w:r>
        <w:rPr>
          <w:rFonts w:hint="eastAsia" w:ascii="宋体" w:hAnsi="宋体"/>
          <w:color w:val="auto"/>
          <w:sz w:val="22"/>
          <w:highlight w:val="none"/>
          <w:u w:val="single"/>
        </w:rPr>
        <w:t xml:space="preserve">（标的名称） </w:t>
      </w:r>
      <w:r>
        <w:rPr>
          <w:rFonts w:hint="eastAsia" w:ascii="宋体" w:hAnsi="宋体"/>
          <w:color w:val="auto"/>
          <w:sz w:val="22"/>
          <w:highlight w:val="none"/>
        </w:rPr>
        <w:t>，属于（</w:t>
      </w:r>
      <w:r>
        <w:rPr>
          <w:rFonts w:hint="eastAsia" w:ascii="宋体" w:hAnsi="宋体"/>
          <w:color w:val="auto"/>
          <w:sz w:val="22"/>
          <w:highlight w:val="none"/>
          <w:u w:val="single"/>
        </w:rPr>
        <w:t>采购文件中明确的所属行业</w:t>
      </w:r>
      <w:r>
        <w:rPr>
          <w:rFonts w:hint="eastAsia" w:ascii="宋体" w:hAnsi="宋体"/>
          <w:color w:val="auto"/>
          <w:sz w:val="22"/>
          <w:highlight w:val="none"/>
        </w:rPr>
        <w:t>）；承接企业为</w:t>
      </w:r>
      <w:r>
        <w:rPr>
          <w:rFonts w:hint="eastAsia" w:ascii="宋体" w:hAnsi="宋体"/>
          <w:color w:val="auto"/>
          <w:sz w:val="22"/>
          <w:highlight w:val="none"/>
          <w:u w:val="single"/>
        </w:rPr>
        <w:t>（企业名称）</w:t>
      </w:r>
      <w:r>
        <w:rPr>
          <w:rFonts w:hint="eastAsia" w:ascii="宋体" w:hAnsi="宋体"/>
          <w:color w:val="auto"/>
          <w:sz w:val="22"/>
          <w:highlight w:val="none"/>
        </w:rPr>
        <w:t>，从业人员</w:t>
      </w:r>
      <w:r>
        <w:rPr>
          <w:rFonts w:hint="eastAsia" w:ascii="宋体" w:hAnsi="宋体"/>
          <w:color w:val="auto"/>
          <w:sz w:val="22"/>
          <w:highlight w:val="none"/>
          <w:u w:val="single"/>
        </w:rPr>
        <w:t xml:space="preserve">       </w:t>
      </w:r>
      <w:r>
        <w:rPr>
          <w:rFonts w:hint="eastAsia" w:ascii="宋体" w:hAnsi="宋体"/>
          <w:color w:val="auto"/>
          <w:sz w:val="22"/>
          <w:highlight w:val="none"/>
        </w:rPr>
        <w:t>人，营业收入为</w:t>
      </w:r>
      <w:r>
        <w:rPr>
          <w:rFonts w:hint="eastAsia" w:ascii="宋体" w:hAnsi="宋体"/>
          <w:color w:val="auto"/>
          <w:sz w:val="22"/>
          <w:highlight w:val="none"/>
          <w:u w:val="single"/>
        </w:rPr>
        <w:t xml:space="preserve">       </w:t>
      </w:r>
      <w:r>
        <w:rPr>
          <w:rFonts w:hint="eastAsia" w:ascii="宋体" w:hAnsi="宋体"/>
          <w:color w:val="auto"/>
          <w:sz w:val="22"/>
          <w:highlight w:val="none"/>
        </w:rPr>
        <w:t>万元，资产总额为</w:t>
      </w:r>
      <w:r>
        <w:rPr>
          <w:rFonts w:hint="eastAsia" w:ascii="宋体" w:hAnsi="宋体"/>
          <w:color w:val="auto"/>
          <w:sz w:val="22"/>
          <w:highlight w:val="none"/>
          <w:u w:val="single"/>
        </w:rPr>
        <w:t xml:space="preserve">       </w:t>
      </w:r>
      <w:r>
        <w:rPr>
          <w:rFonts w:hint="eastAsia" w:ascii="宋体" w:hAnsi="宋体"/>
          <w:color w:val="auto"/>
          <w:sz w:val="22"/>
          <w:highlight w:val="none"/>
        </w:rPr>
        <w:t>万元</w:t>
      </w:r>
      <w:r>
        <w:rPr>
          <w:rFonts w:hint="eastAsia" w:ascii="宋体" w:hAnsi="宋体"/>
          <w:color w:val="auto"/>
          <w:sz w:val="22"/>
          <w:highlight w:val="none"/>
          <w:vertAlign w:val="superscript"/>
        </w:rPr>
        <w:t>1</w:t>
      </w:r>
      <w:r>
        <w:rPr>
          <w:rFonts w:hint="eastAsia" w:ascii="宋体" w:hAnsi="宋体"/>
          <w:color w:val="auto"/>
          <w:sz w:val="22"/>
          <w:highlight w:val="none"/>
        </w:rPr>
        <w:t>，属于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566ED332">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 xml:space="preserve">2. </w:t>
      </w:r>
      <w:r>
        <w:rPr>
          <w:rFonts w:hint="eastAsia" w:ascii="宋体" w:hAnsi="宋体"/>
          <w:color w:val="auto"/>
          <w:sz w:val="22"/>
          <w:highlight w:val="none"/>
          <w:u w:val="single"/>
        </w:rPr>
        <w:t xml:space="preserve">（标的名称） </w:t>
      </w:r>
      <w:r>
        <w:rPr>
          <w:rFonts w:hint="eastAsia" w:ascii="宋体" w:hAnsi="宋体"/>
          <w:color w:val="auto"/>
          <w:sz w:val="22"/>
          <w:highlight w:val="none"/>
        </w:rPr>
        <w:t>，属于</w:t>
      </w:r>
      <w:r>
        <w:rPr>
          <w:rFonts w:hint="eastAsia" w:ascii="宋体" w:hAnsi="宋体"/>
          <w:color w:val="auto"/>
          <w:sz w:val="22"/>
          <w:highlight w:val="none"/>
          <w:u w:val="single"/>
        </w:rPr>
        <w:t>（采购文件中明确的所属行业）</w:t>
      </w:r>
      <w:r>
        <w:rPr>
          <w:rFonts w:hint="eastAsia" w:ascii="宋体" w:hAnsi="宋体"/>
          <w:color w:val="auto"/>
          <w:sz w:val="22"/>
          <w:highlight w:val="none"/>
        </w:rPr>
        <w:t>；承接企业为</w:t>
      </w:r>
      <w:r>
        <w:rPr>
          <w:rFonts w:hint="eastAsia" w:ascii="宋体" w:hAnsi="宋体"/>
          <w:color w:val="auto"/>
          <w:sz w:val="22"/>
          <w:highlight w:val="none"/>
          <w:u w:val="single"/>
        </w:rPr>
        <w:t>（企业名称）</w:t>
      </w:r>
      <w:r>
        <w:rPr>
          <w:rFonts w:hint="eastAsia" w:ascii="宋体" w:hAnsi="宋体"/>
          <w:color w:val="auto"/>
          <w:sz w:val="22"/>
          <w:highlight w:val="none"/>
        </w:rPr>
        <w:t>，从业人员</w:t>
      </w:r>
      <w:r>
        <w:rPr>
          <w:rFonts w:hint="eastAsia" w:ascii="宋体" w:hAnsi="宋体"/>
          <w:color w:val="auto"/>
          <w:sz w:val="22"/>
          <w:highlight w:val="none"/>
          <w:u w:val="single"/>
        </w:rPr>
        <w:t xml:space="preserve">       </w:t>
      </w:r>
      <w:r>
        <w:rPr>
          <w:rFonts w:hint="eastAsia" w:ascii="宋体" w:hAnsi="宋体"/>
          <w:color w:val="auto"/>
          <w:sz w:val="22"/>
          <w:highlight w:val="none"/>
        </w:rPr>
        <w:t>人，营业收入为</w:t>
      </w:r>
      <w:r>
        <w:rPr>
          <w:rFonts w:hint="eastAsia" w:ascii="宋体" w:hAnsi="宋体"/>
          <w:color w:val="auto"/>
          <w:sz w:val="22"/>
          <w:highlight w:val="none"/>
          <w:u w:val="single"/>
        </w:rPr>
        <w:t xml:space="preserve">       </w:t>
      </w:r>
      <w:r>
        <w:rPr>
          <w:rFonts w:hint="eastAsia" w:ascii="宋体" w:hAnsi="宋体"/>
          <w:color w:val="auto"/>
          <w:sz w:val="22"/>
          <w:highlight w:val="none"/>
        </w:rPr>
        <w:t>万元，资产总额为</w:t>
      </w:r>
      <w:r>
        <w:rPr>
          <w:rFonts w:hint="eastAsia" w:ascii="宋体" w:hAnsi="宋体"/>
          <w:color w:val="auto"/>
          <w:sz w:val="22"/>
          <w:highlight w:val="none"/>
          <w:u w:val="single"/>
        </w:rPr>
        <w:t xml:space="preserve">       </w:t>
      </w:r>
      <w:r>
        <w:rPr>
          <w:rFonts w:hint="eastAsia" w:ascii="宋体" w:hAnsi="宋体"/>
          <w:color w:val="auto"/>
          <w:sz w:val="22"/>
          <w:highlight w:val="none"/>
        </w:rPr>
        <w:t>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1E940D51">
      <w:pPr>
        <w:spacing w:line="460" w:lineRule="atLeast"/>
        <w:ind w:firstLine="880" w:firstLineChars="400"/>
        <w:rPr>
          <w:rFonts w:ascii="宋体" w:hAnsi="宋体"/>
          <w:color w:val="auto"/>
          <w:sz w:val="22"/>
          <w:highlight w:val="none"/>
        </w:rPr>
      </w:pPr>
      <w:r>
        <w:rPr>
          <w:rFonts w:hint="eastAsia" w:ascii="宋体" w:hAnsi="宋体"/>
          <w:color w:val="auto"/>
          <w:sz w:val="22"/>
          <w:highlight w:val="none"/>
        </w:rPr>
        <w:t>……</w:t>
      </w:r>
    </w:p>
    <w:p w14:paraId="1B8BC9D5">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以上企业，不属于大企业的分支机构，不存在控股股东为大企业的情形，也不存在与大企业的负责人为同一人的情形。</w:t>
      </w:r>
    </w:p>
    <w:p w14:paraId="06BFBAA9">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本企业对上述声明内容的真实性负责。如有虚假，将依法承担相应责任。</w:t>
      </w:r>
    </w:p>
    <w:p w14:paraId="5616A9A3">
      <w:pPr>
        <w:spacing w:line="460" w:lineRule="atLeast"/>
        <w:ind w:firstLine="4180" w:firstLineChars="1900"/>
        <w:rPr>
          <w:rFonts w:ascii="宋体" w:hAnsi="宋体"/>
          <w:color w:val="auto"/>
          <w:sz w:val="22"/>
          <w:highlight w:val="none"/>
        </w:rPr>
      </w:pPr>
      <w:r>
        <w:rPr>
          <w:rFonts w:hint="eastAsia" w:ascii="宋体" w:hAnsi="宋体"/>
          <w:color w:val="auto"/>
          <w:sz w:val="22"/>
          <w:highlight w:val="none"/>
        </w:rPr>
        <w:t>企业名称（盖章）：</w:t>
      </w:r>
    </w:p>
    <w:p w14:paraId="13081C90">
      <w:pPr>
        <w:spacing w:line="460" w:lineRule="atLeast"/>
        <w:ind w:firstLine="4180" w:firstLineChars="1900"/>
        <w:rPr>
          <w:rFonts w:ascii="宋体" w:hAnsi="宋体"/>
          <w:color w:val="auto"/>
          <w:sz w:val="22"/>
          <w:highlight w:val="none"/>
        </w:rPr>
      </w:pPr>
      <w:r>
        <w:rPr>
          <w:rFonts w:hint="eastAsia" w:ascii="宋体" w:hAnsi="宋体"/>
          <w:color w:val="auto"/>
          <w:sz w:val="22"/>
          <w:highlight w:val="none"/>
        </w:rPr>
        <w:t>日期：</w:t>
      </w:r>
    </w:p>
    <w:p w14:paraId="2730A842">
      <w:pPr>
        <w:spacing w:line="460" w:lineRule="exact"/>
        <w:rPr>
          <w:rFonts w:ascii="宋体" w:hAnsi="宋体"/>
          <w:color w:val="auto"/>
          <w:sz w:val="22"/>
          <w:highlight w:val="none"/>
        </w:rPr>
      </w:pPr>
      <w:r>
        <w:rPr>
          <w:rFonts w:hint="eastAsia" w:ascii="宋体" w:hAnsi="宋体"/>
          <w:color w:val="auto"/>
          <w:sz w:val="22"/>
          <w:highlight w:val="none"/>
        </w:rPr>
        <w:t>说明：</w:t>
      </w:r>
    </w:p>
    <w:p w14:paraId="19A5A006">
      <w:pPr>
        <w:spacing w:line="460" w:lineRule="exact"/>
        <w:ind w:firstLine="440" w:firstLineChars="200"/>
        <w:rPr>
          <w:rFonts w:ascii="宋体" w:hAnsi="宋体"/>
          <w:color w:val="auto"/>
          <w:sz w:val="22"/>
          <w:highlight w:val="none"/>
        </w:rPr>
      </w:pPr>
      <w:r>
        <w:rPr>
          <w:rFonts w:hint="eastAsia" w:ascii="宋体" w:hAnsi="宋体"/>
          <w:color w:val="auto"/>
          <w:sz w:val="22"/>
          <w:highlight w:val="none"/>
        </w:rPr>
        <w:t>1、从业人员、营业收入、资产总额填报上一年度数据，无上一年度数据的新成立企业可不填报。</w:t>
      </w:r>
    </w:p>
    <w:p w14:paraId="0A7266F5">
      <w:pPr>
        <w:spacing w:line="460" w:lineRule="exact"/>
        <w:ind w:firstLine="440" w:firstLineChars="200"/>
        <w:rPr>
          <w:rFonts w:ascii="宋体" w:hAnsi="宋体"/>
          <w:color w:val="auto"/>
          <w:sz w:val="22"/>
          <w:highlight w:val="none"/>
        </w:rPr>
      </w:pPr>
      <w:r>
        <w:rPr>
          <w:rFonts w:hint="eastAsia" w:ascii="宋体" w:hAnsi="宋体"/>
          <w:color w:val="auto"/>
          <w:sz w:val="22"/>
          <w:highlight w:val="none"/>
        </w:rPr>
        <w:t>2、如中标，将在中标公告中将此中小企业声明函予以公示，接受社会监督。</w:t>
      </w:r>
    </w:p>
    <w:p w14:paraId="75311705">
      <w:pPr>
        <w:spacing w:line="460" w:lineRule="exact"/>
        <w:rPr>
          <w:rFonts w:ascii="宋体" w:hAnsi="宋体"/>
          <w:color w:val="auto"/>
          <w:sz w:val="22"/>
          <w:highlight w:val="none"/>
        </w:rPr>
      </w:pPr>
    </w:p>
    <w:p w14:paraId="217B1522">
      <w:pPr>
        <w:spacing w:line="460" w:lineRule="exact"/>
        <w:rPr>
          <w:rFonts w:ascii="宋体" w:hAnsi="宋体"/>
          <w:color w:val="auto"/>
          <w:sz w:val="22"/>
          <w:highlight w:val="none"/>
        </w:rPr>
      </w:pPr>
    </w:p>
    <w:p w14:paraId="499E4A3C">
      <w:pPr>
        <w:spacing w:line="440" w:lineRule="atLeast"/>
        <w:jc w:val="left"/>
        <w:rPr>
          <w:rFonts w:ascii="宋体" w:hAnsi="宋体"/>
          <w:color w:val="auto"/>
          <w:sz w:val="22"/>
          <w:highlight w:val="none"/>
        </w:rPr>
      </w:pPr>
    </w:p>
    <w:p w14:paraId="28D11A0F">
      <w:pPr>
        <w:spacing w:line="440" w:lineRule="atLeast"/>
        <w:jc w:val="left"/>
        <w:rPr>
          <w:rFonts w:ascii="宋体" w:hAnsi="宋体"/>
          <w:color w:val="auto"/>
          <w:sz w:val="22"/>
          <w:highlight w:val="none"/>
        </w:rPr>
      </w:pPr>
    </w:p>
    <w:p w14:paraId="0EE3D92A">
      <w:pPr>
        <w:spacing w:line="460" w:lineRule="exact"/>
        <w:rPr>
          <w:rFonts w:ascii="宋体" w:hAnsi="宋体"/>
          <w:color w:val="auto"/>
          <w:sz w:val="22"/>
          <w:highlight w:val="none"/>
        </w:rPr>
      </w:pPr>
    </w:p>
    <w:p w14:paraId="3DDBD3D0">
      <w:pPr>
        <w:spacing w:line="460" w:lineRule="exact"/>
        <w:rPr>
          <w:rFonts w:ascii="宋体" w:hAnsi="宋体"/>
          <w:color w:val="auto"/>
          <w:sz w:val="22"/>
          <w:highlight w:val="none"/>
        </w:rPr>
      </w:pPr>
    </w:p>
    <w:p w14:paraId="4166283A">
      <w:pPr>
        <w:snapToGrid w:val="0"/>
        <w:spacing w:line="420" w:lineRule="exact"/>
        <w:rPr>
          <w:rFonts w:ascii="宋体" w:hAnsi="宋体"/>
          <w:color w:val="auto"/>
          <w:sz w:val="22"/>
          <w:highlight w:val="none"/>
        </w:rPr>
      </w:pPr>
    </w:p>
    <w:p w14:paraId="6A494F92">
      <w:pPr>
        <w:spacing w:line="440" w:lineRule="atLeast"/>
        <w:jc w:val="left"/>
        <w:rPr>
          <w:rFonts w:ascii="宋体" w:hAnsi="宋体"/>
          <w:color w:val="auto"/>
          <w:kern w:val="0"/>
          <w:sz w:val="22"/>
          <w:szCs w:val="22"/>
          <w:highlight w:val="none"/>
        </w:rPr>
      </w:pPr>
    </w:p>
    <w:p w14:paraId="4047AE4C">
      <w:pPr>
        <w:spacing w:line="440" w:lineRule="atLeast"/>
        <w:jc w:val="left"/>
        <w:rPr>
          <w:rFonts w:ascii="宋体" w:hAnsi="宋体"/>
          <w:color w:val="auto"/>
          <w:kern w:val="0"/>
          <w:sz w:val="22"/>
          <w:szCs w:val="22"/>
          <w:highlight w:val="none"/>
        </w:rPr>
      </w:pPr>
    </w:p>
    <w:p w14:paraId="74481B9E">
      <w:pPr>
        <w:spacing w:line="440" w:lineRule="atLeast"/>
        <w:jc w:val="left"/>
        <w:rPr>
          <w:rFonts w:ascii="宋体" w:hAnsi="宋体"/>
          <w:color w:val="auto"/>
          <w:kern w:val="0"/>
          <w:sz w:val="22"/>
          <w:szCs w:val="22"/>
          <w:highlight w:val="none"/>
        </w:rPr>
      </w:pPr>
    </w:p>
    <w:p w14:paraId="7782B6A7">
      <w:pPr>
        <w:spacing w:line="440" w:lineRule="atLeast"/>
        <w:jc w:val="left"/>
        <w:rPr>
          <w:rFonts w:ascii="宋体" w:hAnsi="宋体"/>
          <w:color w:val="auto"/>
          <w:kern w:val="0"/>
          <w:sz w:val="22"/>
          <w:szCs w:val="22"/>
          <w:highlight w:val="none"/>
        </w:rPr>
      </w:pPr>
    </w:p>
    <w:p w14:paraId="414D4D5C">
      <w:pPr>
        <w:spacing w:line="460" w:lineRule="atLeast"/>
        <w:rPr>
          <w:rFonts w:ascii="宋体" w:hAnsi="宋体"/>
          <w:color w:val="auto"/>
          <w:kern w:val="0"/>
          <w:sz w:val="22"/>
          <w:szCs w:val="22"/>
          <w:highlight w:val="none"/>
        </w:rPr>
      </w:pPr>
    </w:p>
    <w:p w14:paraId="4848AC97">
      <w:pPr>
        <w:spacing w:line="460" w:lineRule="exact"/>
        <w:rPr>
          <w:rFonts w:ascii="宋体" w:hAnsi="宋体"/>
          <w:color w:val="auto"/>
          <w:sz w:val="22"/>
          <w:highlight w:val="none"/>
        </w:rPr>
      </w:pPr>
      <w:bookmarkStart w:id="79" w:name="_Toc493530212"/>
      <w:r>
        <w:rPr>
          <w:rFonts w:hint="eastAsia" w:ascii="宋体" w:hAnsi="宋体"/>
          <w:color w:val="auto"/>
          <w:sz w:val="22"/>
          <w:highlight w:val="none"/>
        </w:rPr>
        <w:t>附件2</w:t>
      </w:r>
    </w:p>
    <w:p w14:paraId="00600758">
      <w:pPr>
        <w:spacing w:line="460" w:lineRule="exact"/>
        <w:jc w:val="center"/>
        <w:rPr>
          <w:rFonts w:ascii="宋体" w:hAnsi="宋体"/>
          <w:color w:val="auto"/>
          <w:sz w:val="22"/>
          <w:highlight w:val="none"/>
        </w:rPr>
      </w:pPr>
      <w:r>
        <w:rPr>
          <w:rFonts w:hint="eastAsia" w:ascii="宋体" w:hAnsi="宋体"/>
          <w:color w:val="auto"/>
          <w:sz w:val="22"/>
          <w:highlight w:val="none"/>
        </w:rPr>
        <w:t>残疾人福利性单位声明函</w:t>
      </w:r>
    </w:p>
    <w:p w14:paraId="7C24903D">
      <w:pPr>
        <w:spacing w:line="460" w:lineRule="exact"/>
        <w:rPr>
          <w:rFonts w:ascii="宋体" w:hAnsi="宋体"/>
          <w:color w:val="auto"/>
          <w:sz w:val="22"/>
          <w:highlight w:val="none"/>
        </w:rPr>
      </w:pPr>
    </w:p>
    <w:p w14:paraId="03D359A4">
      <w:pPr>
        <w:spacing w:line="460" w:lineRule="exact"/>
        <w:ind w:firstLine="440" w:firstLineChars="200"/>
        <w:rPr>
          <w:rFonts w:ascii="宋体" w:hAnsi="宋体"/>
          <w:color w:val="auto"/>
          <w:sz w:val="22"/>
          <w:highlight w:val="none"/>
        </w:rPr>
      </w:pPr>
      <w:r>
        <w:rPr>
          <w:rFonts w:hint="eastAsia" w:ascii="宋体" w:hAnsi="宋体"/>
          <w:color w:val="auto"/>
          <w:sz w:val="22"/>
          <w:highlight w:val="none"/>
        </w:rPr>
        <w:t>本单位郑重声明，根据《财政部 民政部 中国残疾人联合会关于促进残疾人就业政府采购政策的通知》（财库〔2017〕 141号）的规定，本单位为符合条件的残疾人福利性单位，且本单位参加</w:t>
      </w:r>
      <w:r>
        <w:rPr>
          <w:rFonts w:ascii="宋体" w:hAnsi="宋体"/>
          <w:color w:val="auto"/>
          <w:sz w:val="22"/>
          <w:highlight w:val="none"/>
        </w:rPr>
        <w:t>______单位的______项目采购活动提供本单位制造的货物（由本单位承担工程/提供服务），或者提供其他残疾人福利性单位制造的货物（不包括使用非残疾人福利性单位注册商标的货物）。</w:t>
      </w:r>
    </w:p>
    <w:p w14:paraId="4167EA19">
      <w:pPr>
        <w:spacing w:line="460" w:lineRule="exact"/>
        <w:ind w:firstLine="440" w:firstLineChars="200"/>
        <w:rPr>
          <w:rFonts w:ascii="宋体" w:hAnsi="宋体"/>
          <w:color w:val="auto"/>
          <w:sz w:val="22"/>
          <w:highlight w:val="none"/>
        </w:rPr>
      </w:pPr>
      <w:r>
        <w:rPr>
          <w:rFonts w:hint="eastAsia" w:ascii="宋体" w:hAnsi="宋体"/>
          <w:color w:val="auto"/>
          <w:sz w:val="22"/>
          <w:highlight w:val="none"/>
        </w:rPr>
        <w:t>本单位对上述声明的真实性负责。如有虚假，将依法承担相应责任。</w:t>
      </w:r>
    </w:p>
    <w:p w14:paraId="6CB0126D">
      <w:pPr>
        <w:spacing w:line="460" w:lineRule="exact"/>
        <w:ind w:firstLine="440" w:firstLineChars="200"/>
        <w:rPr>
          <w:rFonts w:ascii="宋体" w:hAnsi="宋体"/>
          <w:color w:val="auto"/>
          <w:sz w:val="22"/>
          <w:highlight w:val="none"/>
        </w:rPr>
      </w:pPr>
    </w:p>
    <w:p w14:paraId="2CBE62C7">
      <w:pPr>
        <w:spacing w:line="460" w:lineRule="exact"/>
        <w:ind w:firstLine="440" w:firstLineChars="200"/>
        <w:rPr>
          <w:rFonts w:ascii="宋体" w:hAnsi="宋体"/>
          <w:color w:val="auto"/>
          <w:sz w:val="22"/>
          <w:highlight w:val="none"/>
        </w:rPr>
      </w:pPr>
    </w:p>
    <w:p w14:paraId="63E58EB5">
      <w:pPr>
        <w:spacing w:line="460" w:lineRule="exact"/>
        <w:rPr>
          <w:rFonts w:ascii="宋体" w:hAnsi="宋体"/>
          <w:color w:val="auto"/>
          <w:sz w:val="22"/>
          <w:highlight w:val="none"/>
        </w:rPr>
      </w:pPr>
      <w:r>
        <w:rPr>
          <w:rFonts w:hint="eastAsia" w:ascii="宋体" w:hAnsi="宋体"/>
          <w:color w:val="auto"/>
          <w:sz w:val="22"/>
          <w:highlight w:val="none"/>
        </w:rPr>
        <w:t>供应商名称（盖章）：                </w:t>
      </w:r>
      <w:r>
        <w:rPr>
          <w:rFonts w:hint="eastAsia" w:ascii="宋体" w:hAnsi="宋体"/>
          <w:color w:val="auto"/>
          <w:sz w:val="22"/>
          <w:highlight w:val="none"/>
        </w:rPr>
        <w:br w:type="textWrapping"/>
      </w:r>
      <w:r>
        <w:rPr>
          <w:rFonts w:hint="eastAsia" w:ascii="宋体" w:hAnsi="宋体"/>
          <w:color w:val="auto"/>
          <w:sz w:val="22"/>
          <w:highlight w:val="none"/>
        </w:rPr>
        <w:t>日期：</w:t>
      </w:r>
    </w:p>
    <w:p w14:paraId="4BFB2201">
      <w:pPr>
        <w:tabs>
          <w:tab w:val="left" w:pos="4860"/>
        </w:tabs>
        <w:spacing w:line="460" w:lineRule="exact"/>
        <w:ind w:right="1560" w:firstLine="440" w:firstLineChars="200"/>
        <w:jc w:val="center"/>
        <w:rPr>
          <w:rFonts w:ascii="宋体" w:hAnsi="宋体"/>
          <w:color w:val="auto"/>
          <w:sz w:val="22"/>
          <w:highlight w:val="none"/>
        </w:rPr>
      </w:pPr>
    </w:p>
    <w:p w14:paraId="60F3909E">
      <w:pPr>
        <w:tabs>
          <w:tab w:val="left" w:pos="4860"/>
        </w:tabs>
        <w:spacing w:line="460" w:lineRule="exact"/>
        <w:ind w:right="1560" w:firstLine="440" w:firstLineChars="200"/>
        <w:jc w:val="center"/>
        <w:rPr>
          <w:rFonts w:ascii="宋体" w:hAnsi="宋体"/>
          <w:color w:val="auto"/>
          <w:sz w:val="22"/>
          <w:highlight w:val="none"/>
        </w:rPr>
      </w:pPr>
    </w:p>
    <w:p w14:paraId="6E1D614A">
      <w:pPr>
        <w:tabs>
          <w:tab w:val="left" w:pos="4860"/>
        </w:tabs>
        <w:spacing w:line="460" w:lineRule="exact"/>
        <w:ind w:right="1560"/>
        <w:jc w:val="left"/>
        <w:rPr>
          <w:rFonts w:ascii="宋体" w:hAnsi="宋体"/>
          <w:color w:val="auto"/>
          <w:sz w:val="22"/>
          <w:highlight w:val="none"/>
        </w:rPr>
      </w:pPr>
      <w:r>
        <w:rPr>
          <w:rFonts w:hint="eastAsia" w:ascii="宋体" w:hAnsi="宋体"/>
          <w:color w:val="auto"/>
          <w:sz w:val="22"/>
          <w:highlight w:val="none"/>
        </w:rPr>
        <w:t>说明：</w:t>
      </w:r>
    </w:p>
    <w:p w14:paraId="1B67EFA8">
      <w:pPr>
        <w:spacing w:line="460" w:lineRule="exact"/>
        <w:ind w:firstLine="440" w:firstLineChars="200"/>
        <w:rPr>
          <w:rFonts w:ascii="宋体" w:hAnsi="宋体"/>
          <w:color w:val="auto"/>
          <w:sz w:val="22"/>
          <w:highlight w:val="none"/>
        </w:rPr>
      </w:pPr>
      <w:r>
        <w:rPr>
          <w:rFonts w:hint="eastAsia" w:ascii="宋体" w:hAnsi="宋体"/>
          <w:color w:val="auto"/>
          <w:sz w:val="22"/>
          <w:highlight w:val="none"/>
        </w:rPr>
        <w:t>1、如中标，将在成交公告中将此残疾人福利性单位声明函予以公示，接受社会监督；</w:t>
      </w:r>
    </w:p>
    <w:p w14:paraId="6203A9E8">
      <w:pPr>
        <w:spacing w:line="460" w:lineRule="exact"/>
        <w:ind w:firstLine="440" w:firstLineChars="200"/>
        <w:rPr>
          <w:rFonts w:ascii="宋体" w:hAnsi="宋体"/>
          <w:color w:val="auto"/>
          <w:sz w:val="22"/>
          <w:highlight w:val="none"/>
        </w:rPr>
      </w:pPr>
      <w:r>
        <w:rPr>
          <w:rFonts w:ascii="宋体" w:hAnsi="宋体"/>
          <w:color w:val="auto"/>
          <w:sz w:val="22"/>
          <w:highlight w:val="none"/>
        </w:rPr>
        <w:t>2</w:t>
      </w:r>
      <w:r>
        <w:rPr>
          <w:rFonts w:hint="eastAsia" w:ascii="宋体" w:hAnsi="宋体"/>
          <w:color w:val="auto"/>
          <w:sz w:val="22"/>
          <w:highlight w:val="none"/>
        </w:rPr>
        <w:t>、供应商提供的《残疾人福利性单位声明函》与事实不符的，依照《政府采购法》第七十七条第一款的规定追究法律责任。</w:t>
      </w:r>
    </w:p>
    <w:p w14:paraId="13814ACB">
      <w:pPr>
        <w:spacing w:line="460" w:lineRule="exact"/>
        <w:ind w:firstLine="440" w:firstLineChars="200"/>
        <w:rPr>
          <w:rFonts w:ascii="宋体" w:hAnsi="宋体"/>
          <w:color w:val="auto"/>
          <w:sz w:val="22"/>
          <w:highlight w:val="none"/>
        </w:rPr>
      </w:pPr>
    </w:p>
    <w:p w14:paraId="20A45A39">
      <w:pPr>
        <w:spacing w:line="460" w:lineRule="exact"/>
        <w:ind w:firstLine="440" w:firstLineChars="200"/>
        <w:rPr>
          <w:rFonts w:ascii="宋体" w:hAnsi="宋体"/>
          <w:color w:val="auto"/>
          <w:sz w:val="22"/>
          <w:highlight w:val="none"/>
        </w:rPr>
      </w:pPr>
    </w:p>
    <w:p w14:paraId="69B5BBE1">
      <w:pPr>
        <w:spacing w:line="460" w:lineRule="exact"/>
        <w:ind w:firstLine="440" w:firstLineChars="200"/>
        <w:rPr>
          <w:rFonts w:ascii="宋体" w:hAnsi="宋体"/>
          <w:color w:val="auto"/>
          <w:sz w:val="22"/>
          <w:highlight w:val="none"/>
        </w:rPr>
      </w:pPr>
    </w:p>
    <w:p w14:paraId="2358B8EB">
      <w:pPr>
        <w:spacing w:line="460" w:lineRule="exact"/>
        <w:ind w:firstLine="440" w:firstLineChars="200"/>
        <w:rPr>
          <w:rFonts w:ascii="宋体" w:hAnsi="宋体"/>
          <w:color w:val="auto"/>
          <w:sz w:val="22"/>
          <w:highlight w:val="none"/>
        </w:rPr>
      </w:pPr>
    </w:p>
    <w:p w14:paraId="241F5DC9">
      <w:pPr>
        <w:spacing w:line="460" w:lineRule="exact"/>
        <w:ind w:firstLine="440" w:firstLineChars="200"/>
        <w:rPr>
          <w:rFonts w:ascii="宋体" w:hAnsi="宋体"/>
          <w:color w:val="auto"/>
          <w:sz w:val="22"/>
          <w:highlight w:val="none"/>
        </w:rPr>
      </w:pPr>
    </w:p>
    <w:p w14:paraId="1210DFE3">
      <w:pPr>
        <w:spacing w:line="460" w:lineRule="exact"/>
        <w:ind w:firstLine="440" w:firstLineChars="200"/>
        <w:rPr>
          <w:rFonts w:ascii="宋体" w:hAnsi="宋体"/>
          <w:color w:val="auto"/>
          <w:sz w:val="22"/>
          <w:highlight w:val="none"/>
        </w:rPr>
      </w:pPr>
    </w:p>
    <w:p w14:paraId="7BA66311">
      <w:pPr>
        <w:spacing w:line="460" w:lineRule="exact"/>
        <w:ind w:firstLine="440" w:firstLineChars="200"/>
        <w:rPr>
          <w:rFonts w:ascii="宋体" w:hAnsi="宋体"/>
          <w:color w:val="auto"/>
          <w:sz w:val="22"/>
          <w:highlight w:val="none"/>
        </w:rPr>
      </w:pPr>
    </w:p>
    <w:p w14:paraId="77398BBE">
      <w:pPr>
        <w:spacing w:line="460" w:lineRule="exact"/>
        <w:ind w:firstLine="440" w:firstLineChars="200"/>
        <w:rPr>
          <w:rFonts w:ascii="宋体" w:hAnsi="宋体"/>
          <w:color w:val="auto"/>
          <w:sz w:val="22"/>
          <w:highlight w:val="none"/>
        </w:rPr>
      </w:pPr>
    </w:p>
    <w:p w14:paraId="3CF72282">
      <w:pPr>
        <w:spacing w:line="460" w:lineRule="exact"/>
        <w:ind w:firstLine="440" w:firstLineChars="200"/>
        <w:rPr>
          <w:rFonts w:ascii="宋体" w:hAnsi="宋体"/>
          <w:color w:val="auto"/>
          <w:sz w:val="22"/>
          <w:highlight w:val="none"/>
        </w:rPr>
      </w:pPr>
    </w:p>
    <w:p w14:paraId="67846597">
      <w:pPr>
        <w:spacing w:line="460" w:lineRule="exact"/>
        <w:ind w:firstLine="440" w:firstLineChars="200"/>
        <w:rPr>
          <w:rFonts w:ascii="宋体" w:hAnsi="宋体"/>
          <w:color w:val="auto"/>
          <w:sz w:val="22"/>
          <w:highlight w:val="none"/>
        </w:rPr>
      </w:pPr>
    </w:p>
    <w:p w14:paraId="2E8C674E">
      <w:pPr>
        <w:spacing w:line="460" w:lineRule="exact"/>
        <w:ind w:firstLine="440" w:firstLineChars="200"/>
        <w:rPr>
          <w:rFonts w:ascii="宋体" w:hAnsi="宋体"/>
          <w:color w:val="auto"/>
          <w:sz w:val="22"/>
          <w:highlight w:val="none"/>
        </w:rPr>
      </w:pPr>
    </w:p>
    <w:p w14:paraId="50C00492">
      <w:pPr>
        <w:spacing w:line="460" w:lineRule="exact"/>
        <w:ind w:firstLine="440" w:firstLineChars="200"/>
        <w:rPr>
          <w:rFonts w:ascii="宋体" w:hAnsi="宋体"/>
          <w:color w:val="auto"/>
          <w:sz w:val="22"/>
          <w:highlight w:val="none"/>
        </w:rPr>
      </w:pPr>
    </w:p>
    <w:p w14:paraId="455E169A">
      <w:pPr>
        <w:snapToGrid w:val="0"/>
        <w:spacing w:line="460" w:lineRule="atLeast"/>
        <w:jc w:val="center"/>
        <w:rPr>
          <w:rFonts w:ascii="宋体" w:hAnsi="宋体"/>
          <w:color w:val="auto"/>
          <w:sz w:val="36"/>
          <w:highlight w:val="none"/>
        </w:rPr>
      </w:pPr>
      <w:r>
        <w:rPr>
          <w:rFonts w:hint="eastAsia" w:ascii="宋体" w:hAnsi="宋体"/>
          <w:color w:val="auto"/>
          <w:sz w:val="36"/>
          <w:highlight w:val="none"/>
        </w:rPr>
        <w:t>第五部分  合同格式（参考格式）</w:t>
      </w:r>
    </w:p>
    <w:p w14:paraId="14E4A140">
      <w:pPr>
        <w:adjustRightInd w:val="0"/>
        <w:snapToGrid w:val="0"/>
        <w:spacing w:line="560" w:lineRule="exact"/>
        <w:rPr>
          <w:rFonts w:ascii="宋体" w:hAnsi="宋体"/>
          <w:color w:val="auto"/>
          <w:kern w:val="0"/>
          <w:sz w:val="28"/>
          <w:szCs w:val="28"/>
          <w:highlight w:val="none"/>
        </w:rPr>
      </w:pPr>
      <w:r>
        <w:rPr>
          <w:rFonts w:hint="eastAsia" w:ascii="宋体" w:hAnsi="宋体"/>
          <w:color w:val="auto"/>
          <w:kern w:val="0"/>
          <w:sz w:val="28"/>
          <w:szCs w:val="28"/>
          <w:highlight w:val="none"/>
        </w:rPr>
        <w:t>项目编号：</w:t>
      </w:r>
    </w:p>
    <w:p w14:paraId="3D46EB96">
      <w:pPr>
        <w:adjustRightInd w:val="0"/>
        <w:snapToGrid w:val="0"/>
        <w:spacing w:line="560" w:lineRule="exact"/>
        <w:ind w:left="3045" w:leftChars="1450"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p>
    <w:p w14:paraId="6D7C6712">
      <w:pPr>
        <w:adjustRightInd w:val="0"/>
        <w:snapToGrid w:val="0"/>
        <w:spacing w:line="560" w:lineRule="exact"/>
        <w:ind w:left="3045" w:leftChars="1450" w:firstLine="640" w:firstLineChars="200"/>
        <w:rPr>
          <w:rFonts w:ascii="仿宋_GB2312" w:hAnsi="仿宋_GB2312" w:eastAsia="仿宋_GB2312"/>
          <w:color w:val="auto"/>
          <w:kern w:val="0"/>
          <w:sz w:val="32"/>
          <w:szCs w:val="32"/>
          <w:highlight w:val="none"/>
        </w:rPr>
      </w:pPr>
      <w:r>
        <w:rPr>
          <w:rFonts w:ascii="仿宋_GB2312" w:hAnsi="仿宋_GB2312" w:eastAsia="仿宋_GB2312"/>
          <w:color w:val="auto"/>
          <w:kern w:val="0"/>
          <w:sz w:val="32"/>
          <w:szCs w:val="32"/>
          <w:highlight w:val="none"/>
        </w:rPr>
        <w:t xml:space="preserve"> </w:t>
      </w:r>
    </w:p>
    <w:p w14:paraId="272046AB">
      <w:pPr>
        <w:adjustRightInd w:val="0"/>
        <w:snapToGrid w:val="0"/>
        <w:jc w:val="center"/>
        <w:rPr>
          <w:rFonts w:ascii="宋体" w:hAnsi="宋体"/>
          <w:color w:val="auto"/>
          <w:kern w:val="0"/>
          <w:sz w:val="72"/>
          <w:szCs w:val="72"/>
          <w:highlight w:val="none"/>
        </w:rPr>
      </w:pPr>
      <w:r>
        <w:rPr>
          <w:rFonts w:hint="eastAsia" w:ascii="宋体" w:hAnsi="宋体"/>
          <w:color w:val="auto"/>
          <w:kern w:val="0"/>
          <w:sz w:val="72"/>
          <w:szCs w:val="72"/>
          <w:highlight w:val="none"/>
        </w:rPr>
        <w:t>政府采购合同</w:t>
      </w:r>
    </w:p>
    <w:p w14:paraId="5FAE7EBB">
      <w:pPr>
        <w:autoSpaceDE w:val="0"/>
        <w:adjustRightInd w:val="0"/>
        <w:snapToGrid w:val="0"/>
        <w:spacing w:line="440" w:lineRule="exact"/>
        <w:rPr>
          <w:rFonts w:ascii="仿宋_GB2312" w:hAnsi="仿宋_GB2312" w:eastAsia="仿宋_GB2312"/>
          <w:color w:val="auto"/>
          <w:kern w:val="0"/>
          <w:sz w:val="32"/>
          <w:szCs w:val="32"/>
          <w:highlight w:val="none"/>
        </w:rPr>
      </w:pPr>
      <w:r>
        <w:rPr>
          <w:rFonts w:hint="eastAsia" w:ascii="仿宋_GB2312" w:hAnsi="仿宋_GB2312" w:eastAsia="仿宋_GB2312"/>
          <w:color w:val="auto"/>
          <w:kern w:val="0"/>
          <w:sz w:val="32"/>
          <w:szCs w:val="32"/>
          <w:highlight w:val="none"/>
        </w:rPr>
        <w:t xml:space="preserve">  </w:t>
      </w:r>
    </w:p>
    <w:p w14:paraId="14B9D207">
      <w:pPr>
        <w:autoSpaceDE w:val="0"/>
        <w:adjustRightInd w:val="0"/>
        <w:snapToGrid w:val="0"/>
        <w:spacing w:line="440" w:lineRule="exact"/>
        <w:rPr>
          <w:rFonts w:ascii="仿宋_GB2312" w:hAnsi="仿宋_GB2312" w:eastAsia="仿宋_GB2312"/>
          <w:color w:val="auto"/>
          <w:kern w:val="0"/>
          <w:sz w:val="32"/>
          <w:szCs w:val="32"/>
          <w:highlight w:val="none"/>
        </w:rPr>
      </w:pPr>
      <w:r>
        <w:rPr>
          <w:rFonts w:ascii="仿宋_GB2312" w:hAnsi="仿宋_GB2312" w:eastAsia="仿宋_GB2312"/>
          <w:color w:val="auto"/>
          <w:kern w:val="0"/>
          <w:sz w:val="32"/>
          <w:szCs w:val="32"/>
          <w:highlight w:val="none"/>
        </w:rPr>
        <w:t xml:space="preserve"> </w:t>
      </w:r>
      <w:r>
        <w:rPr>
          <w:rFonts w:hint="eastAsia" w:ascii="仿宋_GB2312" w:hAnsi="仿宋_GB2312" w:eastAsia="仿宋_GB2312"/>
          <w:color w:val="auto"/>
          <w:kern w:val="0"/>
          <w:sz w:val="32"/>
          <w:szCs w:val="32"/>
          <w:highlight w:val="none"/>
        </w:rPr>
        <w:t xml:space="preserve"> </w:t>
      </w:r>
    </w:p>
    <w:p w14:paraId="08575742">
      <w:pPr>
        <w:autoSpaceDE w:val="0"/>
        <w:adjustRightInd w:val="0"/>
        <w:snapToGrid w:val="0"/>
        <w:spacing w:line="400" w:lineRule="exact"/>
        <w:ind w:firstLine="320" w:firstLineChars="100"/>
        <w:rPr>
          <w:rFonts w:ascii="宋体" w:hAnsi="宋体" w:cs="仿宋_GB2312"/>
          <w:color w:val="auto"/>
          <w:kern w:val="0"/>
          <w:sz w:val="32"/>
          <w:szCs w:val="32"/>
          <w:highlight w:val="none"/>
          <w:u w:val="single"/>
        </w:rPr>
      </w:pPr>
      <w:r>
        <w:rPr>
          <w:rFonts w:hint="eastAsia" w:ascii="宋体" w:hAnsi="宋体" w:cs="仿宋_GB2312"/>
          <w:color w:val="auto"/>
          <w:kern w:val="0"/>
          <w:sz w:val="32"/>
          <w:szCs w:val="32"/>
          <w:highlight w:val="none"/>
        </w:rPr>
        <w:t xml:space="preserve">项目名称: </w:t>
      </w:r>
      <w:r>
        <w:rPr>
          <w:rFonts w:hint="eastAsia" w:ascii="宋体" w:hAnsi="宋体" w:cs="仿宋_GB2312"/>
          <w:color w:val="auto"/>
          <w:kern w:val="0"/>
          <w:sz w:val="32"/>
          <w:szCs w:val="32"/>
          <w:highlight w:val="none"/>
          <w:u w:val="single"/>
        </w:rPr>
        <w:t xml:space="preserve">                                     </w:t>
      </w:r>
    </w:p>
    <w:p w14:paraId="1A98AC35">
      <w:pPr>
        <w:autoSpaceDE w:val="0"/>
        <w:adjustRightInd w:val="0"/>
        <w:snapToGrid w:val="0"/>
        <w:spacing w:line="400" w:lineRule="exact"/>
        <w:ind w:firstLine="320" w:firstLineChars="100"/>
        <w:rPr>
          <w:rFonts w:ascii="宋体" w:hAnsi="宋体" w:cs="仿宋_GB2312"/>
          <w:color w:val="auto"/>
          <w:kern w:val="0"/>
          <w:sz w:val="32"/>
          <w:szCs w:val="32"/>
          <w:highlight w:val="none"/>
        </w:rPr>
      </w:pPr>
    </w:p>
    <w:p w14:paraId="64B73F21">
      <w:pPr>
        <w:autoSpaceDE w:val="0"/>
        <w:adjustRightInd w:val="0"/>
        <w:snapToGrid w:val="0"/>
        <w:spacing w:line="400" w:lineRule="exact"/>
        <w:rPr>
          <w:rFonts w:ascii="宋体" w:hAnsi="宋体" w:cs="仿宋_GB2312"/>
          <w:color w:val="auto"/>
          <w:kern w:val="0"/>
          <w:sz w:val="32"/>
          <w:szCs w:val="32"/>
          <w:highlight w:val="none"/>
          <w:u w:val="single"/>
        </w:rPr>
      </w:pPr>
      <w:r>
        <w:rPr>
          <w:rFonts w:hint="eastAsia" w:ascii="宋体" w:hAnsi="宋体" w:cs="仿宋_GB2312"/>
          <w:color w:val="auto"/>
          <w:kern w:val="0"/>
          <w:sz w:val="32"/>
          <w:szCs w:val="32"/>
          <w:highlight w:val="none"/>
        </w:rPr>
        <w:t xml:space="preserve">  标项名称:</w:t>
      </w:r>
      <w:r>
        <w:rPr>
          <w:rFonts w:ascii="宋体" w:hAnsi="宋体" w:cs="仿宋_GB2312"/>
          <w:color w:val="auto"/>
          <w:kern w:val="0"/>
          <w:sz w:val="32"/>
          <w:szCs w:val="32"/>
          <w:highlight w:val="none"/>
          <w:u w:val="single"/>
        </w:rPr>
        <w:t xml:space="preserve">                         </w:t>
      </w:r>
      <w:r>
        <w:rPr>
          <w:rFonts w:hint="eastAsia" w:ascii="宋体" w:hAnsi="宋体" w:cs="仿宋_GB2312"/>
          <w:color w:val="auto"/>
          <w:kern w:val="0"/>
          <w:sz w:val="32"/>
          <w:szCs w:val="32"/>
          <w:highlight w:val="none"/>
          <w:u w:val="single"/>
        </w:rPr>
        <w:t xml:space="preserve">    </w:t>
      </w:r>
      <w:r>
        <w:rPr>
          <w:rFonts w:ascii="宋体" w:hAnsi="宋体" w:cs="仿宋_GB2312"/>
          <w:color w:val="auto"/>
          <w:kern w:val="0"/>
          <w:sz w:val="32"/>
          <w:szCs w:val="32"/>
          <w:highlight w:val="none"/>
          <w:u w:val="single"/>
        </w:rPr>
        <w:t xml:space="preserve">         </w:t>
      </w:r>
    </w:p>
    <w:p w14:paraId="1F4FBD87">
      <w:pPr>
        <w:autoSpaceDE w:val="0"/>
        <w:adjustRightInd w:val="0"/>
        <w:snapToGrid w:val="0"/>
        <w:spacing w:line="400" w:lineRule="exact"/>
        <w:rPr>
          <w:rFonts w:ascii="宋体" w:hAnsi="宋体" w:cs="仿宋_GB2312"/>
          <w:color w:val="auto"/>
          <w:kern w:val="0"/>
          <w:sz w:val="32"/>
          <w:szCs w:val="32"/>
          <w:highlight w:val="none"/>
        </w:rPr>
      </w:pPr>
    </w:p>
    <w:p w14:paraId="73D24EFA">
      <w:pPr>
        <w:autoSpaceDE w:val="0"/>
        <w:adjustRightInd w:val="0"/>
        <w:snapToGrid w:val="0"/>
        <w:spacing w:line="400" w:lineRule="exact"/>
        <w:ind w:firstLine="320" w:firstLineChars="100"/>
        <w:rPr>
          <w:rFonts w:ascii="宋体" w:hAnsi="宋体" w:cs="仿宋_GB2312"/>
          <w:color w:val="auto"/>
          <w:kern w:val="0"/>
          <w:sz w:val="32"/>
          <w:szCs w:val="32"/>
          <w:highlight w:val="none"/>
        </w:rPr>
      </w:pPr>
      <w:r>
        <w:rPr>
          <w:rFonts w:hint="eastAsia" w:ascii="宋体" w:hAnsi="宋体" w:cs="仿宋_GB2312"/>
          <w:color w:val="auto"/>
          <w:kern w:val="0"/>
          <w:sz w:val="32"/>
          <w:szCs w:val="32"/>
          <w:highlight w:val="none"/>
        </w:rPr>
        <w:t xml:space="preserve">采购人（全称）:  </w:t>
      </w:r>
      <w:r>
        <w:rPr>
          <w:rFonts w:hint="eastAsia" w:ascii="宋体" w:hAnsi="宋体" w:cs="仿宋_GB2312"/>
          <w:color w:val="auto"/>
          <w:kern w:val="0"/>
          <w:sz w:val="32"/>
          <w:szCs w:val="32"/>
          <w:highlight w:val="none"/>
          <w:u w:val="single"/>
        </w:rPr>
        <w:t xml:space="preserve">                              </w:t>
      </w:r>
    </w:p>
    <w:p w14:paraId="4E8083C5">
      <w:pPr>
        <w:autoSpaceDE w:val="0"/>
        <w:adjustRightInd w:val="0"/>
        <w:snapToGrid w:val="0"/>
        <w:spacing w:line="400" w:lineRule="exact"/>
        <w:rPr>
          <w:rFonts w:ascii="宋体" w:hAnsi="宋体" w:cs="仿宋_GB2312"/>
          <w:color w:val="auto"/>
          <w:kern w:val="0"/>
          <w:sz w:val="32"/>
          <w:szCs w:val="32"/>
          <w:highlight w:val="none"/>
        </w:rPr>
      </w:pPr>
      <w:r>
        <w:rPr>
          <w:rFonts w:hint="eastAsia" w:ascii="宋体" w:hAnsi="宋体" w:cs="仿宋_GB2312"/>
          <w:color w:val="auto"/>
          <w:kern w:val="0"/>
          <w:sz w:val="32"/>
          <w:szCs w:val="32"/>
          <w:highlight w:val="none"/>
        </w:rPr>
        <w:t xml:space="preserve">  </w:t>
      </w:r>
    </w:p>
    <w:p w14:paraId="52711C2A">
      <w:pPr>
        <w:autoSpaceDE w:val="0"/>
        <w:adjustRightInd w:val="0"/>
        <w:snapToGrid w:val="0"/>
        <w:spacing w:line="400" w:lineRule="exact"/>
        <w:ind w:firstLine="320" w:firstLineChars="100"/>
        <w:rPr>
          <w:rFonts w:ascii="宋体" w:hAnsi="宋体" w:cs="仿宋_GB2312"/>
          <w:color w:val="auto"/>
          <w:kern w:val="0"/>
          <w:sz w:val="32"/>
          <w:szCs w:val="32"/>
          <w:highlight w:val="none"/>
        </w:rPr>
      </w:pPr>
      <w:r>
        <w:rPr>
          <w:rFonts w:hint="eastAsia" w:ascii="宋体" w:hAnsi="宋体" w:cs="仿宋_GB2312"/>
          <w:color w:val="auto"/>
          <w:kern w:val="0"/>
          <w:sz w:val="32"/>
          <w:szCs w:val="32"/>
          <w:highlight w:val="none"/>
        </w:rPr>
        <w:t>供应商（全称）:</w:t>
      </w:r>
      <w:r>
        <w:rPr>
          <w:rFonts w:hint="eastAsia" w:ascii="宋体" w:hAnsi="宋体" w:cs="仿宋_GB2312"/>
          <w:color w:val="auto"/>
          <w:kern w:val="0"/>
          <w:sz w:val="32"/>
          <w:szCs w:val="32"/>
          <w:highlight w:val="none"/>
          <w:u w:val="single"/>
        </w:rPr>
        <w:t xml:space="preserve">                                </w:t>
      </w:r>
      <w:r>
        <w:rPr>
          <w:rFonts w:hint="eastAsia" w:ascii="宋体" w:hAnsi="宋体" w:cs="仿宋_GB2312"/>
          <w:color w:val="auto"/>
          <w:kern w:val="0"/>
          <w:sz w:val="32"/>
          <w:szCs w:val="32"/>
          <w:highlight w:val="none"/>
        </w:rPr>
        <w:t xml:space="preserve"> </w:t>
      </w:r>
    </w:p>
    <w:p w14:paraId="1E1CD0B7">
      <w:pPr>
        <w:autoSpaceDE w:val="0"/>
        <w:adjustRightInd w:val="0"/>
        <w:snapToGrid w:val="0"/>
        <w:spacing w:line="400" w:lineRule="exact"/>
        <w:rPr>
          <w:rFonts w:ascii="宋体" w:hAnsi="宋体" w:cs="仿宋_GB2312"/>
          <w:color w:val="auto"/>
          <w:kern w:val="0"/>
          <w:sz w:val="32"/>
          <w:szCs w:val="32"/>
          <w:highlight w:val="none"/>
        </w:rPr>
      </w:pPr>
      <w:r>
        <w:rPr>
          <w:rFonts w:hint="eastAsia" w:ascii="宋体" w:hAnsi="宋体" w:cs="仿宋_GB2312"/>
          <w:color w:val="auto"/>
          <w:kern w:val="0"/>
          <w:sz w:val="32"/>
          <w:szCs w:val="32"/>
          <w:highlight w:val="none"/>
        </w:rPr>
        <w:t xml:space="preserve">  </w:t>
      </w:r>
    </w:p>
    <w:p w14:paraId="02AD8555">
      <w:pPr>
        <w:autoSpaceDE w:val="0"/>
        <w:adjustRightInd w:val="0"/>
        <w:snapToGrid w:val="0"/>
        <w:spacing w:line="400" w:lineRule="exact"/>
        <w:ind w:firstLine="320" w:firstLineChars="100"/>
        <w:rPr>
          <w:rFonts w:ascii="宋体" w:hAnsi="宋体" w:cs="仿宋_GB2312"/>
          <w:color w:val="auto"/>
          <w:kern w:val="0"/>
          <w:sz w:val="32"/>
          <w:szCs w:val="32"/>
          <w:highlight w:val="none"/>
        </w:rPr>
      </w:pPr>
      <w:r>
        <w:rPr>
          <w:rFonts w:hint="eastAsia" w:ascii="宋体" w:hAnsi="宋体" w:cs="仿宋_GB2312"/>
          <w:color w:val="auto"/>
          <w:kern w:val="0"/>
          <w:sz w:val="32"/>
          <w:szCs w:val="32"/>
          <w:highlight w:val="none"/>
        </w:rPr>
        <w:t xml:space="preserve">签订日期: </w:t>
      </w:r>
      <w:r>
        <w:rPr>
          <w:rFonts w:hint="eastAsia" w:ascii="宋体" w:hAnsi="宋体" w:cs="仿宋_GB2312"/>
          <w:color w:val="auto"/>
          <w:kern w:val="0"/>
          <w:sz w:val="32"/>
          <w:szCs w:val="32"/>
          <w:highlight w:val="none"/>
          <w:u w:val="single"/>
        </w:rPr>
        <w:t xml:space="preserve">                                     </w:t>
      </w:r>
    </w:p>
    <w:p w14:paraId="625358E9">
      <w:pPr>
        <w:widowControl/>
        <w:autoSpaceDE w:val="0"/>
        <w:spacing w:line="400" w:lineRule="exact"/>
        <w:jc w:val="left"/>
        <w:rPr>
          <w:rFonts w:ascii="宋体" w:hAnsi="宋体" w:cs="仿宋_GB2312"/>
          <w:color w:val="auto"/>
          <w:kern w:val="0"/>
          <w:sz w:val="32"/>
          <w:szCs w:val="32"/>
          <w:highlight w:val="none"/>
        </w:rPr>
      </w:pPr>
      <w:r>
        <w:rPr>
          <w:rFonts w:hint="eastAsia" w:ascii="宋体" w:hAnsi="宋体" w:cs="仿宋_GB2312"/>
          <w:color w:val="auto"/>
          <w:kern w:val="0"/>
          <w:sz w:val="32"/>
          <w:szCs w:val="32"/>
          <w:highlight w:val="none"/>
        </w:rPr>
        <w:t xml:space="preserve">  </w:t>
      </w:r>
    </w:p>
    <w:p w14:paraId="2B3F2EA8">
      <w:pPr>
        <w:autoSpaceDE w:val="0"/>
        <w:adjustRightInd w:val="0"/>
        <w:snapToGrid w:val="0"/>
        <w:spacing w:line="400" w:lineRule="exact"/>
        <w:ind w:firstLine="320" w:firstLineChars="100"/>
        <w:rPr>
          <w:rFonts w:ascii="宋体" w:hAnsi="宋体" w:cs="仿宋_GB2312"/>
          <w:color w:val="auto"/>
          <w:kern w:val="0"/>
          <w:sz w:val="32"/>
          <w:szCs w:val="32"/>
          <w:highlight w:val="none"/>
        </w:rPr>
      </w:pPr>
      <w:r>
        <w:rPr>
          <w:rFonts w:hint="eastAsia" w:ascii="宋体" w:hAnsi="宋体" w:cs="仿宋_GB2312"/>
          <w:color w:val="auto"/>
          <w:kern w:val="0"/>
          <w:sz w:val="32"/>
          <w:szCs w:val="32"/>
          <w:highlight w:val="none"/>
        </w:rPr>
        <w:t>签订地点:</w:t>
      </w:r>
      <w:r>
        <w:rPr>
          <w:rFonts w:hint="eastAsia" w:ascii="宋体" w:hAnsi="宋体" w:cs="仿宋_GB2312"/>
          <w:color w:val="auto"/>
          <w:kern w:val="0"/>
          <w:sz w:val="32"/>
          <w:szCs w:val="32"/>
          <w:highlight w:val="none"/>
          <w:u w:val="single"/>
        </w:rPr>
        <w:t xml:space="preserve">                                      </w:t>
      </w:r>
    </w:p>
    <w:p w14:paraId="67B77895">
      <w:pPr>
        <w:widowControl/>
        <w:autoSpaceDE w:val="0"/>
        <w:spacing w:line="400" w:lineRule="exact"/>
        <w:jc w:val="left"/>
        <w:rPr>
          <w:rFonts w:ascii="宋体" w:hAnsi="宋体" w:cs="仿宋_GB2312"/>
          <w:color w:val="auto"/>
          <w:kern w:val="0"/>
          <w:sz w:val="32"/>
          <w:szCs w:val="32"/>
          <w:highlight w:val="none"/>
        </w:rPr>
      </w:pPr>
      <w:r>
        <w:rPr>
          <w:rFonts w:hint="eastAsia" w:ascii="宋体" w:hAnsi="宋体" w:cs="仿宋_GB2312"/>
          <w:color w:val="auto"/>
          <w:kern w:val="0"/>
          <w:sz w:val="32"/>
          <w:szCs w:val="32"/>
          <w:highlight w:val="none"/>
        </w:rPr>
        <w:t xml:space="preserve">  </w:t>
      </w:r>
    </w:p>
    <w:p w14:paraId="5891BA8A">
      <w:pPr>
        <w:widowControl/>
        <w:spacing w:line="400" w:lineRule="exact"/>
        <w:ind w:firstLine="320" w:firstLineChars="100"/>
        <w:jc w:val="left"/>
        <w:rPr>
          <w:rFonts w:ascii="宋体" w:hAnsi="宋体" w:cs="仿宋"/>
          <w:color w:val="auto"/>
          <w:kern w:val="0"/>
          <w:sz w:val="32"/>
          <w:szCs w:val="32"/>
          <w:highlight w:val="none"/>
          <w:u w:val="single"/>
        </w:rPr>
      </w:pPr>
      <w:r>
        <w:rPr>
          <w:rFonts w:hint="eastAsia" w:ascii="宋体" w:hAnsi="宋体" w:cs="仿宋_GB2312"/>
          <w:color w:val="auto"/>
          <w:kern w:val="0"/>
          <w:sz w:val="32"/>
          <w:szCs w:val="32"/>
          <w:highlight w:val="none"/>
        </w:rPr>
        <w:t>采购人（全称，以下简称甲方）：</w:t>
      </w:r>
      <w:r>
        <w:rPr>
          <w:rFonts w:hint="eastAsia" w:ascii="宋体" w:hAnsi="宋体" w:cs="仿宋"/>
          <w:color w:val="auto"/>
          <w:kern w:val="0"/>
          <w:sz w:val="32"/>
          <w:szCs w:val="32"/>
          <w:highlight w:val="none"/>
          <w:u w:val="single"/>
        </w:rPr>
        <w:t xml:space="preserve">                 </w:t>
      </w:r>
    </w:p>
    <w:p w14:paraId="24FB2C4E">
      <w:pPr>
        <w:widowControl/>
        <w:spacing w:line="400" w:lineRule="exact"/>
        <w:jc w:val="left"/>
        <w:rPr>
          <w:rFonts w:ascii="宋体" w:hAnsi="宋体" w:cs="仿宋_GB2312"/>
          <w:color w:val="auto"/>
          <w:kern w:val="0"/>
          <w:sz w:val="32"/>
          <w:szCs w:val="32"/>
          <w:highlight w:val="none"/>
        </w:rPr>
      </w:pPr>
      <w:r>
        <w:rPr>
          <w:rFonts w:hint="eastAsia" w:ascii="宋体" w:hAnsi="宋体" w:cs="仿宋"/>
          <w:color w:val="auto"/>
          <w:kern w:val="0"/>
          <w:sz w:val="32"/>
          <w:szCs w:val="32"/>
          <w:highlight w:val="none"/>
        </w:rPr>
        <w:t xml:space="preserve">  </w:t>
      </w:r>
    </w:p>
    <w:p w14:paraId="52010E30">
      <w:pPr>
        <w:widowControl/>
        <w:spacing w:line="400" w:lineRule="exact"/>
        <w:ind w:firstLine="320" w:firstLineChars="100"/>
        <w:jc w:val="left"/>
        <w:rPr>
          <w:rFonts w:ascii="宋体" w:hAnsi="宋体" w:cs="仿宋"/>
          <w:color w:val="auto"/>
          <w:kern w:val="0"/>
          <w:sz w:val="32"/>
          <w:szCs w:val="32"/>
          <w:highlight w:val="none"/>
          <w:u w:val="single"/>
        </w:rPr>
      </w:pPr>
      <w:r>
        <w:rPr>
          <w:rFonts w:hint="eastAsia" w:ascii="宋体" w:hAnsi="宋体" w:cs="仿宋_GB2312"/>
          <w:color w:val="auto"/>
          <w:kern w:val="0"/>
          <w:sz w:val="32"/>
          <w:szCs w:val="32"/>
          <w:highlight w:val="none"/>
        </w:rPr>
        <w:t>地址：</w:t>
      </w:r>
      <w:r>
        <w:rPr>
          <w:rFonts w:hint="eastAsia" w:ascii="宋体" w:hAnsi="宋体" w:cs="仿宋"/>
          <w:color w:val="auto"/>
          <w:kern w:val="0"/>
          <w:sz w:val="32"/>
          <w:szCs w:val="32"/>
          <w:highlight w:val="none"/>
          <w:u w:val="single"/>
        </w:rPr>
        <w:t xml:space="preserve">                                         </w:t>
      </w:r>
    </w:p>
    <w:p w14:paraId="16D439A5">
      <w:pPr>
        <w:widowControl/>
        <w:spacing w:line="400" w:lineRule="exact"/>
        <w:jc w:val="left"/>
        <w:rPr>
          <w:rFonts w:ascii="宋体" w:hAnsi="宋体" w:cs="仿宋_GB2312"/>
          <w:color w:val="auto"/>
          <w:kern w:val="0"/>
          <w:sz w:val="32"/>
          <w:szCs w:val="32"/>
          <w:highlight w:val="none"/>
        </w:rPr>
      </w:pPr>
      <w:r>
        <w:rPr>
          <w:rFonts w:hint="eastAsia" w:ascii="宋体" w:hAnsi="宋体" w:cs="仿宋"/>
          <w:color w:val="auto"/>
          <w:kern w:val="0"/>
          <w:sz w:val="32"/>
          <w:szCs w:val="32"/>
          <w:highlight w:val="none"/>
        </w:rPr>
        <w:t xml:space="preserve">  </w:t>
      </w:r>
    </w:p>
    <w:p w14:paraId="4ED82180">
      <w:pPr>
        <w:widowControl/>
        <w:spacing w:line="400" w:lineRule="exact"/>
        <w:ind w:firstLine="320" w:firstLineChars="100"/>
        <w:jc w:val="left"/>
        <w:rPr>
          <w:rFonts w:ascii="宋体" w:hAnsi="宋体" w:cs="仿宋"/>
          <w:color w:val="auto"/>
          <w:kern w:val="0"/>
          <w:sz w:val="32"/>
          <w:szCs w:val="32"/>
          <w:highlight w:val="none"/>
          <w:u w:val="single"/>
        </w:rPr>
      </w:pPr>
      <w:r>
        <w:rPr>
          <w:rFonts w:hint="eastAsia" w:ascii="宋体" w:hAnsi="宋体" w:cs="仿宋_GB2312"/>
          <w:color w:val="auto"/>
          <w:kern w:val="0"/>
          <w:sz w:val="32"/>
          <w:szCs w:val="32"/>
          <w:highlight w:val="none"/>
        </w:rPr>
        <w:t>法定代表人：</w:t>
      </w:r>
      <w:r>
        <w:rPr>
          <w:rFonts w:hint="eastAsia" w:ascii="宋体" w:hAnsi="宋体" w:cs="仿宋"/>
          <w:color w:val="auto"/>
          <w:kern w:val="0"/>
          <w:sz w:val="32"/>
          <w:szCs w:val="32"/>
          <w:highlight w:val="none"/>
          <w:u w:val="single"/>
        </w:rPr>
        <w:t xml:space="preserve">                                   </w:t>
      </w:r>
    </w:p>
    <w:p w14:paraId="2DD72BEE">
      <w:pPr>
        <w:widowControl/>
        <w:spacing w:line="400" w:lineRule="exact"/>
        <w:jc w:val="left"/>
        <w:rPr>
          <w:rFonts w:ascii="宋体" w:hAnsi="宋体" w:cs="仿宋_GB2312"/>
          <w:color w:val="auto"/>
          <w:kern w:val="0"/>
          <w:sz w:val="32"/>
          <w:szCs w:val="32"/>
          <w:highlight w:val="none"/>
        </w:rPr>
      </w:pPr>
      <w:r>
        <w:rPr>
          <w:rFonts w:hint="eastAsia" w:ascii="宋体" w:hAnsi="宋体" w:cs="仿宋"/>
          <w:color w:val="auto"/>
          <w:kern w:val="0"/>
          <w:sz w:val="32"/>
          <w:szCs w:val="32"/>
          <w:highlight w:val="none"/>
        </w:rPr>
        <w:t xml:space="preserve">  </w:t>
      </w:r>
    </w:p>
    <w:p w14:paraId="71C21062">
      <w:pPr>
        <w:widowControl/>
        <w:spacing w:line="400" w:lineRule="exact"/>
        <w:ind w:firstLine="320" w:firstLineChars="100"/>
        <w:jc w:val="left"/>
        <w:rPr>
          <w:rFonts w:ascii="宋体" w:hAnsi="宋体" w:cs="仿宋"/>
          <w:color w:val="auto"/>
          <w:kern w:val="0"/>
          <w:sz w:val="32"/>
          <w:szCs w:val="32"/>
          <w:highlight w:val="none"/>
          <w:u w:val="single"/>
        </w:rPr>
      </w:pPr>
      <w:r>
        <w:rPr>
          <w:rFonts w:hint="eastAsia" w:ascii="宋体" w:hAnsi="宋体" w:cs="仿宋_GB2312"/>
          <w:color w:val="auto"/>
          <w:kern w:val="0"/>
          <w:sz w:val="32"/>
          <w:szCs w:val="32"/>
          <w:highlight w:val="none"/>
        </w:rPr>
        <w:t>供应商（全称，以下简称乙方）：</w:t>
      </w:r>
      <w:r>
        <w:rPr>
          <w:rFonts w:hint="eastAsia" w:ascii="宋体" w:hAnsi="宋体" w:cs="仿宋"/>
          <w:color w:val="auto"/>
          <w:kern w:val="0"/>
          <w:sz w:val="32"/>
          <w:szCs w:val="32"/>
          <w:highlight w:val="none"/>
          <w:u w:val="single"/>
        </w:rPr>
        <w:t xml:space="preserve">                 </w:t>
      </w:r>
    </w:p>
    <w:p w14:paraId="144C3509">
      <w:pPr>
        <w:widowControl/>
        <w:spacing w:line="400" w:lineRule="exact"/>
        <w:jc w:val="left"/>
        <w:rPr>
          <w:rFonts w:ascii="宋体" w:hAnsi="宋体" w:cs="仿宋_GB2312"/>
          <w:color w:val="auto"/>
          <w:kern w:val="0"/>
          <w:sz w:val="32"/>
          <w:szCs w:val="32"/>
          <w:highlight w:val="none"/>
        </w:rPr>
      </w:pPr>
      <w:r>
        <w:rPr>
          <w:rFonts w:hint="eastAsia" w:ascii="宋体" w:hAnsi="宋体" w:cs="仿宋_GB2312"/>
          <w:color w:val="auto"/>
          <w:kern w:val="0"/>
          <w:sz w:val="32"/>
          <w:szCs w:val="32"/>
          <w:highlight w:val="none"/>
        </w:rPr>
        <w:t xml:space="preserve">  </w:t>
      </w:r>
    </w:p>
    <w:p w14:paraId="37A83366">
      <w:pPr>
        <w:widowControl/>
        <w:spacing w:line="400" w:lineRule="exact"/>
        <w:ind w:firstLine="320" w:firstLineChars="100"/>
        <w:jc w:val="left"/>
        <w:rPr>
          <w:rFonts w:ascii="宋体" w:hAnsi="宋体" w:cs="仿宋"/>
          <w:color w:val="auto"/>
          <w:kern w:val="0"/>
          <w:sz w:val="32"/>
          <w:szCs w:val="32"/>
          <w:highlight w:val="none"/>
          <w:u w:val="single"/>
        </w:rPr>
      </w:pPr>
      <w:r>
        <w:rPr>
          <w:rFonts w:hint="eastAsia" w:ascii="宋体" w:hAnsi="宋体" w:cs="仿宋_GB2312"/>
          <w:color w:val="auto"/>
          <w:kern w:val="0"/>
          <w:sz w:val="32"/>
          <w:szCs w:val="32"/>
          <w:highlight w:val="none"/>
        </w:rPr>
        <w:t>地址：</w:t>
      </w:r>
      <w:r>
        <w:rPr>
          <w:rFonts w:hint="eastAsia" w:ascii="宋体" w:hAnsi="宋体" w:cs="仿宋"/>
          <w:color w:val="auto"/>
          <w:kern w:val="0"/>
          <w:sz w:val="32"/>
          <w:szCs w:val="32"/>
          <w:highlight w:val="none"/>
          <w:u w:val="single"/>
        </w:rPr>
        <w:t xml:space="preserve">                                         </w:t>
      </w:r>
    </w:p>
    <w:p w14:paraId="362CF9F1">
      <w:pPr>
        <w:widowControl/>
        <w:spacing w:line="400" w:lineRule="exact"/>
        <w:jc w:val="left"/>
        <w:rPr>
          <w:rFonts w:ascii="宋体" w:hAnsi="宋体" w:cs="仿宋"/>
          <w:color w:val="auto"/>
          <w:kern w:val="0"/>
          <w:sz w:val="32"/>
          <w:szCs w:val="32"/>
          <w:highlight w:val="none"/>
        </w:rPr>
      </w:pPr>
      <w:r>
        <w:rPr>
          <w:rFonts w:hint="eastAsia" w:ascii="宋体" w:hAnsi="宋体" w:cs="仿宋"/>
          <w:color w:val="auto"/>
          <w:kern w:val="0"/>
          <w:sz w:val="32"/>
          <w:szCs w:val="32"/>
          <w:highlight w:val="none"/>
        </w:rPr>
        <w:t xml:space="preserve">  </w:t>
      </w:r>
    </w:p>
    <w:p w14:paraId="15045F43">
      <w:pPr>
        <w:widowControl/>
        <w:spacing w:line="400" w:lineRule="exact"/>
        <w:ind w:firstLine="320" w:firstLineChars="100"/>
        <w:jc w:val="left"/>
        <w:rPr>
          <w:rFonts w:ascii="宋体" w:hAnsi="宋体" w:cs="仿宋_GB2312"/>
          <w:color w:val="auto"/>
          <w:kern w:val="0"/>
          <w:sz w:val="32"/>
          <w:szCs w:val="32"/>
          <w:highlight w:val="none"/>
        </w:rPr>
      </w:pPr>
      <w:r>
        <w:rPr>
          <w:rFonts w:hint="eastAsia" w:ascii="宋体" w:hAnsi="宋体" w:cs="仿宋_GB2312"/>
          <w:color w:val="auto"/>
          <w:kern w:val="0"/>
          <w:sz w:val="32"/>
          <w:szCs w:val="32"/>
          <w:highlight w:val="none"/>
        </w:rPr>
        <w:t>法定代表人：</w:t>
      </w:r>
      <w:r>
        <w:rPr>
          <w:rFonts w:hint="eastAsia" w:ascii="宋体" w:hAnsi="宋体" w:cs="仿宋"/>
          <w:color w:val="auto"/>
          <w:kern w:val="0"/>
          <w:sz w:val="32"/>
          <w:szCs w:val="32"/>
          <w:highlight w:val="none"/>
          <w:u w:val="single"/>
        </w:rPr>
        <w:t xml:space="preserve">                                   </w:t>
      </w:r>
      <w:r>
        <w:rPr>
          <w:rFonts w:hint="eastAsia" w:ascii="宋体" w:hAnsi="宋体" w:cs="仿宋_GB2312"/>
          <w:color w:val="auto"/>
          <w:kern w:val="0"/>
          <w:sz w:val="32"/>
          <w:szCs w:val="32"/>
          <w:highlight w:val="none"/>
        </w:rPr>
        <w:t xml:space="preserve"> </w:t>
      </w:r>
    </w:p>
    <w:p w14:paraId="45C7935E">
      <w:pPr>
        <w:widowControl/>
        <w:autoSpaceDE w:val="0"/>
        <w:spacing w:line="560" w:lineRule="exact"/>
        <w:rPr>
          <w:rFonts w:ascii="宋体" w:hAnsi="宋体"/>
          <w:color w:val="auto"/>
          <w:kern w:val="0"/>
          <w:sz w:val="32"/>
          <w:szCs w:val="32"/>
          <w:highlight w:val="none"/>
        </w:rPr>
      </w:pPr>
      <w:r>
        <w:rPr>
          <w:rFonts w:hint="eastAsia" w:ascii="宋体" w:hAnsi="宋体"/>
          <w:color w:val="auto"/>
          <w:kern w:val="0"/>
          <w:sz w:val="32"/>
          <w:szCs w:val="32"/>
          <w:highlight w:val="none"/>
        </w:rPr>
        <w:t xml:space="preserve">  </w:t>
      </w:r>
    </w:p>
    <w:p w14:paraId="681D1CDD">
      <w:pPr>
        <w:spacing w:line="560" w:lineRule="exact"/>
        <w:ind w:firstLine="640" w:firstLineChars="200"/>
        <w:rPr>
          <w:rFonts w:ascii="宋体" w:hAnsi="宋体" w:cs="仿宋_GB2312"/>
          <w:color w:val="auto"/>
          <w:kern w:val="0"/>
          <w:sz w:val="22"/>
          <w:szCs w:val="22"/>
          <w:highlight w:val="none"/>
        </w:rPr>
      </w:pPr>
      <w:r>
        <w:rPr>
          <w:rFonts w:hint="eastAsia" w:ascii="新宋体" w:hAnsi="新宋体" w:eastAsia="新宋体" w:cs="新宋体"/>
          <w:color w:val="auto"/>
          <w:sz w:val="32"/>
          <w:highlight w:val="none"/>
        </w:rPr>
        <w:br w:type="page"/>
      </w:r>
      <w:r>
        <w:rPr>
          <w:rFonts w:hint="eastAsia" w:ascii="宋体" w:hAnsi="宋体" w:cs="仿宋_GB2312"/>
          <w:color w:val="auto"/>
          <w:kern w:val="0"/>
          <w:sz w:val="22"/>
          <w:szCs w:val="22"/>
          <w:highlight w:val="none"/>
        </w:rPr>
        <w:t>为了保护甲、乙双方合法权益，根据《中华人民共和国民法典》、《中华人民共和国政府采购法》、《政府购买服务管理办法》及其他有关法律、《浙江省财政厅关于进一步加强和规范政府购买服务管理的通知》（浙财综〔2021〕19号）等有关规定，为保证政府采购服务质量，明确双方的权利义务，经甲乙双方协商，本着平等互利和诚实信用的原则，双方一致同意，签订本合同。</w:t>
      </w:r>
    </w:p>
    <w:p w14:paraId="69EE51E0">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 xml:space="preserve">1. </w:t>
      </w:r>
      <w:r>
        <w:rPr>
          <w:rFonts w:ascii="宋体" w:hAnsi="宋体"/>
          <w:color w:val="auto"/>
          <w:kern w:val="0"/>
          <w:sz w:val="22"/>
          <w:szCs w:val="22"/>
          <w:highlight w:val="none"/>
        </w:rPr>
        <w:t>服务项目内容</w:t>
      </w:r>
    </w:p>
    <w:p w14:paraId="64634270">
      <w:pPr>
        <w:adjustRightInd w:val="0"/>
        <w:snapToGrid w:val="0"/>
        <w:spacing w:line="540" w:lineRule="exact"/>
        <w:ind w:firstLine="440" w:firstLineChars="200"/>
        <w:rPr>
          <w:rFonts w:ascii="宋体" w:hAnsi="宋体"/>
          <w:color w:val="auto"/>
          <w:kern w:val="0"/>
          <w:sz w:val="22"/>
          <w:szCs w:val="22"/>
          <w:highlight w:val="none"/>
          <w:u w:val="single"/>
        </w:rPr>
      </w:pPr>
      <w:r>
        <w:rPr>
          <w:rFonts w:hint="eastAsia" w:ascii="宋体" w:hAnsi="宋体" w:cs="仿宋_GB2312"/>
          <w:color w:val="auto"/>
          <w:kern w:val="0"/>
          <w:sz w:val="22"/>
          <w:szCs w:val="22"/>
          <w:highlight w:val="none"/>
        </w:rPr>
        <w:t>1.1甲方通过</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竞争性</w:t>
      </w:r>
      <w:r>
        <w:rPr>
          <w:rFonts w:ascii="宋体" w:hAnsi="宋体"/>
          <w:color w:val="auto"/>
          <w:kern w:val="0"/>
          <w:sz w:val="22"/>
          <w:szCs w:val="22"/>
          <w:highlight w:val="none"/>
          <w:u w:val="single"/>
        </w:rPr>
        <w:t xml:space="preserve">磋商   </w:t>
      </w:r>
      <w:r>
        <w:rPr>
          <w:rFonts w:hint="eastAsia" w:ascii="宋体" w:hAnsi="宋体"/>
          <w:color w:val="auto"/>
          <w:kern w:val="0"/>
          <w:sz w:val="22"/>
          <w:szCs w:val="22"/>
          <w:highlight w:val="none"/>
        </w:rPr>
        <w:t>方</w:t>
      </w:r>
      <w:r>
        <w:rPr>
          <w:rFonts w:hint="eastAsia" w:ascii="宋体" w:hAnsi="宋体" w:cs="仿宋_GB2312"/>
          <w:color w:val="auto"/>
          <w:kern w:val="0"/>
          <w:sz w:val="22"/>
          <w:szCs w:val="22"/>
          <w:highlight w:val="none"/>
        </w:rPr>
        <w:t>式确定由乙方提供以下服务</w:t>
      </w:r>
      <w:r>
        <w:rPr>
          <w:rFonts w:ascii="宋体" w:hAnsi="宋体"/>
          <w:color w:val="auto"/>
          <w:kern w:val="0"/>
          <w:sz w:val="22"/>
          <w:szCs w:val="22"/>
          <w:highlight w:val="none"/>
        </w:rPr>
        <w:t>：</w:t>
      </w:r>
      <w:r>
        <w:rPr>
          <w:rFonts w:hint="eastAsia" w:ascii="宋体" w:hAnsi="宋体"/>
          <w:color w:val="auto"/>
          <w:kern w:val="0"/>
          <w:sz w:val="22"/>
          <w:szCs w:val="22"/>
          <w:highlight w:val="none"/>
          <w:u w:val="single"/>
        </w:rPr>
        <w:t>洞头区政务云平台租赁。</w:t>
      </w:r>
    </w:p>
    <w:p w14:paraId="5AA3CC08">
      <w:pPr>
        <w:adjustRightInd w:val="0"/>
        <w:snapToGrid w:val="0"/>
        <w:spacing w:line="540" w:lineRule="exact"/>
        <w:ind w:firstLine="440" w:firstLineChars="200"/>
        <w:rPr>
          <w:rFonts w:ascii="宋体" w:hAnsi="宋体"/>
          <w:color w:val="auto"/>
          <w:kern w:val="0"/>
          <w:sz w:val="22"/>
          <w:szCs w:val="22"/>
          <w:highlight w:val="none"/>
          <w:u w:val="single"/>
        </w:rPr>
      </w:pPr>
      <w:r>
        <w:rPr>
          <w:rFonts w:hint="eastAsia" w:ascii="宋体" w:hAnsi="宋体"/>
          <w:color w:val="auto"/>
          <w:kern w:val="0"/>
          <w:sz w:val="22"/>
          <w:szCs w:val="22"/>
          <w:highlight w:val="none"/>
        </w:rPr>
        <w:t>1.2 服务内容及数量（可另附明细附件）</w:t>
      </w:r>
      <w:r>
        <w:rPr>
          <w:rFonts w:ascii="宋体" w:hAnsi="宋体"/>
          <w:color w:val="auto"/>
          <w:kern w:val="0"/>
          <w:sz w:val="22"/>
          <w:szCs w:val="22"/>
          <w:highlight w:val="none"/>
        </w:rPr>
        <w:t>：</w:t>
      </w:r>
      <w:r>
        <w:rPr>
          <w:rFonts w:hint="eastAsia" w:ascii="宋体" w:hAnsi="宋体"/>
          <w:color w:val="auto"/>
          <w:sz w:val="22"/>
          <w:szCs w:val="22"/>
          <w:highlight w:val="none"/>
          <w:u w:val="single"/>
        </w:rPr>
        <w:t>详见磋商文件的采购内容及要求部分和响应文件的相应内容</w:t>
      </w:r>
      <w:r>
        <w:rPr>
          <w:rFonts w:hint="eastAsia" w:ascii="宋体" w:hAnsi="宋体"/>
          <w:color w:val="auto"/>
          <w:sz w:val="22"/>
          <w:szCs w:val="22"/>
          <w:highlight w:val="none"/>
        </w:rPr>
        <w:t>。</w:t>
      </w:r>
    </w:p>
    <w:p w14:paraId="76CC1672">
      <w:pPr>
        <w:adjustRightInd w:val="0"/>
        <w:snapToGrid w:val="0"/>
        <w:spacing w:line="540" w:lineRule="exact"/>
        <w:ind w:firstLine="220" w:firstLineChars="100"/>
        <w:rPr>
          <w:rFonts w:ascii="宋体" w:hAnsi="宋体"/>
          <w:color w:val="auto"/>
          <w:kern w:val="0"/>
          <w:sz w:val="22"/>
          <w:szCs w:val="22"/>
          <w:highlight w:val="none"/>
        </w:rPr>
      </w:pPr>
      <w:r>
        <w:rPr>
          <w:rFonts w:hint="eastAsia" w:ascii="宋体" w:hAnsi="宋体"/>
          <w:color w:val="auto"/>
          <w:kern w:val="0"/>
          <w:sz w:val="22"/>
          <w:szCs w:val="22"/>
          <w:highlight w:val="none"/>
        </w:rPr>
        <w:t xml:space="preserve">  1.3 服务地点：</w:t>
      </w:r>
      <w:r>
        <w:rPr>
          <w:rFonts w:hint="eastAsia" w:ascii="宋体" w:hAnsi="宋体"/>
          <w:color w:val="auto"/>
          <w:kern w:val="0"/>
          <w:sz w:val="22"/>
          <w:szCs w:val="22"/>
          <w:highlight w:val="none"/>
          <w:u w:val="single"/>
        </w:rPr>
        <w:t xml:space="preserve">             </w:t>
      </w:r>
    </w:p>
    <w:p w14:paraId="714E0E55">
      <w:pPr>
        <w:snapToGrid w:val="0"/>
        <w:spacing w:line="44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1.4</w:t>
      </w:r>
      <w:r>
        <w:rPr>
          <w:rFonts w:hint="eastAsia" w:ascii="宋体" w:hAnsi="宋体" w:cs="仿宋"/>
          <w:color w:val="auto"/>
          <w:kern w:val="0"/>
          <w:sz w:val="22"/>
          <w:szCs w:val="22"/>
          <w:highlight w:val="none"/>
        </w:rPr>
        <w:t>服务期限：</w:t>
      </w:r>
      <w:r>
        <w:rPr>
          <w:rFonts w:hint="eastAsia" w:ascii="宋体" w:hAnsi="宋体"/>
          <w:color w:val="auto"/>
          <w:sz w:val="22"/>
          <w:szCs w:val="22"/>
          <w:highlight w:val="none"/>
        </w:rPr>
        <w:t>所有政务云服务计费方式均按照此次结果执行，直至出现新的政务云招标结果为止。</w:t>
      </w:r>
    </w:p>
    <w:p w14:paraId="21EA08DB">
      <w:pPr>
        <w:snapToGrid w:val="0"/>
        <w:spacing w:line="440" w:lineRule="atLeast"/>
        <w:ind w:firstLine="442" w:firstLineChars="200"/>
        <w:rPr>
          <w:rFonts w:ascii="宋体" w:hAnsi="宋体"/>
          <w:color w:val="auto"/>
          <w:kern w:val="0"/>
          <w:sz w:val="22"/>
          <w:szCs w:val="22"/>
          <w:highlight w:val="none"/>
        </w:rPr>
      </w:pPr>
      <w:r>
        <w:rPr>
          <w:rFonts w:hint="eastAsia" w:ascii="宋体" w:hAnsi="宋体"/>
          <w:b/>
          <w:color w:val="auto"/>
          <w:sz w:val="22"/>
          <w:szCs w:val="22"/>
          <w:highlight w:val="none"/>
        </w:rPr>
        <w:t>1.5本项目为单价合同，具体服务金额按照实际使用情况对照此次单价和</w:t>
      </w:r>
      <w:r>
        <w:rPr>
          <w:rFonts w:hint="eastAsia" w:ascii="宋体" w:hAnsi="宋体"/>
          <w:b/>
          <w:bCs/>
          <w:color w:val="auto"/>
          <w:sz w:val="22"/>
          <w:szCs w:val="22"/>
          <w:highlight w:val="none"/>
        </w:rPr>
        <w:t>统一折扣率</w:t>
      </w:r>
      <w:r>
        <w:rPr>
          <w:rFonts w:hint="eastAsia" w:ascii="宋体" w:hAnsi="宋体"/>
          <w:b/>
          <w:color w:val="auto"/>
          <w:sz w:val="22"/>
          <w:szCs w:val="22"/>
          <w:highlight w:val="none"/>
        </w:rPr>
        <w:t>计算并支付。</w:t>
      </w:r>
    </w:p>
    <w:p w14:paraId="48A489E4">
      <w:pPr>
        <w:adjustRightInd w:val="0"/>
        <w:snapToGrid w:val="0"/>
        <w:spacing w:line="420" w:lineRule="atLeast"/>
        <w:ind w:firstLine="440"/>
        <w:rPr>
          <w:rFonts w:ascii="宋体" w:hAnsi="宋体"/>
          <w:color w:val="auto"/>
          <w:kern w:val="0"/>
          <w:sz w:val="22"/>
          <w:szCs w:val="22"/>
          <w:highlight w:val="none"/>
        </w:rPr>
      </w:pPr>
      <w:r>
        <w:rPr>
          <w:rFonts w:hint="eastAsia" w:ascii="宋体" w:hAnsi="宋体"/>
          <w:color w:val="auto"/>
          <w:kern w:val="0"/>
          <w:sz w:val="22"/>
          <w:szCs w:val="22"/>
          <w:highlight w:val="none"/>
        </w:rPr>
        <w:t>1.6售后服务</w:t>
      </w:r>
    </w:p>
    <w:p w14:paraId="542D31C7">
      <w:pPr>
        <w:snapToGrid w:val="0"/>
        <w:spacing w:line="440" w:lineRule="atLeast"/>
        <w:ind w:firstLine="440" w:firstLineChars="200"/>
        <w:rPr>
          <w:rFonts w:ascii="宋体" w:hAnsi="宋体"/>
          <w:b/>
          <w:color w:val="auto"/>
          <w:kern w:val="0"/>
          <w:sz w:val="22"/>
          <w:szCs w:val="22"/>
          <w:highlight w:val="none"/>
          <w:u w:val="single"/>
        </w:rPr>
      </w:pPr>
      <w:r>
        <w:rPr>
          <w:rFonts w:hint="eastAsia" w:ascii="宋体" w:hAnsi="宋体"/>
          <w:color w:val="auto"/>
          <w:sz w:val="22"/>
          <w:highlight w:val="none"/>
        </w:rPr>
        <w:t>详见磋商文件及响应文件承诺。</w:t>
      </w:r>
    </w:p>
    <w:p w14:paraId="3671DCEB">
      <w:pPr>
        <w:spacing w:line="560" w:lineRule="exact"/>
        <w:ind w:firstLine="440" w:firstLineChars="200"/>
        <w:rPr>
          <w:rFonts w:ascii="宋体" w:hAnsi="宋体" w:cs="仿宋_GB2312"/>
          <w:color w:val="auto"/>
          <w:kern w:val="0"/>
          <w:sz w:val="22"/>
          <w:szCs w:val="22"/>
          <w:highlight w:val="none"/>
        </w:rPr>
      </w:pPr>
      <w:r>
        <w:rPr>
          <w:rFonts w:hint="eastAsia" w:ascii="宋体" w:hAnsi="宋体"/>
          <w:color w:val="auto"/>
          <w:kern w:val="0"/>
          <w:sz w:val="22"/>
          <w:szCs w:val="22"/>
          <w:highlight w:val="none"/>
        </w:rPr>
        <w:t xml:space="preserve">2. </w:t>
      </w:r>
      <w:r>
        <w:rPr>
          <w:rFonts w:ascii="宋体" w:hAnsi="宋体"/>
          <w:color w:val="auto"/>
          <w:kern w:val="0"/>
          <w:sz w:val="22"/>
          <w:szCs w:val="22"/>
          <w:highlight w:val="none"/>
        </w:rPr>
        <w:t>服务项目质量标准和要求</w:t>
      </w:r>
      <w:r>
        <w:rPr>
          <w:rFonts w:hint="eastAsia" w:ascii="宋体" w:hAnsi="宋体" w:cs="仿宋_GB2312"/>
          <w:color w:val="auto"/>
          <w:kern w:val="0"/>
          <w:sz w:val="22"/>
          <w:szCs w:val="22"/>
          <w:highlight w:val="none"/>
        </w:rPr>
        <w:t>（可另附明细附件)</w:t>
      </w:r>
    </w:p>
    <w:p w14:paraId="08577CBA">
      <w:pPr>
        <w:adjustRightInd w:val="0"/>
        <w:snapToGrid w:val="0"/>
        <w:spacing w:line="540" w:lineRule="exact"/>
        <w:rPr>
          <w:rFonts w:ascii="宋体" w:hAnsi="宋体"/>
          <w:color w:val="auto"/>
          <w:kern w:val="0"/>
          <w:sz w:val="22"/>
          <w:szCs w:val="22"/>
          <w:highlight w:val="none"/>
          <w:u w:val="single"/>
        </w:rPr>
      </w:pPr>
      <w:r>
        <w:rPr>
          <w:rFonts w:ascii="宋体" w:hAnsi="宋体"/>
          <w:color w:val="auto"/>
          <w:kern w:val="0"/>
          <w:sz w:val="22"/>
          <w:szCs w:val="22"/>
          <w:highlight w:val="none"/>
          <w:u w:val="single"/>
        </w:rPr>
        <w:t xml:space="preserve">见磋商文件 </w:t>
      </w:r>
      <w:r>
        <w:rPr>
          <w:rFonts w:hint="eastAsia" w:ascii="宋体" w:hAnsi="宋体"/>
          <w:color w:val="auto"/>
          <w:kern w:val="0"/>
          <w:sz w:val="22"/>
          <w:szCs w:val="22"/>
          <w:highlight w:val="none"/>
          <w:u w:val="single"/>
        </w:rPr>
        <w:t>。</w:t>
      </w:r>
    </w:p>
    <w:p w14:paraId="32B299F4">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 xml:space="preserve">3. </w:t>
      </w:r>
      <w:r>
        <w:rPr>
          <w:rFonts w:ascii="宋体" w:hAnsi="宋体"/>
          <w:color w:val="auto"/>
          <w:kern w:val="0"/>
          <w:sz w:val="22"/>
          <w:szCs w:val="22"/>
          <w:highlight w:val="none"/>
        </w:rPr>
        <w:t>合同金额及报价明细</w:t>
      </w:r>
    </w:p>
    <w:p w14:paraId="524557A7">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s="仿宋_GB2312"/>
          <w:color w:val="auto"/>
          <w:kern w:val="0"/>
          <w:sz w:val="22"/>
          <w:szCs w:val="22"/>
          <w:highlight w:val="none"/>
        </w:rPr>
        <w:t>3.1本项目单价</w:t>
      </w:r>
      <w:r>
        <w:rPr>
          <w:rFonts w:hint="eastAsia" w:ascii="宋体" w:hAnsi="宋体"/>
          <w:color w:val="auto"/>
          <w:kern w:val="0"/>
          <w:sz w:val="22"/>
          <w:szCs w:val="22"/>
          <w:highlight w:val="none"/>
        </w:rPr>
        <w:t>最高限价的统一折扣率</w:t>
      </w:r>
      <w:r>
        <w:rPr>
          <w:rFonts w:hint="eastAsia" w:ascii="宋体" w:hAnsi="宋体" w:cs="仿宋_GB2312"/>
          <w:color w:val="auto"/>
          <w:kern w:val="0"/>
          <w:sz w:val="22"/>
          <w:szCs w:val="22"/>
          <w:highlight w:val="none"/>
        </w:rPr>
        <w:t>为</w:t>
      </w:r>
      <w:r>
        <w:rPr>
          <w:rFonts w:ascii="宋体" w:hAnsi="宋体"/>
          <w:color w:val="auto"/>
          <w:kern w:val="0"/>
          <w:sz w:val="22"/>
          <w:szCs w:val="22"/>
          <w:highlight w:val="none"/>
          <w:u w:val="single"/>
        </w:rPr>
        <w:t xml:space="preserve">      </w:t>
      </w:r>
      <w:r>
        <w:rPr>
          <w:rFonts w:hint="eastAsia" w:ascii="宋体" w:hAnsi="宋体" w:cs="仿宋_GB2312"/>
          <w:color w:val="auto"/>
          <w:kern w:val="0"/>
          <w:sz w:val="22"/>
          <w:szCs w:val="22"/>
          <w:highlight w:val="none"/>
        </w:rPr>
        <w:t>%</w:t>
      </w:r>
      <w:r>
        <w:rPr>
          <w:rFonts w:ascii="宋体" w:hAnsi="宋体"/>
          <w:color w:val="auto"/>
          <w:kern w:val="0"/>
          <w:sz w:val="22"/>
          <w:szCs w:val="22"/>
          <w:highlight w:val="none"/>
        </w:rPr>
        <w:t>。</w:t>
      </w:r>
    </w:p>
    <w:p w14:paraId="1743C20A">
      <w:pPr>
        <w:adjustRightInd w:val="0"/>
        <w:snapToGrid w:val="0"/>
        <w:spacing w:line="540" w:lineRule="exact"/>
        <w:ind w:firstLine="442" w:firstLineChars="200"/>
        <w:rPr>
          <w:rFonts w:ascii="宋体" w:hAnsi="宋体"/>
          <w:color w:val="auto"/>
          <w:kern w:val="0"/>
          <w:sz w:val="22"/>
          <w:szCs w:val="22"/>
          <w:highlight w:val="none"/>
        </w:rPr>
      </w:pPr>
      <w:r>
        <w:rPr>
          <w:rFonts w:hint="eastAsia" w:ascii="宋体" w:hAnsi="宋体" w:cs="宋体"/>
          <w:b/>
          <w:bCs/>
          <w:color w:val="auto"/>
          <w:kern w:val="0"/>
          <w:sz w:val="22"/>
          <w:szCs w:val="22"/>
          <w:highlight w:val="none"/>
        </w:rPr>
        <w:t>3.2本项目按各单价最高限价×最高限价的统一折扣率×各部门各实际服务数量进行结算。</w:t>
      </w:r>
      <w:r>
        <w:rPr>
          <w:rFonts w:ascii="宋体" w:hAnsi="宋体" w:cs="宋体"/>
          <w:b/>
          <w:bCs/>
          <w:color w:val="auto"/>
          <w:kern w:val="0"/>
          <w:sz w:val="22"/>
          <w:szCs w:val="22"/>
          <w:highlight w:val="none"/>
        </w:rPr>
        <w:t>各单价</w:t>
      </w:r>
      <w:r>
        <w:rPr>
          <w:rFonts w:hint="eastAsia" w:ascii="宋体" w:hAnsi="宋体" w:cs="宋体"/>
          <w:b/>
          <w:bCs/>
          <w:color w:val="auto"/>
          <w:kern w:val="0"/>
          <w:sz w:val="22"/>
          <w:szCs w:val="22"/>
          <w:highlight w:val="none"/>
        </w:rPr>
        <w:t>最高限价详见磋商文件。</w:t>
      </w:r>
    </w:p>
    <w:p w14:paraId="06544B66">
      <w:pPr>
        <w:spacing w:line="56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w:t>
      </w:r>
      <w:r>
        <w:rPr>
          <w:rFonts w:hint="eastAsia" w:ascii="宋体" w:hAnsi="宋体"/>
          <w:color w:val="auto"/>
          <w:sz w:val="22"/>
          <w:szCs w:val="22"/>
          <w:highlight w:val="none"/>
        </w:rPr>
        <w:t>鉴于各使用单位应用系统数量为动态数值，故本项目不能确定各项服务总量，本次招标采购的是云主机等资源每月租赁费的单价（不足1月按实际产生天数计费，每日租赁费=月租赁费/30）。</w:t>
      </w:r>
      <w:r>
        <w:rPr>
          <w:rFonts w:hint="eastAsia" w:ascii="宋体" w:hAnsi="宋体" w:cs="仿宋_GB2312"/>
          <w:color w:val="auto"/>
          <w:kern w:val="0"/>
          <w:sz w:val="22"/>
          <w:szCs w:val="22"/>
          <w:highlight w:val="none"/>
        </w:rPr>
        <w:t xml:space="preserve">  </w:t>
      </w:r>
    </w:p>
    <w:p w14:paraId="53F260E1">
      <w:pPr>
        <w:spacing w:line="560" w:lineRule="exact"/>
        <w:ind w:firstLine="440" w:firstLineChars="200"/>
        <w:rPr>
          <w:rFonts w:ascii="宋体" w:hAnsi="宋体" w:cs="仿宋"/>
          <w:color w:val="auto"/>
          <w:kern w:val="0"/>
          <w:sz w:val="22"/>
          <w:szCs w:val="22"/>
          <w:highlight w:val="none"/>
        </w:rPr>
      </w:pPr>
      <w:r>
        <w:rPr>
          <w:rFonts w:hint="eastAsia" w:ascii="宋体" w:hAnsi="宋体" w:cs="仿宋_GB2312"/>
          <w:color w:val="auto"/>
          <w:kern w:val="0"/>
          <w:sz w:val="22"/>
          <w:szCs w:val="22"/>
          <w:highlight w:val="none"/>
        </w:rPr>
        <w:t>3.4合同服务费用应包括履约验收产生的检验（监测）费、劳务报酬等费用；</w:t>
      </w:r>
    </w:p>
    <w:p w14:paraId="4FE94A35">
      <w:pPr>
        <w:spacing w:line="56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3.5乙方开户名称：</w:t>
      </w:r>
    </w:p>
    <w:p w14:paraId="5D8EC393">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s="仿宋_GB2312"/>
          <w:color w:val="auto"/>
          <w:kern w:val="0"/>
          <w:sz w:val="22"/>
          <w:szCs w:val="22"/>
          <w:highlight w:val="none"/>
        </w:rPr>
        <w:t>开户银行</w:t>
      </w:r>
      <w:r>
        <w:rPr>
          <w:rFonts w:hint="eastAsia" w:ascii="宋体" w:hAnsi="宋体" w:cs="仿宋"/>
          <w:color w:val="auto"/>
          <w:kern w:val="0"/>
          <w:sz w:val="22"/>
          <w:szCs w:val="22"/>
          <w:highlight w:val="none"/>
        </w:rPr>
        <w:t>：</w:t>
      </w:r>
      <w:r>
        <w:rPr>
          <w:rFonts w:ascii="宋体" w:hAnsi="宋体"/>
          <w:color w:val="auto"/>
          <w:kern w:val="0"/>
          <w:sz w:val="22"/>
          <w:szCs w:val="22"/>
          <w:highlight w:val="none"/>
          <w:u w:val="single"/>
        </w:rPr>
        <w:t xml:space="preserve">                                        </w:t>
      </w:r>
    </w:p>
    <w:p w14:paraId="0F6CA188">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s="仿宋_GB2312"/>
          <w:color w:val="auto"/>
          <w:kern w:val="0"/>
          <w:sz w:val="22"/>
          <w:szCs w:val="22"/>
          <w:highlight w:val="none"/>
        </w:rPr>
        <w:t>银行帐号：</w:t>
      </w:r>
      <w:r>
        <w:rPr>
          <w:rFonts w:ascii="宋体" w:hAnsi="宋体"/>
          <w:color w:val="auto"/>
          <w:kern w:val="0"/>
          <w:sz w:val="22"/>
          <w:szCs w:val="22"/>
          <w:highlight w:val="none"/>
          <w:u w:val="single"/>
        </w:rPr>
        <w:t xml:space="preserve">                                        </w:t>
      </w:r>
    </w:p>
    <w:p w14:paraId="4B0B47C7">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4.</w:t>
      </w:r>
      <w:r>
        <w:rPr>
          <w:rFonts w:ascii="宋体" w:hAnsi="宋体"/>
          <w:color w:val="auto"/>
          <w:kern w:val="0"/>
          <w:sz w:val="22"/>
          <w:szCs w:val="22"/>
          <w:highlight w:val="none"/>
        </w:rPr>
        <w:t xml:space="preserve"> 付款方式</w:t>
      </w:r>
      <w:r>
        <w:rPr>
          <w:rFonts w:hint="eastAsia" w:ascii="宋体" w:hAnsi="宋体"/>
          <w:color w:val="auto"/>
          <w:kern w:val="0"/>
          <w:sz w:val="22"/>
          <w:szCs w:val="22"/>
          <w:highlight w:val="none"/>
        </w:rPr>
        <w:t>，</w:t>
      </w:r>
      <w:r>
        <w:rPr>
          <w:rFonts w:hint="eastAsia" w:ascii="宋体" w:hAnsi="宋体" w:cs="仿宋_GB2312"/>
          <w:color w:val="auto"/>
          <w:kern w:val="0"/>
          <w:sz w:val="22"/>
          <w:szCs w:val="22"/>
          <w:highlight w:val="none"/>
        </w:rPr>
        <w:t>甲方以下述第</w:t>
      </w:r>
      <w:r>
        <w:rPr>
          <w:rFonts w:hint="eastAsia" w:ascii="宋体" w:hAnsi="宋体" w:cs="仿宋_GB2312"/>
          <w:color w:val="auto"/>
          <w:kern w:val="0"/>
          <w:sz w:val="22"/>
          <w:szCs w:val="22"/>
          <w:highlight w:val="none"/>
          <w:u w:val="single"/>
        </w:rPr>
        <w:t>4.4</w:t>
      </w:r>
      <w:r>
        <w:rPr>
          <w:rFonts w:hint="eastAsia" w:ascii="宋体" w:hAnsi="宋体" w:cs="仿宋_GB2312"/>
          <w:color w:val="auto"/>
          <w:kern w:val="0"/>
          <w:sz w:val="22"/>
          <w:szCs w:val="22"/>
          <w:highlight w:val="none"/>
        </w:rPr>
        <w:t>项方式支付合同款项。</w:t>
      </w:r>
    </w:p>
    <w:p w14:paraId="15F12596">
      <w:pPr>
        <w:adjustRightInd w:val="0"/>
        <w:snapToGrid w:val="0"/>
        <w:spacing w:line="54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4.1一次性付款：</w:t>
      </w:r>
    </w:p>
    <w:p w14:paraId="326B5614">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s="仿宋_GB2312"/>
          <w:color w:val="auto"/>
          <w:kern w:val="0"/>
          <w:sz w:val="22"/>
          <w:szCs w:val="22"/>
          <w:highlight w:val="none"/>
        </w:rPr>
        <w:t>乙方履约完毕后且甲方按照本合同第5条规定验收合格后，</w:t>
      </w:r>
      <w:r>
        <w:rPr>
          <w:rFonts w:hint="eastAsia" w:ascii="宋体" w:hAnsi="宋体" w:cs="仿宋_GB2312"/>
          <w:color w:val="auto"/>
          <w:kern w:val="0"/>
          <w:sz w:val="22"/>
          <w:szCs w:val="22"/>
          <w:highlight w:val="none"/>
          <w:u w:val="single"/>
        </w:rPr>
        <w:t xml:space="preserve">   </w:t>
      </w:r>
      <w:r>
        <w:rPr>
          <w:rFonts w:hint="eastAsia" w:ascii="宋体" w:hAnsi="宋体" w:cs="仿宋_GB2312"/>
          <w:color w:val="auto"/>
          <w:kern w:val="0"/>
          <w:sz w:val="22"/>
          <w:szCs w:val="22"/>
          <w:highlight w:val="none"/>
        </w:rPr>
        <w:t>日内一次性支付全部服务费。</w:t>
      </w:r>
    </w:p>
    <w:p w14:paraId="2CE8E758">
      <w:pPr>
        <w:adjustRightInd w:val="0"/>
        <w:snapToGrid w:val="0"/>
        <w:spacing w:line="54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4.2分期支付：</w:t>
      </w:r>
    </w:p>
    <w:p w14:paraId="4192CACF">
      <w:pPr>
        <w:adjustRightInd w:val="0"/>
        <w:snapToGrid w:val="0"/>
        <w:spacing w:line="54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（1）按年/按季度/按月支付等额的服务费；</w:t>
      </w:r>
    </w:p>
    <w:p w14:paraId="53916356">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w:t>
      </w:r>
      <w:r>
        <w:rPr>
          <w:rFonts w:ascii="宋体" w:hAnsi="宋体"/>
          <w:color w:val="auto"/>
          <w:kern w:val="0"/>
          <w:sz w:val="22"/>
          <w:szCs w:val="22"/>
          <w:highlight w:val="none"/>
        </w:rPr>
        <w:t>本合同签订后</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日内，甲方向乙方支付</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元（或服务费总额的</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%)；在交付服务成果并经验收合格后，支付服务费</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元（或服务费总额的</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44F8B195">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4.3</w:t>
      </w:r>
      <w:r>
        <w:rPr>
          <w:rFonts w:ascii="宋体" w:hAnsi="宋体"/>
          <w:color w:val="auto"/>
          <w:kern w:val="0"/>
          <w:sz w:val="22"/>
          <w:szCs w:val="22"/>
          <w:highlight w:val="none"/>
        </w:rPr>
        <w:t>按本合同项下的项目进度支付服务费（应根据项目特点具体约定,以下阶段支付仅为参考）：</w:t>
      </w:r>
    </w:p>
    <w:p w14:paraId="074AE5D9">
      <w:pPr>
        <w:adjustRightInd w:val="0"/>
        <w:snapToGrid w:val="0"/>
        <w:spacing w:line="540" w:lineRule="exact"/>
        <w:ind w:left="105" w:leftChars="50" w:firstLine="330" w:firstLineChars="150"/>
        <w:rPr>
          <w:rFonts w:ascii="宋体" w:hAnsi="宋体"/>
          <w:color w:val="auto"/>
          <w:kern w:val="0"/>
          <w:sz w:val="22"/>
          <w:szCs w:val="22"/>
          <w:highlight w:val="none"/>
        </w:rPr>
      </w:pPr>
      <w:r>
        <w:rPr>
          <w:rFonts w:hint="eastAsia" w:ascii="宋体" w:hAnsi="宋体" w:cs="仿宋_GB2312"/>
          <w:color w:val="auto"/>
          <w:kern w:val="0"/>
          <w:sz w:val="22"/>
          <w:szCs w:val="22"/>
          <w:highlight w:val="none"/>
        </w:rPr>
        <w:t>（1）</w:t>
      </w:r>
      <w:r>
        <w:rPr>
          <w:rFonts w:ascii="宋体" w:hAnsi="宋体"/>
          <w:color w:val="auto"/>
          <w:kern w:val="0"/>
          <w:sz w:val="22"/>
          <w:szCs w:val="22"/>
          <w:highlight w:val="none"/>
        </w:rPr>
        <w:t>乙方服务人员到达服务地点并提交服务实施方案后</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日内，甲方将总服务费的</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%支付给乙方；</w:t>
      </w:r>
    </w:p>
    <w:p w14:paraId="6CE31199">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w:t>
      </w:r>
      <w:r>
        <w:rPr>
          <w:rFonts w:ascii="宋体" w:hAnsi="宋体"/>
          <w:color w:val="auto"/>
          <w:kern w:val="0"/>
          <w:sz w:val="22"/>
          <w:szCs w:val="22"/>
          <w:highlight w:val="none"/>
        </w:rPr>
        <w:t>第二次付款为总服务费的</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%,甲方在乙方提交服务阶段报告及其它文件,且该报告及相关文件符合本合同要求并经甲方验收后</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日内付给乙方；</w:t>
      </w:r>
    </w:p>
    <w:p w14:paraId="005718E2">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w:t>
      </w:r>
      <w:r>
        <w:rPr>
          <w:rFonts w:ascii="宋体" w:hAnsi="宋体"/>
          <w:color w:val="auto"/>
          <w:kern w:val="0"/>
          <w:sz w:val="22"/>
          <w:szCs w:val="22"/>
          <w:highlight w:val="none"/>
        </w:rPr>
        <w:t>最后一次付款为总服务费的</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%，甲方应在乙方完全履行合同，递交服务总报告及相关文件资料并经甲方验收完毕日内付给乙方。</w:t>
      </w:r>
    </w:p>
    <w:p w14:paraId="07D3FF04">
      <w:pPr>
        <w:spacing w:line="390" w:lineRule="atLeast"/>
        <w:ind w:firstLine="440" w:firstLineChars="200"/>
        <w:rPr>
          <w:rFonts w:ascii="宋体" w:hAnsi="宋体"/>
          <w:bCs/>
          <w:color w:val="auto"/>
          <w:sz w:val="22"/>
          <w:highlight w:val="none"/>
          <w:u w:val="single"/>
        </w:rPr>
      </w:pPr>
      <w:r>
        <w:rPr>
          <w:rFonts w:hint="eastAsia" w:ascii="宋体" w:hAnsi="宋体"/>
          <w:color w:val="auto"/>
          <w:kern w:val="0"/>
          <w:sz w:val="22"/>
          <w:szCs w:val="22"/>
          <w:highlight w:val="none"/>
        </w:rPr>
        <w:t>4.4其他付款：</w:t>
      </w:r>
      <w:r>
        <w:rPr>
          <w:rFonts w:hint="eastAsia" w:ascii="宋体" w:hAnsi="宋体" w:cs="宋体"/>
          <w:bCs/>
          <w:color w:val="auto"/>
          <w:kern w:val="0"/>
          <w:sz w:val="22"/>
          <w:szCs w:val="22"/>
          <w:highlight w:val="none"/>
          <w:u w:val="single"/>
        </w:rPr>
        <w:t>▲合同签订后，乙方按实际需求提供服务（招标前未支付的服务费用均按照此次招标结果计费支付），同时，需提供各使用单位实际使用的服务项目（产品类型）、数量的服务费用清单，并经过使用单位确认后由甲方结算服务费用。合同期内一次</w:t>
      </w:r>
      <w:r>
        <w:rPr>
          <w:rFonts w:hint="eastAsia" w:ascii="宋体" w:hAnsi="宋体" w:cs="宋体"/>
          <w:bCs/>
          <w:color w:val="auto"/>
          <w:kern w:val="0"/>
          <w:sz w:val="22"/>
          <w:szCs w:val="22"/>
          <w:highlight w:val="none"/>
          <w:u w:val="single"/>
          <w:lang w:val="en-US" w:eastAsia="zh-CN"/>
        </w:rPr>
        <w:t>性支付费用清单内的</w:t>
      </w:r>
      <w:r>
        <w:rPr>
          <w:rFonts w:hint="eastAsia" w:ascii="宋体" w:hAnsi="宋体" w:cs="宋体"/>
          <w:bCs/>
          <w:color w:val="auto"/>
          <w:kern w:val="0"/>
          <w:sz w:val="22"/>
          <w:szCs w:val="22"/>
          <w:highlight w:val="none"/>
          <w:u w:val="single"/>
        </w:rPr>
        <w:t>服务费，经双方确认</w:t>
      </w:r>
      <w:r>
        <w:rPr>
          <w:rFonts w:hint="eastAsia" w:ascii="宋体" w:hAnsi="宋体" w:cs="宋体"/>
          <w:bCs/>
          <w:color w:val="auto"/>
          <w:kern w:val="0"/>
          <w:sz w:val="22"/>
          <w:szCs w:val="22"/>
          <w:highlight w:val="none"/>
          <w:u w:val="single"/>
          <w:lang w:val="en-US" w:eastAsia="zh-CN"/>
        </w:rPr>
        <w:t>并签订支付协议</w:t>
      </w:r>
      <w:r>
        <w:rPr>
          <w:rFonts w:hint="eastAsia" w:ascii="宋体" w:hAnsi="宋体" w:cs="宋体"/>
          <w:bCs/>
          <w:color w:val="auto"/>
          <w:kern w:val="0"/>
          <w:sz w:val="22"/>
          <w:szCs w:val="22"/>
          <w:highlight w:val="none"/>
          <w:u w:val="single"/>
        </w:rPr>
        <w:t>，乙方出具发票后7个工作日内支付服务费。</w:t>
      </w:r>
    </w:p>
    <w:p w14:paraId="22B71381">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 xml:space="preserve">5. </w:t>
      </w:r>
      <w:r>
        <w:rPr>
          <w:rFonts w:ascii="宋体" w:hAnsi="宋体"/>
          <w:color w:val="auto"/>
          <w:kern w:val="0"/>
          <w:sz w:val="22"/>
          <w:szCs w:val="22"/>
          <w:highlight w:val="none"/>
        </w:rPr>
        <w:t>验收</w:t>
      </w:r>
      <w:r>
        <w:rPr>
          <w:rFonts w:hint="eastAsia" w:ascii="宋体" w:hAnsi="宋体"/>
          <w:color w:val="auto"/>
          <w:kern w:val="0"/>
          <w:sz w:val="22"/>
          <w:szCs w:val="22"/>
          <w:highlight w:val="none"/>
        </w:rPr>
        <w:t>程序、方法</w:t>
      </w:r>
      <w:r>
        <w:rPr>
          <w:rFonts w:ascii="宋体" w:hAnsi="宋体"/>
          <w:color w:val="auto"/>
          <w:kern w:val="0"/>
          <w:sz w:val="22"/>
          <w:szCs w:val="22"/>
          <w:highlight w:val="none"/>
        </w:rPr>
        <w:t>及标准</w:t>
      </w:r>
    </w:p>
    <w:p w14:paraId="66E386F1">
      <w:pPr>
        <w:widowControl/>
        <w:spacing w:line="56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5.1本项目验收按照《温州市政府采购履约验收办法》（温财采〔2020〕6号）文件执行。</w:t>
      </w:r>
    </w:p>
    <w:p w14:paraId="6A942FDB">
      <w:pPr>
        <w:widowControl/>
        <w:spacing w:line="560" w:lineRule="exact"/>
        <w:ind w:firstLine="440" w:firstLineChars="200"/>
        <w:rPr>
          <w:rFonts w:ascii="宋体" w:hAnsi="宋体" w:cs="宋体"/>
          <w:color w:val="auto"/>
          <w:kern w:val="0"/>
          <w:sz w:val="22"/>
          <w:szCs w:val="22"/>
          <w:highlight w:val="none"/>
        </w:rPr>
      </w:pPr>
      <w:r>
        <w:rPr>
          <w:rFonts w:hint="eastAsia" w:ascii="宋体" w:hAnsi="宋体" w:cs="仿宋_GB2312"/>
          <w:color w:val="auto"/>
          <w:kern w:val="0"/>
          <w:sz w:val="22"/>
          <w:szCs w:val="22"/>
          <w:highlight w:val="none"/>
        </w:rPr>
        <w:t>5.2验收程序，可按照简易程序验收</w:t>
      </w:r>
      <w:r>
        <w:rPr>
          <w:rFonts w:hint="eastAsia"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r>
        <w:rPr>
          <w:rFonts w:hint="eastAsia" w:ascii="宋体" w:hAnsi="宋体" w:cs="仿宋_GB2312"/>
          <w:color w:val="auto"/>
          <w:kern w:val="0"/>
          <w:sz w:val="22"/>
          <w:szCs w:val="22"/>
          <w:highlight w:val="none"/>
        </w:rPr>
        <w:t>或一般程序验收</w:t>
      </w:r>
      <w:r>
        <w:rPr>
          <w:rFonts w:hint="eastAsia"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r>
        <w:rPr>
          <w:rFonts w:hint="eastAsia" w:ascii="宋体" w:hAnsi="宋体" w:cs="仿宋_GB2312"/>
          <w:color w:val="auto"/>
          <w:kern w:val="0"/>
          <w:sz w:val="22"/>
          <w:szCs w:val="22"/>
          <w:highlight w:val="none"/>
        </w:rPr>
        <w:t>进行验收。</w:t>
      </w:r>
    </w:p>
    <w:p w14:paraId="0D709866">
      <w:pPr>
        <w:widowControl/>
        <w:spacing w:line="56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5.3验收方法，可按照一次性验收</w:t>
      </w:r>
      <w:r>
        <w:rPr>
          <w:rFonts w:hint="eastAsia"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r>
        <w:rPr>
          <w:rFonts w:hint="eastAsia" w:ascii="宋体" w:hAnsi="宋体" w:cs="仿宋_GB2312"/>
          <w:color w:val="auto"/>
          <w:kern w:val="0"/>
          <w:sz w:val="22"/>
          <w:szCs w:val="22"/>
          <w:highlight w:val="none"/>
        </w:rPr>
        <w:t>、分段验收</w:t>
      </w:r>
      <w:r>
        <w:rPr>
          <w:rFonts w:hint="eastAsia"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r>
        <w:rPr>
          <w:rFonts w:hint="eastAsia" w:ascii="宋体" w:hAnsi="宋体" w:cs="仿宋_GB2312"/>
          <w:color w:val="auto"/>
          <w:kern w:val="0"/>
          <w:sz w:val="22"/>
          <w:szCs w:val="22"/>
          <w:highlight w:val="none"/>
        </w:rPr>
        <w:t>或分期验收</w:t>
      </w:r>
      <w:r>
        <w:rPr>
          <w:rFonts w:hint="eastAsia"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r>
        <w:rPr>
          <w:rFonts w:hint="eastAsia" w:ascii="宋体" w:hAnsi="宋体" w:cs="仿宋_GB2312"/>
          <w:color w:val="auto"/>
          <w:kern w:val="0"/>
          <w:sz w:val="22"/>
          <w:szCs w:val="22"/>
          <w:highlight w:val="none"/>
        </w:rPr>
        <w:t>进行验收。</w:t>
      </w:r>
    </w:p>
    <w:p w14:paraId="20FCA71B">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s="仿宋_GB2312"/>
          <w:color w:val="auto"/>
          <w:kern w:val="0"/>
          <w:sz w:val="22"/>
          <w:szCs w:val="22"/>
          <w:highlight w:val="none"/>
        </w:rPr>
        <w:t>5.4验收标准（可另附明细附件)：</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p>
    <w:p w14:paraId="21DFFEA6">
      <w:pPr>
        <w:widowControl/>
        <w:spacing w:line="560" w:lineRule="exact"/>
        <w:ind w:firstLine="440" w:firstLineChars="200"/>
        <w:rPr>
          <w:rFonts w:ascii="宋体" w:hAnsi="宋体" w:cs="仿宋"/>
          <w:bCs/>
          <w:color w:val="auto"/>
          <w:kern w:val="0"/>
          <w:sz w:val="22"/>
          <w:szCs w:val="22"/>
          <w:highlight w:val="none"/>
        </w:rPr>
      </w:pPr>
      <w:r>
        <w:rPr>
          <w:rFonts w:hint="eastAsia" w:ascii="宋体" w:hAnsi="宋体" w:cs="仿宋"/>
          <w:bCs/>
          <w:color w:val="auto"/>
          <w:kern w:val="0"/>
          <w:sz w:val="22"/>
          <w:szCs w:val="22"/>
          <w:highlight w:val="none"/>
        </w:rPr>
        <w:t>6. 履约保证金</w:t>
      </w:r>
    </w:p>
    <w:p w14:paraId="46C44D7E">
      <w:pPr>
        <w:widowControl/>
        <w:spacing w:line="56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无</w:t>
      </w:r>
    </w:p>
    <w:p w14:paraId="0F5E50CB">
      <w:pPr>
        <w:widowControl/>
        <w:spacing w:line="560" w:lineRule="exact"/>
        <w:ind w:firstLine="440" w:firstLineChars="200"/>
        <w:rPr>
          <w:rFonts w:ascii="宋体" w:hAnsi="宋体" w:cs="仿宋"/>
          <w:bCs/>
          <w:color w:val="auto"/>
          <w:kern w:val="0"/>
          <w:sz w:val="22"/>
          <w:szCs w:val="22"/>
          <w:highlight w:val="none"/>
        </w:rPr>
      </w:pPr>
      <w:r>
        <w:rPr>
          <w:rFonts w:hint="eastAsia" w:ascii="宋体" w:hAnsi="宋体" w:cs="仿宋"/>
          <w:bCs/>
          <w:color w:val="auto"/>
          <w:kern w:val="0"/>
          <w:sz w:val="22"/>
          <w:szCs w:val="22"/>
          <w:highlight w:val="none"/>
        </w:rPr>
        <w:t>7. 资质保证及使用规则</w:t>
      </w:r>
    </w:p>
    <w:p w14:paraId="5FC45925">
      <w:pPr>
        <w:widowControl/>
        <w:spacing w:line="560" w:lineRule="exact"/>
        <w:ind w:firstLine="440" w:firstLineChars="200"/>
        <w:rPr>
          <w:rFonts w:ascii="宋体" w:hAnsi="宋体" w:cs="仿宋"/>
          <w:bCs/>
          <w:color w:val="auto"/>
          <w:kern w:val="0"/>
          <w:sz w:val="22"/>
          <w:szCs w:val="22"/>
          <w:highlight w:val="none"/>
        </w:rPr>
      </w:pPr>
      <w:r>
        <w:rPr>
          <w:rFonts w:hint="eastAsia" w:ascii="宋体" w:hAnsi="宋体" w:cs="仿宋"/>
          <w:bCs/>
          <w:color w:val="auto"/>
          <w:kern w:val="0"/>
          <w:sz w:val="22"/>
          <w:szCs w:val="22"/>
          <w:highlight w:val="none"/>
        </w:rPr>
        <w:t>7.1甲方保证各使用单位提供信息与文件的真实、完整、准确、合法、有效，并承担相应的法律责任。</w:t>
      </w:r>
    </w:p>
    <w:p w14:paraId="5059BBD6">
      <w:pPr>
        <w:widowControl/>
        <w:spacing w:line="560" w:lineRule="exact"/>
        <w:ind w:firstLine="440" w:firstLineChars="200"/>
        <w:rPr>
          <w:rFonts w:ascii="宋体" w:hAnsi="宋体" w:cs="仿宋"/>
          <w:bCs/>
          <w:color w:val="auto"/>
          <w:kern w:val="0"/>
          <w:sz w:val="22"/>
          <w:szCs w:val="22"/>
          <w:highlight w:val="none"/>
        </w:rPr>
      </w:pPr>
      <w:r>
        <w:rPr>
          <w:rFonts w:hint="eastAsia" w:ascii="宋体" w:hAnsi="宋体" w:cs="仿宋"/>
          <w:bCs/>
          <w:color w:val="auto"/>
          <w:kern w:val="0"/>
          <w:sz w:val="22"/>
          <w:szCs w:val="22"/>
          <w:highlight w:val="none"/>
        </w:rPr>
        <w:t>7.2各使用单位使用本服务开展互联网信息服务等相关业务的，应保证于本合同签订时及本合同有效期内持续具备开展该业务所需的全部资质及/或履行相关手续，并应根据乙方要求签订相关安全责任协议书并严格遵守在该等文件中的承诺。</w:t>
      </w:r>
    </w:p>
    <w:p w14:paraId="6CFABD9F">
      <w:pPr>
        <w:widowControl/>
        <w:spacing w:line="560" w:lineRule="exact"/>
        <w:ind w:firstLine="440" w:firstLineChars="200"/>
        <w:rPr>
          <w:rFonts w:ascii="宋体" w:hAnsi="宋体" w:cs="仿宋"/>
          <w:bCs/>
          <w:color w:val="auto"/>
          <w:kern w:val="0"/>
          <w:sz w:val="22"/>
          <w:szCs w:val="22"/>
          <w:highlight w:val="none"/>
        </w:rPr>
      </w:pPr>
      <w:r>
        <w:rPr>
          <w:rFonts w:hint="eastAsia" w:ascii="宋体" w:hAnsi="宋体" w:cs="仿宋"/>
          <w:bCs/>
          <w:color w:val="auto"/>
          <w:kern w:val="0"/>
          <w:sz w:val="22"/>
          <w:szCs w:val="22"/>
          <w:highlight w:val="none"/>
        </w:rPr>
        <w:t>7.3各使用单位应按照本合同约定向乙方提交上述资质证明文件、资料的原件，并提交复印件并加盖甲方公章，供乙方留存。各使用单位保证所提供资料的真实、完整、准确、合法、有效。</w:t>
      </w:r>
    </w:p>
    <w:p w14:paraId="1F0E4245">
      <w:pPr>
        <w:widowControl/>
        <w:spacing w:line="560" w:lineRule="exact"/>
        <w:ind w:firstLine="440" w:firstLineChars="200"/>
        <w:rPr>
          <w:rFonts w:ascii="宋体" w:hAnsi="宋体" w:cs="仿宋"/>
          <w:bCs/>
          <w:color w:val="auto"/>
          <w:kern w:val="0"/>
          <w:sz w:val="22"/>
          <w:szCs w:val="22"/>
          <w:highlight w:val="none"/>
        </w:rPr>
      </w:pPr>
      <w:r>
        <w:rPr>
          <w:rFonts w:hint="eastAsia" w:ascii="宋体" w:hAnsi="宋体" w:cs="仿宋"/>
          <w:bCs/>
          <w:color w:val="auto"/>
          <w:kern w:val="0"/>
          <w:sz w:val="22"/>
          <w:szCs w:val="22"/>
          <w:highlight w:val="none"/>
        </w:rPr>
        <w:t>7.4在本合同有效期内，如甲方上述主体资格、资质证明文件所记载内容出现变更，甲方应在完成变更后尽快向乙方提供最新的文件。</w:t>
      </w:r>
    </w:p>
    <w:p w14:paraId="2331900B">
      <w:pPr>
        <w:widowControl/>
        <w:spacing w:line="560" w:lineRule="exact"/>
        <w:ind w:firstLine="440" w:firstLineChars="200"/>
        <w:rPr>
          <w:rFonts w:ascii="宋体" w:hAnsi="宋体" w:cs="仿宋"/>
          <w:bCs/>
          <w:color w:val="auto"/>
          <w:kern w:val="0"/>
          <w:sz w:val="22"/>
          <w:szCs w:val="22"/>
          <w:highlight w:val="none"/>
        </w:rPr>
      </w:pPr>
      <w:r>
        <w:rPr>
          <w:rFonts w:hint="eastAsia" w:ascii="宋体" w:hAnsi="宋体" w:cs="仿宋"/>
          <w:bCs/>
          <w:color w:val="auto"/>
          <w:kern w:val="0"/>
          <w:sz w:val="22"/>
          <w:szCs w:val="22"/>
          <w:highlight w:val="none"/>
        </w:rPr>
        <w:t>7.5各使用单位使用本合同项下云业务服务从事非经营性互联网信息服务的，须严格遵循《非经营性互联网备案管理办法》等规定。承诺并确认：各使用单位及其最终用户所提交的所有备案信息真实、完整、合法、有效，当提供的备案信息发生变化时应及时到备案系统中提交更新信息，如因未及时更新而导致备案信息不准确，导致服务被行业主管部门关闭，乙方不承担任何责任。</w:t>
      </w:r>
    </w:p>
    <w:p w14:paraId="6F19021C">
      <w:pPr>
        <w:widowControl/>
        <w:spacing w:line="560" w:lineRule="exact"/>
        <w:ind w:firstLine="440" w:firstLineChars="200"/>
        <w:rPr>
          <w:rFonts w:ascii="宋体" w:hAnsi="宋体" w:cs="仿宋"/>
          <w:bCs/>
          <w:color w:val="auto"/>
          <w:kern w:val="0"/>
          <w:sz w:val="22"/>
          <w:szCs w:val="22"/>
          <w:highlight w:val="none"/>
        </w:rPr>
      </w:pPr>
      <w:r>
        <w:rPr>
          <w:rFonts w:hint="eastAsia" w:ascii="宋体" w:hAnsi="宋体" w:cs="仿宋"/>
          <w:bCs/>
          <w:color w:val="auto"/>
          <w:kern w:val="0"/>
          <w:sz w:val="22"/>
          <w:szCs w:val="22"/>
          <w:highlight w:val="none"/>
        </w:rPr>
        <w:t>7.6如各使用单位违反在本合同及附件中任一项保证的，包括但不限于在本合同签订时不具备开展业务所需的全部资质许可、履行相关手续，或在本合同有效期内丧失全部或部分资质许可的，如被政府管理部门暂停或关闭服务，使用单位应当承担违约责任，并赔偿乙方的相应损失，乙方不承担任何责任。</w:t>
      </w:r>
    </w:p>
    <w:p w14:paraId="5952C9C8">
      <w:pPr>
        <w:widowControl/>
        <w:spacing w:line="560" w:lineRule="exact"/>
        <w:ind w:firstLine="440" w:firstLineChars="200"/>
        <w:rPr>
          <w:rFonts w:ascii="宋体" w:hAnsi="宋体" w:cs="仿宋"/>
          <w:bCs/>
          <w:color w:val="auto"/>
          <w:kern w:val="0"/>
          <w:sz w:val="22"/>
          <w:szCs w:val="22"/>
          <w:highlight w:val="none"/>
        </w:rPr>
      </w:pPr>
      <w:r>
        <w:rPr>
          <w:rFonts w:hint="eastAsia" w:ascii="宋体" w:hAnsi="宋体" w:cs="仿宋"/>
          <w:bCs/>
          <w:color w:val="auto"/>
          <w:kern w:val="0"/>
          <w:sz w:val="22"/>
          <w:szCs w:val="22"/>
          <w:highlight w:val="none"/>
        </w:rPr>
        <w:t>7.7各使用单位承诺，不得通过转让、出售、无偿使用或其他任何方式许可甲方之外的任何第三人使用本合同项下云业务服务。否则，乙方有权终止本合同，并追究甲方相应责任。</w:t>
      </w:r>
    </w:p>
    <w:p w14:paraId="070AF2DD">
      <w:pPr>
        <w:widowControl/>
        <w:spacing w:line="560" w:lineRule="exact"/>
        <w:ind w:firstLine="440" w:firstLineChars="200"/>
        <w:rPr>
          <w:rFonts w:ascii="宋体" w:hAnsi="宋体" w:cs="仿宋"/>
          <w:bCs/>
          <w:color w:val="auto"/>
          <w:kern w:val="0"/>
          <w:sz w:val="22"/>
          <w:szCs w:val="22"/>
          <w:highlight w:val="none"/>
        </w:rPr>
      </w:pPr>
      <w:r>
        <w:rPr>
          <w:rFonts w:hint="eastAsia" w:ascii="宋体" w:hAnsi="宋体" w:cs="仿宋"/>
          <w:bCs/>
          <w:color w:val="auto"/>
          <w:kern w:val="0"/>
          <w:sz w:val="22"/>
          <w:szCs w:val="22"/>
          <w:highlight w:val="none"/>
        </w:rPr>
        <w:t>7.8各使用单位负责其服务的账号和密码的保密和使用安全，如因各使用单位原因导致账号或密码泄露或为他人获取的，各使用单位自行承担损失和责任。各使用单位发现其账号或密码被他人非法使用或有使用异常的情况的，应及时根据乙方公布的处理方式通知乙方，并有权通知乙方采取措施暂停该账号的登录和使用。乙方在收到甲方要求采取措施暂停其账号登录和使用的通知后，应当要求各使用单位提供并核实与其注册身份信息相一致的个人或单位有效身份信息。乙方核实各使用单位所提供的个人或单位有效身份信息与所注册的身份信息相一致的，应当及时采取措施暂停各使用单位账号的登录和使用。各使用单位没有提供其个人或单位有效身份证件或者各使用单位提供的个人或单位有效身份证件与所注册的身份信息不一致的，乙方有权拒绝各使用单位前述请求，由此造成的损失由各使用单位自行承担。</w:t>
      </w:r>
    </w:p>
    <w:p w14:paraId="61F05F33">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8.</w:t>
      </w:r>
      <w:r>
        <w:rPr>
          <w:rFonts w:ascii="宋体" w:hAnsi="宋体"/>
          <w:color w:val="auto"/>
          <w:kern w:val="0"/>
          <w:sz w:val="22"/>
          <w:szCs w:val="22"/>
          <w:highlight w:val="none"/>
        </w:rPr>
        <w:t>甲方的权利和义务</w:t>
      </w:r>
    </w:p>
    <w:p w14:paraId="556403DF">
      <w:pPr>
        <w:widowControl/>
        <w:spacing w:line="56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8.1甲方的权利</w:t>
      </w:r>
    </w:p>
    <w:p w14:paraId="75EAB878">
      <w:pPr>
        <w:widowControl/>
        <w:spacing w:line="56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（1）甲方有权随时向乙方了解项目进度，并要求乙方提供项目相关资料。</w:t>
      </w:r>
    </w:p>
    <w:p w14:paraId="48D4E4E9">
      <w:pPr>
        <w:spacing w:line="56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（2）甲方有权对项目资金使用情况进行监督、检查，并要求乙方提供相关资料。</w:t>
      </w:r>
    </w:p>
    <w:p w14:paraId="025F03E5">
      <w:pPr>
        <w:spacing w:line="540" w:lineRule="exact"/>
        <w:ind w:firstLine="440" w:firstLineChars="200"/>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3F3D430E">
      <w:pPr>
        <w:widowControl/>
        <w:spacing w:line="540" w:lineRule="exact"/>
        <w:ind w:firstLine="440" w:firstLineChars="200"/>
        <w:rPr>
          <w:rFonts w:ascii="宋体" w:hAnsi="宋体"/>
          <w:color w:val="auto"/>
          <w:kern w:val="0"/>
          <w:sz w:val="22"/>
          <w:szCs w:val="22"/>
          <w:highlight w:val="none"/>
        </w:rPr>
      </w:pPr>
      <w:r>
        <w:rPr>
          <w:rFonts w:hint="eastAsia" w:ascii="宋体" w:hAnsi="宋体" w:cs="仿宋_GB2312"/>
          <w:color w:val="auto"/>
          <w:kern w:val="0"/>
          <w:sz w:val="22"/>
          <w:szCs w:val="22"/>
          <w:highlight w:val="none"/>
        </w:rPr>
        <w:t>（4）甲方有权在乙方履行合同过程中出现损害或可能损害公共利益、公共安全情形时终</w:t>
      </w:r>
      <w:r>
        <w:rPr>
          <w:rFonts w:ascii="宋体" w:hAnsi="宋体"/>
          <w:color w:val="auto"/>
          <w:kern w:val="0"/>
          <w:sz w:val="22"/>
          <w:szCs w:val="22"/>
          <w:highlight w:val="none"/>
        </w:rPr>
        <w:t>止本合同。</w:t>
      </w:r>
    </w:p>
    <w:p w14:paraId="5AA91743">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（5）</w:t>
      </w:r>
      <w:r>
        <w:rPr>
          <w:rFonts w:ascii="宋体" w:hAnsi="宋体"/>
          <w:color w:val="auto"/>
          <w:kern w:val="0"/>
          <w:sz w:val="22"/>
          <w:szCs w:val="22"/>
          <w:highlight w:val="none"/>
        </w:rPr>
        <w:t>甲方有权根据国家政策或法律法规的变动对服务项目的需求标准和质量要求作出相应变动或者取消项目。</w:t>
      </w:r>
    </w:p>
    <w:p w14:paraId="1E5FCBF1">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（6）</w:t>
      </w:r>
      <w:r>
        <w:rPr>
          <w:rFonts w:ascii="宋体" w:hAnsi="宋体"/>
          <w:color w:val="auto"/>
          <w:kern w:val="0"/>
          <w:sz w:val="22"/>
          <w:szCs w:val="22"/>
          <w:highlight w:val="none"/>
        </w:rPr>
        <w:t>甲方有权将乙方履行合同情况及不符合</w:t>
      </w:r>
      <w:r>
        <w:rPr>
          <w:rFonts w:hint="eastAsia" w:ascii="宋体" w:hAnsi="宋体"/>
          <w:color w:val="auto"/>
          <w:kern w:val="0"/>
          <w:sz w:val="22"/>
          <w:szCs w:val="22"/>
          <w:highlight w:val="none"/>
        </w:rPr>
        <w:t>相关法律法规的</w:t>
      </w:r>
      <w:r>
        <w:rPr>
          <w:rFonts w:ascii="宋体" w:hAnsi="宋体"/>
          <w:color w:val="auto"/>
          <w:kern w:val="0"/>
          <w:sz w:val="22"/>
          <w:szCs w:val="22"/>
          <w:highlight w:val="none"/>
        </w:rPr>
        <w:t>规定情况，向相关部门报告并纳入不良信用记录、年检（报）、评估、执法等监管体系中。</w:t>
      </w:r>
    </w:p>
    <w:p w14:paraId="296625DD">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（7）在本合同有效期内，甲方对由乙方分配的IP地址具有使用权，且不可以任何方式转由他人使用。甲方不得私自使用乙方未分配给甲方的IP地址。甲方不再使用本服务时，则相关IP地址使用权由乙方收回。</w:t>
      </w:r>
    </w:p>
    <w:p w14:paraId="7B6BD865">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（8）其他</w:t>
      </w:r>
      <w:r>
        <w:rPr>
          <w:rFonts w:hint="eastAsia" w:ascii="宋体" w:hAnsi="宋体"/>
          <w:color w:val="auto"/>
          <w:kern w:val="0"/>
          <w:sz w:val="22"/>
          <w:szCs w:val="22"/>
          <w:highlight w:val="none"/>
          <w:u w:val="single"/>
        </w:rPr>
        <w:t xml:space="preserve">                                     </w:t>
      </w:r>
    </w:p>
    <w:p w14:paraId="5F3ED980">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8.2</w:t>
      </w:r>
      <w:r>
        <w:rPr>
          <w:rFonts w:ascii="宋体" w:hAnsi="宋体"/>
          <w:color w:val="auto"/>
          <w:kern w:val="0"/>
          <w:sz w:val="22"/>
          <w:szCs w:val="22"/>
          <w:highlight w:val="none"/>
        </w:rPr>
        <w:t>甲方的义务</w:t>
      </w:r>
    </w:p>
    <w:p w14:paraId="21186C9B">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w:t>
      </w:r>
      <w:r>
        <w:rPr>
          <w:rFonts w:ascii="宋体" w:hAnsi="宋体"/>
          <w:color w:val="auto"/>
          <w:kern w:val="0"/>
          <w:sz w:val="22"/>
          <w:szCs w:val="22"/>
          <w:highlight w:val="none"/>
        </w:rPr>
        <w:t>甲方应及时向乙方提供与履行本合同相关的所有必须的文件、资料。</w:t>
      </w:r>
    </w:p>
    <w:p w14:paraId="277158B4">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w:t>
      </w:r>
      <w:r>
        <w:rPr>
          <w:rFonts w:ascii="宋体" w:hAnsi="宋体"/>
          <w:color w:val="auto"/>
          <w:kern w:val="0"/>
          <w:sz w:val="22"/>
          <w:szCs w:val="22"/>
          <w:highlight w:val="none"/>
        </w:rPr>
        <w:t>甲方应为乙方履行本合同过程中与相关政府部门及其他第三方的沟通、协调提供必要的协助。</w:t>
      </w:r>
    </w:p>
    <w:p w14:paraId="1337295B">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w:t>
      </w:r>
      <w:r>
        <w:rPr>
          <w:rFonts w:ascii="宋体" w:hAnsi="宋体"/>
          <w:color w:val="auto"/>
          <w:kern w:val="0"/>
          <w:sz w:val="22"/>
          <w:szCs w:val="22"/>
          <w:highlight w:val="none"/>
        </w:rPr>
        <w:t>甲方应按照合同约定支付服务费用。</w:t>
      </w:r>
    </w:p>
    <w:p w14:paraId="7A9A5FC9">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4）甲方使用本合同项下云业务服务的，必须遵守《中华人民共和国电信条例》、《中华人民共和国计算机信息网络国际联网暂行规定》和其他有关法律、法规或相关规定，不得存在任何违法违规行为，不得侵犯乙方以及任何第三方的合法权益。</w:t>
      </w:r>
    </w:p>
    <w:p w14:paraId="250FA75B">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1、除遵从本合同其他条款及附件要求外，甲方使用本服务所发布、传输或存储的信息内容不得存在以下任一情形，且不得为他人发布、传输或存储该类信息内容提供任何便利（包括但不限于设置URL、链接等）：</w:t>
      </w:r>
    </w:p>
    <w:p w14:paraId="74574F28">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1）违反国家规定的政治宣传和/或新闻信息；涉及国家秘密和/或安全的信息。</w:t>
      </w:r>
    </w:p>
    <w:p w14:paraId="1CA76DA8">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2）涉及封建迷信、淫秽色情、赌博、暴力、恐怖的信息内容和教唆犯罪的内容。</w:t>
      </w:r>
    </w:p>
    <w:p w14:paraId="7B4F597F">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3）违反国家民族政策和宗教政策的信息内容。</w:t>
      </w:r>
    </w:p>
    <w:p w14:paraId="33CB1BA7">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4）博彩有奖、赌博游戏、“私服”、“外挂”等非法互联网出版活动。</w:t>
      </w:r>
    </w:p>
    <w:p w14:paraId="5CD9FE6E">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5）侮辱或者诽谤他人，侵害他人所有权或知识产权等合法权益。</w:t>
      </w:r>
    </w:p>
    <w:p w14:paraId="798A508F">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6）其它有损于社会秩序、社会治安、社会公共道德，违反法律法规强制性规定，或侵害他人合法权益的信息内容。</w:t>
      </w:r>
    </w:p>
    <w:p w14:paraId="0821DBA6">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2、甲方不得有任何危害或可能危害云业务服务相关平台及网络安全和信息安全的行为，包括但不限于：</w:t>
      </w:r>
    </w:p>
    <w:p w14:paraId="1FCE15EF">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1）对云业务服务相关平台的功能或者存储、处理、传输的数据和应用程序进行删除或者修改。</w:t>
      </w:r>
    </w:p>
    <w:p w14:paraId="2CF062B0">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2）利用网络及系统从事窃取或者破坏他人信息、损害他人合法权益的活动。</w:t>
      </w:r>
    </w:p>
    <w:p w14:paraId="19DCDA5B">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3）故意制作、复制、传播计算机病毒或者以其他方式攻击他人服务。</w:t>
      </w:r>
    </w:p>
    <w:p w14:paraId="631C0EC0">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4）进行钓鱼、黑客、网络诈骗等非法行为，网站或空间中含有或涉嫌散播病毒、木马、恶意代码等，或通过虚拟主机对其他网站、主机进行涉嫌攻击行为如扫描、嗅探、ARP欺骗、DOS等。</w:t>
      </w:r>
    </w:p>
    <w:p w14:paraId="45784049">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5）危害电信网络安全和信息安全的其他行为。</w:t>
      </w:r>
    </w:p>
    <w:p w14:paraId="2FEA22A9">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若甲方存在上述1～2条约定的任一情形的，乙方有权按相关规定暂停或终止提供云业务服务，保存有关记录，并向政府主管部门报告，由此引起的一切后果和责任由甲方负责。同时，乙方有权终止本合同，并不承担任何责任。</w:t>
      </w:r>
    </w:p>
    <w:p w14:paraId="747FCA88">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5）本服务使用过程中，对于甲方自行提供并使用的软件，甲方应保证该等软件的合法性和不侵权。如任何第三方主张甲方所使用软件侵犯其所有权或者知识产权等合法权益，甲方应负责解决，并赔偿乙方就此而承担的一切费用和损失。</w:t>
      </w:r>
    </w:p>
    <w:p w14:paraId="6A481F3B">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6）甲方承担自身服务、业务平台所引起的一切后果。如因甲方使用云业务服务中所涉行为或内容不合法或侵权而导致乙方承担责任或对乙方造成损失的，甲方应负责解决，并赔偿乙方由此遭受的全部损失；同时乙方有权终止本合同。</w:t>
      </w:r>
    </w:p>
    <w:p w14:paraId="1A0ECADB">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（7）对于甲方使用云业务服务过程中所涉自身信息和资料、数据（包括但不限于商业机密等）、最终用户及其他相关主体的信息和资料、数据等，甲方负责保密，并自行承担由此产生的一切后果和责任。</w:t>
      </w:r>
    </w:p>
    <w:p w14:paraId="52AA9948">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（8）其他</w:t>
      </w:r>
      <w:r>
        <w:rPr>
          <w:rFonts w:hint="eastAsia" w:ascii="宋体" w:hAnsi="宋体"/>
          <w:color w:val="auto"/>
          <w:kern w:val="0"/>
          <w:sz w:val="22"/>
          <w:szCs w:val="22"/>
          <w:highlight w:val="none"/>
          <w:u w:val="single"/>
        </w:rPr>
        <w:t xml:space="preserve">                                     </w:t>
      </w:r>
    </w:p>
    <w:p w14:paraId="06DAF259">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9.</w:t>
      </w:r>
      <w:r>
        <w:rPr>
          <w:rFonts w:ascii="宋体" w:hAnsi="宋体"/>
          <w:color w:val="auto"/>
          <w:kern w:val="0"/>
          <w:sz w:val="22"/>
          <w:szCs w:val="22"/>
          <w:highlight w:val="none"/>
        </w:rPr>
        <w:t>乙方的权利和义务</w:t>
      </w:r>
    </w:p>
    <w:p w14:paraId="622413B5">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9.1</w:t>
      </w:r>
      <w:r>
        <w:rPr>
          <w:rFonts w:ascii="宋体" w:hAnsi="宋体"/>
          <w:color w:val="auto"/>
          <w:kern w:val="0"/>
          <w:sz w:val="22"/>
          <w:szCs w:val="22"/>
          <w:highlight w:val="none"/>
        </w:rPr>
        <w:t>乙方的权利</w:t>
      </w:r>
    </w:p>
    <w:p w14:paraId="260029A8">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w:t>
      </w:r>
      <w:r>
        <w:rPr>
          <w:rFonts w:ascii="宋体" w:hAnsi="宋体"/>
          <w:color w:val="auto"/>
          <w:kern w:val="0"/>
          <w:sz w:val="22"/>
          <w:szCs w:val="22"/>
          <w:highlight w:val="none"/>
        </w:rPr>
        <w:t>乙方有权按照本合同约定向甲方收取服务费用。</w:t>
      </w:r>
    </w:p>
    <w:p w14:paraId="0F105855">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w:t>
      </w:r>
      <w:r>
        <w:rPr>
          <w:rFonts w:ascii="宋体" w:hAnsi="宋体"/>
          <w:color w:val="auto"/>
          <w:kern w:val="0"/>
          <w:sz w:val="22"/>
          <w:szCs w:val="22"/>
          <w:highlight w:val="none"/>
        </w:rPr>
        <w:t>乙方有权自甲方处获得与提供本合同项下服务相关的所有必须的文件、资料。</w:t>
      </w:r>
    </w:p>
    <w:p w14:paraId="5358C81A">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（3）其他</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p>
    <w:p w14:paraId="304330F4">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9.2</w:t>
      </w:r>
      <w:r>
        <w:rPr>
          <w:rFonts w:ascii="宋体" w:hAnsi="宋体"/>
          <w:color w:val="auto"/>
          <w:kern w:val="0"/>
          <w:sz w:val="22"/>
          <w:szCs w:val="22"/>
          <w:highlight w:val="none"/>
        </w:rPr>
        <w:t>乙方的义务</w:t>
      </w:r>
    </w:p>
    <w:p w14:paraId="25A38B7F">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w:t>
      </w:r>
      <w:r>
        <w:rPr>
          <w:rFonts w:ascii="宋体" w:hAnsi="宋体"/>
          <w:color w:val="auto"/>
          <w:kern w:val="0"/>
          <w:sz w:val="22"/>
          <w:szCs w:val="22"/>
          <w:highlight w:val="none"/>
        </w:rPr>
        <w:t>乙方应配备具有相应资质、特定经验的工作人员负责项目实施，按照本合同约定的标准、要求和时间完成项目。</w:t>
      </w:r>
    </w:p>
    <w:p w14:paraId="0FC3CFAB">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w:t>
      </w:r>
      <w:r>
        <w:rPr>
          <w:rFonts w:ascii="宋体" w:hAnsi="宋体"/>
          <w:color w:val="auto"/>
          <w:kern w:val="0"/>
          <w:sz w:val="22"/>
          <w:szCs w:val="22"/>
          <w:highlight w:val="none"/>
        </w:rPr>
        <w:t>乙方不得以任何理由将本合同项下的服务项目转包给第三方承担。</w:t>
      </w:r>
    </w:p>
    <w:p w14:paraId="4CBA48A4">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w:t>
      </w:r>
      <w:r>
        <w:rPr>
          <w:rFonts w:ascii="宋体" w:hAnsi="宋体"/>
          <w:color w:val="auto"/>
          <w:kern w:val="0"/>
          <w:sz w:val="22"/>
          <w:szCs w:val="22"/>
          <w:highlight w:val="none"/>
        </w:rPr>
        <w:t>乙方应全面履行本项目实施过程中的相关安全管理职责，因乙方未尽到管理职责发生安全事故的，由乙方承担相应的法律责任。</w:t>
      </w:r>
    </w:p>
    <w:p w14:paraId="0B808472">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（4）</w:t>
      </w:r>
      <w:r>
        <w:rPr>
          <w:rFonts w:ascii="宋体" w:hAnsi="宋体"/>
          <w:color w:val="auto"/>
          <w:kern w:val="0"/>
          <w:sz w:val="22"/>
          <w:szCs w:val="22"/>
          <w:highlight w:val="none"/>
        </w:rPr>
        <w:t>乙方承诺根据本合同提供的服务及相关的软件和技术资料，均已取得有关知识产权的权利人的合法授权。如发生涉及到专利权、著作权、商标权等争议，乙方负责处理并承担由此引起的全部法律及经济责任。</w:t>
      </w:r>
    </w:p>
    <w:p w14:paraId="23814FF1">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（5）</w:t>
      </w:r>
      <w:r>
        <w:rPr>
          <w:rFonts w:ascii="宋体" w:hAnsi="宋体"/>
          <w:color w:val="auto"/>
          <w:kern w:val="0"/>
          <w:sz w:val="22"/>
          <w:szCs w:val="22"/>
          <w:highlight w:val="none"/>
        </w:rPr>
        <w:t>乙方应接受并配合甲方或甲方组织的对本合同履行情况的监督与检查，对于甲方指出的问题，应及时作出合理解释或予以纠正。</w:t>
      </w:r>
    </w:p>
    <w:p w14:paraId="05922BEE">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（6）</w:t>
      </w:r>
      <w:r>
        <w:rPr>
          <w:rFonts w:ascii="宋体" w:hAnsi="宋体"/>
          <w:color w:val="auto"/>
          <w:kern w:val="0"/>
          <w:sz w:val="22"/>
          <w:szCs w:val="22"/>
          <w:highlight w:val="none"/>
        </w:rPr>
        <w:t>乙方应对项目资金进行规范的财务管理和会计核算，加强自身监督，确保资金规范管理和使用。</w:t>
      </w:r>
    </w:p>
    <w:p w14:paraId="0F9543F1">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（7）</w:t>
      </w:r>
      <w:r>
        <w:rPr>
          <w:rFonts w:ascii="宋体" w:hAnsi="宋体"/>
          <w:color w:val="auto"/>
          <w:kern w:val="0"/>
          <w:sz w:val="22"/>
          <w:szCs w:val="22"/>
          <w:highlight w:val="none"/>
        </w:rPr>
        <w:t>乙方应建立健全财务管理与报告制度，按要求向甲方提供资金的使用情况、项目执行情况、成果总结等材料，并配合甲方及甲方组织的监督检查或绩效评价。</w:t>
      </w:r>
    </w:p>
    <w:p w14:paraId="34E7F951">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（8）</w:t>
      </w:r>
      <w:r>
        <w:rPr>
          <w:rFonts w:ascii="宋体" w:hAnsi="宋体"/>
          <w:color w:val="auto"/>
          <w:kern w:val="0"/>
          <w:sz w:val="22"/>
          <w:szCs w:val="22"/>
          <w:highlight w:val="none"/>
        </w:rPr>
        <w:t>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0E6C3343">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（9）</w:t>
      </w:r>
      <w:r>
        <w:rPr>
          <w:rFonts w:ascii="宋体" w:hAnsi="宋体"/>
          <w:color w:val="auto"/>
          <w:kern w:val="0"/>
          <w:sz w:val="22"/>
          <w:szCs w:val="22"/>
          <w:highlight w:val="none"/>
        </w:rPr>
        <w:t>项目交付后，乙方应无条件返还甲方向其提供的文件、资料并向甲方移交项目资料，同时乙方应当自留一份完整的项目档案并予以妥善保存。</w:t>
      </w:r>
    </w:p>
    <w:p w14:paraId="13264B07">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（10）乙方负责按照本合同约定的条件提供云业务服务及相关的支撑服务。</w:t>
      </w:r>
    </w:p>
    <w:p w14:paraId="5C7A08F5">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（11）乙方将消除甲方非人为操作所出现的云计算资源、云存储资源、互联网接入故障，但因甲方原因和/或不可抗力以及非乙方控制范围之内的事项除外。</w:t>
      </w:r>
    </w:p>
    <w:p w14:paraId="38656BCB">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（12）其他</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p>
    <w:p w14:paraId="73EC102F">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w:t>
      </w:r>
      <w:r>
        <w:rPr>
          <w:rFonts w:ascii="宋体" w:hAnsi="宋体"/>
          <w:color w:val="auto"/>
          <w:kern w:val="0"/>
          <w:sz w:val="22"/>
          <w:szCs w:val="22"/>
          <w:highlight w:val="none"/>
        </w:rPr>
        <w:t xml:space="preserve"> 违约责任</w:t>
      </w:r>
    </w:p>
    <w:p w14:paraId="005C03C0">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10.1</w:t>
      </w:r>
      <w:r>
        <w:rPr>
          <w:rFonts w:ascii="宋体" w:hAnsi="宋体"/>
          <w:color w:val="auto"/>
          <w:kern w:val="0"/>
          <w:sz w:val="22"/>
          <w:szCs w:val="22"/>
          <w:highlight w:val="none"/>
        </w:rPr>
        <w:t>甲方无正当理由拒绝接收服务，到期拒付服务费的，甲方向乙方偿付本合同总服务费</w:t>
      </w:r>
      <w:r>
        <w:rPr>
          <w:rFonts w:hint="eastAsia" w:ascii="宋体" w:hAnsi="宋体"/>
          <w:color w:val="auto"/>
          <w:kern w:val="0"/>
          <w:sz w:val="22"/>
          <w:szCs w:val="22"/>
          <w:highlight w:val="none"/>
          <w:u w:val="single"/>
        </w:rPr>
        <w:t>1</w:t>
      </w:r>
      <w:r>
        <w:rPr>
          <w:rFonts w:ascii="宋体" w:hAnsi="宋体"/>
          <w:color w:val="auto"/>
          <w:kern w:val="0"/>
          <w:sz w:val="22"/>
          <w:szCs w:val="22"/>
          <w:highlight w:val="none"/>
        </w:rPr>
        <w:t>%的违约金。甲方逾期付款的，则每日按逾期金额的</w:t>
      </w:r>
      <w:r>
        <w:rPr>
          <w:rFonts w:hint="eastAsia" w:ascii="宋体" w:hAnsi="宋体"/>
          <w:color w:val="auto"/>
          <w:kern w:val="0"/>
          <w:sz w:val="22"/>
          <w:szCs w:val="22"/>
          <w:highlight w:val="none"/>
          <w:u w:val="single"/>
        </w:rPr>
        <w:t>0.1</w:t>
      </w:r>
      <w:r>
        <w:rPr>
          <w:rFonts w:hint="eastAsia" w:ascii="宋体" w:hAnsi="宋体"/>
          <w:color w:val="auto"/>
          <w:kern w:val="0"/>
          <w:sz w:val="22"/>
          <w:szCs w:val="22"/>
          <w:highlight w:val="none"/>
        </w:rPr>
        <w:t>‰</w:t>
      </w:r>
      <w:r>
        <w:rPr>
          <w:rFonts w:ascii="宋体" w:hAnsi="宋体"/>
          <w:color w:val="auto"/>
          <w:kern w:val="0"/>
          <w:sz w:val="22"/>
          <w:szCs w:val="22"/>
          <w:highlight w:val="none"/>
        </w:rPr>
        <w:t>向乙方偿付违约金。</w:t>
      </w:r>
    </w:p>
    <w:p w14:paraId="366E2370">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10.2</w:t>
      </w:r>
      <w:r>
        <w:rPr>
          <w:rFonts w:ascii="宋体" w:hAnsi="宋体"/>
          <w:color w:val="auto"/>
          <w:kern w:val="0"/>
          <w:sz w:val="22"/>
          <w:szCs w:val="22"/>
          <w:highlight w:val="none"/>
        </w:rPr>
        <w:t>乙方提供的服务不符合本项目相关文件和本合同规定的，甲方有权拒收，并且乙方须向甲方支付本合同总服务费</w:t>
      </w:r>
      <w:r>
        <w:rPr>
          <w:rFonts w:hint="eastAsia" w:ascii="宋体" w:hAnsi="宋体"/>
          <w:color w:val="auto"/>
          <w:kern w:val="0"/>
          <w:sz w:val="22"/>
          <w:szCs w:val="22"/>
          <w:highlight w:val="none"/>
          <w:u w:val="single"/>
        </w:rPr>
        <w:t>20</w:t>
      </w:r>
      <w:r>
        <w:rPr>
          <w:rFonts w:ascii="宋体" w:hAnsi="宋体"/>
          <w:color w:val="auto"/>
          <w:kern w:val="0"/>
          <w:sz w:val="22"/>
          <w:szCs w:val="22"/>
          <w:highlight w:val="none"/>
        </w:rPr>
        <w:t>%的违约金。</w:t>
      </w:r>
    </w:p>
    <w:p w14:paraId="2F005502">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10.3</w:t>
      </w:r>
      <w:r>
        <w:rPr>
          <w:rFonts w:ascii="宋体" w:hAnsi="宋体"/>
          <w:color w:val="auto"/>
          <w:kern w:val="0"/>
          <w:sz w:val="22"/>
          <w:szCs w:val="22"/>
          <w:highlight w:val="none"/>
        </w:rPr>
        <w:t>乙方未能按照本合同约定时间提供服务或完成约定的项目服务内容的，从逾期之日起每日按本合同总服务费</w:t>
      </w:r>
      <w:r>
        <w:rPr>
          <w:rFonts w:hint="eastAsia" w:ascii="宋体" w:hAnsi="宋体"/>
          <w:color w:val="auto"/>
          <w:kern w:val="0"/>
          <w:sz w:val="22"/>
          <w:szCs w:val="22"/>
          <w:highlight w:val="none"/>
          <w:u w:val="single"/>
        </w:rPr>
        <w:t>0.5</w:t>
      </w:r>
      <w:r>
        <w:rPr>
          <w:rFonts w:hint="eastAsia" w:ascii="宋体" w:hAnsi="宋体"/>
          <w:color w:val="auto"/>
          <w:kern w:val="0"/>
          <w:sz w:val="22"/>
          <w:szCs w:val="22"/>
          <w:highlight w:val="none"/>
        </w:rPr>
        <w:t>‰</w:t>
      </w:r>
      <w:r>
        <w:rPr>
          <w:rFonts w:ascii="宋体" w:hAnsi="宋体"/>
          <w:color w:val="auto"/>
          <w:kern w:val="0"/>
          <w:sz w:val="22"/>
          <w:szCs w:val="22"/>
          <w:highlight w:val="none"/>
        </w:rPr>
        <w:t>的数额向甲方支付违约金；逾期</w:t>
      </w:r>
      <w:r>
        <w:rPr>
          <w:rFonts w:hint="eastAsia" w:ascii="宋体" w:hAnsi="宋体"/>
          <w:color w:val="auto"/>
          <w:kern w:val="0"/>
          <w:sz w:val="22"/>
          <w:szCs w:val="22"/>
          <w:highlight w:val="none"/>
          <w:u w:val="single"/>
        </w:rPr>
        <w:t>15</w:t>
      </w:r>
      <w:r>
        <w:rPr>
          <w:rFonts w:ascii="宋体" w:hAnsi="宋体"/>
          <w:color w:val="auto"/>
          <w:kern w:val="0"/>
          <w:sz w:val="22"/>
          <w:szCs w:val="22"/>
          <w:highlight w:val="none"/>
        </w:rPr>
        <w:t>日以上的，甲方有权终止合同，由此造成的甲方经济损失由乙方承担。</w:t>
      </w:r>
    </w:p>
    <w:p w14:paraId="246665C9">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10.4</w:t>
      </w:r>
      <w:r>
        <w:rPr>
          <w:rFonts w:ascii="宋体" w:hAnsi="宋体"/>
          <w:color w:val="auto"/>
          <w:kern w:val="0"/>
          <w:sz w:val="22"/>
          <w:szCs w:val="22"/>
          <w:highlight w:val="none"/>
        </w:rPr>
        <w:t>未经甲方同意，乙方不得擅自将本合同服务转包第三方承担。如擅自转包，则乙方应支付给甲方本合同总服务费</w:t>
      </w:r>
      <w:r>
        <w:rPr>
          <w:rFonts w:hint="eastAsia" w:ascii="宋体" w:hAnsi="宋体"/>
          <w:color w:val="auto"/>
          <w:kern w:val="0"/>
          <w:sz w:val="22"/>
          <w:szCs w:val="22"/>
          <w:highlight w:val="none"/>
          <w:u w:val="single"/>
        </w:rPr>
        <w:t>20</w:t>
      </w:r>
      <w:r>
        <w:rPr>
          <w:rFonts w:ascii="宋体" w:hAnsi="宋体"/>
          <w:color w:val="auto"/>
          <w:kern w:val="0"/>
          <w:sz w:val="22"/>
          <w:szCs w:val="22"/>
          <w:highlight w:val="none"/>
        </w:rPr>
        <w:t>%的违约金。</w:t>
      </w:r>
    </w:p>
    <w:p w14:paraId="7E235D14">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10.5双方应共同遵守本合同条款及相应附件规定，如一方违约给对方造成损失的，违约方应赔偿守约方的损失。</w:t>
      </w:r>
    </w:p>
    <w:p w14:paraId="3EF14253">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10.6鉴于计算机、互联网的特殊性，下述情况不属于乙方违约：</w:t>
      </w:r>
    </w:p>
    <w:p w14:paraId="47CE3A9E">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1）乙方在进行服务器配置、维护时，需要短时间中断服务；</w:t>
      </w:r>
    </w:p>
    <w:p w14:paraId="5810465A">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2）由于Internet上的通路阻塞造成甲方网站访问速度下降。</w:t>
      </w:r>
    </w:p>
    <w:p w14:paraId="7462CB83">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10.7如果因乙方自身及其控制范围内原因造成甲方不能按约定正常使用本服务的，包括云计算资源、云存储资源、互联网接入故障，乙方以小时为单位向甲方赔偿，即连续达1小时不能正常提供服务的，延长一小时的服务期（以此类推）。如果因乙方原因造成甲方连续72小时不能按约定正常使用服务的，甲方有权终止云业务服务，并要求乙方进行赔偿。</w:t>
      </w:r>
    </w:p>
    <w:p w14:paraId="3ED7CEA8">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10.8无论本合同其他条款是否有相反约定，乙方对因本合同项下违约行为而导致的甲方可得利益损失、商业信誉损失以及数据丢失或损坏等其他损失不承担责任。</w:t>
      </w:r>
    </w:p>
    <w:p w14:paraId="2B203F66">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10.9</w:t>
      </w:r>
      <w:r>
        <w:rPr>
          <w:rFonts w:ascii="宋体" w:hAnsi="宋体"/>
          <w:color w:val="auto"/>
          <w:kern w:val="0"/>
          <w:sz w:val="22"/>
          <w:szCs w:val="22"/>
          <w:highlight w:val="none"/>
        </w:rPr>
        <w:t>其他违约责任按《中华人民共和国</w:t>
      </w:r>
      <w:r>
        <w:rPr>
          <w:rFonts w:hint="eastAsia" w:ascii="宋体" w:hAnsi="宋体"/>
          <w:color w:val="auto"/>
          <w:kern w:val="0"/>
          <w:sz w:val="22"/>
          <w:szCs w:val="22"/>
          <w:highlight w:val="none"/>
        </w:rPr>
        <w:t>民</w:t>
      </w:r>
      <w:r>
        <w:rPr>
          <w:rFonts w:ascii="宋体" w:hAnsi="宋体"/>
          <w:color w:val="auto"/>
          <w:kern w:val="0"/>
          <w:sz w:val="22"/>
          <w:szCs w:val="22"/>
          <w:highlight w:val="none"/>
        </w:rPr>
        <w:t>法</w:t>
      </w:r>
      <w:r>
        <w:rPr>
          <w:rFonts w:hint="eastAsia" w:ascii="宋体" w:hAnsi="宋体"/>
          <w:color w:val="auto"/>
          <w:kern w:val="0"/>
          <w:sz w:val="22"/>
          <w:szCs w:val="22"/>
          <w:highlight w:val="none"/>
        </w:rPr>
        <w:t>典</w:t>
      </w:r>
      <w:r>
        <w:rPr>
          <w:rFonts w:ascii="宋体" w:hAnsi="宋体"/>
          <w:color w:val="auto"/>
          <w:kern w:val="0"/>
          <w:sz w:val="22"/>
          <w:szCs w:val="22"/>
          <w:highlight w:val="none"/>
        </w:rPr>
        <w:t>》处理。</w:t>
      </w:r>
    </w:p>
    <w:p w14:paraId="775AFA1C">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11.</w:t>
      </w:r>
      <w:r>
        <w:rPr>
          <w:rFonts w:ascii="宋体" w:hAnsi="宋体"/>
          <w:color w:val="auto"/>
          <w:kern w:val="0"/>
          <w:sz w:val="22"/>
          <w:szCs w:val="22"/>
          <w:highlight w:val="none"/>
        </w:rPr>
        <w:t xml:space="preserve"> 知识产权归属</w:t>
      </w:r>
    </w:p>
    <w:p w14:paraId="2391751F">
      <w:pPr>
        <w:adjustRightInd w:val="0"/>
        <w:snapToGrid w:val="0"/>
        <w:spacing w:line="540" w:lineRule="exact"/>
        <w:ind w:firstLine="440" w:firstLineChars="200"/>
        <w:rPr>
          <w:rFonts w:ascii="宋体" w:hAnsi="宋体"/>
          <w:color w:val="auto"/>
          <w:kern w:val="0"/>
          <w:sz w:val="22"/>
          <w:szCs w:val="22"/>
          <w:highlight w:val="none"/>
          <w:u w:val="single"/>
        </w:rPr>
      </w:pP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p>
    <w:p w14:paraId="19B5D430">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12.</w:t>
      </w:r>
      <w:r>
        <w:rPr>
          <w:rFonts w:ascii="宋体" w:hAnsi="宋体"/>
          <w:color w:val="auto"/>
          <w:kern w:val="0"/>
          <w:sz w:val="22"/>
          <w:szCs w:val="22"/>
          <w:highlight w:val="none"/>
        </w:rPr>
        <w:t xml:space="preserve"> 保密条款</w:t>
      </w:r>
    </w:p>
    <w:p w14:paraId="0A079F12">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12.1</w:t>
      </w:r>
      <w:r>
        <w:rPr>
          <w:rFonts w:ascii="宋体" w:hAnsi="宋体"/>
          <w:color w:val="auto"/>
          <w:kern w:val="0"/>
          <w:sz w:val="22"/>
          <w:szCs w:val="22"/>
          <w:highlight w:val="none"/>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6FF50265">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12.2</w:t>
      </w:r>
      <w:r>
        <w:rPr>
          <w:rFonts w:ascii="宋体" w:hAnsi="宋体"/>
          <w:color w:val="auto"/>
          <w:kern w:val="0"/>
          <w:sz w:val="22"/>
          <w:szCs w:val="22"/>
          <w:highlight w:val="none"/>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5E4780E4">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12.3未经对方书面许可，任何一方不得向第三方提供或者披露因本合同的签订和履行而得知的与对方业务有关的资料和信息，法律另有规定或本合同另有约定的除外。乙方向其关联公司提供或披露与甲方业务有关的资料和信息的，不受此限。</w:t>
      </w:r>
    </w:p>
    <w:p w14:paraId="18A5238D">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12.4保密责任不因本合同的无效、提前终止、解除或不具操作性而失效。</w:t>
      </w:r>
    </w:p>
    <w:p w14:paraId="60A7BF70">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12.5 数据私密性、数据知情权和数据可审查性</w:t>
      </w:r>
    </w:p>
    <w:p w14:paraId="1B72AE0F">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（1）乙方承诺各使用单位的数据互相隔离，不可互访。</w:t>
      </w:r>
    </w:p>
    <w:p w14:paraId="0862A02D">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（2）乙方不会删除各使用单位数据，也不会将各使用单位数据、个人信息等泄露给任何第三方，除非政府监管部门监管审计需要。各使用单位所有数据不会存在国外数据中心或用于国外业务或数据分析。</w:t>
      </w:r>
    </w:p>
    <w:p w14:paraId="2A08D616">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（3）乙方数据中心遵守国家法律合法建设，遵守中华人民共和国法律。</w:t>
      </w:r>
    </w:p>
    <w:p w14:paraId="58693116">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4）乙方承诺各使用单位在必要的条件下，由于合规或是安全取证调查等原因，可以提供相关的信息。乙方承诺遵守国家相应的法律法规，配合政府监管部门的监管审查。提供的相关信息包括关键组件运行日志、运维人员操作记录等。</w:t>
      </w:r>
    </w:p>
    <w:p w14:paraId="67A0B2BA">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13.</w:t>
      </w:r>
      <w:r>
        <w:rPr>
          <w:rFonts w:ascii="宋体" w:hAnsi="宋体"/>
          <w:color w:val="auto"/>
          <w:kern w:val="0"/>
          <w:sz w:val="22"/>
          <w:szCs w:val="22"/>
          <w:highlight w:val="none"/>
        </w:rPr>
        <w:t xml:space="preserve"> 争议的解决</w:t>
      </w:r>
    </w:p>
    <w:p w14:paraId="4E78EDE9">
      <w:pPr>
        <w:adjustRightInd w:val="0"/>
        <w:snapToGrid w:val="0"/>
        <w:spacing w:line="54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本合同在履行过程中发生的任何争议，如双方不能通过友好协商解决，通过</w:t>
      </w:r>
      <w:r>
        <w:rPr>
          <w:rFonts w:hint="eastAsia" w:ascii="宋体" w:hAnsi="宋体"/>
          <w:color w:val="auto"/>
          <w:kern w:val="0"/>
          <w:sz w:val="22"/>
          <w:szCs w:val="22"/>
          <w:highlight w:val="none"/>
        </w:rPr>
        <w:t>项目</w:t>
      </w:r>
      <w:r>
        <w:rPr>
          <w:rFonts w:ascii="宋体" w:hAnsi="宋体"/>
          <w:color w:val="auto"/>
          <w:kern w:val="0"/>
          <w:sz w:val="22"/>
          <w:szCs w:val="22"/>
          <w:highlight w:val="none"/>
        </w:rPr>
        <w:t>所在地有管辖权的人民法院诉讼处理。</w:t>
      </w:r>
    </w:p>
    <w:p w14:paraId="588C83AD">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14.</w:t>
      </w:r>
      <w:r>
        <w:rPr>
          <w:rFonts w:ascii="宋体" w:hAnsi="宋体"/>
          <w:color w:val="auto"/>
          <w:kern w:val="0"/>
          <w:sz w:val="22"/>
          <w:szCs w:val="22"/>
          <w:highlight w:val="none"/>
        </w:rPr>
        <w:t xml:space="preserve"> 不可抗力</w:t>
      </w:r>
    </w:p>
    <w:p w14:paraId="0C1E8954">
      <w:pPr>
        <w:spacing w:line="5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14.1 不可抗力是指合同双方不可预见、不可避免、不可克服的自然灾害和社会事件。</w:t>
      </w:r>
    </w:p>
    <w:p w14:paraId="7F8A922F">
      <w:pPr>
        <w:spacing w:line="5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14.2 任何一方对由于不可抗力造成的部分或全部不能履行合同不承担违约责任。但迟延履行后发生不可抗力的，不能免除责任。</w:t>
      </w:r>
    </w:p>
    <w:p w14:paraId="4EF64471">
      <w:pPr>
        <w:spacing w:line="5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14.3 遇有不可抗力的一方，应在三日内将事件的情况以书面形式通知另一方，并在事件发生后十日内，向另一方提交合同不能履行或部分不能履行或需要延期履行理由的报告。</w:t>
      </w:r>
    </w:p>
    <w:p w14:paraId="3ECE74E4">
      <w:pPr>
        <w:spacing w:line="5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14.4如由于战争、骚乱、恐怖主义、自然灾害、国家法律法规或规章变动、网络安全、网络无法覆盖、电力故障、通信线路被人为破坏、黑客攻击、计算机病毒侵入或发作，导致协议双方或一方无法继续履行协议时，受影响方不承担违约责任，但应尽快书面通知对方，并协商适当延长协议的期限。在影响消除后，受影响方应及时通知对方，本合同继续执行。</w:t>
      </w:r>
    </w:p>
    <w:p w14:paraId="32A582FA">
      <w:pPr>
        <w:spacing w:line="5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14.5如政府管理部门提出要求的，乙方将暂停或终止提供相应服务，且不承担任何责任。</w:t>
      </w:r>
    </w:p>
    <w:p w14:paraId="13FD82F9">
      <w:pPr>
        <w:spacing w:line="5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15. 服务的变更、中断</w:t>
      </w:r>
    </w:p>
    <w:p w14:paraId="5449C894">
      <w:pPr>
        <w:spacing w:line="5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15.1乙方因技术进步或国家法律、政策变动等原因可对云业务服务的服务内容、业务功能、操作方法等做出调整，但调整时应按本合同约定提前公告甲方并提供相应解决方案。</w:t>
      </w:r>
    </w:p>
    <w:p w14:paraId="7D7B1F6E">
      <w:pPr>
        <w:spacing w:line="5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15.2如因系统维护或升级的需要而暂停云业务服务的，乙方将尽可能事先以公告方式通知甲方等用户。</w:t>
      </w:r>
    </w:p>
    <w:p w14:paraId="21087C29">
      <w:pPr>
        <w:spacing w:line="5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15.3乙方依据本合同约定暂停向甲方提供本合同项下云业务服务的，应当通知甲方并告知暂停期间，暂停期间届满乙方应当及时恢复对甲方的服务。其中，非乙方原因造成的服务暂停，暂停期间甲方仍需正常付费。</w:t>
      </w:r>
    </w:p>
    <w:p w14:paraId="1F1F3D4D">
      <w:pPr>
        <w:spacing w:line="5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15.4除法定或双方另行约定外，自本合同期满或因任何原因导致本合同提前终止之日起的7日内（注：云存储服务为30日内），乙方应继续存储甲方数据。逾期乙方将不再保留甲方数据，甲方需自行承担其数据被销毁后引发的一切后果。</w:t>
      </w:r>
    </w:p>
    <w:p w14:paraId="06E643DF">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16.</w:t>
      </w:r>
      <w:r>
        <w:rPr>
          <w:rFonts w:ascii="宋体" w:hAnsi="宋体"/>
          <w:color w:val="auto"/>
          <w:kern w:val="0"/>
          <w:sz w:val="22"/>
          <w:szCs w:val="22"/>
          <w:highlight w:val="none"/>
        </w:rPr>
        <w:t xml:space="preserve"> 合同的终止</w:t>
      </w:r>
    </w:p>
    <w:p w14:paraId="486AB531">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16.1</w:t>
      </w:r>
      <w:r>
        <w:rPr>
          <w:rFonts w:ascii="宋体" w:hAnsi="宋体"/>
          <w:color w:val="auto"/>
          <w:kern w:val="0"/>
          <w:sz w:val="22"/>
          <w:szCs w:val="22"/>
          <w:highlight w:val="none"/>
        </w:rPr>
        <w:t>本合同期满，双方未续签合同的；</w:t>
      </w:r>
    </w:p>
    <w:p w14:paraId="5F718587">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16.2</w:t>
      </w:r>
      <w:r>
        <w:rPr>
          <w:rFonts w:ascii="宋体" w:hAnsi="宋体"/>
          <w:color w:val="auto"/>
          <w:kern w:val="0"/>
          <w:sz w:val="22"/>
          <w:szCs w:val="22"/>
          <w:highlight w:val="none"/>
        </w:rPr>
        <w:t>乙方服务能力丧失，致使本合同服务无法正常提供的；</w:t>
      </w:r>
    </w:p>
    <w:p w14:paraId="1897F1E9">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16.3</w:t>
      </w:r>
      <w:r>
        <w:rPr>
          <w:rFonts w:ascii="宋体" w:hAnsi="宋体"/>
          <w:color w:val="auto"/>
          <w:kern w:val="0"/>
          <w:sz w:val="22"/>
          <w:szCs w:val="22"/>
          <w:highlight w:val="none"/>
        </w:rPr>
        <w:t>在履行合同过程中，发现乙方已不符合承接主体应具备的条件，造成合同无法履行的；</w:t>
      </w:r>
    </w:p>
    <w:p w14:paraId="4BACA468">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16.4</w:t>
      </w:r>
      <w:r>
        <w:rPr>
          <w:rFonts w:ascii="宋体" w:hAnsi="宋体"/>
          <w:color w:val="auto"/>
          <w:kern w:val="0"/>
          <w:sz w:val="22"/>
          <w:szCs w:val="22"/>
          <w:highlight w:val="none"/>
        </w:rPr>
        <w:t>受国家政策或法律法规变动影响，经双方协商终止本合同的。</w:t>
      </w:r>
    </w:p>
    <w:p w14:paraId="143BEEAE">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17.</w:t>
      </w:r>
      <w:r>
        <w:rPr>
          <w:rFonts w:ascii="宋体" w:hAnsi="宋体"/>
          <w:color w:val="auto"/>
          <w:kern w:val="0"/>
          <w:sz w:val="22"/>
          <w:szCs w:val="22"/>
          <w:highlight w:val="none"/>
        </w:rPr>
        <w:t xml:space="preserve"> 税费发生与履行</w:t>
      </w:r>
    </w:p>
    <w:p w14:paraId="52D4CC6F">
      <w:pPr>
        <w:adjustRightInd w:val="0"/>
        <w:snapToGrid w:val="0"/>
        <w:spacing w:line="540" w:lineRule="exact"/>
        <w:ind w:firstLine="440" w:firstLineChars="200"/>
        <w:rPr>
          <w:rFonts w:ascii="宋体" w:hAnsi="宋体"/>
          <w:color w:val="auto"/>
          <w:kern w:val="0"/>
          <w:sz w:val="22"/>
          <w:szCs w:val="22"/>
          <w:highlight w:val="none"/>
        </w:rPr>
      </w:pPr>
      <w:r>
        <w:rPr>
          <w:rFonts w:ascii="宋体" w:hAnsi="宋体"/>
          <w:color w:val="auto"/>
          <w:kern w:val="0"/>
          <w:sz w:val="22"/>
          <w:szCs w:val="22"/>
          <w:highlight w:val="none"/>
        </w:rPr>
        <w:t>本合同有关的一切税费均由乙方负担。</w:t>
      </w:r>
    </w:p>
    <w:p w14:paraId="2805ED5E">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18.</w:t>
      </w:r>
      <w:r>
        <w:rPr>
          <w:rFonts w:ascii="宋体" w:hAnsi="宋体"/>
          <w:color w:val="auto"/>
          <w:kern w:val="0"/>
          <w:sz w:val="22"/>
          <w:szCs w:val="22"/>
          <w:highlight w:val="none"/>
        </w:rPr>
        <w:t xml:space="preserve"> 其他</w:t>
      </w:r>
    </w:p>
    <w:p w14:paraId="166F0745">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18.1</w:t>
      </w:r>
      <w:r>
        <w:rPr>
          <w:rFonts w:ascii="宋体" w:hAnsi="宋体"/>
          <w:color w:val="auto"/>
          <w:kern w:val="0"/>
          <w:sz w:val="22"/>
          <w:szCs w:val="22"/>
          <w:highlight w:val="none"/>
        </w:rPr>
        <w:t>本合同所有附件及相关购买文件均为本合同的有效组成部分，与本合同具有同等法律效力。若合同附件与本合同存在不一致的，则以本合同为准。</w:t>
      </w:r>
    </w:p>
    <w:p w14:paraId="781E39D6">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18.2</w:t>
      </w:r>
      <w:r>
        <w:rPr>
          <w:rFonts w:ascii="宋体" w:hAnsi="宋体"/>
          <w:color w:val="auto"/>
          <w:kern w:val="0"/>
          <w:sz w:val="22"/>
          <w:szCs w:val="22"/>
          <w:highlight w:val="none"/>
        </w:rPr>
        <w:t>在履行本合同过程中，所有经双方签署确认的文件（包括</w:t>
      </w:r>
      <w:r>
        <w:rPr>
          <w:rFonts w:ascii="宋体" w:hAnsi="宋体"/>
          <w:color w:val="auto"/>
          <w:spacing w:val="-6"/>
          <w:kern w:val="0"/>
          <w:sz w:val="22"/>
          <w:szCs w:val="22"/>
          <w:highlight w:val="none"/>
        </w:rPr>
        <w:t>会议纪要、补充协议、往来信函）即成为本合同的有效组成部分。</w:t>
      </w:r>
    </w:p>
    <w:p w14:paraId="3DB7B8CC">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18.3</w:t>
      </w:r>
      <w:r>
        <w:rPr>
          <w:rFonts w:ascii="宋体" w:hAnsi="宋体"/>
          <w:color w:val="auto"/>
          <w:kern w:val="0"/>
          <w:sz w:val="22"/>
          <w:szCs w:val="22"/>
          <w:highlight w:val="none"/>
        </w:rPr>
        <w:t>如一方地址、电话、传真号码及乙方银行账户信息有变更，应在变更当日书面通知对方，否则，应承担相应责任。</w:t>
      </w:r>
    </w:p>
    <w:p w14:paraId="514592C4">
      <w:pPr>
        <w:adjustRightInd w:val="0"/>
        <w:snapToGrid w:val="0"/>
        <w:spacing w:line="540" w:lineRule="exact"/>
        <w:ind w:firstLine="440" w:firstLineChars="200"/>
        <w:rPr>
          <w:rFonts w:ascii="宋体" w:hAnsi="宋体"/>
          <w:color w:val="auto"/>
          <w:kern w:val="0"/>
          <w:sz w:val="22"/>
          <w:szCs w:val="22"/>
          <w:highlight w:val="none"/>
          <w:u w:val="single"/>
        </w:rPr>
      </w:pPr>
      <w:r>
        <w:rPr>
          <w:rFonts w:hint="eastAsia" w:ascii="宋体" w:hAnsi="宋体"/>
          <w:color w:val="auto"/>
          <w:kern w:val="0"/>
          <w:sz w:val="22"/>
          <w:szCs w:val="22"/>
          <w:highlight w:val="none"/>
        </w:rPr>
        <w:t xml:space="preserve">19. </w:t>
      </w:r>
      <w:r>
        <w:rPr>
          <w:rFonts w:ascii="宋体" w:hAnsi="宋体"/>
          <w:color w:val="auto"/>
          <w:kern w:val="0"/>
          <w:sz w:val="22"/>
          <w:szCs w:val="22"/>
          <w:highlight w:val="none"/>
        </w:rPr>
        <w:t>补充条款：</w:t>
      </w:r>
      <w:r>
        <w:rPr>
          <w:rFonts w:hint="eastAsia" w:ascii="宋体" w:hAnsi="宋体"/>
          <w:color w:val="auto"/>
          <w:kern w:val="0"/>
          <w:sz w:val="22"/>
          <w:szCs w:val="20"/>
          <w:highlight w:val="none"/>
          <w:u w:val="single"/>
        </w:rPr>
        <w:t xml:space="preserve">             </w:t>
      </w:r>
    </w:p>
    <w:p w14:paraId="624F00CF">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20.</w:t>
      </w:r>
      <w:r>
        <w:rPr>
          <w:rFonts w:ascii="宋体" w:hAnsi="宋体"/>
          <w:color w:val="auto"/>
          <w:kern w:val="0"/>
          <w:sz w:val="22"/>
          <w:szCs w:val="22"/>
          <w:highlight w:val="none"/>
        </w:rPr>
        <w:t xml:space="preserve"> 合同生效</w:t>
      </w:r>
    </w:p>
    <w:p w14:paraId="09CE1D1A">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20.1</w:t>
      </w:r>
      <w:r>
        <w:rPr>
          <w:rFonts w:ascii="宋体" w:hAnsi="宋体"/>
          <w:color w:val="auto"/>
          <w:kern w:val="0"/>
          <w:sz w:val="22"/>
          <w:szCs w:val="22"/>
          <w:highlight w:val="none"/>
        </w:rPr>
        <w:t>本合同订立时间：</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年</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月</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日</w:t>
      </w:r>
    </w:p>
    <w:p w14:paraId="615189E5">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20.2</w:t>
      </w:r>
      <w:r>
        <w:rPr>
          <w:rFonts w:ascii="宋体" w:hAnsi="宋体"/>
          <w:color w:val="auto"/>
          <w:kern w:val="0"/>
          <w:sz w:val="22"/>
          <w:szCs w:val="22"/>
          <w:highlight w:val="none"/>
        </w:rPr>
        <w:t>本合同订立地点：</w:t>
      </w:r>
      <w:r>
        <w:rPr>
          <w:rFonts w:ascii="宋体" w:hAnsi="宋体"/>
          <w:color w:val="auto"/>
          <w:kern w:val="0"/>
          <w:sz w:val="22"/>
          <w:szCs w:val="22"/>
          <w:highlight w:val="none"/>
          <w:u w:val="single"/>
        </w:rPr>
        <w:t xml:space="preserve">                  </w:t>
      </w:r>
    </w:p>
    <w:p w14:paraId="71A4B3F4">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20.3</w:t>
      </w:r>
      <w:r>
        <w:rPr>
          <w:rFonts w:ascii="宋体" w:hAnsi="宋体"/>
          <w:color w:val="auto"/>
          <w:kern w:val="0"/>
          <w:sz w:val="22"/>
          <w:szCs w:val="22"/>
          <w:highlight w:val="none"/>
        </w:rPr>
        <w:t>本合同在甲、乙双方法人代表或其授权代表签章之日起生效。</w:t>
      </w:r>
    </w:p>
    <w:p w14:paraId="33CD45E6">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20.4</w:t>
      </w:r>
      <w:r>
        <w:rPr>
          <w:rFonts w:ascii="宋体" w:hAnsi="宋体"/>
          <w:color w:val="auto"/>
          <w:kern w:val="0"/>
          <w:sz w:val="22"/>
          <w:szCs w:val="22"/>
          <w:highlight w:val="none"/>
        </w:rPr>
        <w:t>本合同一式</w:t>
      </w:r>
      <w:r>
        <w:rPr>
          <w:rFonts w:hint="eastAsia" w:ascii="宋体" w:hAnsi="宋体"/>
          <w:color w:val="auto"/>
          <w:kern w:val="0"/>
          <w:sz w:val="22"/>
          <w:szCs w:val="22"/>
          <w:highlight w:val="none"/>
        </w:rPr>
        <w:t>陆</w:t>
      </w:r>
      <w:r>
        <w:rPr>
          <w:rFonts w:ascii="宋体" w:hAnsi="宋体"/>
          <w:color w:val="auto"/>
          <w:kern w:val="0"/>
          <w:sz w:val="22"/>
          <w:szCs w:val="22"/>
          <w:highlight w:val="none"/>
        </w:rPr>
        <w:t>份，具有同等法律效力，甲乙双方各执</w:t>
      </w:r>
      <w:r>
        <w:rPr>
          <w:rFonts w:hint="eastAsia" w:ascii="宋体" w:hAnsi="宋体"/>
          <w:color w:val="auto"/>
          <w:kern w:val="0"/>
          <w:sz w:val="22"/>
          <w:szCs w:val="22"/>
          <w:highlight w:val="none"/>
        </w:rPr>
        <w:t>贰</w:t>
      </w:r>
      <w:r>
        <w:rPr>
          <w:rFonts w:ascii="宋体" w:hAnsi="宋体"/>
          <w:color w:val="auto"/>
          <w:kern w:val="0"/>
          <w:sz w:val="22"/>
          <w:szCs w:val="22"/>
          <w:highlight w:val="none"/>
        </w:rPr>
        <w:t>份</w:t>
      </w:r>
      <w:r>
        <w:rPr>
          <w:rFonts w:hint="eastAsia" w:ascii="宋体" w:hAnsi="宋体"/>
          <w:color w:val="auto"/>
          <w:kern w:val="0"/>
          <w:sz w:val="22"/>
          <w:szCs w:val="22"/>
          <w:highlight w:val="none"/>
        </w:rPr>
        <w:t>，</w:t>
      </w:r>
      <w:r>
        <w:rPr>
          <w:rFonts w:ascii="宋体" w:hAnsi="宋体"/>
          <w:color w:val="auto"/>
          <w:kern w:val="0"/>
          <w:sz w:val="22"/>
          <w:szCs w:val="22"/>
          <w:highlight w:val="none"/>
        </w:rPr>
        <w:t>洞头区政务服务中心执壹份，温州华晟招标代理有限公司执壹份。</w:t>
      </w:r>
    </w:p>
    <w:p w14:paraId="63287C5E">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21.</w:t>
      </w:r>
      <w:r>
        <w:rPr>
          <w:rFonts w:ascii="宋体" w:hAnsi="宋体"/>
          <w:color w:val="auto"/>
          <w:kern w:val="0"/>
          <w:sz w:val="22"/>
          <w:szCs w:val="22"/>
          <w:highlight w:val="none"/>
        </w:rPr>
        <w:t xml:space="preserve"> 合同附件（若有附件应注明附件名称）</w:t>
      </w:r>
    </w:p>
    <w:p w14:paraId="10C16A8A">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下列文件与本合同具有同等法律效力：</w:t>
      </w:r>
    </w:p>
    <w:p w14:paraId="0DB43A73">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1、甲方的磋商文件与招标补充文件；</w:t>
      </w:r>
    </w:p>
    <w:p w14:paraId="3C2B6FE1">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2、乙方的响应文件；</w:t>
      </w:r>
    </w:p>
    <w:p w14:paraId="2419CCA0">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3、询标纪要和承诺书；</w:t>
      </w:r>
    </w:p>
    <w:p w14:paraId="51BCEBE3">
      <w:pPr>
        <w:adjustRightInd w:val="0"/>
        <w:snapToGrid w:val="0"/>
        <w:spacing w:line="540" w:lineRule="exac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4、成交通知书。</w:t>
      </w:r>
    </w:p>
    <w:p w14:paraId="11FCC0D3">
      <w:pPr>
        <w:adjustRightInd w:val="0"/>
        <w:snapToGrid w:val="0"/>
        <w:spacing w:line="540" w:lineRule="exact"/>
        <w:ind w:firstLine="440" w:firstLineChars="200"/>
        <w:rPr>
          <w:rFonts w:ascii="宋体" w:hAnsi="宋体"/>
          <w:color w:val="auto"/>
          <w:kern w:val="0"/>
          <w:sz w:val="22"/>
          <w:szCs w:val="22"/>
          <w:highlight w:val="none"/>
        </w:rPr>
      </w:pPr>
    </w:p>
    <w:p w14:paraId="70942835">
      <w:pPr>
        <w:widowControl/>
        <w:spacing w:line="400" w:lineRule="atLeast"/>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采购人（盖章）：</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成交供应商（盖章）：</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p>
    <w:p w14:paraId="0BA3036C">
      <w:pPr>
        <w:adjustRightInd w:val="0"/>
        <w:snapToGrid w:val="0"/>
        <w:spacing w:line="400" w:lineRule="atLeast"/>
        <w:rPr>
          <w:rFonts w:ascii="宋体" w:hAnsi="宋体"/>
          <w:color w:val="auto"/>
          <w:kern w:val="0"/>
          <w:sz w:val="22"/>
          <w:szCs w:val="22"/>
          <w:highlight w:val="none"/>
        </w:rPr>
      </w:pPr>
      <w:r>
        <w:rPr>
          <w:rFonts w:ascii="宋体" w:hAnsi="宋体"/>
          <w:color w:val="auto"/>
          <w:kern w:val="0"/>
          <w:sz w:val="22"/>
          <w:szCs w:val="22"/>
          <w:highlight w:val="none"/>
        </w:rPr>
        <w:t>法定代表人（盖章或签字）</w:t>
      </w:r>
      <w:r>
        <w:rPr>
          <w:rFonts w:hint="eastAsia" w:ascii="宋体" w:hAnsi="宋体" w:cs="宋体"/>
          <w:color w:val="auto"/>
          <w:kern w:val="0"/>
          <w:sz w:val="22"/>
          <w:szCs w:val="22"/>
          <w:highlight w:val="none"/>
        </w:rPr>
        <w:t>：</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rPr>
        <w:t xml:space="preserve">   </w:t>
      </w:r>
      <w:r>
        <w:rPr>
          <w:rFonts w:ascii="宋体" w:hAnsi="宋体"/>
          <w:color w:val="auto"/>
          <w:kern w:val="0"/>
          <w:sz w:val="22"/>
          <w:szCs w:val="22"/>
          <w:highlight w:val="none"/>
        </w:rPr>
        <w:t>法定代表人（盖章或签字）</w:t>
      </w:r>
      <w:r>
        <w:rPr>
          <w:rFonts w:ascii="宋体" w:hAnsi="宋体"/>
          <w:color w:val="auto"/>
          <w:w w:val="90"/>
          <w:kern w:val="0"/>
          <w:sz w:val="22"/>
          <w:szCs w:val="22"/>
          <w:highlight w:val="none"/>
        </w:rPr>
        <w:t>：</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p>
    <w:p w14:paraId="1DB5C5F5">
      <w:pPr>
        <w:adjustRightInd w:val="0"/>
        <w:snapToGrid w:val="0"/>
        <w:spacing w:line="400" w:lineRule="atLeast"/>
        <w:rPr>
          <w:rFonts w:ascii="宋体" w:hAnsi="宋体"/>
          <w:color w:val="auto"/>
          <w:kern w:val="0"/>
          <w:sz w:val="22"/>
          <w:szCs w:val="22"/>
          <w:highlight w:val="none"/>
          <w:u w:val="single"/>
        </w:rPr>
      </w:pPr>
      <w:r>
        <w:rPr>
          <w:rFonts w:ascii="宋体" w:hAnsi="宋体"/>
          <w:color w:val="auto"/>
          <w:kern w:val="0"/>
          <w:sz w:val="22"/>
          <w:szCs w:val="22"/>
          <w:highlight w:val="none"/>
        </w:rPr>
        <w:t>委托代理人（签字）</w:t>
      </w:r>
      <w:r>
        <w:rPr>
          <w:rFonts w:ascii="宋体" w:hAnsi="宋体"/>
          <w:color w:val="auto"/>
          <w:w w:val="90"/>
          <w:kern w:val="0"/>
          <w:sz w:val="22"/>
          <w:szCs w:val="22"/>
          <w:highlight w:val="none"/>
        </w:rPr>
        <w:t>：</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rPr>
        <w:t xml:space="preserve">     </w:t>
      </w:r>
      <w:r>
        <w:rPr>
          <w:rFonts w:ascii="宋体" w:hAnsi="宋体"/>
          <w:color w:val="auto"/>
          <w:kern w:val="0"/>
          <w:sz w:val="22"/>
          <w:szCs w:val="22"/>
          <w:highlight w:val="none"/>
        </w:rPr>
        <w:t>委托代理人（签字）：</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p>
    <w:p w14:paraId="34E283A8">
      <w:pPr>
        <w:adjustRightInd w:val="0"/>
        <w:snapToGrid w:val="0"/>
        <w:spacing w:line="400" w:lineRule="atLeast"/>
        <w:rPr>
          <w:rFonts w:ascii="宋体" w:hAnsi="宋体"/>
          <w:color w:val="auto"/>
          <w:kern w:val="0"/>
          <w:sz w:val="22"/>
          <w:szCs w:val="22"/>
          <w:highlight w:val="none"/>
        </w:rPr>
      </w:pPr>
      <w:r>
        <w:rPr>
          <w:rFonts w:ascii="宋体" w:hAnsi="宋体"/>
          <w:color w:val="auto"/>
          <w:kern w:val="0"/>
          <w:sz w:val="22"/>
          <w:szCs w:val="22"/>
          <w:highlight w:val="none"/>
        </w:rPr>
        <w:t>地址：</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rPr>
        <w:t xml:space="preserve">    </w:t>
      </w:r>
      <w:r>
        <w:rPr>
          <w:rFonts w:ascii="宋体" w:hAnsi="宋体"/>
          <w:color w:val="auto"/>
          <w:kern w:val="0"/>
          <w:sz w:val="22"/>
          <w:szCs w:val="22"/>
          <w:highlight w:val="none"/>
        </w:rPr>
        <w:t xml:space="preserve"> </w:t>
      </w:r>
      <w:r>
        <w:rPr>
          <w:rFonts w:hint="eastAsia" w:ascii="宋体" w:hAnsi="宋体"/>
          <w:color w:val="auto"/>
          <w:kern w:val="0"/>
          <w:sz w:val="22"/>
          <w:szCs w:val="22"/>
          <w:highlight w:val="none"/>
        </w:rPr>
        <w:t xml:space="preserve">  </w:t>
      </w:r>
      <w:r>
        <w:rPr>
          <w:rFonts w:ascii="宋体" w:hAnsi="宋体"/>
          <w:color w:val="auto"/>
          <w:kern w:val="0"/>
          <w:sz w:val="22"/>
          <w:szCs w:val="22"/>
          <w:highlight w:val="none"/>
        </w:rPr>
        <w:t>地址：</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p>
    <w:p w14:paraId="128AA6B1">
      <w:pPr>
        <w:adjustRightInd w:val="0"/>
        <w:snapToGrid w:val="0"/>
        <w:spacing w:line="400" w:lineRule="atLeast"/>
        <w:rPr>
          <w:rFonts w:ascii="宋体" w:hAnsi="宋体"/>
          <w:color w:val="auto"/>
          <w:kern w:val="0"/>
          <w:sz w:val="22"/>
          <w:szCs w:val="22"/>
          <w:highlight w:val="none"/>
        </w:rPr>
      </w:pPr>
      <w:r>
        <w:rPr>
          <w:rFonts w:ascii="宋体" w:hAnsi="宋体"/>
          <w:color w:val="auto"/>
          <w:kern w:val="0"/>
          <w:sz w:val="22"/>
          <w:szCs w:val="22"/>
          <w:highlight w:val="none"/>
        </w:rPr>
        <w:t>电话：</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rPr>
        <w:t xml:space="preserve">    </w:t>
      </w:r>
      <w:r>
        <w:rPr>
          <w:rFonts w:ascii="宋体" w:hAnsi="宋体"/>
          <w:color w:val="auto"/>
          <w:kern w:val="0"/>
          <w:sz w:val="22"/>
          <w:szCs w:val="22"/>
          <w:highlight w:val="none"/>
        </w:rPr>
        <w:t xml:space="preserve"> </w:t>
      </w:r>
      <w:r>
        <w:rPr>
          <w:rFonts w:hint="eastAsia" w:ascii="宋体" w:hAnsi="宋体"/>
          <w:color w:val="auto"/>
          <w:kern w:val="0"/>
          <w:sz w:val="22"/>
          <w:szCs w:val="22"/>
          <w:highlight w:val="none"/>
        </w:rPr>
        <w:t xml:space="preserve">  </w:t>
      </w:r>
      <w:r>
        <w:rPr>
          <w:rFonts w:ascii="宋体" w:hAnsi="宋体"/>
          <w:color w:val="auto"/>
          <w:kern w:val="0"/>
          <w:sz w:val="22"/>
          <w:szCs w:val="22"/>
          <w:highlight w:val="none"/>
        </w:rPr>
        <w:t>电话：</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p>
    <w:p w14:paraId="4363F7FC">
      <w:pPr>
        <w:adjustRightInd w:val="0"/>
        <w:snapToGrid w:val="0"/>
        <w:spacing w:line="400" w:lineRule="atLeast"/>
        <w:rPr>
          <w:rFonts w:ascii="宋体" w:hAnsi="宋体"/>
          <w:color w:val="auto"/>
          <w:kern w:val="0"/>
          <w:sz w:val="22"/>
          <w:szCs w:val="22"/>
          <w:highlight w:val="none"/>
        </w:rPr>
      </w:pPr>
      <w:r>
        <w:rPr>
          <w:rFonts w:ascii="宋体" w:hAnsi="宋体"/>
          <w:color w:val="auto"/>
          <w:kern w:val="0"/>
          <w:sz w:val="22"/>
          <w:szCs w:val="22"/>
          <w:highlight w:val="none"/>
        </w:rPr>
        <w:t>传真：</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rPr>
        <w:t xml:space="preserve">    </w:t>
      </w:r>
      <w:r>
        <w:rPr>
          <w:rFonts w:ascii="宋体" w:hAnsi="宋体"/>
          <w:color w:val="auto"/>
          <w:kern w:val="0"/>
          <w:sz w:val="22"/>
          <w:szCs w:val="22"/>
          <w:highlight w:val="none"/>
        </w:rPr>
        <w:t xml:space="preserve"> </w:t>
      </w:r>
      <w:r>
        <w:rPr>
          <w:rFonts w:hint="eastAsia" w:ascii="宋体" w:hAnsi="宋体"/>
          <w:color w:val="auto"/>
          <w:kern w:val="0"/>
          <w:sz w:val="22"/>
          <w:szCs w:val="22"/>
          <w:highlight w:val="none"/>
        </w:rPr>
        <w:t xml:space="preserve">  </w:t>
      </w:r>
      <w:r>
        <w:rPr>
          <w:rFonts w:ascii="宋体" w:hAnsi="宋体"/>
          <w:color w:val="auto"/>
          <w:kern w:val="0"/>
          <w:sz w:val="22"/>
          <w:szCs w:val="22"/>
          <w:highlight w:val="none"/>
        </w:rPr>
        <w:t>传真：</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p>
    <w:p w14:paraId="1CFAD009">
      <w:pPr>
        <w:adjustRightInd w:val="0"/>
        <w:snapToGrid w:val="0"/>
        <w:spacing w:line="400" w:lineRule="atLeast"/>
        <w:rPr>
          <w:rFonts w:ascii="宋体" w:hAnsi="宋体"/>
          <w:color w:val="auto"/>
          <w:kern w:val="0"/>
          <w:sz w:val="22"/>
          <w:szCs w:val="22"/>
          <w:highlight w:val="none"/>
        </w:rPr>
      </w:pPr>
      <w:r>
        <w:rPr>
          <w:rFonts w:ascii="宋体" w:hAnsi="宋体"/>
          <w:color w:val="auto"/>
          <w:kern w:val="0"/>
          <w:sz w:val="22"/>
          <w:szCs w:val="22"/>
          <w:highlight w:val="none"/>
        </w:rPr>
        <w:t>日期：</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年</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月</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 xml:space="preserve">日      </w:t>
      </w:r>
      <w:r>
        <w:rPr>
          <w:rFonts w:hint="eastAsia" w:ascii="宋体" w:hAnsi="宋体"/>
          <w:color w:val="auto"/>
          <w:kern w:val="0"/>
          <w:sz w:val="22"/>
          <w:szCs w:val="22"/>
          <w:highlight w:val="none"/>
        </w:rPr>
        <w:t xml:space="preserve">   </w:t>
      </w:r>
      <w:r>
        <w:rPr>
          <w:rFonts w:ascii="宋体" w:hAnsi="宋体"/>
          <w:color w:val="auto"/>
          <w:kern w:val="0"/>
          <w:sz w:val="22"/>
          <w:szCs w:val="22"/>
          <w:highlight w:val="none"/>
        </w:rPr>
        <w:t xml:space="preserve"> </w:t>
      </w:r>
      <w:r>
        <w:rPr>
          <w:rFonts w:hint="eastAsia" w:ascii="宋体" w:hAnsi="宋体"/>
          <w:color w:val="auto"/>
          <w:kern w:val="0"/>
          <w:sz w:val="22"/>
          <w:szCs w:val="22"/>
          <w:highlight w:val="none"/>
        </w:rPr>
        <w:t xml:space="preserve">        </w:t>
      </w:r>
      <w:r>
        <w:rPr>
          <w:rFonts w:ascii="宋体" w:hAnsi="宋体"/>
          <w:color w:val="auto"/>
          <w:kern w:val="0"/>
          <w:sz w:val="22"/>
          <w:szCs w:val="22"/>
          <w:highlight w:val="none"/>
        </w:rPr>
        <w:t>日期：</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年</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月</w:t>
      </w:r>
      <w:r>
        <w:rPr>
          <w:rFonts w:ascii="宋体" w:hAnsi="宋体"/>
          <w:color w:val="auto"/>
          <w:kern w:val="0"/>
          <w:sz w:val="22"/>
          <w:szCs w:val="22"/>
          <w:highlight w:val="none"/>
          <w:u w:val="single"/>
        </w:rPr>
        <w:t xml:space="preserve"> </w:t>
      </w:r>
      <w:r>
        <w:rPr>
          <w:rFonts w:hint="eastAsia" w:ascii="宋体" w:hAnsi="宋体"/>
          <w:color w:val="auto"/>
          <w:kern w:val="0"/>
          <w:sz w:val="22"/>
          <w:szCs w:val="22"/>
          <w:highlight w:val="none"/>
          <w:u w:val="single"/>
        </w:rPr>
        <w:t xml:space="preserve">   </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日</w:t>
      </w:r>
    </w:p>
    <w:p w14:paraId="709B7CCB">
      <w:pPr>
        <w:adjustRightInd w:val="0"/>
        <w:snapToGrid w:val="0"/>
        <w:spacing w:line="400" w:lineRule="atLeast"/>
        <w:rPr>
          <w:rFonts w:ascii="宋体" w:hAnsi="宋体"/>
          <w:color w:val="auto"/>
          <w:kern w:val="0"/>
          <w:sz w:val="22"/>
          <w:szCs w:val="22"/>
          <w:highlight w:val="none"/>
        </w:rPr>
      </w:pPr>
    </w:p>
    <w:p w14:paraId="0EE06F82">
      <w:pPr>
        <w:adjustRightInd w:val="0"/>
        <w:snapToGrid w:val="0"/>
        <w:spacing w:line="400" w:lineRule="atLeast"/>
        <w:rPr>
          <w:rFonts w:ascii="宋体" w:hAnsi="宋体"/>
          <w:color w:val="auto"/>
          <w:kern w:val="0"/>
          <w:sz w:val="22"/>
          <w:szCs w:val="22"/>
          <w:highlight w:val="none"/>
        </w:rPr>
      </w:pPr>
    </w:p>
    <w:p w14:paraId="7519560E">
      <w:pPr>
        <w:spacing w:line="400" w:lineRule="atLeast"/>
        <w:jc w:val="center"/>
        <w:rPr>
          <w:rFonts w:ascii="宋体" w:hAnsi="宋体"/>
          <w:color w:val="auto"/>
          <w:kern w:val="0"/>
          <w:sz w:val="22"/>
          <w:szCs w:val="22"/>
          <w:highlight w:val="none"/>
        </w:rPr>
      </w:pPr>
    </w:p>
    <w:p w14:paraId="15500517">
      <w:pPr>
        <w:pStyle w:val="25"/>
        <w:adjustRightInd w:val="0"/>
        <w:snapToGrid w:val="0"/>
        <w:spacing w:line="460" w:lineRule="atLeast"/>
        <w:jc w:val="center"/>
        <w:rPr>
          <w:rFonts w:hAnsi="宋体"/>
          <w:color w:val="auto"/>
          <w:sz w:val="36"/>
          <w:szCs w:val="36"/>
          <w:highlight w:val="none"/>
        </w:rPr>
      </w:pPr>
    </w:p>
    <w:p w14:paraId="4A15245D">
      <w:pPr>
        <w:pStyle w:val="25"/>
        <w:adjustRightInd w:val="0"/>
        <w:snapToGrid w:val="0"/>
        <w:spacing w:line="460" w:lineRule="atLeast"/>
        <w:jc w:val="center"/>
        <w:rPr>
          <w:rFonts w:hAnsi="宋体"/>
          <w:color w:val="auto"/>
          <w:sz w:val="36"/>
          <w:szCs w:val="36"/>
          <w:highlight w:val="none"/>
        </w:rPr>
      </w:pPr>
    </w:p>
    <w:p w14:paraId="2102B379">
      <w:pPr>
        <w:pStyle w:val="25"/>
        <w:adjustRightInd w:val="0"/>
        <w:snapToGrid w:val="0"/>
        <w:spacing w:line="460" w:lineRule="atLeast"/>
        <w:jc w:val="center"/>
        <w:rPr>
          <w:rFonts w:hAnsi="宋体"/>
          <w:color w:val="auto"/>
          <w:sz w:val="36"/>
          <w:szCs w:val="36"/>
          <w:highlight w:val="none"/>
        </w:rPr>
      </w:pPr>
    </w:p>
    <w:p w14:paraId="263E483E">
      <w:pPr>
        <w:pStyle w:val="25"/>
        <w:adjustRightInd w:val="0"/>
        <w:snapToGrid w:val="0"/>
        <w:spacing w:line="460" w:lineRule="atLeast"/>
        <w:jc w:val="center"/>
        <w:rPr>
          <w:rFonts w:hAnsi="宋体"/>
          <w:color w:val="auto"/>
          <w:sz w:val="36"/>
          <w:szCs w:val="36"/>
          <w:highlight w:val="none"/>
        </w:rPr>
      </w:pPr>
    </w:p>
    <w:p w14:paraId="4F6DBC47">
      <w:pPr>
        <w:pStyle w:val="25"/>
        <w:adjustRightInd w:val="0"/>
        <w:snapToGrid w:val="0"/>
        <w:spacing w:line="460" w:lineRule="atLeast"/>
        <w:jc w:val="center"/>
        <w:rPr>
          <w:rFonts w:hAnsi="宋体"/>
          <w:color w:val="auto"/>
          <w:sz w:val="36"/>
          <w:szCs w:val="36"/>
          <w:highlight w:val="none"/>
        </w:rPr>
      </w:pPr>
    </w:p>
    <w:p w14:paraId="027172D3">
      <w:pPr>
        <w:pStyle w:val="25"/>
        <w:adjustRightInd w:val="0"/>
        <w:snapToGrid w:val="0"/>
        <w:spacing w:line="460" w:lineRule="atLeast"/>
        <w:jc w:val="center"/>
        <w:rPr>
          <w:rFonts w:hAnsi="宋体"/>
          <w:color w:val="auto"/>
          <w:sz w:val="36"/>
          <w:szCs w:val="36"/>
          <w:highlight w:val="none"/>
        </w:rPr>
      </w:pPr>
    </w:p>
    <w:p w14:paraId="44B2AA66">
      <w:pPr>
        <w:pStyle w:val="25"/>
        <w:adjustRightInd w:val="0"/>
        <w:snapToGrid w:val="0"/>
        <w:spacing w:line="460" w:lineRule="atLeast"/>
        <w:jc w:val="center"/>
        <w:rPr>
          <w:rFonts w:hAnsi="宋体"/>
          <w:color w:val="auto"/>
          <w:sz w:val="36"/>
          <w:szCs w:val="36"/>
          <w:highlight w:val="none"/>
        </w:rPr>
      </w:pPr>
    </w:p>
    <w:p w14:paraId="68AB0C69">
      <w:pPr>
        <w:pStyle w:val="25"/>
        <w:adjustRightInd w:val="0"/>
        <w:snapToGrid w:val="0"/>
        <w:spacing w:line="460" w:lineRule="atLeast"/>
        <w:jc w:val="center"/>
        <w:rPr>
          <w:rFonts w:hAnsi="宋体"/>
          <w:color w:val="auto"/>
          <w:sz w:val="36"/>
          <w:szCs w:val="36"/>
          <w:highlight w:val="none"/>
        </w:rPr>
      </w:pPr>
    </w:p>
    <w:p w14:paraId="0D307F6B">
      <w:pPr>
        <w:pStyle w:val="25"/>
        <w:adjustRightInd w:val="0"/>
        <w:snapToGrid w:val="0"/>
        <w:spacing w:line="460" w:lineRule="atLeast"/>
        <w:jc w:val="center"/>
        <w:rPr>
          <w:rFonts w:hAnsi="宋体"/>
          <w:color w:val="auto"/>
          <w:sz w:val="36"/>
          <w:szCs w:val="36"/>
          <w:highlight w:val="none"/>
        </w:rPr>
      </w:pPr>
    </w:p>
    <w:p w14:paraId="3974F63D">
      <w:pPr>
        <w:pStyle w:val="25"/>
        <w:adjustRightInd w:val="0"/>
        <w:snapToGrid w:val="0"/>
        <w:spacing w:line="460" w:lineRule="atLeast"/>
        <w:jc w:val="center"/>
        <w:rPr>
          <w:rFonts w:hAnsi="宋体"/>
          <w:color w:val="auto"/>
          <w:sz w:val="36"/>
          <w:szCs w:val="36"/>
          <w:highlight w:val="none"/>
        </w:rPr>
      </w:pPr>
    </w:p>
    <w:p w14:paraId="3DDC2527">
      <w:pPr>
        <w:pStyle w:val="25"/>
        <w:adjustRightInd w:val="0"/>
        <w:snapToGrid w:val="0"/>
        <w:spacing w:line="460" w:lineRule="atLeast"/>
        <w:jc w:val="center"/>
        <w:rPr>
          <w:rFonts w:hAnsi="宋体"/>
          <w:color w:val="auto"/>
          <w:sz w:val="36"/>
          <w:szCs w:val="36"/>
          <w:highlight w:val="none"/>
        </w:rPr>
      </w:pPr>
    </w:p>
    <w:p w14:paraId="6426D910">
      <w:pPr>
        <w:pStyle w:val="25"/>
        <w:adjustRightInd w:val="0"/>
        <w:snapToGrid w:val="0"/>
        <w:spacing w:line="460" w:lineRule="atLeast"/>
        <w:jc w:val="center"/>
        <w:rPr>
          <w:rFonts w:hAnsi="宋体"/>
          <w:color w:val="auto"/>
          <w:sz w:val="36"/>
          <w:szCs w:val="36"/>
          <w:highlight w:val="none"/>
        </w:rPr>
      </w:pPr>
    </w:p>
    <w:p w14:paraId="3368A25F">
      <w:pPr>
        <w:pStyle w:val="25"/>
        <w:adjustRightInd w:val="0"/>
        <w:snapToGrid w:val="0"/>
        <w:spacing w:line="460" w:lineRule="atLeast"/>
        <w:jc w:val="center"/>
        <w:rPr>
          <w:rFonts w:hAnsi="宋体"/>
          <w:color w:val="auto"/>
          <w:sz w:val="36"/>
          <w:szCs w:val="36"/>
          <w:highlight w:val="none"/>
        </w:rPr>
      </w:pPr>
      <w:r>
        <w:rPr>
          <w:rFonts w:hint="eastAsia" w:hAnsi="宋体"/>
          <w:color w:val="auto"/>
          <w:sz w:val="36"/>
          <w:szCs w:val="36"/>
          <w:highlight w:val="none"/>
        </w:rPr>
        <w:t>第六部分    附件--磋商响应文件格式</w:t>
      </w:r>
    </w:p>
    <w:p w14:paraId="4151FB91">
      <w:pPr>
        <w:numPr>
          <w:ilvl w:val="0"/>
          <w:numId w:val="3"/>
        </w:numPr>
        <w:autoSpaceDE w:val="0"/>
        <w:autoSpaceDN w:val="0"/>
        <w:adjustRightInd w:val="0"/>
        <w:spacing w:line="460" w:lineRule="atLeast"/>
        <w:jc w:val="center"/>
        <w:rPr>
          <w:rFonts w:ascii="宋体" w:hAnsi="宋体"/>
          <w:color w:val="auto"/>
          <w:sz w:val="36"/>
          <w:highlight w:val="none"/>
        </w:rPr>
      </w:pPr>
      <w:r>
        <w:rPr>
          <w:rFonts w:hint="eastAsia" w:ascii="宋体" w:hAnsi="宋体"/>
          <w:color w:val="auto"/>
          <w:sz w:val="36"/>
          <w:highlight w:val="none"/>
        </w:rPr>
        <w:t>资格文件格式</w:t>
      </w:r>
    </w:p>
    <w:p w14:paraId="6DAFD1C6">
      <w:pPr>
        <w:autoSpaceDE w:val="0"/>
        <w:autoSpaceDN w:val="0"/>
        <w:adjustRightInd w:val="0"/>
        <w:spacing w:line="460" w:lineRule="atLeast"/>
        <w:rPr>
          <w:rFonts w:ascii="宋体" w:hAnsi="宋体"/>
          <w:color w:val="auto"/>
          <w:sz w:val="30"/>
          <w:highlight w:val="none"/>
          <w:lang w:val="zh-CN"/>
        </w:rPr>
      </w:pPr>
      <w:r>
        <w:rPr>
          <w:rFonts w:hint="eastAsia" w:ascii="宋体" w:hAnsi="宋体"/>
          <w:color w:val="auto"/>
          <w:sz w:val="30"/>
          <w:highlight w:val="none"/>
          <w:lang w:val="zh-CN"/>
        </w:rPr>
        <w:t>附件一</w:t>
      </w:r>
    </w:p>
    <w:p w14:paraId="12C487DD">
      <w:pPr>
        <w:tabs>
          <w:tab w:val="left" w:pos="1080"/>
        </w:tabs>
        <w:autoSpaceDE w:val="0"/>
        <w:autoSpaceDN w:val="0"/>
        <w:adjustRightInd w:val="0"/>
        <w:spacing w:line="460" w:lineRule="atLeast"/>
        <w:jc w:val="center"/>
        <w:rPr>
          <w:rFonts w:ascii="宋体" w:hAnsi="宋体" w:cs="仿宋_GB2312"/>
          <w:color w:val="auto"/>
          <w:kern w:val="0"/>
          <w:sz w:val="36"/>
          <w:szCs w:val="36"/>
          <w:highlight w:val="none"/>
          <w:lang w:val="zh-CN"/>
        </w:rPr>
      </w:pPr>
      <w:r>
        <w:rPr>
          <w:rFonts w:hint="eastAsia" w:ascii="宋体" w:hAnsi="宋体" w:cs="仿宋_GB2312"/>
          <w:color w:val="auto"/>
          <w:kern w:val="0"/>
          <w:sz w:val="36"/>
          <w:szCs w:val="36"/>
          <w:highlight w:val="none"/>
          <w:lang w:val="zh-CN"/>
        </w:rPr>
        <w:t>投标供应商参与政府采购活动投标资格声明函</w:t>
      </w:r>
    </w:p>
    <w:tbl>
      <w:tblPr>
        <w:tblStyle w:val="46"/>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61F5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0210E95F">
            <w:pPr>
              <w:keepNext w:val="0"/>
              <w:keepLines w:val="0"/>
              <w:suppressLineNumbers w:val="0"/>
              <w:adjustRightInd w:val="0"/>
              <w:snapToGrid w:val="0"/>
              <w:spacing w:before="0" w:beforeAutospacing="0" w:after="0" w:afterAutospacing="0" w:line="440" w:lineRule="exact"/>
              <w:ind w:left="0" w:right="0"/>
              <w:rPr>
                <w:rFonts w:hint="default" w:ascii="宋体" w:hAnsi="宋体"/>
                <w:color w:val="auto"/>
                <w:kern w:val="0"/>
                <w:sz w:val="22"/>
                <w:szCs w:val="22"/>
                <w:highlight w:val="none"/>
              </w:rPr>
            </w:pPr>
            <w:r>
              <w:rPr>
                <w:rFonts w:hint="default" w:ascii="宋体" w:hAnsi="宋体"/>
                <w:color w:val="auto"/>
                <w:kern w:val="0"/>
                <w:sz w:val="22"/>
                <w:szCs w:val="22"/>
                <w:highlight w:val="none"/>
              </w:rPr>
              <w:t>项目名称</w:t>
            </w:r>
          </w:p>
        </w:tc>
        <w:tc>
          <w:tcPr>
            <w:tcW w:w="7992" w:type="dxa"/>
          </w:tcPr>
          <w:p w14:paraId="457AD7E1">
            <w:pPr>
              <w:keepNext w:val="0"/>
              <w:keepLines w:val="0"/>
              <w:suppressLineNumbers w:val="0"/>
              <w:adjustRightInd w:val="0"/>
              <w:snapToGrid w:val="0"/>
              <w:spacing w:before="0" w:beforeAutospacing="0" w:after="0" w:afterAutospacing="0" w:line="440" w:lineRule="exact"/>
              <w:ind w:left="0" w:right="0"/>
              <w:rPr>
                <w:rFonts w:hint="default" w:ascii="宋体" w:hAnsi="宋体"/>
                <w:color w:val="auto"/>
                <w:kern w:val="0"/>
                <w:sz w:val="22"/>
                <w:szCs w:val="22"/>
                <w:highlight w:val="none"/>
              </w:rPr>
            </w:pPr>
          </w:p>
        </w:tc>
      </w:tr>
      <w:tr w14:paraId="35AE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2FC34A8C">
            <w:pPr>
              <w:keepNext w:val="0"/>
              <w:keepLines w:val="0"/>
              <w:suppressLineNumbers w:val="0"/>
              <w:adjustRightInd w:val="0"/>
              <w:snapToGrid w:val="0"/>
              <w:spacing w:before="0" w:beforeAutospacing="0" w:after="0" w:afterAutospacing="0" w:line="440" w:lineRule="exact"/>
              <w:ind w:left="0" w:right="0"/>
              <w:rPr>
                <w:rFonts w:hint="default" w:ascii="宋体" w:hAnsi="宋体"/>
                <w:color w:val="auto"/>
                <w:kern w:val="0"/>
                <w:sz w:val="22"/>
                <w:szCs w:val="22"/>
                <w:highlight w:val="none"/>
              </w:rPr>
            </w:pPr>
            <w:r>
              <w:rPr>
                <w:rFonts w:hint="default" w:ascii="宋体" w:hAnsi="宋体"/>
                <w:color w:val="auto"/>
                <w:kern w:val="0"/>
                <w:sz w:val="22"/>
                <w:szCs w:val="22"/>
                <w:highlight w:val="none"/>
              </w:rPr>
              <w:t>招标编号</w:t>
            </w:r>
          </w:p>
        </w:tc>
        <w:tc>
          <w:tcPr>
            <w:tcW w:w="7992" w:type="dxa"/>
          </w:tcPr>
          <w:p w14:paraId="69EE3A5E">
            <w:pPr>
              <w:keepNext w:val="0"/>
              <w:keepLines w:val="0"/>
              <w:suppressLineNumbers w:val="0"/>
              <w:adjustRightInd w:val="0"/>
              <w:snapToGrid w:val="0"/>
              <w:spacing w:before="0" w:beforeAutospacing="0" w:after="0" w:afterAutospacing="0" w:line="440" w:lineRule="exact"/>
              <w:ind w:left="0" w:right="0"/>
              <w:rPr>
                <w:rFonts w:hint="default" w:ascii="宋体" w:hAnsi="宋体"/>
                <w:color w:val="auto"/>
                <w:kern w:val="0"/>
                <w:sz w:val="22"/>
                <w:szCs w:val="22"/>
                <w:highlight w:val="none"/>
              </w:rPr>
            </w:pPr>
          </w:p>
        </w:tc>
      </w:tr>
      <w:tr w14:paraId="1DD8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BF163D8">
            <w:pPr>
              <w:keepNext w:val="0"/>
              <w:keepLines w:val="0"/>
              <w:suppressLineNumbers w:val="0"/>
              <w:adjustRightInd w:val="0"/>
              <w:snapToGrid w:val="0"/>
              <w:spacing w:before="0" w:beforeAutospacing="0" w:after="0" w:afterAutospacing="0" w:line="440" w:lineRule="exact"/>
              <w:ind w:left="0" w:right="0"/>
              <w:rPr>
                <w:rFonts w:hint="default" w:ascii="宋体" w:hAnsi="宋体"/>
                <w:color w:val="auto"/>
                <w:kern w:val="0"/>
                <w:sz w:val="22"/>
                <w:szCs w:val="22"/>
                <w:highlight w:val="none"/>
              </w:rPr>
            </w:pPr>
            <w:r>
              <w:rPr>
                <w:rFonts w:hint="default" w:ascii="宋体" w:hAnsi="宋体"/>
                <w:color w:val="auto"/>
                <w:kern w:val="0"/>
                <w:sz w:val="22"/>
                <w:szCs w:val="22"/>
                <w:highlight w:val="none"/>
              </w:rPr>
              <w:t>时    间</w:t>
            </w:r>
          </w:p>
        </w:tc>
        <w:tc>
          <w:tcPr>
            <w:tcW w:w="7992" w:type="dxa"/>
          </w:tcPr>
          <w:p w14:paraId="3D19307C">
            <w:pPr>
              <w:keepNext w:val="0"/>
              <w:keepLines w:val="0"/>
              <w:suppressLineNumbers w:val="0"/>
              <w:adjustRightInd w:val="0"/>
              <w:snapToGrid w:val="0"/>
              <w:spacing w:before="0" w:beforeAutospacing="0" w:after="0" w:afterAutospacing="0" w:line="440" w:lineRule="exact"/>
              <w:ind w:left="0" w:right="0"/>
              <w:rPr>
                <w:rFonts w:hint="default" w:ascii="宋体" w:hAnsi="宋体"/>
                <w:color w:val="auto"/>
                <w:kern w:val="0"/>
                <w:sz w:val="22"/>
                <w:szCs w:val="22"/>
                <w:highlight w:val="none"/>
              </w:rPr>
            </w:pPr>
            <w:r>
              <w:rPr>
                <w:rFonts w:hint="eastAsia" w:ascii="宋体" w:hAnsi="宋体" w:cs="宋体"/>
                <w:color w:val="auto"/>
                <w:kern w:val="0"/>
                <w:sz w:val="22"/>
                <w:szCs w:val="22"/>
                <w:highlight w:val="none"/>
              </w:rPr>
              <w:t>磋商</w:t>
            </w:r>
            <w:r>
              <w:rPr>
                <w:rFonts w:hint="default" w:ascii="宋体" w:hAnsi="宋体" w:cs="宋体"/>
                <w:color w:val="auto"/>
                <w:kern w:val="0"/>
                <w:sz w:val="22"/>
                <w:szCs w:val="22"/>
                <w:highlight w:val="none"/>
              </w:rPr>
              <w:t>响应截止时间前</w:t>
            </w:r>
          </w:p>
        </w:tc>
      </w:tr>
      <w:tr w14:paraId="62E5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55314207">
            <w:pPr>
              <w:keepNext w:val="0"/>
              <w:keepLines w:val="0"/>
              <w:suppressLineNumbers w:val="0"/>
              <w:adjustRightInd w:val="0"/>
              <w:snapToGrid w:val="0"/>
              <w:spacing w:before="0" w:beforeAutospacing="0" w:after="0" w:afterAutospacing="0" w:line="380" w:lineRule="exact"/>
              <w:ind w:left="0" w:right="0" w:firstLine="450"/>
              <w:rPr>
                <w:rFonts w:hint="default" w:ascii="宋体" w:hAnsi="宋体"/>
                <w:color w:val="auto"/>
                <w:kern w:val="0"/>
                <w:sz w:val="22"/>
                <w:szCs w:val="22"/>
                <w:highlight w:val="none"/>
              </w:rPr>
            </w:pPr>
            <w:r>
              <w:rPr>
                <w:rFonts w:hint="default" w:ascii="宋体" w:hAnsi="宋体"/>
                <w:color w:val="auto"/>
                <w:kern w:val="0"/>
                <w:sz w:val="22"/>
                <w:szCs w:val="22"/>
                <w:highlight w:val="none"/>
              </w:rPr>
              <w:t>我单位参与</w:t>
            </w:r>
            <w:r>
              <w:rPr>
                <w:rFonts w:hint="eastAsia" w:ascii="宋体" w:hAnsi="宋体"/>
                <w:color w:val="auto"/>
                <w:kern w:val="0"/>
                <w:sz w:val="22"/>
                <w:szCs w:val="22"/>
                <w:highlight w:val="none"/>
              </w:rPr>
              <w:t>本</w:t>
            </w:r>
            <w:r>
              <w:rPr>
                <w:rFonts w:hint="default" w:ascii="宋体" w:hAnsi="宋体"/>
                <w:color w:val="auto"/>
                <w:kern w:val="0"/>
                <w:sz w:val="22"/>
                <w:szCs w:val="22"/>
                <w:highlight w:val="none"/>
              </w:rPr>
              <w:t>项目投标，现声明如下：</w:t>
            </w:r>
          </w:p>
          <w:p w14:paraId="6064D90C">
            <w:pPr>
              <w:keepNext w:val="0"/>
              <w:keepLines w:val="0"/>
              <w:suppressLineNumbers w:val="0"/>
              <w:adjustRightInd w:val="0"/>
              <w:snapToGrid w:val="0"/>
              <w:spacing w:before="0" w:beforeAutospacing="0" w:after="0" w:afterAutospacing="0" w:line="380" w:lineRule="exact"/>
              <w:ind w:left="0" w:right="0" w:firstLine="450"/>
              <w:rPr>
                <w:rFonts w:hint="default" w:ascii="宋体" w:hAnsi="宋体"/>
                <w:color w:val="auto"/>
                <w:kern w:val="0"/>
                <w:sz w:val="22"/>
                <w:szCs w:val="22"/>
                <w:highlight w:val="none"/>
              </w:rPr>
            </w:pPr>
            <w:r>
              <w:rPr>
                <w:rFonts w:hint="default" w:ascii="宋体" w:hAnsi="宋体"/>
                <w:color w:val="auto"/>
                <w:kern w:val="0"/>
                <w:sz w:val="22"/>
                <w:szCs w:val="22"/>
                <w:highlight w:val="none"/>
              </w:rPr>
              <w:t xml:space="preserve">1、我单位符合政府采购法第二十二条规定。 </w:t>
            </w:r>
          </w:p>
          <w:p w14:paraId="47BB54AA">
            <w:pPr>
              <w:keepNext w:val="0"/>
              <w:keepLines w:val="0"/>
              <w:suppressLineNumbers w:val="0"/>
              <w:adjustRightInd w:val="0"/>
              <w:snapToGrid w:val="0"/>
              <w:spacing w:before="0" w:beforeAutospacing="0" w:after="0" w:afterAutospacing="0" w:line="380" w:lineRule="exact"/>
              <w:ind w:left="0" w:right="0" w:firstLine="450"/>
              <w:rPr>
                <w:rFonts w:hint="default" w:ascii="宋体" w:hAnsi="宋体"/>
                <w:color w:val="auto"/>
                <w:kern w:val="0"/>
                <w:sz w:val="22"/>
                <w:szCs w:val="22"/>
                <w:highlight w:val="none"/>
              </w:rPr>
            </w:pPr>
            <w:r>
              <w:rPr>
                <w:rFonts w:hint="default" w:ascii="宋体" w:hAnsi="宋体"/>
                <w:color w:val="auto"/>
                <w:kern w:val="0"/>
                <w:sz w:val="22"/>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default" w:ascii="宋体" w:hAnsi="宋体"/>
                <w:b/>
                <w:color w:val="auto"/>
                <w:kern w:val="0"/>
                <w:sz w:val="22"/>
                <w:szCs w:val="22"/>
                <w:highlight w:val="none"/>
                <w:u w:val="single"/>
              </w:rPr>
              <w:t>□</w:t>
            </w:r>
            <w:r>
              <w:rPr>
                <w:rFonts w:hint="default" w:ascii="宋体" w:hAnsi="宋体"/>
                <w:color w:val="auto"/>
                <w:kern w:val="0"/>
                <w:sz w:val="22"/>
                <w:szCs w:val="22"/>
                <w:highlight w:val="none"/>
                <w:u w:val="single"/>
              </w:rPr>
              <w:t>存在/</w:t>
            </w:r>
            <w:r>
              <w:rPr>
                <w:rFonts w:hint="default" w:ascii="宋体" w:hAnsi="宋体"/>
                <w:b/>
                <w:color w:val="auto"/>
                <w:kern w:val="0"/>
                <w:sz w:val="22"/>
                <w:szCs w:val="22"/>
                <w:highlight w:val="none"/>
                <w:u w:val="single"/>
              </w:rPr>
              <w:t>□</w:t>
            </w:r>
            <w:r>
              <w:rPr>
                <w:rFonts w:hint="default" w:ascii="宋体" w:hAnsi="宋体"/>
                <w:color w:val="auto"/>
                <w:kern w:val="0"/>
                <w:sz w:val="22"/>
                <w:szCs w:val="22"/>
                <w:highlight w:val="none"/>
                <w:u w:val="single"/>
              </w:rPr>
              <w:t>不存在</w:t>
            </w:r>
            <w:r>
              <w:rPr>
                <w:rFonts w:hint="default" w:ascii="宋体" w:hAnsi="宋体"/>
                <w:color w:val="auto"/>
                <w:kern w:val="0"/>
                <w:sz w:val="22"/>
                <w:szCs w:val="22"/>
                <w:highlight w:val="none"/>
              </w:rPr>
              <w:t>上述文件规定依法限制参与政府采购的情况。（说明：在</w:t>
            </w:r>
            <w:r>
              <w:rPr>
                <w:rFonts w:hint="default" w:ascii="宋体" w:hAnsi="宋体"/>
                <w:b/>
                <w:color w:val="auto"/>
                <w:kern w:val="0"/>
                <w:sz w:val="22"/>
                <w:szCs w:val="22"/>
                <w:highlight w:val="none"/>
              </w:rPr>
              <w:t>□</w:t>
            </w:r>
            <w:r>
              <w:rPr>
                <w:rFonts w:hint="default" w:ascii="宋体" w:hAnsi="宋体"/>
                <w:color w:val="auto"/>
                <w:kern w:val="0"/>
                <w:sz w:val="22"/>
                <w:szCs w:val="22"/>
                <w:highlight w:val="none"/>
              </w:rPr>
              <w:t>上打</w:t>
            </w:r>
            <w:r>
              <w:rPr>
                <w:rFonts w:hint="default" w:ascii="宋体" w:hAnsi="宋体"/>
                <w:b/>
                <w:color w:val="auto"/>
                <w:kern w:val="0"/>
                <w:sz w:val="22"/>
                <w:szCs w:val="22"/>
                <w:highlight w:val="none"/>
              </w:rPr>
              <w:t>√</w:t>
            </w:r>
            <w:r>
              <w:rPr>
                <w:rFonts w:hint="default" w:ascii="宋体" w:hAnsi="宋体" w:cs="MS Mincho"/>
                <w:color w:val="auto"/>
                <w:kern w:val="0"/>
                <w:sz w:val="22"/>
                <w:szCs w:val="22"/>
                <w:highlight w:val="none"/>
              </w:rPr>
              <w:t>。</w:t>
            </w:r>
            <w:r>
              <w:rPr>
                <w:rFonts w:hint="default" w:ascii="宋体" w:hAnsi="宋体"/>
                <w:color w:val="auto"/>
                <w:kern w:val="0"/>
                <w:sz w:val="22"/>
                <w:szCs w:val="22"/>
                <w:highlight w:val="none"/>
              </w:rPr>
              <w:t>）</w:t>
            </w:r>
          </w:p>
          <w:p w14:paraId="30AAA6BC">
            <w:pPr>
              <w:keepNext w:val="0"/>
              <w:keepLines w:val="0"/>
              <w:suppressLineNumbers w:val="0"/>
              <w:tabs>
                <w:tab w:val="center" w:pos="4483"/>
              </w:tabs>
              <w:adjustRightInd w:val="0"/>
              <w:spacing w:before="0" w:beforeAutospacing="0" w:after="0" w:afterAutospacing="0" w:line="380" w:lineRule="exact"/>
              <w:ind w:left="0" w:right="0" w:firstLine="400"/>
              <w:rPr>
                <w:rFonts w:hint="default" w:ascii="宋体" w:hAnsi="宋体"/>
                <w:color w:val="auto"/>
                <w:kern w:val="0"/>
                <w:sz w:val="22"/>
                <w:szCs w:val="22"/>
                <w:highlight w:val="none"/>
              </w:rPr>
            </w:pPr>
            <w:r>
              <w:rPr>
                <w:rFonts w:hint="default" w:ascii="宋体" w:hAnsi="宋体"/>
                <w:color w:val="auto"/>
                <w:kern w:val="0"/>
                <w:sz w:val="22"/>
                <w:szCs w:val="22"/>
                <w:highlight w:val="none"/>
              </w:rPr>
              <w:t>3、我单位</w:t>
            </w:r>
            <w:r>
              <w:rPr>
                <w:rFonts w:hint="default" w:ascii="宋体" w:hAnsi="宋体"/>
                <w:b/>
                <w:color w:val="auto"/>
                <w:kern w:val="0"/>
                <w:sz w:val="22"/>
                <w:szCs w:val="22"/>
                <w:highlight w:val="none"/>
              </w:rPr>
              <w:t>□</w:t>
            </w:r>
            <w:r>
              <w:rPr>
                <w:rFonts w:hint="default" w:ascii="宋体" w:hAnsi="宋体"/>
                <w:color w:val="auto"/>
                <w:kern w:val="0"/>
                <w:sz w:val="22"/>
                <w:szCs w:val="22"/>
                <w:highlight w:val="none"/>
              </w:rPr>
              <w:t>没有被限制参加政府采购活动/</w:t>
            </w:r>
            <w:r>
              <w:rPr>
                <w:rFonts w:hint="default" w:ascii="宋体" w:hAnsi="宋体"/>
                <w:b/>
                <w:color w:val="auto"/>
                <w:kern w:val="0"/>
                <w:sz w:val="22"/>
                <w:szCs w:val="22"/>
                <w:highlight w:val="none"/>
              </w:rPr>
              <w:t>□</w:t>
            </w:r>
            <w:r>
              <w:rPr>
                <w:rFonts w:hint="default" w:ascii="宋体" w:hAnsi="宋体"/>
                <w:color w:val="auto"/>
                <w:kern w:val="0"/>
                <w:sz w:val="22"/>
                <w:szCs w:val="22"/>
                <w:highlight w:val="none"/>
              </w:rPr>
              <w:t>在参加政府采购活动前3年内因违法经营被禁止在一定期限内参加政府采购活动，但期限届满，已可以参加政府采购活动。（说明：在</w:t>
            </w:r>
            <w:r>
              <w:rPr>
                <w:rFonts w:hint="default" w:ascii="宋体" w:hAnsi="宋体"/>
                <w:b/>
                <w:color w:val="auto"/>
                <w:kern w:val="0"/>
                <w:sz w:val="22"/>
                <w:szCs w:val="22"/>
                <w:highlight w:val="none"/>
              </w:rPr>
              <w:t>□</w:t>
            </w:r>
            <w:r>
              <w:rPr>
                <w:rFonts w:hint="default" w:ascii="宋体" w:hAnsi="宋体"/>
                <w:color w:val="auto"/>
                <w:kern w:val="0"/>
                <w:sz w:val="22"/>
                <w:szCs w:val="22"/>
                <w:highlight w:val="none"/>
              </w:rPr>
              <w:t>上打</w:t>
            </w:r>
            <w:r>
              <w:rPr>
                <w:rFonts w:hint="default" w:ascii="宋体" w:hAnsi="宋体"/>
                <w:b/>
                <w:color w:val="auto"/>
                <w:kern w:val="0"/>
                <w:sz w:val="22"/>
                <w:szCs w:val="22"/>
                <w:highlight w:val="none"/>
              </w:rPr>
              <w:t>√</w:t>
            </w:r>
            <w:r>
              <w:rPr>
                <w:rFonts w:hint="default" w:ascii="宋体" w:hAnsi="宋体" w:cs="MS Mincho"/>
                <w:color w:val="auto"/>
                <w:kern w:val="0"/>
                <w:sz w:val="22"/>
                <w:szCs w:val="22"/>
                <w:highlight w:val="none"/>
              </w:rPr>
              <w:t>。</w:t>
            </w:r>
            <w:r>
              <w:rPr>
                <w:rFonts w:hint="default" w:ascii="宋体" w:hAnsi="宋体"/>
                <w:color w:val="auto"/>
                <w:kern w:val="0"/>
                <w:sz w:val="22"/>
                <w:szCs w:val="22"/>
                <w:highlight w:val="none"/>
              </w:rPr>
              <w:t>）</w:t>
            </w:r>
          </w:p>
          <w:p w14:paraId="7667CF0F">
            <w:pPr>
              <w:keepNext w:val="0"/>
              <w:keepLines w:val="0"/>
              <w:suppressLineNumbers w:val="0"/>
              <w:tabs>
                <w:tab w:val="center" w:pos="4483"/>
              </w:tabs>
              <w:adjustRightInd w:val="0"/>
              <w:spacing w:before="0" w:beforeAutospacing="0" w:after="0" w:afterAutospacing="0" w:line="380" w:lineRule="exact"/>
              <w:ind w:left="0" w:right="0" w:firstLine="400"/>
              <w:rPr>
                <w:rFonts w:hint="default" w:ascii="宋体" w:hAnsi="宋体" w:cs="宋体"/>
                <w:color w:val="auto"/>
                <w:kern w:val="0"/>
                <w:sz w:val="22"/>
                <w:szCs w:val="22"/>
                <w:highlight w:val="none"/>
                <w:u w:val="single"/>
              </w:rPr>
            </w:pPr>
            <w:r>
              <w:rPr>
                <w:rFonts w:hint="eastAsia" w:ascii="宋体" w:hAnsi="宋体" w:cs="宋体"/>
                <w:color w:val="auto"/>
                <w:kern w:val="0"/>
                <w:sz w:val="22"/>
                <w:szCs w:val="22"/>
                <w:highlight w:val="none"/>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cs="宋体"/>
                <w:color w:val="auto"/>
                <w:kern w:val="0"/>
                <w:sz w:val="22"/>
                <w:szCs w:val="22"/>
                <w:highlight w:val="none"/>
                <w:u w:val="single"/>
              </w:rPr>
              <w:t xml:space="preserve">                    </w:t>
            </w:r>
          </w:p>
          <w:p w14:paraId="7775B8D6">
            <w:pPr>
              <w:keepNext w:val="0"/>
              <w:keepLines w:val="0"/>
              <w:suppressLineNumbers w:val="0"/>
              <w:tabs>
                <w:tab w:val="center" w:pos="4483"/>
              </w:tabs>
              <w:adjustRightInd w:val="0"/>
              <w:spacing w:before="0" w:beforeAutospacing="0" w:after="0" w:afterAutospacing="0" w:line="380" w:lineRule="exact"/>
              <w:ind w:left="0" w:right="0" w:firstLine="400"/>
              <w:rPr>
                <w:rFonts w:hint="default" w:ascii="宋体" w:hAnsi="宋体"/>
                <w:color w:val="auto"/>
                <w:kern w:val="0"/>
                <w:sz w:val="22"/>
                <w:szCs w:val="22"/>
                <w:highlight w:val="none"/>
              </w:rPr>
            </w:pPr>
            <w:r>
              <w:rPr>
                <w:rFonts w:hint="eastAsia" w:ascii="宋体" w:hAnsi="宋体"/>
                <w:color w:val="auto"/>
                <w:kern w:val="0"/>
                <w:sz w:val="22"/>
                <w:szCs w:val="22"/>
                <w:highlight w:val="none"/>
              </w:rPr>
              <w:t>5、我单位、法定代表人及授权代表近3年行贿犯罪记录情况声明：</w:t>
            </w:r>
          </w:p>
          <w:p w14:paraId="78CBB931">
            <w:pPr>
              <w:keepNext w:val="0"/>
              <w:keepLines w:val="0"/>
              <w:suppressLineNumbers w:val="0"/>
              <w:tabs>
                <w:tab w:val="center" w:pos="4483"/>
              </w:tabs>
              <w:adjustRightInd w:val="0"/>
              <w:spacing w:before="0" w:beforeAutospacing="0" w:after="0" w:afterAutospacing="0" w:line="380" w:lineRule="exact"/>
              <w:ind w:left="0" w:right="0" w:firstLine="400"/>
              <w:rPr>
                <w:rFonts w:hint="default" w:ascii="宋体" w:hAnsi="宋体" w:cs="宋体"/>
                <w:color w:val="auto"/>
                <w:kern w:val="0"/>
                <w:sz w:val="22"/>
                <w:szCs w:val="22"/>
                <w:highlight w:val="none"/>
                <w:u w:val="single"/>
              </w:rPr>
            </w:pPr>
            <w:r>
              <w:rPr>
                <w:rFonts w:hint="default" w:ascii="宋体" w:hAnsi="宋体"/>
                <w:b/>
                <w:color w:val="auto"/>
                <w:kern w:val="0"/>
                <w:sz w:val="20"/>
                <w:szCs w:val="20"/>
                <w:highlight w:val="none"/>
                <w:u w:val="single"/>
              </w:rPr>
              <w:t xml:space="preserve">                                                                              </w:t>
            </w:r>
            <w:r>
              <w:rPr>
                <w:rFonts w:hint="eastAsia" w:ascii="宋体" w:hAnsi="宋体"/>
                <w:b/>
                <w:color w:val="auto"/>
                <w:kern w:val="0"/>
                <w:sz w:val="20"/>
                <w:szCs w:val="20"/>
                <w:highlight w:val="none"/>
                <w:u w:val="single"/>
              </w:rPr>
              <w:t xml:space="preserve"> </w:t>
            </w:r>
          </w:p>
          <w:p w14:paraId="473A0EA7">
            <w:pPr>
              <w:keepNext w:val="0"/>
              <w:keepLines w:val="0"/>
              <w:suppressLineNumbers w:val="0"/>
              <w:tabs>
                <w:tab w:val="center" w:pos="4483"/>
              </w:tabs>
              <w:adjustRightInd w:val="0"/>
              <w:spacing w:before="0" w:beforeAutospacing="0" w:after="0" w:afterAutospacing="0" w:line="380" w:lineRule="exact"/>
              <w:ind w:left="0" w:right="0" w:firstLine="40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6、我单位符合本项目特定资格条件：</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的要求，并在响应文件中提供了相应的证明材料（磋商文件没有要求特定资格条件的，本条款空格处可以空白）</w:t>
            </w:r>
          </w:p>
          <w:p w14:paraId="2D2D3538">
            <w:pPr>
              <w:keepNext w:val="0"/>
              <w:keepLines w:val="0"/>
              <w:suppressLineNumbers w:val="0"/>
              <w:tabs>
                <w:tab w:val="center" w:pos="4483"/>
              </w:tabs>
              <w:adjustRightInd w:val="0"/>
              <w:spacing w:before="0" w:beforeAutospacing="0" w:after="0" w:afterAutospacing="0" w:line="380" w:lineRule="exact"/>
              <w:ind w:left="0" w:right="0" w:firstLine="440" w:firstLineChars="20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7、我单位与参加本次项目同一合同项下政府采购活动的其他供应商不存在单位负责人为同一人或者直接控股、管理关系。</w:t>
            </w:r>
          </w:p>
          <w:p w14:paraId="751F8ABE">
            <w:pPr>
              <w:keepNext w:val="0"/>
              <w:keepLines w:val="0"/>
              <w:suppressLineNumbers w:val="0"/>
              <w:tabs>
                <w:tab w:val="center" w:pos="4483"/>
              </w:tabs>
              <w:adjustRightInd w:val="0"/>
              <w:spacing w:before="0" w:beforeAutospacing="0" w:after="0" w:afterAutospacing="0" w:line="380" w:lineRule="exact"/>
              <w:ind w:left="0" w:right="0" w:firstLine="440" w:firstLineChars="200"/>
              <w:rPr>
                <w:rFonts w:hint="default" w:ascii="宋体" w:hAnsi="宋体"/>
                <w:b/>
                <w:bCs/>
                <w:color w:val="auto"/>
                <w:kern w:val="0"/>
                <w:sz w:val="22"/>
                <w:szCs w:val="22"/>
                <w:highlight w:val="none"/>
              </w:rPr>
            </w:pPr>
            <w:r>
              <w:rPr>
                <w:rFonts w:hint="eastAsia" w:ascii="宋体" w:hAnsi="宋体" w:cs="宋体"/>
                <w:color w:val="auto"/>
                <w:kern w:val="0"/>
                <w:sz w:val="22"/>
                <w:szCs w:val="22"/>
                <w:highlight w:val="none"/>
              </w:rPr>
              <w:t>8、本公司所提交的声明和陈述均是真实的、准确的。若与真实情况不符，本公司愿意承担由此而产生的一切后果。</w:t>
            </w:r>
          </w:p>
        </w:tc>
      </w:tr>
      <w:tr w14:paraId="1C67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4D1942E">
            <w:pPr>
              <w:keepNext w:val="0"/>
              <w:keepLines w:val="0"/>
              <w:suppressLineNumbers w:val="0"/>
              <w:adjustRightInd w:val="0"/>
              <w:snapToGrid w:val="0"/>
              <w:spacing w:before="0" w:beforeAutospacing="0" w:after="0" w:afterAutospacing="0" w:line="440" w:lineRule="exact"/>
              <w:ind w:left="0" w:right="0"/>
              <w:rPr>
                <w:rFonts w:hint="default" w:ascii="宋体" w:hAnsi="宋体"/>
                <w:color w:val="auto"/>
                <w:kern w:val="0"/>
                <w:sz w:val="22"/>
                <w:szCs w:val="22"/>
                <w:highlight w:val="none"/>
              </w:rPr>
            </w:pPr>
            <w:r>
              <w:rPr>
                <w:rFonts w:hint="default" w:ascii="宋体" w:hAnsi="宋体"/>
                <w:color w:val="auto"/>
                <w:kern w:val="0"/>
                <w:sz w:val="22"/>
                <w:szCs w:val="22"/>
                <w:highlight w:val="none"/>
              </w:rPr>
              <w:t>投标供应商（盖章）：</w:t>
            </w:r>
          </w:p>
        </w:tc>
      </w:tr>
      <w:tr w14:paraId="78EE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5FD40BA3">
            <w:pPr>
              <w:keepNext w:val="0"/>
              <w:keepLines w:val="0"/>
              <w:suppressLineNumbers w:val="0"/>
              <w:adjustRightInd w:val="0"/>
              <w:snapToGrid w:val="0"/>
              <w:spacing w:before="0" w:beforeAutospacing="0" w:after="0" w:afterAutospacing="0" w:line="440" w:lineRule="exact"/>
              <w:ind w:left="0" w:right="0"/>
              <w:rPr>
                <w:rFonts w:hint="default" w:ascii="宋体" w:hAnsi="宋体"/>
                <w:color w:val="auto"/>
                <w:kern w:val="0"/>
                <w:sz w:val="22"/>
                <w:szCs w:val="22"/>
                <w:highlight w:val="none"/>
              </w:rPr>
            </w:pPr>
            <w:r>
              <w:rPr>
                <w:rFonts w:hint="default" w:ascii="宋体" w:hAnsi="宋体"/>
                <w:color w:val="auto"/>
                <w:kern w:val="0"/>
                <w:sz w:val="22"/>
                <w:szCs w:val="22"/>
                <w:highlight w:val="none"/>
              </w:rPr>
              <w:t>法定代表人或授权代表（签字或盖章）：</w:t>
            </w:r>
          </w:p>
        </w:tc>
      </w:tr>
      <w:tr w14:paraId="7BE1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027941F3">
            <w:pPr>
              <w:keepNext w:val="0"/>
              <w:keepLines w:val="0"/>
              <w:suppressLineNumbers w:val="0"/>
              <w:adjustRightInd w:val="0"/>
              <w:snapToGrid w:val="0"/>
              <w:spacing w:before="0" w:beforeAutospacing="0" w:after="0" w:afterAutospacing="0" w:line="440" w:lineRule="exact"/>
              <w:ind w:left="0" w:right="0"/>
              <w:rPr>
                <w:rFonts w:hint="default" w:ascii="宋体" w:hAnsi="宋体"/>
                <w:color w:val="auto"/>
                <w:kern w:val="0"/>
                <w:sz w:val="22"/>
                <w:szCs w:val="22"/>
                <w:highlight w:val="none"/>
              </w:rPr>
            </w:pPr>
            <w:r>
              <w:rPr>
                <w:rFonts w:hint="default" w:ascii="宋体" w:hAnsi="宋体"/>
                <w:color w:val="auto"/>
                <w:kern w:val="0"/>
                <w:sz w:val="22"/>
                <w:szCs w:val="22"/>
                <w:highlight w:val="none"/>
              </w:rPr>
              <w:t>签署日期：</w:t>
            </w:r>
          </w:p>
        </w:tc>
      </w:tr>
    </w:tbl>
    <w:p w14:paraId="26BD31D6">
      <w:pPr>
        <w:shd w:val="clear" w:color="auto" w:fill="FFFFFF"/>
        <w:snapToGrid w:val="0"/>
        <w:spacing w:line="360" w:lineRule="auto"/>
        <w:jc w:val="center"/>
        <w:rPr>
          <w:rFonts w:hAnsi="宋体"/>
          <w:color w:val="auto"/>
          <w:sz w:val="36"/>
          <w:highlight w:val="none"/>
        </w:rPr>
      </w:pPr>
    </w:p>
    <w:p w14:paraId="03215155">
      <w:pPr>
        <w:shd w:val="clear" w:color="auto" w:fill="FFFFFF"/>
        <w:snapToGrid w:val="0"/>
        <w:spacing w:line="360" w:lineRule="auto"/>
        <w:jc w:val="center"/>
        <w:rPr>
          <w:rFonts w:hAnsi="宋体"/>
          <w:color w:val="auto"/>
          <w:sz w:val="36"/>
          <w:highlight w:val="none"/>
        </w:rPr>
      </w:pPr>
      <w:r>
        <w:rPr>
          <w:rFonts w:hint="eastAsia" w:hAnsi="宋体"/>
          <w:color w:val="auto"/>
          <w:sz w:val="36"/>
          <w:highlight w:val="none"/>
        </w:rPr>
        <w:t>二、报价文件格式</w:t>
      </w:r>
    </w:p>
    <w:p w14:paraId="596B1244">
      <w:pPr>
        <w:pStyle w:val="25"/>
        <w:adjustRightInd w:val="0"/>
        <w:snapToGrid w:val="0"/>
        <w:spacing w:line="440" w:lineRule="atLeast"/>
        <w:jc w:val="left"/>
        <w:outlineLvl w:val="0"/>
        <w:rPr>
          <w:rFonts w:hAnsi="宋体"/>
          <w:color w:val="auto"/>
          <w:sz w:val="30"/>
          <w:highlight w:val="none"/>
          <w:lang w:val="zh-CN"/>
        </w:rPr>
      </w:pPr>
      <w:r>
        <w:rPr>
          <w:rFonts w:hint="eastAsia" w:hAnsi="宋体"/>
          <w:color w:val="auto"/>
          <w:sz w:val="30"/>
          <w:highlight w:val="none"/>
        </w:rPr>
        <w:t>附件</w:t>
      </w:r>
      <w:r>
        <w:rPr>
          <w:rFonts w:hint="eastAsia" w:hAnsi="宋体"/>
          <w:color w:val="auto"/>
          <w:sz w:val="30"/>
          <w:highlight w:val="none"/>
          <w:lang w:val="zh-CN"/>
        </w:rPr>
        <w:t>二</w:t>
      </w:r>
    </w:p>
    <w:bookmarkEnd w:id="79"/>
    <w:p w14:paraId="577A7137">
      <w:pPr>
        <w:autoSpaceDE w:val="0"/>
        <w:autoSpaceDN w:val="0"/>
        <w:adjustRightInd w:val="0"/>
        <w:spacing w:line="460" w:lineRule="atLeast"/>
        <w:jc w:val="center"/>
        <w:rPr>
          <w:rFonts w:ascii="宋体" w:hAnsi="宋体"/>
          <w:color w:val="auto"/>
          <w:kern w:val="0"/>
          <w:sz w:val="36"/>
          <w:szCs w:val="20"/>
          <w:highlight w:val="none"/>
          <w:lang w:val="zh-CN"/>
        </w:rPr>
      </w:pPr>
      <w:r>
        <w:rPr>
          <w:rFonts w:hint="eastAsia" w:ascii="宋体" w:hAnsi="宋体"/>
          <w:color w:val="auto"/>
          <w:kern w:val="0"/>
          <w:sz w:val="36"/>
          <w:szCs w:val="20"/>
          <w:highlight w:val="none"/>
          <w:lang w:val="zh-CN"/>
        </w:rPr>
        <w:t>开标一览表</w:t>
      </w:r>
      <w:r>
        <w:rPr>
          <w:rFonts w:hint="eastAsia" w:hAnsi="宋体" w:cs="Arial"/>
          <w:bCs/>
          <w:color w:val="auto"/>
          <w:sz w:val="36"/>
          <w:szCs w:val="36"/>
          <w:highlight w:val="none"/>
          <w:lang w:val="zh-CN"/>
        </w:rPr>
        <w:t>（标项一）</w:t>
      </w:r>
    </w:p>
    <w:p w14:paraId="1CE2309F">
      <w:pPr>
        <w:autoSpaceDE w:val="0"/>
        <w:autoSpaceDN w:val="0"/>
        <w:adjustRightInd w:val="0"/>
        <w:rPr>
          <w:rFonts w:ascii="宋体" w:hAnsi="宋体"/>
          <w:color w:val="auto"/>
          <w:kern w:val="0"/>
          <w:sz w:val="22"/>
          <w:szCs w:val="20"/>
          <w:highlight w:val="none"/>
          <w:u w:val="single"/>
        </w:rPr>
      </w:pPr>
      <w:r>
        <w:rPr>
          <w:rFonts w:hint="eastAsia" w:ascii="宋体" w:hAnsi="宋体"/>
          <w:color w:val="auto"/>
          <w:kern w:val="0"/>
          <w:sz w:val="22"/>
          <w:szCs w:val="22"/>
          <w:highlight w:val="none"/>
          <w:lang w:val="zh-CN"/>
        </w:rPr>
        <w:t>供应商名称：</w:t>
      </w:r>
      <w:r>
        <w:rPr>
          <w:rFonts w:ascii="宋体" w:hAnsi="宋体"/>
          <w:color w:val="auto"/>
          <w:kern w:val="0"/>
          <w:sz w:val="22"/>
          <w:szCs w:val="22"/>
          <w:highlight w:val="none"/>
          <w:u w:val="single"/>
          <w:lang w:val="zh-CN"/>
        </w:rPr>
        <w:t xml:space="preserve">             </w:t>
      </w:r>
      <w:r>
        <w:rPr>
          <w:rFonts w:ascii="宋体" w:hAnsi="宋体"/>
          <w:color w:val="auto"/>
          <w:kern w:val="0"/>
          <w:sz w:val="22"/>
          <w:szCs w:val="22"/>
          <w:highlight w:val="none"/>
          <w:lang w:val="zh-CN"/>
        </w:rPr>
        <w:t xml:space="preserve">     </w:t>
      </w:r>
      <w:r>
        <w:rPr>
          <w:rFonts w:hint="eastAsia" w:ascii="宋体" w:hAnsi="宋体"/>
          <w:color w:val="auto"/>
          <w:kern w:val="0"/>
          <w:sz w:val="22"/>
          <w:szCs w:val="22"/>
          <w:highlight w:val="none"/>
          <w:lang w:val="zh-CN"/>
        </w:rPr>
        <w:t xml:space="preserve">                    采购编号：</w:t>
      </w:r>
      <w:r>
        <w:rPr>
          <w:rFonts w:ascii="宋体" w:hAnsi="宋体"/>
          <w:color w:val="auto"/>
          <w:kern w:val="0"/>
          <w:sz w:val="22"/>
          <w:szCs w:val="22"/>
          <w:highlight w:val="none"/>
          <w:u w:val="single"/>
          <w:lang w:val="zh-CN"/>
        </w:rPr>
        <w:t xml:space="preserve">         </w:t>
      </w:r>
      <w:r>
        <w:rPr>
          <w:rFonts w:ascii="宋体" w:hAnsi="宋体"/>
          <w:color w:val="auto"/>
          <w:kern w:val="0"/>
          <w:sz w:val="22"/>
          <w:szCs w:val="22"/>
          <w:highlight w:val="none"/>
          <w:lang w:val="zh-CN"/>
        </w:rPr>
        <w:t xml:space="preserve">  </w:t>
      </w:r>
      <w:r>
        <w:rPr>
          <w:rFonts w:hint="eastAsia" w:ascii="宋体" w:hAnsi="宋体"/>
          <w:color w:val="auto"/>
          <w:kern w:val="0"/>
          <w:sz w:val="22"/>
          <w:szCs w:val="22"/>
          <w:highlight w:val="none"/>
          <w:lang w:val="zh-CN"/>
        </w:rPr>
        <w:t xml:space="preserve">      </w:t>
      </w:r>
    </w:p>
    <w:tbl>
      <w:tblPr>
        <w:tblStyle w:val="4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6095"/>
      </w:tblGrid>
      <w:tr w14:paraId="3228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686" w:type="dxa"/>
            <w:vAlign w:val="center"/>
          </w:tcPr>
          <w:p w14:paraId="5830023A">
            <w:pPr>
              <w:keepNext w:val="0"/>
              <w:keepLines w:val="0"/>
              <w:suppressLineNumbers w:val="0"/>
              <w:spacing w:before="0" w:beforeAutospacing="0" w:after="0" w:afterAutospacing="0"/>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rPr>
              <w:t>标项名称</w:t>
            </w:r>
          </w:p>
        </w:tc>
        <w:tc>
          <w:tcPr>
            <w:tcW w:w="6095" w:type="dxa"/>
            <w:vAlign w:val="center"/>
          </w:tcPr>
          <w:p w14:paraId="259FA89A">
            <w:pPr>
              <w:keepNext w:val="0"/>
              <w:keepLines w:val="0"/>
              <w:suppressLineNumbers w:val="0"/>
              <w:spacing w:before="0" w:beforeAutospacing="0" w:after="0" w:afterAutospacing="0"/>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rPr>
              <w:t>投标报价（最高限价的统一折扣率）</w:t>
            </w:r>
          </w:p>
        </w:tc>
      </w:tr>
      <w:tr w14:paraId="7E3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trPr>
        <w:tc>
          <w:tcPr>
            <w:tcW w:w="3686" w:type="dxa"/>
            <w:vAlign w:val="center"/>
          </w:tcPr>
          <w:p w14:paraId="306F54CD">
            <w:pPr>
              <w:keepNext w:val="0"/>
              <w:keepLines w:val="0"/>
              <w:suppressLineNumbers w:val="0"/>
              <w:spacing w:before="0" w:beforeAutospacing="0" w:after="0" w:afterAutospacing="0" w:line="360" w:lineRule="atLeast"/>
              <w:ind w:left="0" w:right="0"/>
              <w:jc w:val="center"/>
              <w:rPr>
                <w:rFonts w:hint="default" w:ascii="宋体" w:hAnsi="宋体"/>
                <w:color w:val="auto"/>
                <w:kern w:val="0"/>
                <w:sz w:val="22"/>
                <w:szCs w:val="22"/>
                <w:highlight w:val="none"/>
              </w:rPr>
            </w:pPr>
            <w:r>
              <w:rPr>
                <w:rFonts w:hint="eastAsia" w:ascii="宋体" w:hAnsi="宋体"/>
                <w:color w:val="auto"/>
                <w:sz w:val="22"/>
                <w:szCs w:val="22"/>
                <w:highlight w:val="none"/>
              </w:rPr>
              <w:t>洞头区政务云（公有云）</w:t>
            </w:r>
          </w:p>
        </w:tc>
        <w:tc>
          <w:tcPr>
            <w:tcW w:w="6095" w:type="dxa"/>
            <w:vAlign w:val="center"/>
          </w:tcPr>
          <w:p w14:paraId="1EAA53B7">
            <w:pPr>
              <w:keepNext w:val="0"/>
              <w:keepLines w:val="0"/>
              <w:suppressLineNumbers w:val="0"/>
              <w:spacing w:before="0" w:beforeAutospacing="0" w:after="0" w:afterAutospacing="0"/>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u w:val="single"/>
              </w:rPr>
              <w:t xml:space="preserve">        </w:t>
            </w:r>
            <w:r>
              <w:rPr>
                <w:rFonts w:hint="eastAsia" w:ascii="宋体" w:hAnsi="宋体"/>
                <w:color w:val="auto"/>
                <w:kern w:val="0"/>
                <w:sz w:val="22"/>
                <w:szCs w:val="22"/>
                <w:highlight w:val="none"/>
              </w:rPr>
              <w:t>%</w:t>
            </w:r>
          </w:p>
        </w:tc>
      </w:tr>
    </w:tbl>
    <w:p w14:paraId="74BBF946">
      <w:pPr>
        <w:spacing w:line="360" w:lineRule="exact"/>
        <w:rPr>
          <w:rFonts w:ascii="宋体" w:hAnsi="宋体"/>
          <w:color w:val="auto"/>
          <w:kern w:val="0"/>
          <w:sz w:val="22"/>
          <w:szCs w:val="20"/>
          <w:highlight w:val="none"/>
        </w:rPr>
      </w:pPr>
      <w:r>
        <w:rPr>
          <w:rFonts w:hint="eastAsia" w:ascii="宋体" w:hAnsi="宋体"/>
          <w:color w:val="auto"/>
          <w:kern w:val="0"/>
          <w:sz w:val="22"/>
          <w:szCs w:val="20"/>
          <w:highlight w:val="none"/>
        </w:rPr>
        <w:t>▲投标报价为最高限价的统一折扣率，以百分数表示。采购人将根据公式：“最高限价×投标报价（最高限价的统一折扣率）=支付金额”核算实际支付金额。如：某产品最高限价为100元，投标报价：</w:t>
      </w:r>
      <w:r>
        <w:rPr>
          <w:rFonts w:hint="eastAsia" w:ascii="宋体" w:hAnsi="宋体"/>
          <w:color w:val="auto"/>
          <w:kern w:val="0"/>
          <w:sz w:val="22"/>
          <w:szCs w:val="20"/>
          <w:highlight w:val="none"/>
        </w:rPr>
        <w:softHyphen/>
      </w:r>
      <w:r>
        <w:rPr>
          <w:rFonts w:hint="eastAsia" w:ascii="宋体" w:hAnsi="宋体"/>
          <w:color w:val="auto"/>
          <w:kern w:val="0"/>
          <w:sz w:val="22"/>
          <w:szCs w:val="20"/>
          <w:highlight w:val="none"/>
        </w:rPr>
        <w:softHyphen/>
      </w:r>
      <w:r>
        <w:rPr>
          <w:rFonts w:hint="eastAsia" w:ascii="宋体" w:hAnsi="宋体"/>
          <w:color w:val="auto"/>
          <w:kern w:val="0"/>
          <w:sz w:val="22"/>
          <w:szCs w:val="20"/>
          <w:highlight w:val="none"/>
        </w:rPr>
        <w:t>最高限价的统一折扣率为80%，则采购人实际支付金额为：最高限价100元×投标报价（最高限价的统一折扣率）80%=80（元）。以投标供应商所投最高限价的“统一折扣率”进行价格分计算。</w:t>
      </w:r>
    </w:p>
    <w:p w14:paraId="3D6C97C2">
      <w:pPr>
        <w:spacing w:line="360" w:lineRule="exact"/>
        <w:rPr>
          <w:rFonts w:ascii="宋体"/>
          <w:color w:val="auto"/>
          <w:sz w:val="22"/>
          <w:szCs w:val="22"/>
          <w:highlight w:val="none"/>
        </w:rPr>
      </w:pPr>
      <w:r>
        <w:rPr>
          <w:rFonts w:hint="eastAsia" w:ascii="宋体" w:hAnsi="宋体"/>
          <w:color w:val="auto"/>
          <w:kern w:val="0"/>
          <w:sz w:val="22"/>
          <w:szCs w:val="20"/>
          <w:highlight w:val="none"/>
        </w:rPr>
        <w:t>▲</w:t>
      </w:r>
      <w:r>
        <w:rPr>
          <w:rFonts w:hint="eastAsia" w:ascii="宋体"/>
          <w:color w:val="auto"/>
          <w:sz w:val="22"/>
          <w:szCs w:val="22"/>
          <w:highlight w:val="none"/>
        </w:rPr>
        <w:t>投标报价（最高限价的统一折扣率）不得超过1</w:t>
      </w:r>
      <w:r>
        <w:rPr>
          <w:rFonts w:ascii="宋体"/>
          <w:color w:val="auto"/>
          <w:sz w:val="22"/>
          <w:szCs w:val="22"/>
          <w:highlight w:val="none"/>
        </w:rPr>
        <w:t>00</w:t>
      </w:r>
      <w:r>
        <w:rPr>
          <w:rFonts w:hint="eastAsia" w:ascii="宋体"/>
          <w:color w:val="auto"/>
          <w:sz w:val="22"/>
          <w:szCs w:val="22"/>
          <w:highlight w:val="none"/>
        </w:rPr>
        <w:t>%，否则按无效投标处理。</w:t>
      </w:r>
    </w:p>
    <w:p w14:paraId="6CAA070F">
      <w:pPr>
        <w:spacing w:line="360" w:lineRule="exact"/>
        <w:rPr>
          <w:rFonts w:ascii="仿宋_GB2312" w:hAnsi="宋体"/>
          <w:b/>
          <w:color w:val="auto"/>
          <w:kern w:val="0"/>
          <w:sz w:val="22"/>
          <w:szCs w:val="20"/>
          <w:highlight w:val="none"/>
        </w:rPr>
      </w:pPr>
      <w:r>
        <w:rPr>
          <w:rFonts w:hint="eastAsia" w:ascii="仿宋_GB2312" w:hAnsi="宋体"/>
          <w:color w:val="auto"/>
          <w:kern w:val="0"/>
          <w:sz w:val="22"/>
          <w:szCs w:val="20"/>
          <w:highlight w:val="none"/>
        </w:rPr>
        <w:t>▲不提供此表格的将视为没有实质性响应磋商文件。</w:t>
      </w:r>
    </w:p>
    <w:p w14:paraId="44A3612E">
      <w:pPr>
        <w:spacing w:line="360" w:lineRule="exact"/>
        <w:rPr>
          <w:rFonts w:ascii="仿宋_GB2312" w:hAnsi="宋体"/>
          <w:b/>
          <w:bCs/>
          <w:color w:val="auto"/>
          <w:kern w:val="0"/>
          <w:sz w:val="22"/>
          <w:szCs w:val="20"/>
          <w:highlight w:val="none"/>
        </w:rPr>
      </w:pPr>
    </w:p>
    <w:p w14:paraId="34B0680F">
      <w:pPr>
        <w:spacing w:line="360" w:lineRule="exact"/>
        <w:rPr>
          <w:rFonts w:ascii="仿宋_GB2312" w:hAnsi="宋体"/>
          <w:b/>
          <w:bCs/>
          <w:color w:val="auto"/>
          <w:kern w:val="0"/>
          <w:sz w:val="22"/>
          <w:szCs w:val="20"/>
          <w:highlight w:val="none"/>
        </w:rPr>
      </w:pPr>
    </w:p>
    <w:p w14:paraId="62EEB7E5">
      <w:pPr>
        <w:spacing w:line="360" w:lineRule="exact"/>
        <w:rPr>
          <w:rFonts w:ascii="宋体" w:hAnsi="宋体"/>
          <w:color w:val="auto"/>
          <w:kern w:val="0"/>
          <w:sz w:val="22"/>
          <w:szCs w:val="20"/>
          <w:highlight w:val="none"/>
        </w:rPr>
      </w:pPr>
      <w:r>
        <w:rPr>
          <w:rFonts w:hint="eastAsia" w:ascii="宋体" w:hAnsi="宋体"/>
          <w:color w:val="auto"/>
          <w:kern w:val="0"/>
          <w:sz w:val="22"/>
          <w:szCs w:val="20"/>
          <w:highlight w:val="none"/>
        </w:rPr>
        <w:t>供应商全称（盖章）：</w:t>
      </w:r>
    </w:p>
    <w:p w14:paraId="66225FC6">
      <w:pPr>
        <w:spacing w:line="360" w:lineRule="exact"/>
        <w:jc w:val="left"/>
        <w:rPr>
          <w:rFonts w:ascii="宋体" w:hAnsi="宋体"/>
          <w:color w:val="auto"/>
          <w:kern w:val="0"/>
          <w:sz w:val="22"/>
          <w:szCs w:val="20"/>
          <w:highlight w:val="none"/>
        </w:rPr>
      </w:pPr>
      <w:r>
        <w:rPr>
          <w:rFonts w:ascii="宋体" w:hAnsi="宋体"/>
          <w:color w:val="auto"/>
          <w:kern w:val="0"/>
          <w:sz w:val="22"/>
          <w:szCs w:val="22"/>
          <w:highlight w:val="none"/>
        </w:rPr>
        <w:t>法定代表人或授权代表（签字或盖章）：</w:t>
      </w:r>
    </w:p>
    <w:p w14:paraId="262B8518">
      <w:pPr>
        <w:spacing w:line="360" w:lineRule="exact"/>
        <w:jc w:val="left"/>
        <w:rPr>
          <w:rFonts w:ascii="宋体" w:hAnsi="宋体"/>
          <w:color w:val="auto"/>
          <w:kern w:val="0"/>
          <w:sz w:val="22"/>
          <w:szCs w:val="20"/>
          <w:highlight w:val="none"/>
        </w:rPr>
      </w:pPr>
      <w:r>
        <w:rPr>
          <w:rFonts w:hint="eastAsia" w:ascii="宋体" w:hAnsi="宋体"/>
          <w:color w:val="auto"/>
          <w:kern w:val="0"/>
          <w:sz w:val="22"/>
          <w:szCs w:val="20"/>
          <w:highlight w:val="none"/>
        </w:rPr>
        <w:t>日期：</w:t>
      </w:r>
    </w:p>
    <w:p w14:paraId="73766ED7">
      <w:pPr>
        <w:pStyle w:val="25"/>
        <w:spacing w:line="460" w:lineRule="atLeast"/>
        <w:rPr>
          <w:rFonts w:hAnsi="宋体"/>
          <w:color w:val="auto"/>
          <w:sz w:val="22"/>
          <w:szCs w:val="22"/>
          <w:highlight w:val="none"/>
        </w:rPr>
      </w:pPr>
    </w:p>
    <w:p w14:paraId="1F065D87">
      <w:pPr>
        <w:pStyle w:val="25"/>
        <w:spacing w:line="460" w:lineRule="atLeast"/>
        <w:rPr>
          <w:rFonts w:hAnsi="宋体"/>
          <w:color w:val="auto"/>
          <w:sz w:val="22"/>
          <w:szCs w:val="22"/>
          <w:highlight w:val="none"/>
        </w:rPr>
      </w:pPr>
    </w:p>
    <w:p w14:paraId="28B52656">
      <w:pPr>
        <w:pStyle w:val="25"/>
        <w:spacing w:line="460" w:lineRule="atLeast"/>
        <w:rPr>
          <w:rFonts w:hAnsi="宋体"/>
          <w:color w:val="auto"/>
          <w:sz w:val="22"/>
          <w:szCs w:val="22"/>
          <w:highlight w:val="none"/>
        </w:rPr>
      </w:pPr>
    </w:p>
    <w:p w14:paraId="6C73E1D8">
      <w:pPr>
        <w:pStyle w:val="25"/>
        <w:spacing w:line="460" w:lineRule="atLeast"/>
        <w:rPr>
          <w:rFonts w:hAnsi="宋体"/>
          <w:color w:val="auto"/>
          <w:sz w:val="22"/>
          <w:szCs w:val="22"/>
          <w:highlight w:val="none"/>
        </w:rPr>
      </w:pPr>
    </w:p>
    <w:p w14:paraId="18BF0F2E">
      <w:pPr>
        <w:pStyle w:val="25"/>
        <w:spacing w:line="460" w:lineRule="atLeast"/>
        <w:rPr>
          <w:rFonts w:hAnsi="宋体"/>
          <w:color w:val="auto"/>
          <w:sz w:val="22"/>
          <w:szCs w:val="22"/>
          <w:highlight w:val="none"/>
        </w:rPr>
      </w:pPr>
    </w:p>
    <w:p w14:paraId="6CC5EFE4">
      <w:pPr>
        <w:pStyle w:val="25"/>
        <w:spacing w:line="460" w:lineRule="atLeast"/>
        <w:rPr>
          <w:rFonts w:hAnsi="宋体"/>
          <w:color w:val="auto"/>
          <w:sz w:val="22"/>
          <w:szCs w:val="22"/>
          <w:highlight w:val="none"/>
        </w:rPr>
      </w:pPr>
    </w:p>
    <w:p w14:paraId="512C18BA">
      <w:pPr>
        <w:pStyle w:val="25"/>
        <w:spacing w:line="460" w:lineRule="atLeast"/>
        <w:rPr>
          <w:rFonts w:hAnsi="宋体"/>
          <w:color w:val="auto"/>
          <w:sz w:val="22"/>
          <w:szCs w:val="22"/>
          <w:highlight w:val="none"/>
        </w:rPr>
      </w:pPr>
    </w:p>
    <w:p w14:paraId="3E80B73F">
      <w:pPr>
        <w:pStyle w:val="25"/>
        <w:spacing w:line="460" w:lineRule="atLeast"/>
        <w:rPr>
          <w:rFonts w:hAnsi="宋体"/>
          <w:color w:val="auto"/>
          <w:sz w:val="22"/>
          <w:szCs w:val="22"/>
          <w:highlight w:val="none"/>
        </w:rPr>
      </w:pPr>
    </w:p>
    <w:p w14:paraId="62BE740F">
      <w:pPr>
        <w:pStyle w:val="25"/>
        <w:spacing w:line="460" w:lineRule="atLeast"/>
        <w:rPr>
          <w:rFonts w:hAnsi="宋体"/>
          <w:color w:val="auto"/>
          <w:sz w:val="22"/>
          <w:szCs w:val="22"/>
          <w:highlight w:val="none"/>
        </w:rPr>
      </w:pPr>
    </w:p>
    <w:p w14:paraId="6C058A08">
      <w:pPr>
        <w:pStyle w:val="25"/>
        <w:spacing w:line="460" w:lineRule="atLeast"/>
        <w:rPr>
          <w:rFonts w:hAnsi="宋体"/>
          <w:color w:val="auto"/>
          <w:sz w:val="22"/>
          <w:szCs w:val="22"/>
          <w:highlight w:val="none"/>
        </w:rPr>
      </w:pPr>
    </w:p>
    <w:p w14:paraId="006B5027">
      <w:pPr>
        <w:pStyle w:val="25"/>
        <w:spacing w:line="460" w:lineRule="atLeast"/>
        <w:rPr>
          <w:rFonts w:hAnsi="宋体"/>
          <w:color w:val="auto"/>
          <w:sz w:val="22"/>
          <w:szCs w:val="22"/>
          <w:highlight w:val="none"/>
        </w:rPr>
      </w:pPr>
    </w:p>
    <w:p w14:paraId="0C022886">
      <w:pPr>
        <w:pStyle w:val="25"/>
        <w:spacing w:line="460" w:lineRule="atLeast"/>
        <w:rPr>
          <w:rFonts w:hAnsi="宋体"/>
          <w:color w:val="auto"/>
          <w:sz w:val="22"/>
          <w:szCs w:val="22"/>
          <w:highlight w:val="none"/>
        </w:rPr>
      </w:pPr>
    </w:p>
    <w:p w14:paraId="2A6A8528">
      <w:pPr>
        <w:autoSpaceDE w:val="0"/>
        <w:autoSpaceDN w:val="0"/>
        <w:adjustRightInd w:val="0"/>
        <w:spacing w:line="460" w:lineRule="atLeast"/>
        <w:jc w:val="center"/>
        <w:rPr>
          <w:rFonts w:ascii="宋体" w:hAnsi="宋体"/>
          <w:color w:val="auto"/>
          <w:kern w:val="0"/>
          <w:sz w:val="36"/>
          <w:szCs w:val="20"/>
          <w:highlight w:val="none"/>
          <w:lang w:val="zh-CN"/>
        </w:rPr>
      </w:pPr>
      <w:r>
        <w:rPr>
          <w:rFonts w:hint="eastAsia" w:ascii="宋体" w:hAnsi="宋体"/>
          <w:color w:val="auto"/>
          <w:kern w:val="0"/>
          <w:sz w:val="36"/>
          <w:szCs w:val="20"/>
          <w:highlight w:val="none"/>
          <w:lang w:val="zh-CN"/>
        </w:rPr>
        <w:t>开标一览表</w:t>
      </w:r>
      <w:r>
        <w:rPr>
          <w:rFonts w:hint="eastAsia" w:hAnsi="宋体" w:cs="Arial"/>
          <w:bCs/>
          <w:color w:val="auto"/>
          <w:sz w:val="36"/>
          <w:szCs w:val="36"/>
          <w:highlight w:val="none"/>
          <w:lang w:val="zh-CN"/>
        </w:rPr>
        <w:t>（标项二）</w:t>
      </w:r>
    </w:p>
    <w:p w14:paraId="6136B2BC">
      <w:pPr>
        <w:autoSpaceDE w:val="0"/>
        <w:autoSpaceDN w:val="0"/>
        <w:adjustRightInd w:val="0"/>
        <w:rPr>
          <w:rFonts w:ascii="宋体" w:hAnsi="宋体"/>
          <w:color w:val="auto"/>
          <w:kern w:val="0"/>
          <w:sz w:val="22"/>
          <w:szCs w:val="20"/>
          <w:highlight w:val="none"/>
          <w:u w:val="single"/>
        </w:rPr>
      </w:pPr>
      <w:r>
        <w:rPr>
          <w:rFonts w:hint="eastAsia" w:ascii="宋体" w:hAnsi="宋体"/>
          <w:color w:val="auto"/>
          <w:kern w:val="0"/>
          <w:sz w:val="22"/>
          <w:szCs w:val="22"/>
          <w:highlight w:val="none"/>
          <w:lang w:val="zh-CN"/>
        </w:rPr>
        <w:t>供应商名称：</w:t>
      </w:r>
      <w:r>
        <w:rPr>
          <w:rFonts w:ascii="宋体" w:hAnsi="宋体"/>
          <w:color w:val="auto"/>
          <w:kern w:val="0"/>
          <w:sz w:val="22"/>
          <w:szCs w:val="22"/>
          <w:highlight w:val="none"/>
          <w:u w:val="single"/>
          <w:lang w:val="zh-CN"/>
        </w:rPr>
        <w:t xml:space="preserve">             </w:t>
      </w:r>
      <w:r>
        <w:rPr>
          <w:rFonts w:ascii="宋体" w:hAnsi="宋体"/>
          <w:color w:val="auto"/>
          <w:kern w:val="0"/>
          <w:sz w:val="22"/>
          <w:szCs w:val="22"/>
          <w:highlight w:val="none"/>
          <w:lang w:val="zh-CN"/>
        </w:rPr>
        <w:t xml:space="preserve">     </w:t>
      </w:r>
      <w:r>
        <w:rPr>
          <w:rFonts w:hint="eastAsia" w:ascii="宋体" w:hAnsi="宋体"/>
          <w:color w:val="auto"/>
          <w:kern w:val="0"/>
          <w:sz w:val="22"/>
          <w:szCs w:val="22"/>
          <w:highlight w:val="none"/>
          <w:lang w:val="zh-CN"/>
        </w:rPr>
        <w:t xml:space="preserve">                    采购编号：</w:t>
      </w:r>
      <w:r>
        <w:rPr>
          <w:rFonts w:ascii="宋体" w:hAnsi="宋体"/>
          <w:color w:val="auto"/>
          <w:kern w:val="0"/>
          <w:sz w:val="22"/>
          <w:szCs w:val="22"/>
          <w:highlight w:val="none"/>
          <w:u w:val="single"/>
          <w:lang w:val="zh-CN"/>
        </w:rPr>
        <w:t xml:space="preserve">         </w:t>
      </w:r>
      <w:r>
        <w:rPr>
          <w:rFonts w:ascii="宋体" w:hAnsi="宋体"/>
          <w:color w:val="auto"/>
          <w:kern w:val="0"/>
          <w:sz w:val="22"/>
          <w:szCs w:val="22"/>
          <w:highlight w:val="none"/>
          <w:lang w:val="zh-CN"/>
        </w:rPr>
        <w:t xml:space="preserve">  </w:t>
      </w:r>
      <w:r>
        <w:rPr>
          <w:rFonts w:hint="eastAsia" w:ascii="宋体" w:hAnsi="宋体"/>
          <w:color w:val="auto"/>
          <w:kern w:val="0"/>
          <w:sz w:val="22"/>
          <w:szCs w:val="22"/>
          <w:highlight w:val="none"/>
          <w:lang w:val="zh-CN"/>
        </w:rPr>
        <w:t xml:space="preserve">      </w:t>
      </w:r>
    </w:p>
    <w:tbl>
      <w:tblPr>
        <w:tblStyle w:val="4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6095"/>
      </w:tblGrid>
      <w:tr w14:paraId="7389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686" w:type="dxa"/>
            <w:vAlign w:val="center"/>
          </w:tcPr>
          <w:p w14:paraId="5C10A63F">
            <w:pPr>
              <w:keepNext w:val="0"/>
              <w:keepLines w:val="0"/>
              <w:suppressLineNumbers w:val="0"/>
              <w:spacing w:before="0" w:beforeAutospacing="0" w:after="0" w:afterAutospacing="0"/>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rPr>
              <w:t>标项名称</w:t>
            </w:r>
          </w:p>
        </w:tc>
        <w:tc>
          <w:tcPr>
            <w:tcW w:w="6095" w:type="dxa"/>
            <w:vAlign w:val="center"/>
          </w:tcPr>
          <w:p w14:paraId="781F68E3">
            <w:pPr>
              <w:keepNext w:val="0"/>
              <w:keepLines w:val="0"/>
              <w:suppressLineNumbers w:val="0"/>
              <w:spacing w:before="0" w:beforeAutospacing="0" w:after="0" w:afterAutospacing="0"/>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rPr>
              <w:t>投标报价（最高限价的统一折扣率）</w:t>
            </w:r>
          </w:p>
        </w:tc>
      </w:tr>
      <w:tr w14:paraId="292C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trPr>
        <w:tc>
          <w:tcPr>
            <w:tcW w:w="3686" w:type="dxa"/>
            <w:vAlign w:val="center"/>
          </w:tcPr>
          <w:p w14:paraId="240E6F7C">
            <w:pPr>
              <w:keepNext w:val="0"/>
              <w:keepLines w:val="0"/>
              <w:suppressLineNumbers w:val="0"/>
              <w:spacing w:before="0" w:beforeAutospacing="0" w:after="0" w:afterAutospacing="0" w:line="360" w:lineRule="atLeast"/>
              <w:ind w:left="0" w:right="0"/>
              <w:jc w:val="center"/>
              <w:rPr>
                <w:rFonts w:hint="default" w:ascii="宋体" w:hAnsi="宋体"/>
                <w:color w:val="auto"/>
                <w:kern w:val="0"/>
                <w:sz w:val="22"/>
                <w:szCs w:val="22"/>
                <w:highlight w:val="none"/>
              </w:rPr>
            </w:pPr>
            <w:r>
              <w:rPr>
                <w:rFonts w:hint="eastAsia" w:ascii="宋体" w:hAnsi="宋体"/>
                <w:color w:val="auto"/>
                <w:sz w:val="22"/>
                <w:szCs w:val="22"/>
                <w:highlight w:val="none"/>
              </w:rPr>
              <w:t>洞头区政务云（私有云）</w:t>
            </w:r>
          </w:p>
        </w:tc>
        <w:tc>
          <w:tcPr>
            <w:tcW w:w="6095" w:type="dxa"/>
            <w:vAlign w:val="center"/>
          </w:tcPr>
          <w:p w14:paraId="19901767">
            <w:pPr>
              <w:keepNext w:val="0"/>
              <w:keepLines w:val="0"/>
              <w:suppressLineNumbers w:val="0"/>
              <w:spacing w:before="0" w:beforeAutospacing="0" w:after="0" w:afterAutospacing="0"/>
              <w:ind w:left="0" w:right="0"/>
              <w:jc w:val="center"/>
              <w:rPr>
                <w:rFonts w:hint="default" w:ascii="宋体" w:hAnsi="宋体"/>
                <w:color w:val="auto"/>
                <w:kern w:val="0"/>
                <w:sz w:val="22"/>
                <w:szCs w:val="22"/>
                <w:highlight w:val="none"/>
              </w:rPr>
            </w:pPr>
            <w:r>
              <w:rPr>
                <w:rFonts w:hint="eastAsia" w:ascii="宋体" w:hAnsi="宋体"/>
                <w:color w:val="auto"/>
                <w:kern w:val="0"/>
                <w:sz w:val="22"/>
                <w:szCs w:val="22"/>
                <w:highlight w:val="none"/>
                <w:u w:val="single"/>
              </w:rPr>
              <w:t xml:space="preserve">        </w:t>
            </w:r>
            <w:r>
              <w:rPr>
                <w:rFonts w:hint="eastAsia" w:ascii="宋体" w:hAnsi="宋体"/>
                <w:color w:val="auto"/>
                <w:kern w:val="0"/>
                <w:sz w:val="22"/>
                <w:szCs w:val="22"/>
                <w:highlight w:val="none"/>
              </w:rPr>
              <w:t>%</w:t>
            </w:r>
          </w:p>
        </w:tc>
      </w:tr>
    </w:tbl>
    <w:p w14:paraId="33BF4BDF">
      <w:pPr>
        <w:spacing w:line="360" w:lineRule="exact"/>
        <w:rPr>
          <w:rFonts w:ascii="宋体" w:hAnsi="宋体"/>
          <w:color w:val="auto"/>
          <w:kern w:val="0"/>
          <w:sz w:val="22"/>
          <w:szCs w:val="20"/>
          <w:highlight w:val="none"/>
        </w:rPr>
      </w:pPr>
      <w:r>
        <w:rPr>
          <w:rFonts w:hint="eastAsia" w:ascii="宋体" w:hAnsi="宋体"/>
          <w:color w:val="auto"/>
          <w:kern w:val="0"/>
          <w:sz w:val="22"/>
          <w:szCs w:val="20"/>
          <w:highlight w:val="none"/>
        </w:rPr>
        <w:t>▲投标报价为最高限价的统一折扣率，以百分数表示。采购人将根据公式：“最高限价×投标报价（最高限价的统一折扣率）=支付金额”核算实际支付金额。如：某产品最高限价为100元，投标报价：</w:t>
      </w:r>
      <w:r>
        <w:rPr>
          <w:rFonts w:hint="eastAsia" w:ascii="宋体" w:hAnsi="宋体"/>
          <w:color w:val="auto"/>
          <w:kern w:val="0"/>
          <w:sz w:val="22"/>
          <w:szCs w:val="20"/>
          <w:highlight w:val="none"/>
        </w:rPr>
        <w:softHyphen/>
      </w:r>
      <w:r>
        <w:rPr>
          <w:rFonts w:hint="eastAsia" w:ascii="宋体" w:hAnsi="宋体"/>
          <w:color w:val="auto"/>
          <w:kern w:val="0"/>
          <w:sz w:val="22"/>
          <w:szCs w:val="20"/>
          <w:highlight w:val="none"/>
        </w:rPr>
        <w:softHyphen/>
      </w:r>
      <w:r>
        <w:rPr>
          <w:rFonts w:hint="eastAsia" w:ascii="宋体" w:hAnsi="宋体"/>
          <w:color w:val="auto"/>
          <w:kern w:val="0"/>
          <w:sz w:val="22"/>
          <w:szCs w:val="20"/>
          <w:highlight w:val="none"/>
        </w:rPr>
        <w:t>最高限价的统一折扣率为80%，则采购人实际支付金额为：最高限价100元×投标报价（最高限价的统一折扣率）80%=80（元）。以投标供应商所投最高限价的“统一折扣率”进行价格分计算。</w:t>
      </w:r>
    </w:p>
    <w:p w14:paraId="2BDF5178">
      <w:pPr>
        <w:spacing w:line="360" w:lineRule="exact"/>
        <w:rPr>
          <w:rFonts w:ascii="宋体"/>
          <w:color w:val="auto"/>
          <w:sz w:val="22"/>
          <w:szCs w:val="22"/>
          <w:highlight w:val="none"/>
        </w:rPr>
      </w:pPr>
      <w:r>
        <w:rPr>
          <w:rFonts w:hint="eastAsia" w:ascii="宋体" w:hAnsi="宋体"/>
          <w:color w:val="auto"/>
          <w:kern w:val="0"/>
          <w:sz w:val="22"/>
          <w:szCs w:val="20"/>
          <w:highlight w:val="none"/>
        </w:rPr>
        <w:t>▲</w:t>
      </w:r>
      <w:r>
        <w:rPr>
          <w:rFonts w:hint="eastAsia" w:ascii="宋体"/>
          <w:color w:val="auto"/>
          <w:sz w:val="22"/>
          <w:szCs w:val="22"/>
          <w:highlight w:val="none"/>
        </w:rPr>
        <w:t>投标报价（最高限价的统一折扣率）不得超过1</w:t>
      </w:r>
      <w:r>
        <w:rPr>
          <w:rFonts w:ascii="宋体"/>
          <w:color w:val="auto"/>
          <w:sz w:val="22"/>
          <w:szCs w:val="22"/>
          <w:highlight w:val="none"/>
        </w:rPr>
        <w:t>00</w:t>
      </w:r>
      <w:r>
        <w:rPr>
          <w:rFonts w:hint="eastAsia" w:ascii="宋体"/>
          <w:color w:val="auto"/>
          <w:sz w:val="22"/>
          <w:szCs w:val="22"/>
          <w:highlight w:val="none"/>
        </w:rPr>
        <w:t>%，否则按无效投标处理。</w:t>
      </w:r>
    </w:p>
    <w:p w14:paraId="2446519D">
      <w:pPr>
        <w:spacing w:line="360" w:lineRule="exact"/>
        <w:rPr>
          <w:rFonts w:ascii="仿宋_GB2312" w:hAnsi="宋体"/>
          <w:b/>
          <w:color w:val="auto"/>
          <w:kern w:val="0"/>
          <w:sz w:val="22"/>
          <w:szCs w:val="20"/>
          <w:highlight w:val="none"/>
        </w:rPr>
      </w:pPr>
      <w:r>
        <w:rPr>
          <w:rFonts w:hint="eastAsia" w:ascii="仿宋_GB2312" w:hAnsi="宋体"/>
          <w:color w:val="auto"/>
          <w:kern w:val="0"/>
          <w:sz w:val="22"/>
          <w:szCs w:val="20"/>
          <w:highlight w:val="none"/>
        </w:rPr>
        <w:t>▲不提供此表格的将视为没有实质性响应磋商文件。</w:t>
      </w:r>
    </w:p>
    <w:p w14:paraId="1ABC1F79">
      <w:pPr>
        <w:spacing w:line="360" w:lineRule="exact"/>
        <w:rPr>
          <w:rFonts w:ascii="仿宋_GB2312" w:hAnsi="宋体"/>
          <w:b/>
          <w:bCs/>
          <w:color w:val="auto"/>
          <w:kern w:val="0"/>
          <w:sz w:val="22"/>
          <w:szCs w:val="20"/>
          <w:highlight w:val="none"/>
        </w:rPr>
      </w:pPr>
    </w:p>
    <w:p w14:paraId="1313C923">
      <w:pPr>
        <w:spacing w:line="360" w:lineRule="exact"/>
        <w:rPr>
          <w:rFonts w:ascii="仿宋_GB2312" w:hAnsi="宋体"/>
          <w:b/>
          <w:bCs/>
          <w:color w:val="auto"/>
          <w:kern w:val="0"/>
          <w:sz w:val="22"/>
          <w:szCs w:val="20"/>
          <w:highlight w:val="none"/>
        </w:rPr>
      </w:pPr>
    </w:p>
    <w:p w14:paraId="5CFE03AA">
      <w:pPr>
        <w:spacing w:line="360" w:lineRule="exact"/>
        <w:rPr>
          <w:rFonts w:ascii="宋体" w:hAnsi="宋体"/>
          <w:color w:val="auto"/>
          <w:kern w:val="0"/>
          <w:sz w:val="22"/>
          <w:szCs w:val="20"/>
          <w:highlight w:val="none"/>
        </w:rPr>
      </w:pPr>
      <w:r>
        <w:rPr>
          <w:rFonts w:hint="eastAsia" w:ascii="宋体" w:hAnsi="宋体"/>
          <w:color w:val="auto"/>
          <w:kern w:val="0"/>
          <w:sz w:val="22"/>
          <w:szCs w:val="20"/>
          <w:highlight w:val="none"/>
        </w:rPr>
        <w:t>供应商全称（盖章）：</w:t>
      </w:r>
    </w:p>
    <w:p w14:paraId="3DAE21A6">
      <w:pPr>
        <w:spacing w:line="360" w:lineRule="exact"/>
        <w:jc w:val="left"/>
        <w:rPr>
          <w:rFonts w:ascii="宋体" w:hAnsi="宋体"/>
          <w:color w:val="auto"/>
          <w:kern w:val="0"/>
          <w:sz w:val="22"/>
          <w:szCs w:val="20"/>
          <w:highlight w:val="none"/>
        </w:rPr>
      </w:pPr>
      <w:r>
        <w:rPr>
          <w:rFonts w:ascii="宋体" w:hAnsi="宋体"/>
          <w:color w:val="auto"/>
          <w:kern w:val="0"/>
          <w:sz w:val="22"/>
          <w:szCs w:val="22"/>
          <w:highlight w:val="none"/>
        </w:rPr>
        <w:t>法定代表人或授权代表（签字或盖章）：</w:t>
      </w:r>
    </w:p>
    <w:p w14:paraId="4CBB5EFB">
      <w:pPr>
        <w:spacing w:line="360" w:lineRule="exact"/>
        <w:jc w:val="left"/>
        <w:rPr>
          <w:rFonts w:ascii="宋体" w:hAnsi="宋体"/>
          <w:color w:val="auto"/>
          <w:kern w:val="0"/>
          <w:sz w:val="22"/>
          <w:szCs w:val="20"/>
          <w:highlight w:val="none"/>
        </w:rPr>
      </w:pPr>
      <w:r>
        <w:rPr>
          <w:rFonts w:hint="eastAsia" w:ascii="宋体" w:hAnsi="宋体"/>
          <w:color w:val="auto"/>
          <w:kern w:val="0"/>
          <w:sz w:val="22"/>
          <w:szCs w:val="20"/>
          <w:highlight w:val="none"/>
        </w:rPr>
        <w:t>日期：</w:t>
      </w:r>
    </w:p>
    <w:p w14:paraId="7144E319">
      <w:pPr>
        <w:pStyle w:val="25"/>
        <w:spacing w:line="460" w:lineRule="atLeast"/>
        <w:rPr>
          <w:rFonts w:hAnsi="宋体"/>
          <w:color w:val="auto"/>
          <w:sz w:val="22"/>
          <w:szCs w:val="22"/>
          <w:highlight w:val="none"/>
        </w:rPr>
      </w:pPr>
    </w:p>
    <w:p w14:paraId="48E86E8D">
      <w:pPr>
        <w:pStyle w:val="25"/>
        <w:spacing w:line="460" w:lineRule="atLeast"/>
        <w:rPr>
          <w:rFonts w:hAnsi="宋体"/>
          <w:color w:val="auto"/>
          <w:sz w:val="22"/>
          <w:szCs w:val="22"/>
          <w:highlight w:val="none"/>
        </w:rPr>
      </w:pPr>
    </w:p>
    <w:p w14:paraId="1055CAA2">
      <w:pPr>
        <w:pStyle w:val="25"/>
        <w:spacing w:line="460" w:lineRule="atLeast"/>
        <w:rPr>
          <w:rFonts w:hAnsi="宋体"/>
          <w:color w:val="auto"/>
          <w:sz w:val="22"/>
          <w:szCs w:val="22"/>
          <w:highlight w:val="none"/>
        </w:rPr>
      </w:pPr>
    </w:p>
    <w:p w14:paraId="25CA7C7C">
      <w:pPr>
        <w:pStyle w:val="25"/>
        <w:spacing w:line="460" w:lineRule="atLeast"/>
        <w:rPr>
          <w:rFonts w:hAnsi="宋体"/>
          <w:color w:val="auto"/>
          <w:sz w:val="22"/>
          <w:szCs w:val="22"/>
          <w:highlight w:val="none"/>
        </w:rPr>
      </w:pPr>
    </w:p>
    <w:p w14:paraId="3F3457F5">
      <w:pPr>
        <w:pStyle w:val="25"/>
        <w:spacing w:line="460" w:lineRule="atLeast"/>
        <w:rPr>
          <w:rFonts w:hAnsi="宋体"/>
          <w:color w:val="auto"/>
          <w:sz w:val="22"/>
          <w:szCs w:val="22"/>
          <w:highlight w:val="none"/>
        </w:rPr>
      </w:pPr>
    </w:p>
    <w:p w14:paraId="216A085B">
      <w:pPr>
        <w:pStyle w:val="25"/>
        <w:spacing w:line="460" w:lineRule="atLeast"/>
        <w:rPr>
          <w:rFonts w:hAnsi="宋体"/>
          <w:color w:val="auto"/>
          <w:sz w:val="22"/>
          <w:szCs w:val="22"/>
          <w:highlight w:val="none"/>
        </w:rPr>
      </w:pPr>
    </w:p>
    <w:p w14:paraId="6A172733">
      <w:pPr>
        <w:pStyle w:val="25"/>
        <w:spacing w:line="460" w:lineRule="atLeast"/>
        <w:rPr>
          <w:rFonts w:hAnsi="宋体"/>
          <w:color w:val="auto"/>
          <w:sz w:val="22"/>
          <w:szCs w:val="22"/>
          <w:highlight w:val="none"/>
        </w:rPr>
      </w:pPr>
    </w:p>
    <w:p w14:paraId="7F2EAC52">
      <w:pPr>
        <w:pStyle w:val="25"/>
        <w:spacing w:line="460" w:lineRule="atLeast"/>
        <w:rPr>
          <w:rFonts w:hAnsi="宋体"/>
          <w:color w:val="auto"/>
          <w:sz w:val="22"/>
          <w:szCs w:val="22"/>
          <w:highlight w:val="none"/>
        </w:rPr>
      </w:pPr>
    </w:p>
    <w:p w14:paraId="2AD9158C">
      <w:pPr>
        <w:pStyle w:val="25"/>
        <w:spacing w:line="460" w:lineRule="atLeast"/>
        <w:rPr>
          <w:rFonts w:hAnsi="宋体"/>
          <w:color w:val="auto"/>
          <w:sz w:val="22"/>
          <w:szCs w:val="22"/>
          <w:highlight w:val="none"/>
        </w:rPr>
      </w:pPr>
    </w:p>
    <w:p w14:paraId="1C605978">
      <w:pPr>
        <w:pStyle w:val="25"/>
        <w:spacing w:line="460" w:lineRule="atLeast"/>
        <w:rPr>
          <w:rFonts w:hAnsi="宋体"/>
          <w:color w:val="auto"/>
          <w:sz w:val="22"/>
          <w:szCs w:val="22"/>
          <w:highlight w:val="none"/>
        </w:rPr>
      </w:pPr>
    </w:p>
    <w:p w14:paraId="47DFBB87">
      <w:pPr>
        <w:pStyle w:val="25"/>
        <w:spacing w:line="460" w:lineRule="atLeast"/>
        <w:rPr>
          <w:rFonts w:hAnsi="宋体"/>
          <w:color w:val="auto"/>
          <w:sz w:val="22"/>
          <w:szCs w:val="22"/>
          <w:highlight w:val="none"/>
        </w:rPr>
      </w:pPr>
    </w:p>
    <w:p w14:paraId="2A2BA6DD">
      <w:pPr>
        <w:pStyle w:val="25"/>
        <w:spacing w:line="460" w:lineRule="atLeast"/>
        <w:rPr>
          <w:rFonts w:hAnsi="宋体"/>
          <w:color w:val="auto"/>
          <w:sz w:val="22"/>
          <w:szCs w:val="22"/>
          <w:highlight w:val="none"/>
        </w:rPr>
      </w:pPr>
    </w:p>
    <w:p w14:paraId="740F4058">
      <w:pPr>
        <w:pStyle w:val="25"/>
        <w:spacing w:line="460" w:lineRule="atLeast"/>
        <w:rPr>
          <w:rFonts w:hAnsi="宋体"/>
          <w:color w:val="auto"/>
          <w:sz w:val="22"/>
          <w:szCs w:val="22"/>
          <w:highlight w:val="none"/>
        </w:rPr>
      </w:pPr>
    </w:p>
    <w:p w14:paraId="58AD9411">
      <w:pPr>
        <w:pStyle w:val="25"/>
        <w:spacing w:line="460" w:lineRule="atLeast"/>
        <w:rPr>
          <w:rFonts w:hAnsi="宋体"/>
          <w:color w:val="auto"/>
          <w:sz w:val="22"/>
          <w:szCs w:val="22"/>
          <w:highlight w:val="none"/>
        </w:rPr>
      </w:pPr>
    </w:p>
    <w:p w14:paraId="21BF99D1">
      <w:pPr>
        <w:pStyle w:val="25"/>
        <w:spacing w:line="460" w:lineRule="atLeast"/>
        <w:rPr>
          <w:rFonts w:hAnsi="宋体"/>
          <w:color w:val="auto"/>
          <w:sz w:val="22"/>
          <w:szCs w:val="22"/>
          <w:highlight w:val="none"/>
        </w:rPr>
      </w:pPr>
    </w:p>
    <w:p w14:paraId="1680B570">
      <w:pPr>
        <w:pStyle w:val="25"/>
        <w:spacing w:line="460" w:lineRule="atLeast"/>
        <w:ind w:firstLine="550" w:firstLineChars="250"/>
        <w:rPr>
          <w:rFonts w:hAnsi="宋体"/>
          <w:color w:val="auto"/>
          <w:sz w:val="22"/>
          <w:szCs w:val="22"/>
          <w:highlight w:val="none"/>
        </w:rPr>
        <w:sectPr>
          <w:headerReference r:id="rId3" w:type="default"/>
          <w:footerReference r:id="rId4" w:type="default"/>
          <w:pgSz w:w="11907" w:h="16840"/>
          <w:pgMar w:top="1440" w:right="924" w:bottom="1440" w:left="1157" w:header="720" w:footer="720" w:gutter="0"/>
          <w:pgNumType w:start="0"/>
          <w:cols w:space="720" w:num="1"/>
          <w:titlePg/>
          <w:docGrid w:linePitch="286" w:charSpace="-3831"/>
        </w:sectPr>
      </w:pPr>
    </w:p>
    <w:p w14:paraId="7C7E5DB0">
      <w:pPr>
        <w:snapToGrid w:val="0"/>
        <w:spacing w:line="500" w:lineRule="atLeast"/>
        <w:jc w:val="center"/>
        <w:rPr>
          <w:rFonts w:ascii="宋体" w:hAnsi="宋体"/>
          <w:color w:val="auto"/>
          <w:sz w:val="36"/>
          <w:szCs w:val="36"/>
          <w:highlight w:val="none"/>
          <w:lang w:val="zh-CN"/>
        </w:rPr>
      </w:pPr>
      <w:r>
        <w:rPr>
          <w:rFonts w:hint="eastAsia" w:ascii="宋体" w:hAnsi="宋体"/>
          <w:color w:val="auto"/>
          <w:sz w:val="36"/>
          <w:szCs w:val="36"/>
          <w:highlight w:val="none"/>
          <w:lang w:val="zh-CN"/>
        </w:rPr>
        <w:t>三、商务技术文件格式</w:t>
      </w:r>
    </w:p>
    <w:p w14:paraId="5930531B">
      <w:pPr>
        <w:snapToGrid w:val="0"/>
        <w:spacing w:line="500" w:lineRule="atLeast"/>
        <w:rPr>
          <w:rFonts w:ascii="宋体" w:hAnsi="宋体"/>
          <w:color w:val="auto"/>
          <w:sz w:val="30"/>
          <w:szCs w:val="30"/>
          <w:highlight w:val="none"/>
        </w:rPr>
      </w:pPr>
      <w:r>
        <w:rPr>
          <w:rFonts w:hint="eastAsia" w:ascii="宋体" w:hAnsi="宋体"/>
          <w:color w:val="auto"/>
          <w:sz w:val="30"/>
          <w:szCs w:val="30"/>
          <w:highlight w:val="none"/>
        </w:rPr>
        <w:t>附件三</w:t>
      </w:r>
    </w:p>
    <w:p w14:paraId="3167EA70">
      <w:pPr>
        <w:autoSpaceDE w:val="0"/>
        <w:autoSpaceDN w:val="0"/>
        <w:adjustRightInd w:val="0"/>
        <w:spacing w:line="460" w:lineRule="atLeast"/>
        <w:jc w:val="center"/>
        <w:rPr>
          <w:rFonts w:ascii="宋体" w:hAnsi="宋体"/>
          <w:color w:val="auto"/>
          <w:sz w:val="36"/>
          <w:highlight w:val="none"/>
          <w:lang w:val="zh-CN"/>
        </w:rPr>
      </w:pPr>
      <w:r>
        <w:rPr>
          <w:rFonts w:hint="eastAsia" w:ascii="宋体" w:hAnsi="宋体"/>
          <w:color w:val="auto"/>
          <w:sz w:val="36"/>
          <w:highlight w:val="none"/>
          <w:lang w:val="zh-CN"/>
        </w:rPr>
        <w:t>投</w:t>
      </w:r>
      <w:r>
        <w:rPr>
          <w:rFonts w:ascii="宋体" w:hAnsi="宋体"/>
          <w:color w:val="auto"/>
          <w:sz w:val="36"/>
          <w:highlight w:val="none"/>
          <w:lang w:val="zh-CN"/>
        </w:rPr>
        <w:t xml:space="preserve">  </w:t>
      </w:r>
      <w:r>
        <w:rPr>
          <w:rFonts w:hint="eastAsia" w:ascii="宋体" w:hAnsi="宋体"/>
          <w:color w:val="auto"/>
          <w:sz w:val="36"/>
          <w:highlight w:val="none"/>
          <w:lang w:val="zh-CN"/>
        </w:rPr>
        <w:t>标</w:t>
      </w:r>
      <w:r>
        <w:rPr>
          <w:rFonts w:ascii="宋体" w:hAnsi="宋体"/>
          <w:color w:val="auto"/>
          <w:sz w:val="36"/>
          <w:highlight w:val="none"/>
          <w:lang w:val="zh-CN"/>
        </w:rPr>
        <w:t xml:space="preserve">  </w:t>
      </w:r>
      <w:r>
        <w:rPr>
          <w:rFonts w:hint="eastAsia" w:ascii="宋体" w:hAnsi="宋体"/>
          <w:color w:val="auto"/>
          <w:sz w:val="36"/>
          <w:highlight w:val="none"/>
          <w:lang w:val="zh-CN"/>
        </w:rPr>
        <w:t>函</w:t>
      </w:r>
    </w:p>
    <w:p w14:paraId="741D320E">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 xml:space="preserve">温州市洞头区大数据管理中心 </w:t>
      </w:r>
    </w:p>
    <w:p w14:paraId="5D3D6714">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温州华晟招标代理有限公司：</w:t>
      </w:r>
    </w:p>
    <w:p w14:paraId="7872D6BC">
      <w:pPr>
        <w:autoSpaceDE w:val="0"/>
        <w:autoSpaceDN w:val="0"/>
        <w:adjustRightInd w:val="0"/>
        <w:spacing w:line="460" w:lineRule="atLeast"/>
        <w:rPr>
          <w:rFonts w:ascii="宋体" w:hAnsi="宋体"/>
          <w:color w:val="auto"/>
          <w:sz w:val="22"/>
          <w:szCs w:val="22"/>
          <w:highlight w:val="none"/>
          <w:lang w:val="zh-CN"/>
        </w:rPr>
      </w:pPr>
      <w:r>
        <w:rPr>
          <w:rFonts w:ascii="宋体" w:hAnsi="宋体"/>
          <w:color w:val="auto"/>
          <w:sz w:val="22"/>
          <w:szCs w:val="22"/>
          <w:highlight w:val="none"/>
          <w:lang w:val="zh-CN"/>
        </w:rPr>
        <w:t xml:space="preserve">    </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（投标供应商全称）授权</w:t>
      </w:r>
      <w:r>
        <w:rPr>
          <w:rFonts w:ascii="宋体" w:hAnsi="宋体"/>
          <w:color w:val="auto"/>
          <w:sz w:val="22"/>
          <w:szCs w:val="22"/>
          <w:highlight w:val="none"/>
          <w:u w:val="single"/>
          <w:lang w:val="zh-CN"/>
        </w:rPr>
        <w:t xml:space="preserve">         </w:t>
      </w:r>
      <w:r>
        <w:rPr>
          <w:rFonts w:ascii="宋体" w:hAnsi="宋体"/>
          <w:color w:val="auto"/>
          <w:sz w:val="22"/>
          <w:szCs w:val="22"/>
          <w:highlight w:val="none"/>
          <w:lang w:val="zh-CN"/>
        </w:rPr>
        <w:t xml:space="preserve"> </w:t>
      </w:r>
      <w:r>
        <w:rPr>
          <w:rFonts w:hint="eastAsia" w:ascii="宋体" w:hAnsi="宋体"/>
          <w:color w:val="auto"/>
          <w:sz w:val="22"/>
          <w:szCs w:val="22"/>
          <w:highlight w:val="none"/>
          <w:lang w:val="zh-CN"/>
        </w:rPr>
        <w:t>（授权代表名称）</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（职务、职称）为授权代表，参加贵方组织的</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u w:val="single"/>
          <w:lang w:val="zh-CN"/>
        </w:rPr>
        <w:t>（招标项目名称）（括号内填招标编号）</w:t>
      </w:r>
      <w:r>
        <w:rPr>
          <w:rFonts w:hint="eastAsia" w:ascii="宋体" w:hAnsi="宋体"/>
          <w:color w:val="auto"/>
          <w:sz w:val="22"/>
          <w:szCs w:val="22"/>
          <w:highlight w:val="none"/>
          <w:lang w:val="zh-CN"/>
        </w:rPr>
        <w:t>标项</w:t>
      </w:r>
      <w:r>
        <w:rPr>
          <w:rFonts w:hint="eastAsia"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招标的有关活动，并对此进行投标。为此：</w:t>
      </w:r>
      <w:r>
        <w:rPr>
          <w:rFonts w:ascii="宋体" w:hAnsi="宋体"/>
          <w:color w:val="auto"/>
          <w:sz w:val="22"/>
          <w:szCs w:val="22"/>
          <w:highlight w:val="none"/>
          <w:lang w:val="zh-CN"/>
        </w:rPr>
        <w:t xml:space="preserve">    </w:t>
      </w:r>
    </w:p>
    <w:p w14:paraId="0BBE851B">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1、提供磋商文件要求的全部磋商响应文件。</w:t>
      </w:r>
    </w:p>
    <w:p w14:paraId="721CDC0D">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2、保证遵守磋商文件中的有关规定和约定。</w:t>
      </w:r>
    </w:p>
    <w:p w14:paraId="4D91BE90">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3、保证忠实地执行双方所签的合同，并承担合同规定的责任义务。</w:t>
      </w:r>
    </w:p>
    <w:p w14:paraId="181A8CBC">
      <w:pPr>
        <w:autoSpaceDE w:val="0"/>
        <w:autoSpaceDN w:val="0"/>
        <w:adjustRightInd w:val="0"/>
        <w:spacing w:line="460" w:lineRule="atLeast"/>
        <w:ind w:firstLine="465"/>
        <w:rPr>
          <w:rFonts w:ascii="宋体" w:hAnsi="宋体"/>
          <w:b/>
          <w:color w:val="auto"/>
          <w:sz w:val="22"/>
          <w:szCs w:val="22"/>
          <w:highlight w:val="none"/>
          <w:lang w:val="zh-CN"/>
        </w:rPr>
      </w:pPr>
      <w:r>
        <w:rPr>
          <w:rFonts w:hint="eastAsia" w:ascii="宋体" w:hAnsi="宋体" w:cs="仿宋_GB2312"/>
          <w:color w:val="auto"/>
          <w:sz w:val="22"/>
          <w:highlight w:val="none"/>
          <w:lang w:val="zh-CN"/>
        </w:rPr>
        <w:t>4、我方对服务期承诺如下：</w:t>
      </w:r>
      <w:r>
        <w:rPr>
          <w:rFonts w:hint="eastAsia" w:ascii="宋体" w:hAnsi="宋体" w:cs="仿宋_GB2312"/>
          <w:color w:val="auto"/>
          <w:sz w:val="22"/>
          <w:highlight w:val="none"/>
        </w:rPr>
        <w:t>▲</w:t>
      </w:r>
      <w:r>
        <w:rPr>
          <w:rFonts w:hint="eastAsia" w:ascii="宋体" w:hAnsi="宋体" w:cs="仿宋_GB2312"/>
          <w:b/>
          <w:color w:val="auto"/>
          <w:sz w:val="22"/>
          <w:highlight w:val="none"/>
        </w:rPr>
        <w:t>按采购人要求提供服务。</w:t>
      </w:r>
    </w:p>
    <w:p w14:paraId="03BF1B95">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5、我方已详细审查全部磋商文件，包括磋商文件补充文件（如果有的话）。我方完全理解并同意放弃对这方面有不明及误解的权力。如果磋商文件有相互矛盾之处，我方同意按采购人的理解处理。</w:t>
      </w:r>
    </w:p>
    <w:p w14:paraId="16A1E6FA">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6、愿意向贵方提供任何与该项投标有关的数据、情况和技术资料，完全理解贵方不一定接受最低价的投标或收到的任何投标。</w:t>
      </w:r>
    </w:p>
    <w:p w14:paraId="129E584E">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7、利益冲突：近三年内直至目前，我公司与本项目的采购人、采购代理机构没有任何的隶属关系。</w:t>
      </w:r>
    </w:p>
    <w:p w14:paraId="041D0D64">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8、我公司没有被财政部门限制参加政府采购活动或曾被财政部门限制参加政府采购活动但已不在限制期内。</w:t>
      </w:r>
    </w:p>
    <w:p w14:paraId="4E94F982">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9、磋商响应文件自提交响应文件递交截止时间起90天内有效。</w:t>
      </w:r>
    </w:p>
    <w:p w14:paraId="72D71016">
      <w:pPr>
        <w:autoSpaceDE w:val="0"/>
        <w:autoSpaceDN w:val="0"/>
        <w:adjustRightInd w:val="0"/>
        <w:spacing w:line="460" w:lineRule="atLeast"/>
        <w:ind w:firstLine="465"/>
        <w:rPr>
          <w:rFonts w:ascii="宋体" w:hAnsi="宋体"/>
          <w:color w:val="auto"/>
          <w:sz w:val="22"/>
          <w:szCs w:val="22"/>
          <w:highlight w:val="none"/>
          <w:lang w:val="zh-CN"/>
        </w:rPr>
      </w:pPr>
      <w:r>
        <w:rPr>
          <w:rFonts w:hint="eastAsia" w:ascii="宋体" w:hAnsi="宋体"/>
          <w:color w:val="auto"/>
          <w:sz w:val="22"/>
          <w:szCs w:val="22"/>
          <w:highlight w:val="none"/>
          <w:lang w:val="zh-CN"/>
        </w:rPr>
        <w:t>10、与本采购有关的一切往来通讯请寄：</w:t>
      </w:r>
    </w:p>
    <w:p w14:paraId="3C06844C">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地址：</w:t>
      </w:r>
      <w:r>
        <w:rPr>
          <w:rFonts w:ascii="宋体" w:hAnsi="宋体"/>
          <w:color w:val="auto"/>
          <w:sz w:val="22"/>
          <w:szCs w:val="22"/>
          <w:highlight w:val="none"/>
          <w:u w:val="single"/>
          <w:lang w:val="zh-CN"/>
        </w:rPr>
        <w:t xml:space="preserve">                                 </w:t>
      </w:r>
    </w:p>
    <w:p w14:paraId="6720C346">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邮编：</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电话：</w:t>
      </w:r>
      <w:r>
        <w:rPr>
          <w:rFonts w:ascii="宋体" w:hAnsi="宋体"/>
          <w:color w:val="auto"/>
          <w:sz w:val="22"/>
          <w:szCs w:val="22"/>
          <w:highlight w:val="none"/>
          <w:u w:val="single"/>
          <w:lang w:val="zh-CN"/>
        </w:rPr>
        <w:t xml:space="preserve">                 </w:t>
      </w:r>
      <w:r>
        <w:rPr>
          <w:rFonts w:hint="eastAsia" w:ascii="宋体" w:hAnsi="宋体"/>
          <w:color w:val="auto"/>
          <w:sz w:val="22"/>
          <w:szCs w:val="22"/>
          <w:highlight w:val="none"/>
          <w:lang w:val="zh-CN"/>
        </w:rPr>
        <w:t>传真：</w:t>
      </w:r>
      <w:r>
        <w:rPr>
          <w:rFonts w:ascii="宋体" w:hAnsi="宋体"/>
          <w:color w:val="auto"/>
          <w:sz w:val="22"/>
          <w:szCs w:val="22"/>
          <w:highlight w:val="none"/>
          <w:u w:val="single"/>
          <w:lang w:val="zh-CN"/>
        </w:rPr>
        <w:t xml:space="preserve">                 </w:t>
      </w:r>
    </w:p>
    <w:p w14:paraId="2E99A64E">
      <w:pPr>
        <w:autoSpaceDE w:val="0"/>
        <w:autoSpaceDN w:val="0"/>
        <w:adjustRightInd w:val="0"/>
        <w:spacing w:line="460" w:lineRule="atLeast"/>
        <w:rPr>
          <w:rFonts w:ascii="宋体" w:hAnsi="宋体"/>
          <w:color w:val="auto"/>
          <w:sz w:val="22"/>
          <w:szCs w:val="22"/>
          <w:highlight w:val="none"/>
          <w:lang w:val="zh-CN"/>
        </w:rPr>
      </w:pPr>
    </w:p>
    <w:p w14:paraId="6DDB7963">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投标供应商（盖章）：</w:t>
      </w:r>
    </w:p>
    <w:p w14:paraId="36AD173B">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法定代表人或授权代表（签字或盖章）：</w:t>
      </w:r>
    </w:p>
    <w:p w14:paraId="4F5068CD">
      <w:pPr>
        <w:autoSpaceDE w:val="0"/>
        <w:autoSpaceDN w:val="0"/>
        <w:adjustRightInd w:val="0"/>
        <w:spacing w:line="460" w:lineRule="atLeast"/>
        <w:rPr>
          <w:rFonts w:ascii="宋体" w:hAnsi="宋体"/>
          <w:color w:val="auto"/>
          <w:sz w:val="22"/>
          <w:szCs w:val="22"/>
          <w:highlight w:val="none"/>
          <w:lang w:val="zh-CN"/>
        </w:rPr>
      </w:pPr>
      <w:r>
        <w:rPr>
          <w:rFonts w:hint="eastAsia" w:ascii="宋体" w:hAnsi="宋体"/>
          <w:color w:val="auto"/>
          <w:sz w:val="22"/>
          <w:szCs w:val="22"/>
          <w:highlight w:val="none"/>
          <w:lang w:val="zh-CN"/>
        </w:rPr>
        <w:t>日期：</w:t>
      </w:r>
    </w:p>
    <w:p w14:paraId="24DB0560">
      <w:pPr>
        <w:snapToGrid w:val="0"/>
        <w:spacing w:line="500" w:lineRule="atLeast"/>
        <w:rPr>
          <w:rFonts w:ascii="宋体" w:hAnsi="宋体"/>
          <w:color w:val="auto"/>
          <w:sz w:val="30"/>
          <w:szCs w:val="30"/>
          <w:highlight w:val="none"/>
        </w:rPr>
      </w:pPr>
    </w:p>
    <w:p w14:paraId="2D3CE39F">
      <w:pPr>
        <w:pStyle w:val="44"/>
        <w:ind w:firstLine="210"/>
        <w:rPr>
          <w:rFonts w:ascii="宋体" w:hAnsi="宋体"/>
          <w:color w:val="auto"/>
          <w:highlight w:val="none"/>
        </w:rPr>
      </w:pPr>
    </w:p>
    <w:p w14:paraId="66014143">
      <w:pPr>
        <w:pStyle w:val="44"/>
        <w:ind w:firstLine="210"/>
        <w:rPr>
          <w:rFonts w:ascii="宋体" w:hAnsi="宋体"/>
          <w:color w:val="auto"/>
          <w:highlight w:val="none"/>
        </w:rPr>
      </w:pPr>
    </w:p>
    <w:p w14:paraId="5485C75A">
      <w:pPr>
        <w:autoSpaceDE w:val="0"/>
        <w:autoSpaceDN w:val="0"/>
        <w:adjustRightInd w:val="0"/>
        <w:spacing w:line="460" w:lineRule="atLeast"/>
        <w:rPr>
          <w:rFonts w:ascii="宋体" w:hAnsi="宋体"/>
          <w:color w:val="auto"/>
          <w:sz w:val="32"/>
          <w:highlight w:val="none"/>
          <w:lang w:val="zh-CN"/>
        </w:rPr>
      </w:pPr>
      <w:r>
        <w:rPr>
          <w:rFonts w:hint="eastAsia" w:ascii="宋体" w:hAnsi="宋体"/>
          <w:color w:val="auto"/>
          <w:sz w:val="32"/>
          <w:highlight w:val="none"/>
          <w:lang w:val="zh-CN"/>
        </w:rPr>
        <w:t>附件四</w:t>
      </w:r>
    </w:p>
    <w:p w14:paraId="54894F9A">
      <w:pPr>
        <w:tabs>
          <w:tab w:val="left" w:pos="1080"/>
        </w:tabs>
        <w:autoSpaceDE w:val="0"/>
        <w:autoSpaceDN w:val="0"/>
        <w:adjustRightInd w:val="0"/>
        <w:spacing w:line="460" w:lineRule="atLeast"/>
        <w:jc w:val="center"/>
        <w:rPr>
          <w:rFonts w:ascii="宋体" w:hAnsi="宋体"/>
          <w:color w:val="auto"/>
          <w:kern w:val="0"/>
          <w:sz w:val="32"/>
          <w:szCs w:val="20"/>
          <w:highlight w:val="none"/>
          <w:lang w:val="zh-CN"/>
        </w:rPr>
      </w:pPr>
      <w:r>
        <w:rPr>
          <w:rFonts w:hint="eastAsia" w:ascii="宋体" w:hAnsi="宋体"/>
          <w:color w:val="auto"/>
          <w:kern w:val="0"/>
          <w:sz w:val="32"/>
          <w:szCs w:val="20"/>
          <w:highlight w:val="none"/>
          <w:lang w:val="zh-CN"/>
        </w:rPr>
        <w:t>法定代表人授权书</w:t>
      </w:r>
    </w:p>
    <w:p w14:paraId="651DFF20">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 xml:space="preserve">温州市洞头区大数据管理中心 </w:t>
      </w:r>
    </w:p>
    <w:p w14:paraId="128D7B37">
      <w:pPr>
        <w:autoSpaceDE w:val="0"/>
        <w:autoSpaceDN w:val="0"/>
        <w:adjustRightInd w:val="0"/>
        <w:spacing w:line="460" w:lineRule="atLeast"/>
        <w:rPr>
          <w:rFonts w:ascii="宋体" w:hAnsi="宋体"/>
          <w:color w:val="auto"/>
          <w:sz w:val="22"/>
          <w:szCs w:val="22"/>
          <w:highlight w:val="none"/>
          <w:u w:val="single"/>
          <w:lang w:val="zh-CN"/>
        </w:rPr>
      </w:pPr>
      <w:r>
        <w:rPr>
          <w:rFonts w:hint="eastAsia" w:ascii="宋体" w:hAnsi="宋体"/>
          <w:color w:val="auto"/>
          <w:sz w:val="22"/>
          <w:szCs w:val="22"/>
          <w:highlight w:val="none"/>
          <w:u w:val="single"/>
          <w:lang w:val="zh-CN"/>
        </w:rPr>
        <w:t>温州华晟招标代理有限公司：</w:t>
      </w:r>
    </w:p>
    <w:p w14:paraId="3952751F">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本授权委托书声明：我</w:t>
      </w:r>
      <w:r>
        <w:rPr>
          <w:rFonts w:hint="eastAsia" w:ascii="宋体" w:hAnsi="宋体"/>
          <w:color w:val="auto"/>
          <w:sz w:val="22"/>
          <w:szCs w:val="22"/>
          <w:highlight w:val="none"/>
          <w:u w:val="single"/>
        </w:rPr>
        <w:t xml:space="preserve">   （法定代表人姓名）   </w:t>
      </w:r>
      <w:r>
        <w:rPr>
          <w:rFonts w:hint="eastAsia" w:ascii="宋体" w:hAnsi="宋体"/>
          <w:color w:val="auto"/>
          <w:sz w:val="22"/>
          <w:szCs w:val="22"/>
          <w:highlight w:val="none"/>
        </w:rPr>
        <w:t>系</w:t>
      </w:r>
      <w:r>
        <w:rPr>
          <w:rFonts w:hint="eastAsia" w:ascii="宋体" w:hAnsi="宋体"/>
          <w:color w:val="auto"/>
          <w:sz w:val="22"/>
          <w:szCs w:val="22"/>
          <w:highlight w:val="none"/>
          <w:u w:val="single"/>
        </w:rPr>
        <w:t xml:space="preserve">   （供 应 商 名 称）  </w:t>
      </w:r>
      <w:r>
        <w:rPr>
          <w:rFonts w:hint="eastAsia" w:ascii="宋体" w:hAnsi="宋体"/>
          <w:color w:val="auto"/>
          <w:sz w:val="22"/>
          <w:szCs w:val="22"/>
          <w:highlight w:val="none"/>
        </w:rPr>
        <w:t>的法定代表人，现授权委托</w:t>
      </w:r>
      <w:r>
        <w:rPr>
          <w:rFonts w:hint="eastAsia" w:ascii="宋体" w:hAnsi="宋体"/>
          <w:color w:val="auto"/>
          <w:sz w:val="22"/>
          <w:szCs w:val="22"/>
          <w:highlight w:val="none"/>
          <w:u w:val="single"/>
        </w:rPr>
        <w:t xml:space="preserve">  （单 位 名 称）   </w:t>
      </w:r>
      <w:r>
        <w:rPr>
          <w:rFonts w:hint="eastAsia" w:ascii="宋体" w:hAnsi="宋体"/>
          <w:color w:val="auto"/>
          <w:sz w:val="22"/>
          <w:szCs w:val="22"/>
          <w:highlight w:val="none"/>
        </w:rPr>
        <w:t>的</w:t>
      </w:r>
      <w:r>
        <w:rPr>
          <w:rFonts w:hint="eastAsia" w:ascii="宋体" w:hAnsi="宋体"/>
          <w:color w:val="auto"/>
          <w:sz w:val="22"/>
          <w:szCs w:val="22"/>
          <w:highlight w:val="none"/>
          <w:u w:val="single"/>
        </w:rPr>
        <w:t xml:space="preserve">  （授权代表姓名）  </w:t>
      </w:r>
      <w:r>
        <w:rPr>
          <w:rFonts w:hint="eastAsia" w:ascii="宋体" w:hAnsi="宋体"/>
          <w:color w:val="auto"/>
          <w:sz w:val="22"/>
          <w:szCs w:val="22"/>
          <w:highlight w:val="none"/>
        </w:rPr>
        <w:t>为我公司法定代表人授权代表，参加贵处组织的</w:t>
      </w:r>
      <w:r>
        <w:rPr>
          <w:rFonts w:hint="eastAsia" w:ascii="宋体" w:hAnsi="宋体"/>
          <w:color w:val="auto"/>
          <w:sz w:val="22"/>
          <w:szCs w:val="22"/>
          <w:highlight w:val="none"/>
          <w:u w:val="single"/>
        </w:rPr>
        <w:t xml:space="preserve">  （招标项目名称，括号中填写项目编号）  </w:t>
      </w:r>
      <w:r>
        <w:rPr>
          <w:rFonts w:hint="eastAsia" w:ascii="宋体" w:hAnsi="宋体"/>
          <w:color w:val="auto"/>
          <w:sz w:val="22"/>
          <w:szCs w:val="22"/>
          <w:highlight w:val="none"/>
        </w:rPr>
        <w:t>项目标项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投标，全权处理本次招投标活动中的一切事宜，我承认授权代表全权代表我所签署的本项目的磋商响应文件的内容。</w:t>
      </w:r>
    </w:p>
    <w:p w14:paraId="3D678ACB">
      <w:pPr>
        <w:snapToGrid w:val="0"/>
        <w:spacing w:line="460"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授权代表无转授权，特此授权。</w:t>
      </w:r>
    </w:p>
    <w:p w14:paraId="36826201">
      <w:pPr>
        <w:snapToGrid w:val="0"/>
        <w:spacing w:line="460" w:lineRule="atLeast"/>
        <w:ind w:left="2092" w:leftChars="996" w:firstLine="330" w:firstLineChars="150"/>
        <w:rPr>
          <w:rFonts w:ascii="宋体" w:hAnsi="宋体"/>
          <w:color w:val="auto"/>
          <w:sz w:val="22"/>
          <w:szCs w:val="22"/>
          <w:highlight w:val="none"/>
          <w:u w:val="single"/>
        </w:rPr>
      </w:pPr>
      <w:r>
        <w:rPr>
          <w:rFonts w:hint="eastAsia" w:ascii="宋体" w:hAnsi="宋体"/>
          <w:color w:val="auto"/>
          <w:sz w:val="22"/>
          <w:szCs w:val="22"/>
          <w:highlight w:val="none"/>
        </w:rPr>
        <w:t xml:space="preserve"> 授权代表：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性别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年龄：</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w:t>
      </w:r>
    </w:p>
    <w:p w14:paraId="06E60820">
      <w:pPr>
        <w:snapToGrid w:val="0"/>
        <w:spacing w:line="460" w:lineRule="atLeast"/>
        <w:ind w:left="2100" w:leftChars="1000"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详细通讯地址：</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邮政编码：</w:t>
      </w:r>
      <w:r>
        <w:rPr>
          <w:rFonts w:hint="eastAsia" w:ascii="宋体" w:hAnsi="宋体"/>
          <w:color w:val="auto"/>
          <w:sz w:val="22"/>
          <w:szCs w:val="22"/>
          <w:highlight w:val="none"/>
          <w:u w:val="single"/>
        </w:rPr>
        <w:t xml:space="preserve">           </w:t>
      </w:r>
    </w:p>
    <w:p w14:paraId="5F928E81">
      <w:pPr>
        <w:snapToGrid w:val="0"/>
        <w:spacing w:line="460" w:lineRule="atLeast"/>
        <w:ind w:left="1" w:firstLine="2510" w:firstLineChars="1141"/>
        <w:rPr>
          <w:rFonts w:ascii="宋体" w:hAnsi="宋体"/>
          <w:color w:val="auto"/>
          <w:sz w:val="22"/>
          <w:szCs w:val="22"/>
          <w:highlight w:val="none"/>
          <w:u w:val="single"/>
        </w:rPr>
      </w:pPr>
      <w:r>
        <w:rPr>
          <w:rFonts w:hint="eastAsia" w:ascii="宋体" w:hAnsi="宋体"/>
          <w:color w:val="auto"/>
          <w:sz w:val="22"/>
          <w:szCs w:val="22"/>
          <w:highlight w:val="none"/>
        </w:rPr>
        <w:t>电话：</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传真：</w:t>
      </w:r>
      <w:r>
        <w:rPr>
          <w:rFonts w:hint="eastAsia" w:ascii="宋体" w:hAnsi="宋体"/>
          <w:color w:val="auto"/>
          <w:sz w:val="22"/>
          <w:szCs w:val="22"/>
          <w:highlight w:val="none"/>
          <w:u w:val="single"/>
        </w:rPr>
        <w:t xml:space="preserve">                      </w:t>
      </w:r>
    </w:p>
    <w:p w14:paraId="17B9C1E2">
      <w:pPr>
        <w:snapToGrid w:val="0"/>
        <w:spacing w:line="460" w:lineRule="atLeast"/>
        <w:ind w:left="1" w:firstLine="422" w:firstLineChars="192"/>
        <w:rPr>
          <w:rFonts w:ascii="宋体" w:hAnsi="宋体"/>
          <w:color w:val="auto"/>
          <w:sz w:val="22"/>
          <w:szCs w:val="22"/>
          <w:highlight w:val="none"/>
        </w:rPr>
      </w:pPr>
      <w:r>
        <w:rPr>
          <w:rFonts w:hint="eastAsia" w:ascii="宋体" w:hAnsi="宋体"/>
          <w:color w:val="auto"/>
          <w:sz w:val="22"/>
          <w:szCs w:val="22"/>
          <w:highlight w:val="none"/>
        </w:rPr>
        <w:t xml:space="preserve">                   投标供应商：</w:t>
      </w:r>
      <w:r>
        <w:rPr>
          <w:rFonts w:hint="eastAsia" w:ascii="宋体" w:hAnsi="宋体"/>
          <w:color w:val="auto"/>
          <w:sz w:val="22"/>
          <w:szCs w:val="22"/>
          <w:highlight w:val="none"/>
          <w:u w:val="single"/>
        </w:rPr>
        <w:t xml:space="preserve">                                      （盖章）</w:t>
      </w:r>
    </w:p>
    <w:p w14:paraId="29556A6C">
      <w:pPr>
        <w:snapToGrid w:val="0"/>
        <w:spacing w:line="460" w:lineRule="atLeast"/>
        <w:ind w:left="2100" w:right="440"/>
        <w:jc w:val="center"/>
        <w:rPr>
          <w:rFonts w:ascii="宋体" w:hAnsi="宋体"/>
          <w:color w:val="auto"/>
          <w:sz w:val="22"/>
          <w:szCs w:val="22"/>
          <w:highlight w:val="none"/>
        </w:rPr>
      </w:pPr>
      <w:r>
        <w:rPr>
          <w:rFonts w:hint="eastAsia" w:ascii="宋体" w:hAnsi="宋体"/>
          <w:color w:val="auto"/>
          <w:sz w:val="22"/>
          <w:szCs w:val="22"/>
          <w:highlight w:val="none"/>
        </w:rPr>
        <w:t>法定代表人：</w:t>
      </w:r>
      <w:r>
        <w:rPr>
          <w:rFonts w:hint="eastAsia" w:ascii="宋体" w:hAnsi="宋体"/>
          <w:color w:val="auto"/>
          <w:sz w:val="22"/>
          <w:szCs w:val="22"/>
          <w:highlight w:val="none"/>
          <w:u w:val="single"/>
        </w:rPr>
        <w:t xml:space="preserve">                                 （签字或盖章）</w:t>
      </w:r>
    </w:p>
    <w:p w14:paraId="696F9637">
      <w:pPr>
        <w:pStyle w:val="25"/>
        <w:adjustRightInd w:val="0"/>
        <w:snapToGrid w:val="0"/>
        <w:spacing w:line="460" w:lineRule="atLeast"/>
        <w:ind w:firstLine="2530" w:firstLineChars="1150"/>
        <w:rPr>
          <w:rFonts w:hAnsi="宋体"/>
          <w:color w:val="auto"/>
          <w:sz w:val="22"/>
          <w:szCs w:val="22"/>
          <w:highlight w:val="none"/>
        </w:rPr>
      </w:pPr>
      <w:r>
        <w:rPr>
          <w:rFonts w:hAnsi="宋体"/>
          <w:color w:val="auto"/>
          <w:sz w:val="22"/>
          <w:szCs w:val="22"/>
          <w:highlight w:val="none"/>
        </w:rPr>
        <w:t>授权委托日期：</w:t>
      </w:r>
      <w:r>
        <w:rPr>
          <w:rFonts w:hAnsi="宋体"/>
          <w:color w:val="auto"/>
          <w:sz w:val="22"/>
          <w:szCs w:val="22"/>
          <w:highlight w:val="none"/>
          <w:u w:val="single"/>
        </w:rPr>
        <w:t xml:space="preserve">     </w:t>
      </w:r>
      <w:r>
        <w:rPr>
          <w:rFonts w:hAnsi="宋体"/>
          <w:color w:val="auto"/>
          <w:sz w:val="22"/>
          <w:szCs w:val="22"/>
          <w:highlight w:val="none"/>
        </w:rPr>
        <w:t xml:space="preserve">年 </w:t>
      </w:r>
      <w:r>
        <w:rPr>
          <w:rFonts w:hAnsi="宋体"/>
          <w:color w:val="auto"/>
          <w:sz w:val="22"/>
          <w:szCs w:val="22"/>
          <w:highlight w:val="none"/>
          <w:u w:val="single"/>
        </w:rPr>
        <w:t xml:space="preserve">    </w:t>
      </w:r>
      <w:r>
        <w:rPr>
          <w:rFonts w:hAnsi="宋体"/>
          <w:color w:val="auto"/>
          <w:sz w:val="22"/>
          <w:szCs w:val="22"/>
          <w:highlight w:val="none"/>
        </w:rPr>
        <w:t>月</w:t>
      </w:r>
      <w:r>
        <w:rPr>
          <w:rFonts w:hAnsi="宋体"/>
          <w:color w:val="auto"/>
          <w:sz w:val="22"/>
          <w:szCs w:val="22"/>
          <w:highlight w:val="none"/>
          <w:u w:val="single"/>
        </w:rPr>
        <w:t xml:space="preserve">     </w:t>
      </w:r>
      <w:r>
        <w:rPr>
          <w:rFonts w:hAnsi="宋体"/>
          <w:color w:val="auto"/>
          <w:sz w:val="22"/>
          <w:szCs w:val="22"/>
          <w:highlight w:val="none"/>
        </w:rPr>
        <w:t>日</w:t>
      </w:r>
    </w:p>
    <w:p w14:paraId="41B5466D">
      <w:pPr>
        <w:pStyle w:val="25"/>
        <w:adjustRightInd w:val="0"/>
        <w:snapToGrid w:val="0"/>
        <w:spacing w:line="460" w:lineRule="atLeast"/>
        <w:ind w:firstLine="2530" w:firstLineChars="1150"/>
        <w:rPr>
          <w:rFonts w:hAnsi="宋体"/>
          <w:color w:val="auto"/>
          <w:sz w:val="22"/>
          <w:szCs w:val="22"/>
          <w:highlight w:val="none"/>
        </w:rPr>
      </w:pPr>
    </w:p>
    <w:tbl>
      <w:tblPr>
        <w:tblStyle w:val="4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F5B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14:paraId="580927EC">
            <w:pPr>
              <w:pStyle w:val="25"/>
              <w:keepNext w:val="0"/>
              <w:keepLines w:val="0"/>
              <w:suppressLineNumbers w:val="0"/>
              <w:adjustRightInd w:val="0"/>
              <w:snapToGrid w:val="0"/>
              <w:spacing w:before="0" w:beforeAutospacing="0" w:after="0" w:afterAutospacing="0" w:line="460" w:lineRule="atLeast"/>
              <w:ind w:left="0" w:right="0"/>
              <w:jc w:val="center"/>
              <w:rPr>
                <w:rFonts w:hint="default" w:hAnsi="宋体"/>
                <w:color w:val="auto"/>
                <w:sz w:val="22"/>
                <w:szCs w:val="22"/>
                <w:highlight w:val="none"/>
              </w:rPr>
            </w:pPr>
          </w:p>
          <w:p w14:paraId="37FFD3AB">
            <w:pPr>
              <w:pStyle w:val="25"/>
              <w:keepNext w:val="0"/>
              <w:keepLines w:val="0"/>
              <w:suppressLineNumbers w:val="0"/>
              <w:adjustRightInd w:val="0"/>
              <w:snapToGrid w:val="0"/>
              <w:spacing w:before="0" w:beforeAutospacing="0" w:after="0" w:afterAutospacing="0" w:line="460" w:lineRule="atLeast"/>
              <w:ind w:left="0" w:right="0"/>
              <w:jc w:val="center"/>
              <w:rPr>
                <w:rFonts w:hint="default" w:hAnsi="宋体"/>
                <w:color w:val="auto"/>
                <w:sz w:val="22"/>
                <w:szCs w:val="22"/>
                <w:highlight w:val="none"/>
              </w:rPr>
            </w:pPr>
          </w:p>
          <w:p w14:paraId="19E0D1CB">
            <w:pPr>
              <w:pStyle w:val="25"/>
              <w:keepNext w:val="0"/>
              <w:keepLines w:val="0"/>
              <w:suppressLineNumbers w:val="0"/>
              <w:adjustRightInd w:val="0"/>
              <w:snapToGrid w:val="0"/>
              <w:spacing w:before="0" w:beforeAutospacing="0" w:after="0" w:afterAutospacing="0" w:line="460" w:lineRule="atLeast"/>
              <w:ind w:left="0" w:right="0"/>
              <w:jc w:val="center"/>
              <w:rPr>
                <w:rFonts w:hint="default" w:hAnsi="宋体"/>
                <w:color w:val="auto"/>
                <w:sz w:val="22"/>
                <w:szCs w:val="22"/>
                <w:highlight w:val="none"/>
              </w:rPr>
            </w:pPr>
            <w:r>
              <w:rPr>
                <w:rFonts w:hint="eastAsia" w:hAnsi="宋体"/>
                <w:color w:val="auto"/>
                <w:sz w:val="22"/>
                <w:szCs w:val="22"/>
                <w:highlight w:val="none"/>
              </w:rPr>
              <w:t>粘贴法人授权代表身份证复印影印件</w:t>
            </w:r>
          </w:p>
          <w:p w14:paraId="6286C41E">
            <w:pPr>
              <w:pStyle w:val="25"/>
              <w:keepNext w:val="0"/>
              <w:keepLines w:val="0"/>
              <w:suppressLineNumbers w:val="0"/>
              <w:adjustRightInd w:val="0"/>
              <w:snapToGrid w:val="0"/>
              <w:spacing w:before="0" w:beforeAutospacing="0" w:after="0" w:afterAutospacing="0" w:line="460" w:lineRule="atLeast"/>
              <w:ind w:left="0" w:right="0"/>
              <w:jc w:val="center"/>
              <w:rPr>
                <w:rFonts w:hint="default" w:hAnsi="宋体"/>
                <w:color w:val="auto"/>
                <w:sz w:val="22"/>
                <w:szCs w:val="22"/>
                <w:highlight w:val="none"/>
              </w:rPr>
            </w:pPr>
          </w:p>
          <w:p w14:paraId="0D374003">
            <w:pPr>
              <w:pStyle w:val="25"/>
              <w:keepNext w:val="0"/>
              <w:keepLines w:val="0"/>
              <w:suppressLineNumbers w:val="0"/>
              <w:adjustRightInd w:val="0"/>
              <w:snapToGrid w:val="0"/>
              <w:spacing w:before="0" w:beforeAutospacing="0" w:after="0" w:afterAutospacing="0" w:line="460" w:lineRule="atLeast"/>
              <w:ind w:left="0" w:right="0"/>
              <w:jc w:val="center"/>
              <w:rPr>
                <w:rFonts w:hint="default" w:hAnsi="宋体"/>
                <w:color w:val="auto"/>
                <w:sz w:val="22"/>
                <w:szCs w:val="22"/>
                <w:highlight w:val="none"/>
              </w:rPr>
            </w:pPr>
          </w:p>
        </w:tc>
      </w:tr>
    </w:tbl>
    <w:p w14:paraId="22D0FA01">
      <w:pPr>
        <w:pStyle w:val="25"/>
        <w:adjustRightInd w:val="0"/>
        <w:snapToGrid w:val="0"/>
        <w:spacing w:line="460" w:lineRule="atLeast"/>
        <w:jc w:val="center"/>
        <w:rPr>
          <w:rFonts w:hAnsi="宋体"/>
          <w:color w:val="auto"/>
          <w:sz w:val="22"/>
          <w:szCs w:val="22"/>
          <w:highlight w:val="none"/>
        </w:rPr>
      </w:pPr>
    </w:p>
    <w:tbl>
      <w:tblPr>
        <w:tblStyle w:val="4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B43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55FD2408">
            <w:pPr>
              <w:pStyle w:val="25"/>
              <w:keepNext w:val="0"/>
              <w:keepLines w:val="0"/>
              <w:suppressLineNumbers w:val="0"/>
              <w:adjustRightInd w:val="0"/>
              <w:snapToGrid w:val="0"/>
              <w:spacing w:before="0" w:beforeAutospacing="0" w:after="0" w:afterAutospacing="0" w:line="460" w:lineRule="atLeast"/>
              <w:ind w:left="0" w:right="0"/>
              <w:jc w:val="center"/>
              <w:rPr>
                <w:rFonts w:hint="default" w:hAnsi="宋体"/>
                <w:color w:val="auto"/>
                <w:sz w:val="22"/>
                <w:szCs w:val="22"/>
                <w:highlight w:val="none"/>
              </w:rPr>
            </w:pPr>
          </w:p>
          <w:p w14:paraId="5AC174DC">
            <w:pPr>
              <w:pStyle w:val="25"/>
              <w:keepNext w:val="0"/>
              <w:keepLines w:val="0"/>
              <w:suppressLineNumbers w:val="0"/>
              <w:adjustRightInd w:val="0"/>
              <w:snapToGrid w:val="0"/>
              <w:spacing w:before="0" w:beforeAutospacing="0" w:after="0" w:afterAutospacing="0" w:line="460" w:lineRule="atLeast"/>
              <w:ind w:left="0" w:right="0"/>
              <w:jc w:val="center"/>
              <w:rPr>
                <w:rFonts w:hint="default" w:hAnsi="宋体"/>
                <w:color w:val="auto"/>
                <w:sz w:val="22"/>
                <w:szCs w:val="22"/>
                <w:highlight w:val="none"/>
              </w:rPr>
            </w:pPr>
          </w:p>
          <w:p w14:paraId="3092049E">
            <w:pPr>
              <w:pStyle w:val="25"/>
              <w:keepNext w:val="0"/>
              <w:keepLines w:val="0"/>
              <w:suppressLineNumbers w:val="0"/>
              <w:adjustRightInd w:val="0"/>
              <w:snapToGrid w:val="0"/>
              <w:spacing w:before="0" w:beforeAutospacing="0" w:after="0" w:afterAutospacing="0" w:line="460" w:lineRule="atLeast"/>
              <w:ind w:left="0" w:right="0"/>
              <w:jc w:val="center"/>
              <w:rPr>
                <w:rFonts w:hint="default" w:hAnsi="宋体"/>
                <w:color w:val="auto"/>
                <w:sz w:val="22"/>
                <w:szCs w:val="22"/>
                <w:highlight w:val="none"/>
              </w:rPr>
            </w:pPr>
            <w:r>
              <w:rPr>
                <w:rFonts w:hint="eastAsia" w:hAnsi="宋体"/>
                <w:color w:val="auto"/>
                <w:sz w:val="22"/>
                <w:szCs w:val="22"/>
                <w:highlight w:val="none"/>
              </w:rPr>
              <w:t>粘贴法人身份证复印影印件</w:t>
            </w:r>
          </w:p>
          <w:p w14:paraId="6312BFA8">
            <w:pPr>
              <w:pStyle w:val="25"/>
              <w:keepNext w:val="0"/>
              <w:keepLines w:val="0"/>
              <w:suppressLineNumbers w:val="0"/>
              <w:adjustRightInd w:val="0"/>
              <w:snapToGrid w:val="0"/>
              <w:spacing w:before="0" w:beforeAutospacing="0" w:after="0" w:afterAutospacing="0" w:line="460" w:lineRule="atLeast"/>
              <w:ind w:left="0" w:right="0"/>
              <w:jc w:val="center"/>
              <w:rPr>
                <w:rFonts w:hint="default" w:hAnsi="宋体"/>
                <w:color w:val="auto"/>
                <w:sz w:val="22"/>
                <w:szCs w:val="22"/>
                <w:highlight w:val="none"/>
              </w:rPr>
            </w:pPr>
          </w:p>
          <w:p w14:paraId="104FBF6F">
            <w:pPr>
              <w:pStyle w:val="25"/>
              <w:keepNext w:val="0"/>
              <w:keepLines w:val="0"/>
              <w:suppressLineNumbers w:val="0"/>
              <w:adjustRightInd w:val="0"/>
              <w:snapToGrid w:val="0"/>
              <w:spacing w:before="0" w:beforeAutospacing="0" w:after="0" w:afterAutospacing="0" w:line="460" w:lineRule="atLeast"/>
              <w:ind w:left="0" w:right="0"/>
              <w:jc w:val="center"/>
              <w:rPr>
                <w:rFonts w:hint="default" w:hAnsi="宋体"/>
                <w:color w:val="auto"/>
                <w:sz w:val="22"/>
                <w:szCs w:val="22"/>
                <w:highlight w:val="none"/>
              </w:rPr>
            </w:pPr>
          </w:p>
        </w:tc>
      </w:tr>
    </w:tbl>
    <w:p w14:paraId="6FA52FD6">
      <w:pPr>
        <w:autoSpaceDE w:val="0"/>
        <w:autoSpaceDN w:val="0"/>
        <w:adjustRightInd w:val="0"/>
        <w:spacing w:line="460" w:lineRule="atLeast"/>
        <w:rPr>
          <w:rFonts w:ascii="宋体" w:hAnsi="宋体"/>
          <w:color w:val="auto"/>
          <w:sz w:val="30"/>
          <w:highlight w:val="none"/>
          <w:lang w:val="zh-CN"/>
        </w:rPr>
      </w:pPr>
    </w:p>
    <w:p w14:paraId="1F2019CD">
      <w:pPr>
        <w:snapToGrid w:val="0"/>
        <w:spacing w:line="500" w:lineRule="atLeast"/>
        <w:rPr>
          <w:rFonts w:ascii="宋体" w:hAnsi="宋体"/>
          <w:color w:val="auto"/>
          <w:sz w:val="30"/>
          <w:szCs w:val="30"/>
          <w:highlight w:val="none"/>
        </w:rPr>
      </w:pPr>
    </w:p>
    <w:p w14:paraId="1F6DB699">
      <w:pPr>
        <w:snapToGrid w:val="0"/>
        <w:spacing w:line="500" w:lineRule="atLeast"/>
        <w:rPr>
          <w:rFonts w:ascii="宋体" w:hAnsi="宋体"/>
          <w:color w:val="auto"/>
          <w:sz w:val="30"/>
          <w:szCs w:val="30"/>
          <w:highlight w:val="none"/>
        </w:rPr>
      </w:pPr>
    </w:p>
    <w:p w14:paraId="2E5DE647">
      <w:pPr>
        <w:snapToGrid w:val="0"/>
        <w:spacing w:line="500" w:lineRule="atLeast"/>
        <w:rPr>
          <w:rFonts w:ascii="宋体" w:hAnsi="宋体"/>
          <w:color w:val="auto"/>
          <w:sz w:val="30"/>
          <w:szCs w:val="30"/>
          <w:highlight w:val="none"/>
        </w:rPr>
      </w:pPr>
      <w:r>
        <w:rPr>
          <w:rFonts w:hint="eastAsia" w:ascii="宋体" w:hAnsi="宋体"/>
          <w:color w:val="auto"/>
          <w:sz w:val="30"/>
          <w:szCs w:val="30"/>
          <w:highlight w:val="none"/>
        </w:rPr>
        <w:t>附件五</w:t>
      </w:r>
    </w:p>
    <w:p w14:paraId="4B550E41">
      <w:pPr>
        <w:snapToGrid w:val="0"/>
        <w:spacing w:line="500" w:lineRule="atLeast"/>
        <w:jc w:val="center"/>
        <w:rPr>
          <w:rFonts w:ascii="宋体" w:hAnsi="宋体"/>
          <w:color w:val="auto"/>
          <w:sz w:val="36"/>
          <w:szCs w:val="36"/>
          <w:highlight w:val="none"/>
          <w:lang w:val="zh-CN"/>
        </w:rPr>
      </w:pPr>
      <w:r>
        <w:rPr>
          <w:rFonts w:hint="eastAsia" w:ascii="宋体" w:hAnsi="宋体"/>
          <w:color w:val="auto"/>
          <w:sz w:val="36"/>
          <w:szCs w:val="36"/>
          <w:highlight w:val="none"/>
          <w:lang w:val="zh-CN"/>
        </w:rPr>
        <w:t>法定代表人诚信投标承诺书</w:t>
      </w:r>
    </w:p>
    <w:p w14:paraId="16FE7B19">
      <w:pPr>
        <w:spacing w:line="460" w:lineRule="atLeast"/>
        <w:jc w:val="left"/>
        <w:rPr>
          <w:rFonts w:ascii="宋体" w:hAnsi="宋体"/>
          <w:color w:val="auto"/>
          <w:sz w:val="22"/>
          <w:highlight w:val="none"/>
        </w:rPr>
      </w:pPr>
      <w:r>
        <w:rPr>
          <w:rFonts w:hint="eastAsia" w:ascii="宋体" w:hAnsi="宋体"/>
          <w:color w:val="auto"/>
          <w:sz w:val="22"/>
          <w:highlight w:val="none"/>
        </w:rPr>
        <w:t>本人以企业法定代表人的身份郑重承诺：</w:t>
      </w:r>
    </w:p>
    <w:p w14:paraId="02667875">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将遵循公开、公平、公正和诚信信用的原则参加</w:t>
      </w:r>
      <w:r>
        <w:rPr>
          <w:rFonts w:hint="eastAsia" w:ascii="宋体" w:hAnsi="宋体" w:cs="Calibri"/>
          <w:color w:val="auto"/>
          <w:sz w:val="22"/>
          <w:highlight w:val="none"/>
          <w:u w:val="single"/>
        </w:rPr>
        <w:t xml:space="preserve">              项目（采购编号：   ）标项    </w:t>
      </w:r>
      <w:r>
        <w:rPr>
          <w:rFonts w:hint="eastAsia" w:ascii="宋体" w:hAnsi="宋体"/>
          <w:color w:val="auto"/>
          <w:sz w:val="22"/>
          <w:highlight w:val="none"/>
        </w:rPr>
        <w:t>的投标；</w:t>
      </w:r>
    </w:p>
    <w:p w14:paraId="67EC621F">
      <w:pPr>
        <w:spacing w:line="460" w:lineRule="atLeast"/>
        <w:ind w:firstLine="440" w:firstLineChars="200"/>
        <w:jc w:val="left"/>
        <w:rPr>
          <w:rFonts w:ascii="宋体" w:hAnsi="宋体"/>
          <w:color w:val="auto"/>
          <w:sz w:val="22"/>
          <w:highlight w:val="none"/>
          <w:u w:val="single"/>
        </w:rPr>
      </w:pPr>
      <w:r>
        <w:rPr>
          <w:rFonts w:hint="eastAsia" w:ascii="宋体" w:hAnsi="宋体"/>
          <w:color w:val="auto"/>
          <w:sz w:val="22"/>
          <w:highlight w:val="none"/>
        </w:rPr>
        <w:t>一、杜绝以收取管理费等形式的一切挂靠、违法转包、分包行为；并选派有丰富经验、无不良行为记录的项目管理人员、技术人员，严格按磋商文件、磋商响应文件及合同等要求保证拟派人员的到岗率。</w:t>
      </w:r>
    </w:p>
    <w:p w14:paraId="5F80214C">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二、磋商响应文件所提供的一切材料都是真实、有效、合法的。</w:t>
      </w:r>
    </w:p>
    <w:p w14:paraId="49AF5FDB">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三、不与其他投标供应商相互串通投标报价，不排挤其他投标供应商的公平竞争，不损害采购人或其他投标供应商的合法权益。</w:t>
      </w:r>
    </w:p>
    <w:p w14:paraId="1BE9829E">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四、不与采购人或采购代理机构串通投标，不损害国家利益，社会公共利益或其他人的合法权益。</w:t>
      </w:r>
    </w:p>
    <w:p w14:paraId="36B712E6">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五、不向采购人或者评标委员会成员行贿以牟取中标。</w:t>
      </w:r>
    </w:p>
    <w:p w14:paraId="2BC78C40">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六、不以其他人名义投标或者以其他方式弄虚作假，骗取中标。</w:t>
      </w:r>
    </w:p>
    <w:p w14:paraId="3CE18C12">
      <w:pPr>
        <w:spacing w:line="460" w:lineRule="atLeast"/>
        <w:ind w:firstLine="440" w:firstLineChars="200"/>
        <w:jc w:val="left"/>
        <w:rPr>
          <w:rFonts w:ascii="宋体" w:hAnsi="宋体"/>
          <w:color w:val="auto"/>
          <w:sz w:val="22"/>
          <w:highlight w:val="none"/>
        </w:rPr>
      </w:pPr>
      <w:r>
        <w:rPr>
          <w:rFonts w:hint="eastAsia" w:ascii="宋体" w:hAnsi="宋体"/>
          <w:color w:val="auto"/>
          <w:sz w:val="22"/>
          <w:highlight w:val="none"/>
        </w:rPr>
        <w:t>七、不在开标后进行虚假恶意投诉。</w:t>
      </w:r>
    </w:p>
    <w:p w14:paraId="45B7371E">
      <w:pPr>
        <w:spacing w:line="460" w:lineRule="atLeast"/>
        <w:ind w:firstLine="440" w:firstLineChars="200"/>
        <w:jc w:val="left"/>
        <w:rPr>
          <w:rFonts w:ascii="宋体" w:hAnsi="宋体"/>
          <w:color w:val="auto"/>
          <w:sz w:val="22"/>
          <w:highlight w:val="none"/>
        </w:rPr>
      </w:pPr>
      <w:r>
        <w:rPr>
          <w:rFonts w:hint="eastAsia" w:ascii="宋体"/>
          <w:color w:val="auto"/>
          <w:sz w:val="22"/>
          <w:highlight w:val="none"/>
        </w:rPr>
        <w:t>八、我单位没有被政府机关</w:t>
      </w:r>
      <w:r>
        <w:rPr>
          <w:rFonts w:ascii="宋体"/>
          <w:color w:val="auto"/>
          <w:sz w:val="22"/>
          <w:highlight w:val="none"/>
        </w:rPr>
        <w:t>列入失信被执行人</w:t>
      </w:r>
      <w:r>
        <w:rPr>
          <w:rFonts w:hint="eastAsia" w:ascii="宋体"/>
          <w:color w:val="auto"/>
          <w:sz w:val="22"/>
          <w:highlight w:val="none"/>
        </w:rPr>
        <w:t>名单</w:t>
      </w:r>
      <w:r>
        <w:rPr>
          <w:rFonts w:ascii="宋体"/>
          <w:color w:val="auto"/>
          <w:sz w:val="22"/>
          <w:highlight w:val="none"/>
        </w:rPr>
        <w:t>、重大税收违法案件当事人名单、政府采购严重违法失信行为记录名单及其他不符合《中华人民共和国政府采购法》第二十二条规定条件</w:t>
      </w:r>
      <w:r>
        <w:rPr>
          <w:rFonts w:hint="eastAsia" w:ascii="宋体"/>
          <w:color w:val="auto"/>
          <w:sz w:val="22"/>
          <w:highlight w:val="none"/>
        </w:rPr>
        <w:t>的情形（《中华人民共和国政府采购法实施条例》第十九条规定的情形除外）。</w:t>
      </w:r>
    </w:p>
    <w:p w14:paraId="60584E2A">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本公司若有违反本承诺内容的行为，愿意承担法律责任，包括不限于：愿意接受相关行政主管部门作出的处罚；给采购人造成损失的，依法承担相应的赔偿责任。</w:t>
      </w:r>
    </w:p>
    <w:p w14:paraId="6B723DC9">
      <w:pPr>
        <w:spacing w:line="460" w:lineRule="atLeast"/>
        <w:ind w:right="1120"/>
        <w:rPr>
          <w:rFonts w:ascii="宋体" w:hAnsi="宋体"/>
          <w:color w:val="auto"/>
          <w:sz w:val="22"/>
          <w:highlight w:val="none"/>
        </w:rPr>
      </w:pPr>
    </w:p>
    <w:p w14:paraId="57388BBF">
      <w:pPr>
        <w:spacing w:line="460" w:lineRule="atLeast"/>
        <w:ind w:right="1120"/>
        <w:rPr>
          <w:rFonts w:ascii="宋体" w:hAnsi="宋体"/>
          <w:color w:val="auto"/>
          <w:sz w:val="22"/>
          <w:highlight w:val="none"/>
        </w:rPr>
      </w:pPr>
      <w:r>
        <w:rPr>
          <w:rFonts w:hint="eastAsia" w:ascii="宋体" w:hAnsi="宋体"/>
          <w:color w:val="auto"/>
          <w:sz w:val="22"/>
          <w:highlight w:val="none"/>
        </w:rPr>
        <w:t>投标供应商（盖章）</w:t>
      </w:r>
    </w:p>
    <w:p w14:paraId="50057D50">
      <w:pPr>
        <w:spacing w:line="460" w:lineRule="atLeast"/>
        <w:ind w:right="1120"/>
        <w:rPr>
          <w:rFonts w:ascii="宋体" w:hAnsi="宋体"/>
          <w:color w:val="auto"/>
          <w:sz w:val="22"/>
          <w:highlight w:val="none"/>
        </w:rPr>
      </w:pPr>
      <w:r>
        <w:rPr>
          <w:rFonts w:hint="eastAsia" w:ascii="宋体" w:hAnsi="宋体"/>
          <w:color w:val="auto"/>
          <w:sz w:val="22"/>
          <w:highlight w:val="none"/>
        </w:rPr>
        <w:t>法定代表人（签字或盖章）：</w:t>
      </w:r>
    </w:p>
    <w:p w14:paraId="4BC0796C">
      <w:pPr>
        <w:snapToGrid w:val="0"/>
        <w:spacing w:line="500" w:lineRule="atLeast"/>
        <w:rPr>
          <w:rFonts w:ascii="宋体" w:hAnsi="宋体"/>
          <w:color w:val="auto"/>
          <w:sz w:val="30"/>
          <w:szCs w:val="30"/>
          <w:highlight w:val="none"/>
        </w:rPr>
      </w:pPr>
      <w:r>
        <w:rPr>
          <w:rFonts w:hint="eastAsia" w:ascii="宋体" w:hAnsi="宋体"/>
          <w:color w:val="auto"/>
          <w:sz w:val="22"/>
          <w:highlight w:val="none"/>
        </w:rPr>
        <w:t xml:space="preserve">承诺书签署日期：  </w:t>
      </w:r>
    </w:p>
    <w:p w14:paraId="4609B307">
      <w:pPr>
        <w:autoSpaceDE w:val="0"/>
        <w:autoSpaceDN w:val="0"/>
        <w:adjustRightInd w:val="0"/>
        <w:spacing w:line="460" w:lineRule="atLeast"/>
        <w:jc w:val="left"/>
        <w:rPr>
          <w:rFonts w:ascii="宋体" w:hAnsi="宋体"/>
          <w:color w:val="auto"/>
          <w:sz w:val="32"/>
          <w:highlight w:val="none"/>
        </w:rPr>
      </w:pPr>
    </w:p>
    <w:p w14:paraId="5B3400F8">
      <w:pPr>
        <w:autoSpaceDE w:val="0"/>
        <w:autoSpaceDN w:val="0"/>
        <w:adjustRightInd w:val="0"/>
        <w:spacing w:line="460" w:lineRule="atLeast"/>
        <w:rPr>
          <w:rFonts w:ascii="宋体" w:hAnsi="宋体"/>
          <w:color w:val="auto"/>
          <w:sz w:val="30"/>
          <w:highlight w:val="none"/>
          <w:lang w:val="zh-CN"/>
        </w:rPr>
      </w:pPr>
    </w:p>
    <w:p w14:paraId="4AF00F4F">
      <w:pPr>
        <w:autoSpaceDE w:val="0"/>
        <w:autoSpaceDN w:val="0"/>
        <w:adjustRightInd w:val="0"/>
        <w:spacing w:line="460" w:lineRule="atLeast"/>
        <w:rPr>
          <w:rFonts w:ascii="宋体" w:hAnsi="宋体"/>
          <w:color w:val="auto"/>
          <w:sz w:val="30"/>
          <w:highlight w:val="none"/>
          <w:lang w:val="zh-CN"/>
        </w:rPr>
      </w:pPr>
    </w:p>
    <w:p w14:paraId="41D56858">
      <w:pPr>
        <w:autoSpaceDE w:val="0"/>
        <w:autoSpaceDN w:val="0"/>
        <w:adjustRightInd w:val="0"/>
        <w:spacing w:line="460" w:lineRule="atLeast"/>
        <w:rPr>
          <w:rFonts w:ascii="宋体" w:hAnsi="宋体"/>
          <w:color w:val="auto"/>
          <w:sz w:val="30"/>
          <w:highlight w:val="none"/>
          <w:lang w:val="zh-CN"/>
        </w:rPr>
      </w:pPr>
    </w:p>
    <w:p w14:paraId="35BA00ED">
      <w:pPr>
        <w:autoSpaceDE w:val="0"/>
        <w:autoSpaceDN w:val="0"/>
        <w:adjustRightInd w:val="0"/>
        <w:spacing w:line="460" w:lineRule="atLeast"/>
        <w:rPr>
          <w:rFonts w:ascii="宋体" w:hAnsi="宋体"/>
          <w:color w:val="auto"/>
          <w:sz w:val="30"/>
          <w:highlight w:val="none"/>
          <w:lang w:val="zh-CN"/>
        </w:rPr>
      </w:pPr>
    </w:p>
    <w:p w14:paraId="2C02BB44">
      <w:pPr>
        <w:autoSpaceDE w:val="0"/>
        <w:autoSpaceDN w:val="0"/>
        <w:adjustRightInd w:val="0"/>
        <w:spacing w:line="460" w:lineRule="atLeast"/>
        <w:rPr>
          <w:rFonts w:ascii="宋体" w:hAnsi="宋体"/>
          <w:color w:val="auto"/>
          <w:sz w:val="30"/>
          <w:highlight w:val="none"/>
          <w:lang w:val="zh-CN"/>
        </w:rPr>
      </w:pPr>
    </w:p>
    <w:p w14:paraId="3D745CA7">
      <w:pPr>
        <w:autoSpaceDE w:val="0"/>
        <w:autoSpaceDN w:val="0"/>
        <w:adjustRightInd w:val="0"/>
        <w:spacing w:line="460" w:lineRule="atLeast"/>
        <w:jc w:val="left"/>
        <w:rPr>
          <w:rFonts w:ascii="宋体" w:hAnsi="宋体"/>
          <w:color w:val="auto"/>
          <w:sz w:val="32"/>
          <w:highlight w:val="none"/>
        </w:rPr>
      </w:pPr>
    </w:p>
    <w:p w14:paraId="42A9E756">
      <w:pPr>
        <w:autoSpaceDE w:val="0"/>
        <w:autoSpaceDN w:val="0"/>
        <w:adjustRightInd w:val="0"/>
        <w:spacing w:line="460" w:lineRule="atLeast"/>
        <w:jc w:val="left"/>
        <w:rPr>
          <w:rFonts w:hAnsi="宋体"/>
          <w:color w:val="auto"/>
          <w:sz w:val="32"/>
          <w:highlight w:val="none"/>
        </w:rPr>
      </w:pPr>
      <w:r>
        <w:rPr>
          <w:rFonts w:ascii="宋体" w:hAnsi="宋体"/>
          <w:color w:val="auto"/>
          <w:sz w:val="32"/>
          <w:highlight w:val="none"/>
        </w:rPr>
        <w:t>附件</w:t>
      </w:r>
      <w:r>
        <w:rPr>
          <w:rFonts w:hint="eastAsia" w:ascii="宋体" w:hAnsi="宋体"/>
          <w:color w:val="auto"/>
          <w:sz w:val="32"/>
          <w:highlight w:val="none"/>
        </w:rPr>
        <w:t>六</w:t>
      </w:r>
    </w:p>
    <w:p w14:paraId="19886D57">
      <w:pPr>
        <w:pStyle w:val="25"/>
        <w:spacing w:line="440" w:lineRule="atLeast"/>
        <w:jc w:val="center"/>
        <w:rPr>
          <w:rFonts w:hAnsi="宋体" w:cs="Arial"/>
          <w:bCs/>
          <w:color w:val="auto"/>
          <w:sz w:val="36"/>
          <w:szCs w:val="36"/>
          <w:highlight w:val="none"/>
        </w:rPr>
      </w:pPr>
      <w:r>
        <w:rPr>
          <w:rFonts w:hint="eastAsia" w:hAnsi="宋体"/>
          <w:color w:val="auto"/>
          <w:kern w:val="0"/>
          <w:sz w:val="36"/>
          <w:szCs w:val="36"/>
          <w:highlight w:val="none"/>
        </w:rPr>
        <w:t>投标供应商业绩（分标项提供）</w:t>
      </w:r>
    </w:p>
    <w:p w14:paraId="4B0E306B">
      <w:pPr>
        <w:spacing w:line="360" w:lineRule="exact"/>
        <w:jc w:val="center"/>
        <w:rPr>
          <w:rFonts w:ascii="宋体" w:hAnsi="宋体"/>
          <w:color w:val="auto"/>
          <w:kern w:val="0"/>
          <w:sz w:val="32"/>
          <w:szCs w:val="20"/>
          <w:highlight w:val="none"/>
        </w:rPr>
      </w:pPr>
      <w:r>
        <w:rPr>
          <w:rFonts w:hint="eastAsia" w:hAnsi="宋体"/>
          <w:color w:val="auto"/>
          <w:sz w:val="22"/>
          <w:szCs w:val="22"/>
          <w:highlight w:val="none"/>
        </w:rPr>
        <w:t>（具体要求见评分细则，如有则提供）</w:t>
      </w:r>
    </w:p>
    <w:tbl>
      <w:tblPr>
        <w:tblStyle w:val="46"/>
        <w:tblW w:w="966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18"/>
        <w:gridCol w:w="1481"/>
        <w:gridCol w:w="1354"/>
        <w:gridCol w:w="1275"/>
        <w:gridCol w:w="1276"/>
        <w:gridCol w:w="1418"/>
        <w:gridCol w:w="715"/>
      </w:tblGrid>
      <w:tr w14:paraId="563C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23" w:type="dxa"/>
            <w:vAlign w:val="center"/>
          </w:tcPr>
          <w:p w14:paraId="207AECF5">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aps/>
                <w:color w:val="auto"/>
                <w:spacing w:val="20"/>
                <w:sz w:val="22"/>
                <w:szCs w:val="22"/>
                <w:highlight w:val="none"/>
              </w:rPr>
            </w:pPr>
            <w:r>
              <w:rPr>
                <w:rFonts w:hint="eastAsia" w:ascii="宋体" w:hAnsi="宋体" w:cs="宋体"/>
                <w:caps/>
                <w:color w:val="auto"/>
                <w:spacing w:val="20"/>
                <w:sz w:val="22"/>
                <w:szCs w:val="22"/>
                <w:highlight w:val="none"/>
              </w:rPr>
              <w:t>序号</w:t>
            </w:r>
          </w:p>
        </w:tc>
        <w:tc>
          <w:tcPr>
            <w:tcW w:w="1418" w:type="dxa"/>
            <w:vAlign w:val="center"/>
          </w:tcPr>
          <w:p w14:paraId="32D03D8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r>
              <w:rPr>
                <w:rFonts w:hint="eastAsia" w:ascii="宋体" w:hAnsi="宋体" w:cs="宋体"/>
                <w:color w:val="auto"/>
                <w:spacing w:val="20"/>
                <w:sz w:val="22"/>
                <w:szCs w:val="22"/>
                <w:highlight w:val="none"/>
              </w:rPr>
              <w:t>采购单位</w:t>
            </w:r>
          </w:p>
        </w:tc>
        <w:tc>
          <w:tcPr>
            <w:tcW w:w="1481" w:type="dxa"/>
            <w:vAlign w:val="center"/>
          </w:tcPr>
          <w:p w14:paraId="32A2E280">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aps/>
                <w:color w:val="auto"/>
                <w:spacing w:val="20"/>
                <w:sz w:val="22"/>
                <w:szCs w:val="22"/>
                <w:highlight w:val="none"/>
              </w:rPr>
            </w:pPr>
            <w:r>
              <w:rPr>
                <w:rFonts w:hint="eastAsia" w:ascii="宋体" w:hAnsi="宋体" w:cs="宋体"/>
                <w:caps/>
                <w:color w:val="auto"/>
                <w:spacing w:val="20"/>
                <w:sz w:val="22"/>
                <w:szCs w:val="22"/>
                <w:highlight w:val="none"/>
              </w:rPr>
              <w:t>项目名称</w:t>
            </w:r>
          </w:p>
        </w:tc>
        <w:tc>
          <w:tcPr>
            <w:tcW w:w="1354" w:type="dxa"/>
            <w:vAlign w:val="center"/>
          </w:tcPr>
          <w:p w14:paraId="26022B3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aps/>
                <w:color w:val="auto"/>
                <w:spacing w:val="20"/>
                <w:sz w:val="22"/>
                <w:szCs w:val="22"/>
                <w:highlight w:val="none"/>
              </w:rPr>
            </w:pPr>
            <w:r>
              <w:rPr>
                <w:rFonts w:hint="eastAsia" w:ascii="宋体" w:hAnsi="宋体" w:cs="宋体"/>
                <w:caps/>
                <w:color w:val="auto"/>
                <w:spacing w:val="20"/>
                <w:sz w:val="22"/>
                <w:szCs w:val="22"/>
                <w:highlight w:val="none"/>
              </w:rPr>
              <w:t>合同金额</w:t>
            </w:r>
          </w:p>
        </w:tc>
        <w:tc>
          <w:tcPr>
            <w:tcW w:w="1275" w:type="dxa"/>
            <w:vAlign w:val="center"/>
          </w:tcPr>
          <w:p w14:paraId="06F0507D">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r>
              <w:rPr>
                <w:rFonts w:hint="eastAsia" w:ascii="宋体" w:hAnsi="宋体" w:cs="宋体"/>
                <w:color w:val="auto"/>
                <w:spacing w:val="20"/>
                <w:sz w:val="22"/>
                <w:szCs w:val="22"/>
                <w:highlight w:val="none"/>
              </w:rPr>
              <w:t>签约日期</w:t>
            </w:r>
          </w:p>
        </w:tc>
        <w:tc>
          <w:tcPr>
            <w:tcW w:w="1276" w:type="dxa"/>
            <w:vAlign w:val="center"/>
          </w:tcPr>
          <w:p w14:paraId="1F590BDA">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r>
              <w:rPr>
                <w:rFonts w:hint="eastAsia" w:ascii="宋体" w:hAnsi="宋体" w:cs="宋体"/>
                <w:color w:val="auto"/>
                <w:spacing w:val="20"/>
                <w:sz w:val="22"/>
                <w:szCs w:val="22"/>
                <w:highlight w:val="none"/>
              </w:rPr>
              <w:t>联系人</w:t>
            </w:r>
          </w:p>
        </w:tc>
        <w:tc>
          <w:tcPr>
            <w:tcW w:w="1418" w:type="dxa"/>
            <w:vAlign w:val="center"/>
          </w:tcPr>
          <w:p w14:paraId="47D67372">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r>
              <w:rPr>
                <w:rFonts w:hint="eastAsia" w:ascii="宋体" w:hAnsi="宋体" w:cs="宋体"/>
                <w:color w:val="auto"/>
                <w:spacing w:val="20"/>
                <w:sz w:val="22"/>
                <w:szCs w:val="22"/>
                <w:highlight w:val="none"/>
              </w:rPr>
              <w:t>联系电话</w:t>
            </w:r>
          </w:p>
        </w:tc>
        <w:tc>
          <w:tcPr>
            <w:tcW w:w="715" w:type="dxa"/>
            <w:vAlign w:val="center"/>
          </w:tcPr>
          <w:p w14:paraId="4847A7DF">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备注</w:t>
            </w:r>
          </w:p>
        </w:tc>
      </w:tr>
      <w:tr w14:paraId="039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38D7535D">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4938F4A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319291F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7EA633DB">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4F4A0218">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6E6D18DE">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0FC43321">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6F82B30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2097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7A18657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67769411">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28BF531C">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0F7F8524">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1007E255">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2953C0E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7A4215FE">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290FE62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3BB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14E49285">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7118276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59F966BF">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619BD60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55AF3F42">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3CC9AAAC">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21E34CF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777ABE81">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5D8F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1CA8119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5EE60D81">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250F4A25">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020E055B">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44EDF254">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220052C7">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08177737">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30ECB68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1736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3A1F4C74">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1569F35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5E9441E1">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24861087">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4F6FD0E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7D03922A">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4DE78532">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0A8BB1F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358C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447FC5EE">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02FC4E05">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29EAE68F">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122300C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043E3247">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2AEF7AB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43BB7EEC">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717B85B2">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5C05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3C15250D">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6DAFC495">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2FF20587">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046BC061">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428CB575">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1382F14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1599C75D">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59CAF3F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7ECD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57A2DC10">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1017EF7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55F3FC2B">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60DF834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35545205">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28486E0D">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5491D1FE">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1AEDDBDA">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55B8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13692C1C">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78CCFC9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57E1DF6D">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68CDB4FB">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5C05EAC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45B5864E">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23ADB2FE">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779FC755">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0154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0E58BE68">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774590E0">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2F918BC2">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6F2BE94C">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5C4DABCE">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2C43B11E">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71835D0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561FBE6D">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2B03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49D6FEDD">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18A0ACC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42491903">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641DAB1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4A3BDE4A">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3800722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28FFFA3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3357D978">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5630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vAlign w:val="center"/>
          </w:tcPr>
          <w:p w14:paraId="50987FCA">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4496BD70">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38146B3C">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727D9126">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2E666DB8">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2F462E6C">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67287472">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27DF50CE">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r w14:paraId="7744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3" w:type="dxa"/>
            <w:vAlign w:val="center"/>
          </w:tcPr>
          <w:p w14:paraId="6C80D329">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1C0F49DB">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81" w:type="dxa"/>
            <w:vAlign w:val="center"/>
          </w:tcPr>
          <w:p w14:paraId="01D02EF2">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354" w:type="dxa"/>
            <w:vAlign w:val="center"/>
          </w:tcPr>
          <w:p w14:paraId="0DDE32F7">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5" w:type="dxa"/>
            <w:vAlign w:val="center"/>
          </w:tcPr>
          <w:p w14:paraId="2D2159D4">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276" w:type="dxa"/>
            <w:vAlign w:val="center"/>
          </w:tcPr>
          <w:p w14:paraId="49D7265C">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1418" w:type="dxa"/>
            <w:vAlign w:val="center"/>
          </w:tcPr>
          <w:p w14:paraId="396FB4D2">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c>
          <w:tcPr>
            <w:tcW w:w="715" w:type="dxa"/>
            <w:vAlign w:val="center"/>
          </w:tcPr>
          <w:p w14:paraId="3537BA14">
            <w:pPr>
              <w:keepNext w:val="0"/>
              <w:keepLines w:val="0"/>
              <w:suppressLineNumbers w:val="0"/>
              <w:tabs>
                <w:tab w:val="left" w:pos="4140"/>
              </w:tabs>
              <w:adjustRightInd w:val="0"/>
              <w:snapToGrid w:val="0"/>
              <w:spacing w:before="0" w:beforeAutospacing="0" w:after="0" w:afterAutospacing="0" w:line="320" w:lineRule="atLeast"/>
              <w:ind w:left="0" w:right="0"/>
              <w:jc w:val="center"/>
              <w:rPr>
                <w:rFonts w:hint="default" w:ascii="宋体" w:hAnsi="宋体" w:cs="宋体"/>
                <w:color w:val="auto"/>
                <w:spacing w:val="20"/>
                <w:sz w:val="22"/>
                <w:szCs w:val="22"/>
                <w:highlight w:val="none"/>
              </w:rPr>
            </w:pPr>
          </w:p>
        </w:tc>
      </w:tr>
    </w:tbl>
    <w:p w14:paraId="54D11061">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注：1、表格可以延续。</w:t>
      </w:r>
    </w:p>
    <w:p w14:paraId="44807B92">
      <w:pPr>
        <w:spacing w:line="380" w:lineRule="exact"/>
        <w:rPr>
          <w:rFonts w:ascii="宋体" w:hAnsi="宋体" w:cs="宋体"/>
          <w:color w:val="auto"/>
          <w:sz w:val="22"/>
          <w:szCs w:val="22"/>
          <w:highlight w:val="none"/>
        </w:rPr>
      </w:pPr>
    </w:p>
    <w:p w14:paraId="44768AD9">
      <w:pPr>
        <w:spacing w:line="380" w:lineRule="exact"/>
        <w:rPr>
          <w:rFonts w:ascii="宋体" w:hAnsi="宋体" w:cs="宋体"/>
          <w:color w:val="auto"/>
          <w:sz w:val="22"/>
          <w:szCs w:val="22"/>
          <w:highlight w:val="none"/>
        </w:rPr>
      </w:pPr>
    </w:p>
    <w:p w14:paraId="4589DC79">
      <w:pPr>
        <w:spacing w:line="380" w:lineRule="exact"/>
        <w:rPr>
          <w:rFonts w:ascii="宋体" w:hAnsi="宋体" w:cs="宋体"/>
          <w:color w:val="auto"/>
          <w:sz w:val="22"/>
          <w:szCs w:val="22"/>
          <w:highlight w:val="none"/>
        </w:rPr>
      </w:pPr>
      <w:r>
        <w:rPr>
          <w:rFonts w:hint="eastAsia" w:ascii="宋体" w:hAnsi="宋体"/>
          <w:color w:val="auto"/>
          <w:spacing w:val="20"/>
          <w:kern w:val="0"/>
          <w:sz w:val="22"/>
          <w:szCs w:val="22"/>
          <w:highlight w:val="none"/>
        </w:rPr>
        <w:t>供应商盖章：</w:t>
      </w:r>
      <w:r>
        <w:rPr>
          <w:rFonts w:hint="eastAsia" w:ascii="宋体" w:hAnsi="宋体"/>
          <w:color w:val="auto"/>
          <w:spacing w:val="20"/>
          <w:kern w:val="0"/>
          <w:sz w:val="22"/>
          <w:szCs w:val="22"/>
          <w:highlight w:val="none"/>
          <w:u w:val="single"/>
        </w:rPr>
        <w:t xml:space="preserve">           </w:t>
      </w:r>
    </w:p>
    <w:p w14:paraId="6ACA77CE">
      <w:pPr>
        <w:pStyle w:val="25"/>
        <w:spacing w:line="440" w:lineRule="atLeast"/>
        <w:jc w:val="center"/>
        <w:rPr>
          <w:rFonts w:hAnsi="宋体" w:cs="Arial"/>
          <w:bCs/>
          <w:color w:val="auto"/>
          <w:sz w:val="36"/>
          <w:szCs w:val="36"/>
          <w:highlight w:val="none"/>
        </w:rPr>
      </w:pPr>
    </w:p>
    <w:p w14:paraId="1040A280">
      <w:pPr>
        <w:pStyle w:val="25"/>
        <w:spacing w:line="440" w:lineRule="atLeast"/>
        <w:jc w:val="center"/>
        <w:rPr>
          <w:rFonts w:hAnsi="宋体" w:cs="Arial"/>
          <w:bCs/>
          <w:color w:val="auto"/>
          <w:sz w:val="36"/>
          <w:szCs w:val="36"/>
          <w:highlight w:val="none"/>
        </w:rPr>
      </w:pPr>
    </w:p>
    <w:p w14:paraId="7FC87630">
      <w:pPr>
        <w:autoSpaceDE w:val="0"/>
        <w:autoSpaceDN w:val="0"/>
        <w:adjustRightInd w:val="0"/>
        <w:spacing w:line="360" w:lineRule="exact"/>
        <w:jc w:val="left"/>
        <w:outlineLvl w:val="0"/>
        <w:rPr>
          <w:rFonts w:ascii="宋体"/>
          <w:color w:val="auto"/>
          <w:sz w:val="30"/>
          <w:highlight w:val="none"/>
        </w:rPr>
      </w:pPr>
      <w:r>
        <w:rPr>
          <w:rFonts w:hAnsi="宋体" w:cs="Arial"/>
          <w:bCs/>
          <w:color w:val="auto"/>
          <w:sz w:val="22"/>
          <w:szCs w:val="22"/>
          <w:highlight w:val="none"/>
        </w:rPr>
        <w:br w:type="page"/>
      </w:r>
      <w:r>
        <w:rPr>
          <w:rFonts w:hint="eastAsia" w:ascii="宋体"/>
          <w:color w:val="auto"/>
          <w:sz w:val="30"/>
          <w:highlight w:val="none"/>
        </w:rPr>
        <w:t>附件七</w:t>
      </w:r>
    </w:p>
    <w:p w14:paraId="6D050885">
      <w:pPr>
        <w:autoSpaceDE w:val="0"/>
        <w:autoSpaceDN w:val="0"/>
        <w:adjustRightInd w:val="0"/>
        <w:spacing w:line="360" w:lineRule="exact"/>
        <w:jc w:val="center"/>
        <w:rPr>
          <w:rFonts w:ascii="宋体"/>
          <w:color w:val="auto"/>
          <w:sz w:val="32"/>
          <w:highlight w:val="none"/>
          <w:lang w:val="zh-CN"/>
        </w:rPr>
      </w:pPr>
      <w:r>
        <w:rPr>
          <w:rFonts w:hint="eastAsia" w:ascii="宋体"/>
          <w:color w:val="auto"/>
          <w:sz w:val="32"/>
          <w:highlight w:val="none"/>
          <w:lang w:val="zh-CN"/>
        </w:rPr>
        <w:t>（一）商务偏离表（分标项提供）</w:t>
      </w:r>
    </w:p>
    <w:p w14:paraId="3CEAC53A">
      <w:pPr>
        <w:autoSpaceDE w:val="0"/>
        <w:autoSpaceDN w:val="0"/>
        <w:adjustRightInd w:val="0"/>
        <w:spacing w:line="360" w:lineRule="exact"/>
        <w:ind w:firstLine="3413"/>
        <w:rPr>
          <w:rFonts w:ascii="宋体"/>
          <w:color w:val="auto"/>
          <w:sz w:val="32"/>
          <w:highlight w:val="none"/>
          <w:lang w:val="zh-CN"/>
        </w:rPr>
      </w:pPr>
      <w:r>
        <w:rPr>
          <w:rFonts w:hint="eastAsia" w:ascii="宋体"/>
          <w:color w:val="auto"/>
          <w:sz w:val="32"/>
          <w:highlight w:val="none"/>
          <w:lang w:val="zh-CN"/>
        </w:rPr>
        <w:t xml:space="preserve">      </w:t>
      </w:r>
    </w:p>
    <w:tbl>
      <w:tblPr>
        <w:tblStyle w:val="4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360"/>
        <w:gridCol w:w="2360"/>
        <w:gridCol w:w="2361"/>
      </w:tblGrid>
      <w:tr w14:paraId="2E30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vAlign w:val="center"/>
          </w:tcPr>
          <w:p w14:paraId="37427AC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r>
              <w:rPr>
                <w:rFonts w:hint="eastAsia" w:ascii="宋体"/>
                <w:color w:val="auto"/>
                <w:sz w:val="24"/>
                <w:highlight w:val="none"/>
                <w:lang w:val="zh-CN"/>
              </w:rPr>
              <w:t>序 号</w:t>
            </w:r>
          </w:p>
        </w:tc>
        <w:tc>
          <w:tcPr>
            <w:tcW w:w="1620" w:type="dxa"/>
            <w:vAlign w:val="center"/>
          </w:tcPr>
          <w:p w14:paraId="17208EC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r>
              <w:rPr>
                <w:rFonts w:hint="eastAsia" w:ascii="宋体"/>
                <w:color w:val="auto"/>
                <w:sz w:val="24"/>
                <w:highlight w:val="none"/>
                <w:lang w:val="zh-CN"/>
              </w:rPr>
              <w:t>内容</w:t>
            </w:r>
          </w:p>
        </w:tc>
        <w:tc>
          <w:tcPr>
            <w:tcW w:w="2360" w:type="dxa"/>
            <w:vAlign w:val="center"/>
          </w:tcPr>
          <w:p w14:paraId="11AE294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r>
              <w:rPr>
                <w:rFonts w:hint="eastAsia" w:ascii="宋体"/>
                <w:color w:val="auto"/>
                <w:sz w:val="24"/>
                <w:highlight w:val="none"/>
                <w:lang w:val="zh-CN"/>
              </w:rPr>
              <w:t>磋商文件要求</w:t>
            </w:r>
          </w:p>
        </w:tc>
        <w:tc>
          <w:tcPr>
            <w:tcW w:w="2360" w:type="dxa"/>
            <w:vAlign w:val="center"/>
          </w:tcPr>
          <w:p w14:paraId="72D9B182">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r>
              <w:rPr>
                <w:rFonts w:hint="eastAsia" w:ascii="宋体"/>
                <w:color w:val="auto"/>
                <w:sz w:val="24"/>
                <w:highlight w:val="none"/>
                <w:lang w:val="zh-CN"/>
              </w:rPr>
              <w:t>响应文件响应情况</w:t>
            </w:r>
          </w:p>
        </w:tc>
        <w:tc>
          <w:tcPr>
            <w:tcW w:w="2361" w:type="dxa"/>
            <w:vAlign w:val="center"/>
          </w:tcPr>
          <w:p w14:paraId="64C5CC8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r>
              <w:rPr>
                <w:rFonts w:hint="eastAsia" w:ascii="宋体"/>
                <w:color w:val="auto"/>
                <w:sz w:val="24"/>
                <w:highlight w:val="none"/>
                <w:lang w:val="zh-CN"/>
              </w:rPr>
              <w:t>备 注</w:t>
            </w:r>
          </w:p>
        </w:tc>
      </w:tr>
      <w:tr w14:paraId="281E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0BB2799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1620" w:type="dxa"/>
          </w:tcPr>
          <w:p w14:paraId="290B778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74C22E1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1ACEC573">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1" w:type="dxa"/>
          </w:tcPr>
          <w:p w14:paraId="44D3BCC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r>
      <w:tr w14:paraId="668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tcPr>
          <w:p w14:paraId="207B95E8">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1620" w:type="dxa"/>
          </w:tcPr>
          <w:p w14:paraId="655E9DF8">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66DE334B">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3F24D59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1" w:type="dxa"/>
          </w:tcPr>
          <w:p w14:paraId="63F6B24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r>
      <w:tr w14:paraId="2D26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2D72F69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1620" w:type="dxa"/>
          </w:tcPr>
          <w:p w14:paraId="560091A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130EC87B">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39F62BB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1" w:type="dxa"/>
          </w:tcPr>
          <w:p w14:paraId="6C664F42">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r>
      <w:tr w14:paraId="0C3E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36D1CE4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1620" w:type="dxa"/>
          </w:tcPr>
          <w:p w14:paraId="4CB0922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149B4132">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4DDF8423">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1" w:type="dxa"/>
          </w:tcPr>
          <w:p w14:paraId="6D4409D8">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r>
      <w:tr w14:paraId="7CCE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1E9A7B3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1620" w:type="dxa"/>
          </w:tcPr>
          <w:p w14:paraId="61018AC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12AA6E1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3A98C09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1" w:type="dxa"/>
          </w:tcPr>
          <w:p w14:paraId="7544AD8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r>
      <w:tr w14:paraId="247E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tcPr>
          <w:p w14:paraId="5157511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1620" w:type="dxa"/>
          </w:tcPr>
          <w:p w14:paraId="52E6418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3578034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73494072">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1" w:type="dxa"/>
          </w:tcPr>
          <w:p w14:paraId="449DD50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r>
      <w:tr w14:paraId="7180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tcPr>
          <w:p w14:paraId="4A4AE4B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1620" w:type="dxa"/>
          </w:tcPr>
          <w:p w14:paraId="79BC0FEB">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518F376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0" w:type="dxa"/>
          </w:tcPr>
          <w:p w14:paraId="32AD056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c>
          <w:tcPr>
            <w:tcW w:w="2361" w:type="dxa"/>
          </w:tcPr>
          <w:p w14:paraId="35CBD5B3">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p>
        </w:tc>
      </w:tr>
    </w:tbl>
    <w:p w14:paraId="6E08579F">
      <w:pPr>
        <w:autoSpaceDE w:val="0"/>
        <w:autoSpaceDN w:val="0"/>
        <w:adjustRightInd w:val="0"/>
        <w:spacing w:line="360" w:lineRule="exact"/>
        <w:rPr>
          <w:rFonts w:ascii="宋体"/>
          <w:color w:val="auto"/>
          <w:sz w:val="24"/>
          <w:highlight w:val="none"/>
          <w:lang w:val="zh-CN"/>
        </w:rPr>
      </w:pPr>
      <w:r>
        <w:rPr>
          <w:rFonts w:hint="eastAsia" w:ascii="宋体"/>
          <w:color w:val="auto"/>
          <w:sz w:val="22"/>
          <w:highlight w:val="none"/>
          <w:lang w:val="zh-CN"/>
        </w:rPr>
        <w:t>供应商盖章：</w:t>
      </w:r>
      <w:r>
        <w:rPr>
          <w:rFonts w:hint="eastAsia" w:ascii="宋体"/>
          <w:color w:val="auto"/>
          <w:sz w:val="24"/>
          <w:highlight w:val="none"/>
          <w:u w:val="single"/>
          <w:lang w:val="zh-CN"/>
        </w:rPr>
        <w:t xml:space="preserve">              </w:t>
      </w:r>
      <w:r>
        <w:rPr>
          <w:rFonts w:hint="eastAsia" w:ascii="宋体"/>
          <w:color w:val="auto"/>
          <w:sz w:val="24"/>
          <w:highlight w:val="none"/>
          <w:lang w:val="zh-CN"/>
        </w:rPr>
        <w:t xml:space="preserve">  </w:t>
      </w:r>
    </w:p>
    <w:p w14:paraId="2E57E60F">
      <w:pPr>
        <w:autoSpaceDE w:val="0"/>
        <w:autoSpaceDN w:val="0"/>
        <w:adjustRightInd w:val="0"/>
        <w:spacing w:line="360" w:lineRule="exact"/>
        <w:rPr>
          <w:rFonts w:ascii="宋体"/>
          <w:color w:val="auto"/>
          <w:sz w:val="32"/>
          <w:highlight w:val="none"/>
          <w:lang w:val="zh-CN"/>
        </w:rPr>
      </w:pPr>
    </w:p>
    <w:p w14:paraId="58CDF99A">
      <w:pPr>
        <w:autoSpaceDE w:val="0"/>
        <w:autoSpaceDN w:val="0"/>
        <w:adjustRightInd w:val="0"/>
        <w:spacing w:line="360" w:lineRule="exact"/>
        <w:rPr>
          <w:rFonts w:ascii="宋体"/>
          <w:color w:val="auto"/>
          <w:sz w:val="32"/>
          <w:highlight w:val="none"/>
          <w:lang w:val="zh-CN"/>
        </w:rPr>
      </w:pPr>
    </w:p>
    <w:p w14:paraId="4C2538D0">
      <w:pPr>
        <w:autoSpaceDE w:val="0"/>
        <w:autoSpaceDN w:val="0"/>
        <w:adjustRightInd w:val="0"/>
        <w:spacing w:line="360" w:lineRule="exact"/>
        <w:jc w:val="center"/>
        <w:rPr>
          <w:rFonts w:ascii="宋体"/>
          <w:color w:val="auto"/>
          <w:sz w:val="32"/>
          <w:highlight w:val="none"/>
          <w:lang w:val="zh-CN"/>
        </w:rPr>
      </w:pPr>
      <w:r>
        <w:rPr>
          <w:rFonts w:hint="eastAsia" w:ascii="宋体"/>
          <w:color w:val="auto"/>
          <w:sz w:val="32"/>
          <w:highlight w:val="none"/>
          <w:lang w:val="zh-CN"/>
        </w:rPr>
        <w:t>（二）技术偏离表（分标项提供）</w:t>
      </w:r>
    </w:p>
    <w:p w14:paraId="3ED93F65">
      <w:pPr>
        <w:autoSpaceDE w:val="0"/>
        <w:autoSpaceDN w:val="0"/>
        <w:adjustRightInd w:val="0"/>
        <w:spacing w:line="360" w:lineRule="exact"/>
        <w:jc w:val="center"/>
        <w:rPr>
          <w:rFonts w:ascii="宋体"/>
          <w:color w:val="auto"/>
          <w:sz w:val="32"/>
          <w:highlight w:val="none"/>
          <w:lang w:val="zh-CN"/>
        </w:rPr>
      </w:pPr>
    </w:p>
    <w:tbl>
      <w:tblPr>
        <w:tblStyle w:val="4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360"/>
        <w:gridCol w:w="2360"/>
        <w:gridCol w:w="2361"/>
      </w:tblGrid>
      <w:tr w14:paraId="7DBB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80" w:type="dxa"/>
            <w:vAlign w:val="center"/>
          </w:tcPr>
          <w:p w14:paraId="5D373AF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r>
              <w:rPr>
                <w:rFonts w:hint="eastAsia" w:ascii="宋体"/>
                <w:color w:val="auto"/>
                <w:sz w:val="24"/>
                <w:highlight w:val="none"/>
                <w:lang w:val="zh-CN"/>
              </w:rPr>
              <w:t>序 号</w:t>
            </w:r>
          </w:p>
        </w:tc>
        <w:tc>
          <w:tcPr>
            <w:tcW w:w="1620" w:type="dxa"/>
            <w:vAlign w:val="center"/>
          </w:tcPr>
          <w:p w14:paraId="660C469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r>
              <w:rPr>
                <w:rFonts w:hint="eastAsia" w:ascii="宋体"/>
                <w:color w:val="auto"/>
                <w:sz w:val="24"/>
                <w:highlight w:val="none"/>
                <w:lang w:val="zh-CN"/>
              </w:rPr>
              <w:t>内容</w:t>
            </w:r>
          </w:p>
        </w:tc>
        <w:tc>
          <w:tcPr>
            <w:tcW w:w="2360" w:type="dxa"/>
            <w:vAlign w:val="center"/>
          </w:tcPr>
          <w:p w14:paraId="359EE4CC">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color w:val="auto"/>
                <w:sz w:val="24"/>
                <w:highlight w:val="none"/>
                <w:lang w:val="zh-CN"/>
              </w:rPr>
            </w:pPr>
            <w:r>
              <w:rPr>
                <w:rFonts w:hint="eastAsia" w:ascii="宋体"/>
                <w:color w:val="auto"/>
                <w:sz w:val="24"/>
                <w:highlight w:val="none"/>
                <w:lang w:val="zh-CN"/>
              </w:rPr>
              <w:t>磋商文件要求</w:t>
            </w:r>
          </w:p>
        </w:tc>
        <w:tc>
          <w:tcPr>
            <w:tcW w:w="2360" w:type="dxa"/>
            <w:vAlign w:val="center"/>
          </w:tcPr>
          <w:p w14:paraId="71ACE6F1">
            <w:pPr>
              <w:keepNext w:val="0"/>
              <w:keepLines w:val="0"/>
              <w:suppressLineNumbers w:val="0"/>
              <w:autoSpaceDE w:val="0"/>
              <w:autoSpaceDN w:val="0"/>
              <w:adjustRightInd w:val="0"/>
              <w:spacing w:before="0" w:beforeAutospacing="0" w:after="0" w:afterAutospacing="0" w:line="460" w:lineRule="atLeast"/>
              <w:ind w:left="0" w:right="0"/>
              <w:jc w:val="center"/>
              <w:rPr>
                <w:rFonts w:hint="default" w:ascii="宋体"/>
                <w:color w:val="auto"/>
                <w:sz w:val="24"/>
                <w:highlight w:val="none"/>
                <w:lang w:val="zh-CN"/>
              </w:rPr>
            </w:pPr>
            <w:r>
              <w:rPr>
                <w:rFonts w:hint="eastAsia" w:ascii="宋体"/>
                <w:color w:val="auto"/>
                <w:sz w:val="24"/>
                <w:highlight w:val="none"/>
                <w:lang w:val="zh-CN"/>
              </w:rPr>
              <w:t>响应文件响应情况</w:t>
            </w:r>
          </w:p>
        </w:tc>
        <w:tc>
          <w:tcPr>
            <w:tcW w:w="2361" w:type="dxa"/>
            <w:vAlign w:val="center"/>
          </w:tcPr>
          <w:p w14:paraId="5EA2D52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4"/>
                <w:highlight w:val="none"/>
                <w:lang w:val="zh-CN"/>
              </w:rPr>
            </w:pPr>
            <w:r>
              <w:rPr>
                <w:rFonts w:hint="eastAsia" w:ascii="宋体"/>
                <w:color w:val="auto"/>
                <w:sz w:val="24"/>
                <w:highlight w:val="none"/>
                <w:lang w:val="zh-CN"/>
              </w:rPr>
              <w:t>备 注</w:t>
            </w:r>
          </w:p>
        </w:tc>
      </w:tr>
      <w:tr w14:paraId="4F36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5E2DA84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1620" w:type="dxa"/>
          </w:tcPr>
          <w:p w14:paraId="146F091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0B7E66F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2EDF30AB">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1" w:type="dxa"/>
          </w:tcPr>
          <w:p w14:paraId="3C85B20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r>
      <w:tr w14:paraId="7CE4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4C03ACF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1620" w:type="dxa"/>
          </w:tcPr>
          <w:p w14:paraId="357788A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331FC738">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6F509C6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1" w:type="dxa"/>
          </w:tcPr>
          <w:p w14:paraId="1EEA2A3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r>
      <w:tr w14:paraId="0544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00BCC6A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1620" w:type="dxa"/>
          </w:tcPr>
          <w:p w14:paraId="7800790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721F3F3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2EC6FB2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1" w:type="dxa"/>
          </w:tcPr>
          <w:p w14:paraId="4A5972B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r>
      <w:tr w14:paraId="50E6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0DE2776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1620" w:type="dxa"/>
          </w:tcPr>
          <w:p w14:paraId="5424810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1110C5D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7B789622">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1" w:type="dxa"/>
          </w:tcPr>
          <w:p w14:paraId="7EF0E66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r>
      <w:tr w14:paraId="7420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69E440FB">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1620" w:type="dxa"/>
          </w:tcPr>
          <w:p w14:paraId="6232B69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5E18237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444F77F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1" w:type="dxa"/>
          </w:tcPr>
          <w:p w14:paraId="376B9DE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r>
      <w:tr w14:paraId="489A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6C0B9D8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1620" w:type="dxa"/>
          </w:tcPr>
          <w:p w14:paraId="79D3B5B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34F1ACE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0B7CF757">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1" w:type="dxa"/>
          </w:tcPr>
          <w:p w14:paraId="60AFFF4F">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r>
      <w:tr w14:paraId="39D5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tcPr>
          <w:p w14:paraId="19421B3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1620" w:type="dxa"/>
          </w:tcPr>
          <w:p w14:paraId="16A2A3FF">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059C18D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0" w:type="dxa"/>
          </w:tcPr>
          <w:p w14:paraId="31F43B93">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c>
          <w:tcPr>
            <w:tcW w:w="2361" w:type="dxa"/>
          </w:tcPr>
          <w:p w14:paraId="047AB3E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color w:val="auto"/>
                <w:sz w:val="22"/>
                <w:highlight w:val="none"/>
                <w:lang w:val="zh-CN"/>
              </w:rPr>
            </w:pPr>
          </w:p>
        </w:tc>
      </w:tr>
    </w:tbl>
    <w:p w14:paraId="1E3CD275">
      <w:pPr>
        <w:spacing w:line="360" w:lineRule="exact"/>
        <w:rPr>
          <w:rFonts w:ascii="宋体"/>
          <w:color w:val="auto"/>
          <w:spacing w:val="20"/>
          <w:sz w:val="22"/>
          <w:highlight w:val="none"/>
        </w:rPr>
      </w:pPr>
      <w:r>
        <w:rPr>
          <w:rFonts w:hint="eastAsia" w:ascii="宋体"/>
          <w:color w:val="auto"/>
          <w:sz w:val="22"/>
          <w:highlight w:val="none"/>
          <w:lang w:val="zh-CN"/>
        </w:rPr>
        <w:t>供应商盖章：</w:t>
      </w:r>
      <w:r>
        <w:rPr>
          <w:rFonts w:hint="eastAsia" w:ascii="宋体"/>
          <w:color w:val="auto"/>
          <w:sz w:val="22"/>
          <w:highlight w:val="none"/>
          <w:u w:val="single"/>
          <w:lang w:val="zh-CN"/>
        </w:rPr>
        <w:t xml:space="preserve">              </w:t>
      </w:r>
    </w:p>
    <w:p w14:paraId="45DF9607">
      <w:pPr>
        <w:spacing w:line="400" w:lineRule="exact"/>
        <w:ind w:left="220" w:hanging="220" w:hangingChars="100"/>
        <w:rPr>
          <w:rFonts w:ascii="宋体"/>
          <w:color w:val="auto"/>
          <w:sz w:val="22"/>
          <w:szCs w:val="22"/>
          <w:highlight w:val="none"/>
        </w:rPr>
      </w:pPr>
      <w:r>
        <w:rPr>
          <w:rFonts w:hint="eastAsia" w:ascii="宋体"/>
          <w:color w:val="auto"/>
          <w:sz w:val="22"/>
          <w:szCs w:val="22"/>
          <w:highlight w:val="none"/>
        </w:rPr>
        <w:t>说明：</w:t>
      </w:r>
    </w:p>
    <w:p w14:paraId="115D38B0">
      <w:pPr>
        <w:spacing w:line="400" w:lineRule="exact"/>
        <w:ind w:left="220" w:hanging="220" w:hangingChars="100"/>
        <w:rPr>
          <w:rFonts w:ascii="宋体"/>
          <w:color w:val="auto"/>
          <w:sz w:val="22"/>
          <w:szCs w:val="22"/>
          <w:highlight w:val="none"/>
        </w:rPr>
      </w:pPr>
      <w:r>
        <w:rPr>
          <w:rFonts w:hint="eastAsia" w:ascii="宋体"/>
          <w:color w:val="auto"/>
          <w:sz w:val="22"/>
          <w:szCs w:val="22"/>
          <w:highlight w:val="none"/>
        </w:rPr>
        <w:t>1.如不填写，则视为完全响应磋商文件。</w:t>
      </w:r>
    </w:p>
    <w:p w14:paraId="59311326">
      <w:pPr>
        <w:spacing w:line="400" w:lineRule="exact"/>
        <w:ind w:left="220" w:hanging="220" w:hangingChars="100"/>
        <w:rPr>
          <w:rFonts w:ascii="宋体"/>
          <w:color w:val="auto"/>
          <w:sz w:val="22"/>
          <w:szCs w:val="22"/>
          <w:highlight w:val="none"/>
        </w:rPr>
      </w:pPr>
      <w:r>
        <w:rPr>
          <w:rFonts w:hint="eastAsia" w:ascii="宋体"/>
          <w:color w:val="auto"/>
          <w:sz w:val="22"/>
          <w:szCs w:val="22"/>
          <w:highlight w:val="none"/>
        </w:rPr>
        <w:t>2.如出现偏离，投标供应商务必如实填写此表，否则存在的风险由投标供应商自行承担。</w:t>
      </w:r>
    </w:p>
    <w:p w14:paraId="00FF8657">
      <w:pPr>
        <w:spacing w:line="400" w:lineRule="exact"/>
        <w:rPr>
          <w:rFonts w:ascii="宋体"/>
          <w:color w:val="auto"/>
          <w:sz w:val="22"/>
          <w:szCs w:val="22"/>
          <w:highlight w:val="none"/>
          <w:u w:val="single"/>
        </w:rPr>
      </w:pPr>
      <w:r>
        <w:rPr>
          <w:rFonts w:hint="eastAsia" w:ascii="宋体"/>
          <w:bCs/>
          <w:color w:val="auto"/>
          <w:sz w:val="22"/>
          <w:szCs w:val="22"/>
          <w:highlight w:val="none"/>
          <w:u w:val="single"/>
        </w:rPr>
        <w:t>3.▲</w:t>
      </w:r>
      <w:r>
        <w:rPr>
          <w:rFonts w:hint="eastAsia" w:ascii="宋体"/>
          <w:color w:val="auto"/>
          <w:sz w:val="22"/>
          <w:szCs w:val="22"/>
          <w:highlight w:val="none"/>
          <w:u w:val="single"/>
        </w:rPr>
        <w:t>不提供此表的磋商响应文件将被视为未实质性响应磋商文件，其按无效投标处理。</w:t>
      </w:r>
    </w:p>
    <w:p w14:paraId="59939404">
      <w:pPr>
        <w:spacing w:line="400" w:lineRule="exact"/>
        <w:ind w:left="220" w:hanging="220" w:hangingChars="100"/>
        <w:rPr>
          <w:rFonts w:ascii="宋体"/>
          <w:color w:val="auto"/>
          <w:sz w:val="22"/>
          <w:szCs w:val="22"/>
          <w:highlight w:val="none"/>
        </w:rPr>
      </w:pPr>
      <w:r>
        <w:rPr>
          <w:rFonts w:hint="eastAsia" w:ascii="宋体"/>
          <w:color w:val="auto"/>
          <w:sz w:val="22"/>
          <w:szCs w:val="22"/>
          <w:highlight w:val="none"/>
        </w:rPr>
        <w:t>4.表格可以延续。</w:t>
      </w:r>
    </w:p>
    <w:p w14:paraId="1B72819E">
      <w:pPr>
        <w:rPr>
          <w:rFonts w:ascii="宋体" w:hAnsi="Courier New"/>
          <w:color w:val="auto"/>
          <w:kern w:val="0"/>
          <w:sz w:val="32"/>
          <w:szCs w:val="20"/>
          <w:highlight w:val="none"/>
          <w:lang w:val="zh-CN"/>
        </w:rPr>
      </w:pPr>
      <w:bookmarkStart w:id="80" w:name="_Toc3802"/>
    </w:p>
    <w:p w14:paraId="1E0BDB59">
      <w:pPr>
        <w:spacing w:line="360" w:lineRule="exact"/>
        <w:rPr>
          <w:rFonts w:ascii="宋体" w:hAnsi="宋体" w:cs="仿宋_GB2312"/>
          <w:color w:val="auto"/>
          <w:kern w:val="0"/>
          <w:sz w:val="36"/>
          <w:szCs w:val="36"/>
          <w:highlight w:val="none"/>
        </w:rPr>
      </w:pPr>
      <w:r>
        <w:rPr>
          <w:rFonts w:hint="eastAsia" w:ascii="宋体" w:hAnsi="宋体"/>
          <w:color w:val="auto"/>
          <w:kern w:val="0"/>
          <w:sz w:val="30"/>
          <w:szCs w:val="20"/>
          <w:highlight w:val="none"/>
        </w:rPr>
        <w:t>附件八</w:t>
      </w:r>
    </w:p>
    <w:p w14:paraId="67176612">
      <w:pPr>
        <w:spacing w:line="460" w:lineRule="atLeast"/>
        <w:jc w:val="center"/>
        <w:outlineLvl w:val="0"/>
        <w:rPr>
          <w:rFonts w:ascii="宋体" w:hAnsi="宋体" w:cs="仿宋_GB2312"/>
          <w:color w:val="auto"/>
          <w:kern w:val="0"/>
          <w:sz w:val="36"/>
          <w:szCs w:val="36"/>
          <w:highlight w:val="none"/>
        </w:rPr>
      </w:pPr>
      <w:r>
        <w:rPr>
          <w:rFonts w:hint="eastAsia" w:ascii="宋体" w:hAnsi="宋体" w:cs="仿宋_GB2312"/>
          <w:color w:val="auto"/>
          <w:kern w:val="0"/>
          <w:sz w:val="36"/>
          <w:szCs w:val="36"/>
          <w:highlight w:val="none"/>
        </w:rPr>
        <w:t>项目服务人员汇总表（分标项提供）</w:t>
      </w:r>
      <w:r>
        <w:rPr>
          <w:rFonts w:hint="eastAsia"/>
          <w:color w:val="auto"/>
          <w:sz w:val="24"/>
          <w:highlight w:val="none"/>
        </w:rPr>
        <w:t xml:space="preserve">                                                                  </w:t>
      </w:r>
    </w:p>
    <w:tbl>
      <w:tblPr>
        <w:tblStyle w:val="46"/>
        <w:tblW w:w="1026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75"/>
        <w:gridCol w:w="1711"/>
        <w:gridCol w:w="878"/>
        <w:gridCol w:w="879"/>
        <w:gridCol w:w="879"/>
        <w:gridCol w:w="879"/>
        <w:gridCol w:w="879"/>
        <w:gridCol w:w="1276"/>
        <w:gridCol w:w="1194"/>
      </w:tblGrid>
      <w:tr w14:paraId="1AA2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028ED391">
            <w:pPr>
              <w:keepNext w:val="0"/>
              <w:keepLines w:val="0"/>
              <w:suppressLineNumbers w:val="0"/>
              <w:spacing w:before="0" w:beforeAutospacing="0" w:after="0" w:afterAutospacing="0"/>
              <w:ind w:left="0" w:right="0"/>
              <w:jc w:val="center"/>
              <w:rPr>
                <w:rFonts w:hint="default" w:ascii="宋体" w:hAnsi="宋体"/>
                <w:bCs/>
                <w:color w:val="auto"/>
                <w:sz w:val="22"/>
                <w:szCs w:val="22"/>
                <w:highlight w:val="none"/>
              </w:rPr>
            </w:pPr>
            <w:r>
              <w:rPr>
                <w:rFonts w:hint="eastAsia" w:ascii="宋体" w:hAnsi="宋体"/>
                <w:bCs/>
                <w:color w:val="auto"/>
                <w:sz w:val="22"/>
                <w:szCs w:val="22"/>
                <w:highlight w:val="none"/>
              </w:rPr>
              <w:t>序号</w:t>
            </w:r>
          </w:p>
        </w:tc>
        <w:tc>
          <w:tcPr>
            <w:tcW w:w="975" w:type="dxa"/>
            <w:vAlign w:val="center"/>
          </w:tcPr>
          <w:p w14:paraId="77B2825C">
            <w:pPr>
              <w:keepNext w:val="0"/>
              <w:keepLines w:val="0"/>
              <w:suppressLineNumbers w:val="0"/>
              <w:spacing w:before="0" w:beforeAutospacing="0" w:after="0" w:afterAutospacing="0"/>
              <w:ind w:left="0" w:right="0"/>
              <w:jc w:val="center"/>
              <w:rPr>
                <w:rFonts w:hint="default" w:ascii="宋体" w:hAnsi="宋体"/>
                <w:bCs/>
                <w:color w:val="auto"/>
                <w:sz w:val="22"/>
                <w:szCs w:val="22"/>
                <w:highlight w:val="none"/>
              </w:rPr>
            </w:pPr>
            <w:r>
              <w:rPr>
                <w:rFonts w:hint="eastAsia" w:ascii="宋体" w:hAnsi="宋体"/>
                <w:bCs/>
                <w:color w:val="auto"/>
                <w:sz w:val="22"/>
                <w:szCs w:val="22"/>
                <w:highlight w:val="none"/>
              </w:rPr>
              <w:t>姓名</w:t>
            </w:r>
          </w:p>
        </w:tc>
        <w:tc>
          <w:tcPr>
            <w:tcW w:w="1711" w:type="dxa"/>
            <w:vAlign w:val="center"/>
          </w:tcPr>
          <w:p w14:paraId="6291CF1D">
            <w:pPr>
              <w:keepNext w:val="0"/>
              <w:keepLines w:val="0"/>
              <w:suppressLineNumbers w:val="0"/>
              <w:spacing w:before="0" w:beforeAutospacing="0" w:after="0" w:afterAutospacing="0"/>
              <w:ind w:left="0" w:right="0"/>
              <w:jc w:val="center"/>
              <w:rPr>
                <w:rFonts w:hint="default" w:ascii="宋体" w:hAnsi="宋体"/>
                <w:bCs/>
                <w:color w:val="auto"/>
                <w:sz w:val="22"/>
                <w:szCs w:val="22"/>
                <w:highlight w:val="none"/>
              </w:rPr>
            </w:pPr>
            <w:r>
              <w:rPr>
                <w:rFonts w:hint="eastAsia" w:ascii="宋体" w:hAnsi="宋体"/>
                <w:bCs/>
                <w:color w:val="auto"/>
                <w:sz w:val="22"/>
                <w:szCs w:val="22"/>
                <w:highlight w:val="none"/>
              </w:rPr>
              <w:t>本项目主要工作岗位</w:t>
            </w:r>
          </w:p>
        </w:tc>
        <w:tc>
          <w:tcPr>
            <w:tcW w:w="878" w:type="dxa"/>
            <w:vAlign w:val="center"/>
          </w:tcPr>
          <w:p w14:paraId="35F98D15">
            <w:pPr>
              <w:keepNext w:val="0"/>
              <w:keepLines w:val="0"/>
              <w:suppressLineNumbers w:val="0"/>
              <w:spacing w:before="0" w:beforeAutospacing="0" w:after="0" w:afterAutospacing="0"/>
              <w:ind w:left="0" w:right="0"/>
              <w:jc w:val="center"/>
              <w:rPr>
                <w:rFonts w:hint="default" w:ascii="宋体" w:hAnsi="宋体"/>
                <w:bCs/>
                <w:color w:val="auto"/>
                <w:sz w:val="22"/>
                <w:szCs w:val="22"/>
                <w:highlight w:val="none"/>
              </w:rPr>
            </w:pPr>
            <w:r>
              <w:rPr>
                <w:rFonts w:hint="eastAsia" w:ascii="宋体" w:hAnsi="宋体"/>
                <w:bCs/>
                <w:color w:val="auto"/>
                <w:sz w:val="22"/>
                <w:szCs w:val="22"/>
                <w:highlight w:val="none"/>
              </w:rPr>
              <w:t>年龄</w:t>
            </w:r>
          </w:p>
        </w:tc>
        <w:tc>
          <w:tcPr>
            <w:tcW w:w="879" w:type="dxa"/>
            <w:vAlign w:val="center"/>
          </w:tcPr>
          <w:p w14:paraId="0889DFBF">
            <w:pPr>
              <w:keepNext w:val="0"/>
              <w:keepLines w:val="0"/>
              <w:suppressLineNumbers w:val="0"/>
              <w:spacing w:before="0" w:beforeAutospacing="0" w:after="0" w:afterAutospacing="0"/>
              <w:ind w:left="0" w:right="0"/>
              <w:jc w:val="center"/>
              <w:rPr>
                <w:rFonts w:hint="default" w:ascii="宋体" w:hAnsi="宋体"/>
                <w:bCs/>
                <w:color w:val="auto"/>
                <w:sz w:val="22"/>
                <w:szCs w:val="22"/>
                <w:highlight w:val="none"/>
              </w:rPr>
            </w:pPr>
            <w:r>
              <w:rPr>
                <w:rFonts w:hint="eastAsia" w:ascii="宋体" w:hAnsi="宋体"/>
                <w:bCs/>
                <w:color w:val="auto"/>
                <w:sz w:val="22"/>
                <w:szCs w:val="22"/>
                <w:highlight w:val="none"/>
              </w:rPr>
              <w:t>性别</w:t>
            </w:r>
          </w:p>
        </w:tc>
        <w:tc>
          <w:tcPr>
            <w:tcW w:w="879" w:type="dxa"/>
            <w:vAlign w:val="center"/>
          </w:tcPr>
          <w:p w14:paraId="2DE6D86D">
            <w:pPr>
              <w:keepNext w:val="0"/>
              <w:keepLines w:val="0"/>
              <w:suppressLineNumbers w:val="0"/>
              <w:spacing w:before="0" w:beforeAutospacing="0" w:after="0" w:afterAutospacing="0"/>
              <w:ind w:left="0" w:right="0"/>
              <w:jc w:val="center"/>
              <w:rPr>
                <w:rFonts w:hint="default" w:ascii="宋体" w:hAnsi="宋体"/>
                <w:bCs/>
                <w:color w:val="auto"/>
                <w:sz w:val="22"/>
                <w:szCs w:val="22"/>
                <w:highlight w:val="none"/>
              </w:rPr>
            </w:pPr>
            <w:r>
              <w:rPr>
                <w:rFonts w:hint="default" w:ascii="宋体" w:hAnsi="宋体" w:cs="Arial"/>
                <w:bCs/>
                <w:color w:val="auto"/>
                <w:sz w:val="22"/>
                <w:szCs w:val="22"/>
                <w:highlight w:val="none"/>
              </w:rPr>
              <w:t>职务</w:t>
            </w:r>
          </w:p>
        </w:tc>
        <w:tc>
          <w:tcPr>
            <w:tcW w:w="879" w:type="dxa"/>
            <w:vAlign w:val="center"/>
          </w:tcPr>
          <w:p w14:paraId="5AB901AC">
            <w:pPr>
              <w:keepNext w:val="0"/>
              <w:keepLines w:val="0"/>
              <w:suppressLineNumbers w:val="0"/>
              <w:spacing w:before="0" w:beforeAutospacing="0" w:after="0" w:afterAutospacing="0"/>
              <w:ind w:left="0" w:right="0"/>
              <w:jc w:val="center"/>
              <w:rPr>
                <w:rFonts w:hint="default" w:ascii="宋体" w:hAnsi="宋体" w:cs="Arial"/>
                <w:bCs/>
                <w:color w:val="auto"/>
                <w:sz w:val="22"/>
                <w:szCs w:val="22"/>
                <w:highlight w:val="none"/>
              </w:rPr>
            </w:pPr>
            <w:r>
              <w:rPr>
                <w:rFonts w:hint="default" w:ascii="宋体" w:hAnsi="宋体" w:cs="Arial"/>
                <w:bCs/>
                <w:color w:val="auto"/>
                <w:sz w:val="22"/>
                <w:szCs w:val="22"/>
                <w:highlight w:val="none"/>
              </w:rPr>
              <w:t>专业/</w:t>
            </w:r>
          </w:p>
          <w:p w14:paraId="20BB7362">
            <w:pPr>
              <w:keepNext w:val="0"/>
              <w:keepLines w:val="0"/>
              <w:suppressLineNumbers w:val="0"/>
              <w:spacing w:before="0" w:beforeAutospacing="0" w:after="0" w:afterAutospacing="0"/>
              <w:ind w:left="0" w:right="0"/>
              <w:jc w:val="center"/>
              <w:rPr>
                <w:rFonts w:hint="default" w:ascii="宋体" w:hAnsi="宋体"/>
                <w:bCs/>
                <w:color w:val="auto"/>
                <w:sz w:val="22"/>
                <w:szCs w:val="22"/>
                <w:highlight w:val="none"/>
              </w:rPr>
            </w:pPr>
            <w:r>
              <w:rPr>
                <w:rFonts w:hint="default" w:ascii="宋体" w:hAnsi="宋体" w:cs="Arial"/>
                <w:bCs/>
                <w:color w:val="auto"/>
                <w:sz w:val="22"/>
                <w:szCs w:val="22"/>
                <w:highlight w:val="none"/>
              </w:rPr>
              <w:t>年限</w:t>
            </w:r>
          </w:p>
        </w:tc>
        <w:tc>
          <w:tcPr>
            <w:tcW w:w="879" w:type="dxa"/>
            <w:vAlign w:val="center"/>
          </w:tcPr>
          <w:p w14:paraId="22879FFF">
            <w:pPr>
              <w:keepNext w:val="0"/>
              <w:keepLines w:val="0"/>
              <w:suppressLineNumbers w:val="0"/>
              <w:spacing w:before="0" w:beforeAutospacing="0" w:after="0" w:afterAutospacing="0"/>
              <w:ind w:left="0" w:right="0"/>
              <w:jc w:val="center"/>
              <w:rPr>
                <w:rFonts w:hint="default" w:ascii="宋体" w:hAnsi="宋体"/>
                <w:bCs/>
                <w:color w:val="auto"/>
                <w:sz w:val="22"/>
                <w:szCs w:val="22"/>
                <w:highlight w:val="none"/>
              </w:rPr>
            </w:pPr>
            <w:r>
              <w:rPr>
                <w:rFonts w:hint="eastAsia" w:ascii="宋体" w:hAnsi="宋体"/>
                <w:bCs/>
                <w:color w:val="auto"/>
                <w:sz w:val="22"/>
                <w:szCs w:val="22"/>
                <w:highlight w:val="none"/>
              </w:rPr>
              <w:t>职称/资格/认证</w:t>
            </w:r>
          </w:p>
        </w:tc>
        <w:tc>
          <w:tcPr>
            <w:tcW w:w="1276" w:type="dxa"/>
            <w:vAlign w:val="center"/>
          </w:tcPr>
          <w:p w14:paraId="7B4C2474">
            <w:pPr>
              <w:keepNext w:val="0"/>
              <w:keepLines w:val="0"/>
              <w:suppressLineNumbers w:val="0"/>
              <w:spacing w:before="0" w:beforeAutospacing="0" w:after="0" w:afterAutospacing="0"/>
              <w:ind w:left="0" w:right="0"/>
              <w:jc w:val="center"/>
              <w:rPr>
                <w:rFonts w:hint="default" w:ascii="宋体" w:hAnsi="宋体"/>
                <w:bCs/>
                <w:color w:val="auto"/>
                <w:sz w:val="22"/>
                <w:szCs w:val="22"/>
                <w:highlight w:val="none"/>
              </w:rPr>
            </w:pPr>
            <w:r>
              <w:rPr>
                <w:rFonts w:hint="eastAsia" w:ascii="宋体" w:hAnsi="宋体"/>
                <w:bCs/>
                <w:color w:val="auto"/>
                <w:sz w:val="22"/>
                <w:szCs w:val="22"/>
                <w:highlight w:val="none"/>
              </w:rPr>
              <w:t>到现场服务起止时间</w:t>
            </w:r>
          </w:p>
        </w:tc>
        <w:tc>
          <w:tcPr>
            <w:tcW w:w="1194" w:type="dxa"/>
            <w:vAlign w:val="center"/>
          </w:tcPr>
          <w:p w14:paraId="2B426CD7">
            <w:pPr>
              <w:keepNext w:val="0"/>
              <w:keepLines w:val="0"/>
              <w:suppressLineNumbers w:val="0"/>
              <w:spacing w:before="0" w:beforeAutospacing="0" w:after="0" w:afterAutospacing="0"/>
              <w:ind w:left="0" w:right="0"/>
              <w:jc w:val="center"/>
              <w:rPr>
                <w:rFonts w:hint="default" w:ascii="宋体" w:hAnsi="宋体"/>
                <w:bCs/>
                <w:color w:val="auto"/>
                <w:sz w:val="22"/>
                <w:szCs w:val="22"/>
                <w:highlight w:val="none"/>
              </w:rPr>
            </w:pPr>
            <w:r>
              <w:rPr>
                <w:rFonts w:hint="default" w:ascii="宋体" w:hAnsi="宋体" w:cs="Arial"/>
                <w:bCs/>
                <w:color w:val="auto"/>
                <w:sz w:val="22"/>
                <w:szCs w:val="22"/>
                <w:highlight w:val="none"/>
              </w:rPr>
              <w:t>类似服务的经历</w:t>
            </w:r>
          </w:p>
        </w:tc>
      </w:tr>
      <w:tr w14:paraId="1942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4A8901B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688B369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59081F3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7448B85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5A673A6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83F570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C7DF08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DBE4520">
            <w:pPr>
              <w:keepNext w:val="0"/>
              <w:keepLines w:val="0"/>
              <w:suppressLineNumbers w:val="0"/>
              <w:spacing w:before="0" w:beforeAutospacing="0" w:after="0" w:afterAutospacing="0" w:line="360" w:lineRule="auto"/>
              <w:ind w:left="5250" w:right="0"/>
              <w:rPr>
                <w:rFonts w:hint="default" w:ascii="宋体" w:hAnsi="宋体"/>
                <w:color w:val="auto"/>
                <w:spacing w:val="12"/>
                <w:sz w:val="22"/>
                <w:szCs w:val="22"/>
                <w:highlight w:val="none"/>
              </w:rPr>
            </w:pPr>
          </w:p>
        </w:tc>
        <w:tc>
          <w:tcPr>
            <w:tcW w:w="1276" w:type="dxa"/>
            <w:vAlign w:val="center"/>
          </w:tcPr>
          <w:p w14:paraId="1C5D2B9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2C504BA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284B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6AFCE357">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195F440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03F5B59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548E577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571BF4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EF7B89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B7A2D3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843C30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681F101B">
            <w:pPr>
              <w:keepNext w:val="0"/>
              <w:keepLines w:val="0"/>
              <w:suppressLineNumbers w:val="0"/>
              <w:spacing w:before="0" w:beforeAutospacing="0" w:after="0" w:afterAutospacing="0" w:line="360" w:lineRule="auto"/>
              <w:ind w:left="5250" w:right="0"/>
              <w:rPr>
                <w:rFonts w:hint="default" w:ascii="宋体" w:hAnsi="宋体"/>
                <w:color w:val="auto"/>
                <w:spacing w:val="12"/>
                <w:sz w:val="22"/>
                <w:szCs w:val="22"/>
                <w:highlight w:val="none"/>
              </w:rPr>
            </w:pPr>
          </w:p>
        </w:tc>
        <w:tc>
          <w:tcPr>
            <w:tcW w:w="1194" w:type="dxa"/>
          </w:tcPr>
          <w:p w14:paraId="5148E180">
            <w:pPr>
              <w:keepNext w:val="0"/>
              <w:keepLines w:val="0"/>
              <w:suppressLineNumbers w:val="0"/>
              <w:spacing w:before="0" w:beforeAutospacing="0" w:after="0" w:afterAutospacing="0" w:line="360" w:lineRule="auto"/>
              <w:ind w:left="5250" w:right="0"/>
              <w:rPr>
                <w:rFonts w:hint="default" w:ascii="宋体" w:hAnsi="宋体"/>
                <w:color w:val="auto"/>
                <w:spacing w:val="12"/>
                <w:sz w:val="22"/>
                <w:szCs w:val="22"/>
                <w:highlight w:val="none"/>
              </w:rPr>
            </w:pPr>
          </w:p>
        </w:tc>
      </w:tr>
      <w:tr w14:paraId="757F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7B56917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6EE4E8E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7A9BF18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33E07EB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5D3836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D763BC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16C690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0C98D27">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0DD195B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01508ED5">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45E1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5F8BE65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20CF1467">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10FD252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2F20661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29A07F9">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750FEEF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060884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753C7A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7133A1E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5AB2250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60DC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08D1491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64A72F3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740430D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11A17FC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503A35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507EE3B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32FE4D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A6313F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7A45A3D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6CBC3C31">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7219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3B8BA37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3162971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3ADEE87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79951FC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32B01C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1CFFF6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41BDFB9">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4D947C7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38D90F59">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2D43035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427E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7D0B3C19">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5CDFCB1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258F189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4B263267">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723D5E1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4CA348A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5788AA2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7C1F770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099E27D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316E0E47">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635C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6106A6D7">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1E5CB57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0D3EED8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2DB1672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52EC0801">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47990F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73664C4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B67BE1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6CFC184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48B693D5">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31D5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23AAE579">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3DD9FBD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7E9403C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5D755CA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FA2B9A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A48BD4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84B39C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70B278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74C3BD3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253FAC59">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7E86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4E6CD3F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0E0A464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0A1BFA0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31B33B9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F5CFC3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78438ED5">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762902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5195E81">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40990FD1">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37166AC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6B4C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45D52D7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546759C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01FCEB6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4BCF8B7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4AA909F1">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4AA6A9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7FE0DAC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49E8F8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29FEEFD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5395B251">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484E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160E353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77132A7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346E7CF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140454D1">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D579841">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5F3B54E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5F4A0F8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4E717D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41372CF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4BEEE5F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0855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575F450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1F47F16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3D77690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0682B979">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7B7EBDA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A982C9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C7AC911">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A86433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2837C7B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55059CE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2057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34F4477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6FAD52D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30E29B7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3814CBD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3BA9A4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E09450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5F36BD8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7EA2FB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0ED8101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551B3A4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3E5A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305F307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5F84349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076BBFC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21CE267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BADD39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F811AB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834B06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88A995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1076110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502F857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5FEC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1A558AE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58D4398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2AD71605">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0DC4A80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093324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4FEA8A9">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1B9F4A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286C07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20E32E97">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33C6664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7BCF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7975B00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14CAB5D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2CD1E6F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3285F5E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163EE4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D0B32B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EDC102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47C393D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193D8CE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51D7DE5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0825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08F3B1B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16DC8AA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6437021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0030B4D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F03C33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5A6F32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9B8D0B9">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00DCB24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2FB7359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2D00924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612E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5EEFD52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390494D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75D77105">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66FDE79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461488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F00DAB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7224802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2A1BD0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492D1B48">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3787B74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62B6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4DFCD60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54F04E1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232509F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465F7D2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23AEABE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5254591C">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E76FBFD">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A68D62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337C600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55C93A4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4B95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1C7BA46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58FA040F">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69FE80F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580AE072">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2A1F8C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42560E83">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439E7CD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944C9C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595A7EE5">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6F9CD7C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r w14:paraId="5C0A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7" w:type="dxa"/>
            <w:vAlign w:val="center"/>
          </w:tcPr>
          <w:p w14:paraId="38DEE271">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975" w:type="dxa"/>
            <w:vAlign w:val="center"/>
          </w:tcPr>
          <w:p w14:paraId="0A6C066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711" w:type="dxa"/>
            <w:vAlign w:val="center"/>
          </w:tcPr>
          <w:p w14:paraId="4998A58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8" w:type="dxa"/>
            <w:vAlign w:val="center"/>
          </w:tcPr>
          <w:p w14:paraId="7FFEB110">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6E2F0DC4">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3CC40DCE">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14CFCF9B">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879" w:type="dxa"/>
            <w:vAlign w:val="center"/>
          </w:tcPr>
          <w:p w14:paraId="7BFCFFAA">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276" w:type="dxa"/>
            <w:vAlign w:val="center"/>
          </w:tcPr>
          <w:p w14:paraId="7B6A4199">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c>
          <w:tcPr>
            <w:tcW w:w="1194" w:type="dxa"/>
          </w:tcPr>
          <w:p w14:paraId="03742E16">
            <w:pPr>
              <w:keepNext w:val="0"/>
              <w:keepLines w:val="0"/>
              <w:suppressLineNumbers w:val="0"/>
              <w:spacing w:before="0" w:beforeAutospacing="0" w:after="0" w:afterAutospacing="0" w:line="360" w:lineRule="auto"/>
              <w:ind w:left="0" w:right="0"/>
              <w:rPr>
                <w:rFonts w:hint="default" w:ascii="宋体" w:hAnsi="宋体"/>
                <w:color w:val="auto"/>
                <w:sz w:val="22"/>
                <w:szCs w:val="22"/>
                <w:highlight w:val="none"/>
              </w:rPr>
            </w:pPr>
          </w:p>
        </w:tc>
      </w:tr>
    </w:tbl>
    <w:p w14:paraId="1B321827">
      <w:pPr>
        <w:spacing w:line="360" w:lineRule="exact"/>
        <w:ind w:left="968" w:hanging="968" w:hangingChars="440"/>
        <w:rPr>
          <w:rFonts w:ascii="宋体" w:hAnsi="宋体" w:cs="Arial"/>
          <w:color w:val="auto"/>
          <w:sz w:val="22"/>
          <w:szCs w:val="22"/>
          <w:highlight w:val="none"/>
        </w:rPr>
      </w:pPr>
      <w:r>
        <w:rPr>
          <w:rFonts w:hint="eastAsia" w:ascii="宋体" w:hAnsi="宋体" w:cs="Arial"/>
          <w:color w:val="auto"/>
          <w:sz w:val="22"/>
          <w:szCs w:val="22"/>
          <w:highlight w:val="none"/>
        </w:rPr>
        <w:t>附注：1. 项目负责人、技术</w:t>
      </w:r>
      <w:r>
        <w:rPr>
          <w:rFonts w:hint="eastAsia" w:ascii="宋体" w:hAnsi="宋体"/>
          <w:color w:val="auto"/>
          <w:sz w:val="22"/>
          <w:szCs w:val="22"/>
          <w:highlight w:val="none"/>
        </w:rPr>
        <w:t>负责人</w:t>
      </w:r>
      <w:r>
        <w:rPr>
          <w:rFonts w:hint="eastAsia" w:ascii="宋体" w:hAnsi="宋体"/>
          <w:color w:val="auto"/>
          <w:sz w:val="22"/>
          <w:szCs w:val="22"/>
          <w:highlight w:val="none"/>
          <w:lang w:val="en-US" w:eastAsia="zh-CN"/>
        </w:rPr>
        <w:t>(技术</w:t>
      </w:r>
      <w:r>
        <w:rPr>
          <w:rFonts w:hint="eastAsia" w:ascii="宋体" w:hAnsi="宋体" w:cs="Arial"/>
          <w:color w:val="auto"/>
          <w:sz w:val="22"/>
          <w:szCs w:val="22"/>
          <w:highlight w:val="none"/>
        </w:rPr>
        <w:t>总监</w:t>
      </w:r>
      <w:r>
        <w:rPr>
          <w:rFonts w:hint="eastAsia" w:ascii="宋体" w:hAnsi="宋体" w:cs="Arial"/>
          <w:color w:val="auto"/>
          <w:sz w:val="22"/>
          <w:szCs w:val="22"/>
          <w:highlight w:val="none"/>
          <w:lang w:val="en-US" w:eastAsia="zh-CN"/>
        </w:rPr>
        <w:t>)</w:t>
      </w:r>
      <w:r>
        <w:rPr>
          <w:rFonts w:hint="eastAsia" w:ascii="宋体" w:hAnsi="宋体" w:cs="Arial"/>
          <w:color w:val="auto"/>
          <w:sz w:val="22"/>
          <w:szCs w:val="22"/>
          <w:highlight w:val="none"/>
        </w:rPr>
        <w:t>、安全</w:t>
      </w:r>
      <w:r>
        <w:rPr>
          <w:rFonts w:hint="eastAsia" w:ascii="宋体" w:hAnsi="宋体"/>
          <w:color w:val="auto"/>
          <w:sz w:val="22"/>
          <w:szCs w:val="22"/>
          <w:highlight w:val="none"/>
        </w:rPr>
        <w:t>负责人</w:t>
      </w:r>
      <w:r>
        <w:rPr>
          <w:rFonts w:hint="eastAsia" w:ascii="宋体" w:hAnsi="宋体"/>
          <w:color w:val="auto"/>
          <w:sz w:val="22"/>
          <w:szCs w:val="22"/>
          <w:highlight w:val="none"/>
          <w:lang w:eastAsia="zh-CN"/>
        </w:rPr>
        <w:t>（</w:t>
      </w:r>
      <w:r>
        <w:rPr>
          <w:rFonts w:hint="eastAsia" w:ascii="宋体" w:hAnsi="宋体" w:cs="Arial"/>
          <w:color w:val="auto"/>
          <w:sz w:val="22"/>
          <w:szCs w:val="22"/>
          <w:highlight w:val="none"/>
        </w:rPr>
        <w:t>安全总监</w:t>
      </w:r>
      <w:r>
        <w:rPr>
          <w:rFonts w:hint="eastAsia" w:ascii="宋体" w:hAnsi="宋体"/>
          <w:color w:val="auto"/>
          <w:sz w:val="22"/>
          <w:szCs w:val="22"/>
          <w:highlight w:val="none"/>
          <w:lang w:eastAsia="zh-CN"/>
        </w:rPr>
        <w:t>）</w:t>
      </w:r>
      <w:r>
        <w:rPr>
          <w:rFonts w:hint="eastAsia" w:ascii="宋体" w:hAnsi="宋体" w:cs="Arial"/>
          <w:color w:val="auto"/>
          <w:sz w:val="22"/>
          <w:szCs w:val="22"/>
          <w:highlight w:val="none"/>
        </w:rPr>
        <w:t>以及各主要专业工种均应列入；</w:t>
      </w:r>
    </w:p>
    <w:p w14:paraId="490D49C6">
      <w:pPr>
        <w:spacing w:line="360" w:lineRule="exact"/>
        <w:ind w:firstLine="660" w:firstLineChars="300"/>
        <w:rPr>
          <w:rFonts w:ascii="宋体" w:hAnsi="宋体" w:cs="Arial"/>
          <w:color w:val="auto"/>
          <w:sz w:val="22"/>
          <w:szCs w:val="22"/>
          <w:highlight w:val="none"/>
        </w:rPr>
      </w:pPr>
      <w:r>
        <w:rPr>
          <w:rFonts w:hint="eastAsia" w:ascii="宋体" w:hAnsi="宋体" w:cs="Arial"/>
          <w:color w:val="auto"/>
          <w:sz w:val="22"/>
          <w:szCs w:val="22"/>
          <w:highlight w:val="none"/>
        </w:rPr>
        <w:t>2. 列入本表人员如要更换，需经采购人同意，擅自更换或不到位属违约行为；</w:t>
      </w:r>
    </w:p>
    <w:p w14:paraId="0AD6A253">
      <w:pPr>
        <w:spacing w:line="360" w:lineRule="exact"/>
        <w:ind w:firstLine="660" w:firstLineChars="300"/>
        <w:rPr>
          <w:rFonts w:ascii="宋体" w:hAnsi="宋体" w:cs="Arial"/>
          <w:color w:val="auto"/>
          <w:sz w:val="22"/>
          <w:szCs w:val="22"/>
          <w:highlight w:val="none"/>
        </w:rPr>
      </w:pPr>
      <w:r>
        <w:rPr>
          <w:rFonts w:hint="eastAsia" w:ascii="宋体" w:hAnsi="宋体" w:cs="Arial"/>
          <w:color w:val="auto"/>
          <w:sz w:val="22"/>
          <w:szCs w:val="22"/>
          <w:highlight w:val="none"/>
        </w:rPr>
        <w:t>3. 职称/资格证书/认证证书、社保证明扫描件附后。</w:t>
      </w:r>
    </w:p>
    <w:p w14:paraId="4C13192A">
      <w:pPr>
        <w:spacing w:line="360" w:lineRule="exact"/>
        <w:ind w:firstLine="660" w:firstLineChars="300"/>
        <w:rPr>
          <w:rFonts w:ascii="宋体" w:hAnsi="宋体" w:cs="Arial"/>
          <w:color w:val="auto"/>
          <w:sz w:val="22"/>
          <w:szCs w:val="22"/>
          <w:highlight w:val="none"/>
        </w:rPr>
      </w:pPr>
    </w:p>
    <w:p w14:paraId="03936811">
      <w:pPr>
        <w:spacing w:line="360" w:lineRule="exact"/>
        <w:ind w:firstLine="660" w:firstLineChars="300"/>
        <w:rPr>
          <w:rFonts w:ascii="宋体" w:hAnsi="宋体" w:cs="Arial"/>
          <w:color w:val="auto"/>
          <w:sz w:val="22"/>
          <w:szCs w:val="22"/>
          <w:highlight w:val="none"/>
        </w:rPr>
      </w:pPr>
      <w:r>
        <w:rPr>
          <w:rFonts w:hint="eastAsia" w:ascii="宋体" w:hAnsi="宋体" w:cs="Arial"/>
          <w:color w:val="auto"/>
          <w:sz w:val="22"/>
          <w:szCs w:val="22"/>
          <w:highlight w:val="none"/>
        </w:rPr>
        <w:t>供应商</w:t>
      </w:r>
      <w:r>
        <w:rPr>
          <w:rFonts w:ascii="宋体" w:hAnsi="宋体" w:cs="Arial"/>
          <w:color w:val="auto"/>
          <w:sz w:val="22"/>
          <w:szCs w:val="22"/>
          <w:highlight w:val="none"/>
        </w:rPr>
        <w:t>全称（公章）：</w:t>
      </w:r>
    </w:p>
    <w:p w14:paraId="084A8478">
      <w:pPr>
        <w:spacing w:line="360" w:lineRule="exact"/>
        <w:ind w:firstLine="660" w:firstLineChars="300"/>
        <w:rPr>
          <w:rFonts w:ascii="宋体" w:hAnsi="宋体" w:cs="Arial"/>
          <w:color w:val="auto"/>
          <w:sz w:val="22"/>
          <w:szCs w:val="22"/>
          <w:highlight w:val="none"/>
        </w:rPr>
      </w:pPr>
      <w:r>
        <w:rPr>
          <w:rFonts w:ascii="宋体" w:hAnsi="宋体" w:cs="Arial"/>
          <w:color w:val="auto"/>
          <w:sz w:val="22"/>
          <w:szCs w:val="22"/>
          <w:highlight w:val="none"/>
        </w:rPr>
        <w:t>日期：</w:t>
      </w:r>
    </w:p>
    <w:p w14:paraId="389FF859">
      <w:pPr>
        <w:spacing w:afterLines="50"/>
        <w:rPr>
          <w:rFonts w:ascii="黑体" w:hAnsi="宋体" w:eastAsia="黑体" w:cs="Arial"/>
          <w:b/>
          <w:bCs/>
          <w:color w:val="auto"/>
          <w:sz w:val="36"/>
          <w:szCs w:val="36"/>
          <w:highlight w:val="none"/>
        </w:rPr>
      </w:pPr>
      <w:r>
        <w:rPr>
          <w:rFonts w:hint="eastAsia" w:ascii="宋体" w:hAnsi="宋体"/>
          <w:color w:val="auto"/>
          <w:kern w:val="0"/>
          <w:sz w:val="30"/>
          <w:szCs w:val="20"/>
          <w:highlight w:val="none"/>
        </w:rPr>
        <w:t>附件九</w:t>
      </w:r>
    </w:p>
    <w:p w14:paraId="312CE032">
      <w:pPr>
        <w:spacing w:afterLines="50"/>
        <w:jc w:val="center"/>
        <w:rPr>
          <w:rFonts w:ascii="宋体" w:hAnsi="宋体" w:cs="仿宋_GB2312"/>
          <w:color w:val="auto"/>
          <w:kern w:val="0"/>
          <w:sz w:val="36"/>
          <w:szCs w:val="36"/>
          <w:highlight w:val="none"/>
        </w:rPr>
      </w:pPr>
      <w:r>
        <w:rPr>
          <w:rFonts w:hint="eastAsia" w:ascii="宋体" w:hAnsi="宋体" w:cs="仿宋_GB2312"/>
          <w:color w:val="auto"/>
          <w:kern w:val="0"/>
          <w:sz w:val="36"/>
          <w:szCs w:val="36"/>
          <w:highlight w:val="none"/>
        </w:rPr>
        <w:t>拟派项目人员情况表（分标项提供）</w:t>
      </w:r>
      <w:r>
        <w:rPr>
          <w:rFonts w:ascii="Arial" w:hAnsi="Arial" w:cs="Arial"/>
          <w:color w:val="auto"/>
          <w:highlight w:val="none"/>
        </w:rPr>
        <w:t xml:space="preserve">                           </w:t>
      </w:r>
      <w:r>
        <w:rPr>
          <w:rFonts w:hint="eastAsia" w:ascii="Arial" w:hAnsi="Arial" w:cs="Arial"/>
          <w:color w:val="auto"/>
          <w:highlight w:val="none"/>
        </w:rPr>
        <w:t xml:space="preserve">                   </w:t>
      </w:r>
      <w:r>
        <w:rPr>
          <w:rFonts w:ascii="Arial" w:hAnsi="Arial" w:cs="Arial"/>
          <w:color w:val="auto"/>
          <w:highlight w:val="none"/>
        </w:rPr>
        <w:t xml:space="preserve"> </w:t>
      </w:r>
    </w:p>
    <w:tbl>
      <w:tblPr>
        <w:tblStyle w:val="46"/>
        <w:tblW w:w="985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451"/>
        <w:gridCol w:w="5395"/>
      </w:tblGrid>
      <w:tr w14:paraId="13F9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09" w:type="dxa"/>
            <w:vAlign w:val="center"/>
          </w:tcPr>
          <w:p w14:paraId="0ADCFF7E">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eastAsia" w:ascii="宋体" w:hAnsi="宋体" w:cs="宋体"/>
                <w:color w:val="auto"/>
                <w:sz w:val="22"/>
                <w:szCs w:val="22"/>
                <w:highlight w:val="none"/>
                <w:lang w:val="zh-CN"/>
              </w:rPr>
              <w:t>姓名</w:t>
            </w:r>
          </w:p>
        </w:tc>
        <w:tc>
          <w:tcPr>
            <w:tcW w:w="2451" w:type="dxa"/>
            <w:vAlign w:val="center"/>
          </w:tcPr>
          <w:p w14:paraId="18A68F5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p>
        </w:tc>
        <w:tc>
          <w:tcPr>
            <w:tcW w:w="5395" w:type="dxa"/>
            <w:vAlign w:val="center"/>
          </w:tcPr>
          <w:p w14:paraId="7307CF8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eastAsia" w:ascii="宋体" w:hAnsi="宋体" w:cs="宋体"/>
                <w:color w:val="auto"/>
                <w:sz w:val="22"/>
                <w:szCs w:val="22"/>
                <w:highlight w:val="none"/>
                <w:lang w:val="zh-CN"/>
              </w:rPr>
              <w:t>近年来主要工作业绩</w:t>
            </w:r>
          </w:p>
        </w:tc>
      </w:tr>
      <w:tr w14:paraId="0CD1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09" w:type="dxa"/>
            <w:vAlign w:val="center"/>
          </w:tcPr>
          <w:p w14:paraId="1CF4FBF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default" w:ascii="宋体" w:hAnsi="宋体" w:cs="宋体"/>
                <w:color w:val="auto"/>
                <w:sz w:val="22"/>
                <w:szCs w:val="22"/>
                <w:highlight w:val="none"/>
                <w:lang w:val="zh-CN"/>
              </w:rPr>
              <w:t>性别</w:t>
            </w:r>
          </w:p>
        </w:tc>
        <w:tc>
          <w:tcPr>
            <w:tcW w:w="2451" w:type="dxa"/>
            <w:vAlign w:val="center"/>
          </w:tcPr>
          <w:p w14:paraId="3764D71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c>
          <w:tcPr>
            <w:tcW w:w="5395" w:type="dxa"/>
            <w:vMerge w:val="restart"/>
            <w:vAlign w:val="center"/>
          </w:tcPr>
          <w:p w14:paraId="1BA648C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r>
              <w:rPr>
                <w:rFonts w:hint="default" w:ascii="宋体" w:hAnsi="宋体" w:cs="宋体"/>
                <w:color w:val="auto"/>
                <w:sz w:val="22"/>
                <w:szCs w:val="22"/>
                <w:highlight w:val="none"/>
                <w:lang w:val="zh-CN"/>
              </w:rPr>
              <w:t>注：业绩证明应提供旁证材料</w:t>
            </w:r>
          </w:p>
          <w:p w14:paraId="52B82EA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r>
              <w:rPr>
                <w:rFonts w:hint="default" w:ascii="宋体" w:hAnsi="宋体" w:cs="宋体"/>
                <w:color w:val="auto"/>
                <w:sz w:val="22"/>
                <w:szCs w:val="22"/>
                <w:highlight w:val="none"/>
                <w:lang w:val="zh-CN"/>
              </w:rPr>
              <w:t>（合同</w:t>
            </w:r>
            <w:r>
              <w:rPr>
                <w:rFonts w:hint="eastAsia" w:ascii="宋体" w:hAnsi="宋体" w:cs="宋体"/>
                <w:color w:val="auto"/>
                <w:sz w:val="22"/>
                <w:szCs w:val="22"/>
                <w:highlight w:val="none"/>
                <w:lang w:val="zh-CN"/>
              </w:rPr>
              <w:t>及业主佐证材料</w:t>
            </w:r>
            <w:r>
              <w:rPr>
                <w:rFonts w:hint="default" w:ascii="宋体" w:hAnsi="宋体" w:cs="宋体"/>
                <w:color w:val="auto"/>
                <w:sz w:val="22"/>
                <w:szCs w:val="22"/>
                <w:highlight w:val="none"/>
                <w:lang w:val="zh-CN"/>
              </w:rPr>
              <w:t>）</w:t>
            </w:r>
          </w:p>
        </w:tc>
      </w:tr>
      <w:tr w14:paraId="25DA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09" w:type="dxa"/>
            <w:vAlign w:val="center"/>
          </w:tcPr>
          <w:p w14:paraId="07F24BD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default" w:ascii="宋体" w:hAnsi="宋体" w:cs="宋体"/>
                <w:color w:val="auto"/>
                <w:sz w:val="22"/>
                <w:szCs w:val="22"/>
                <w:highlight w:val="none"/>
                <w:lang w:val="zh-CN"/>
              </w:rPr>
              <w:t>年龄</w:t>
            </w:r>
          </w:p>
        </w:tc>
        <w:tc>
          <w:tcPr>
            <w:tcW w:w="2451" w:type="dxa"/>
            <w:vAlign w:val="center"/>
          </w:tcPr>
          <w:p w14:paraId="69C0341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c>
          <w:tcPr>
            <w:tcW w:w="5395" w:type="dxa"/>
            <w:vMerge w:val="continue"/>
            <w:vAlign w:val="center"/>
          </w:tcPr>
          <w:p w14:paraId="0034C99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r>
      <w:tr w14:paraId="4B65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09" w:type="dxa"/>
            <w:vAlign w:val="center"/>
          </w:tcPr>
          <w:p w14:paraId="7716981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default" w:ascii="宋体" w:hAnsi="宋体" w:cs="宋体"/>
                <w:color w:val="auto"/>
                <w:sz w:val="22"/>
                <w:szCs w:val="22"/>
                <w:highlight w:val="none"/>
                <w:lang w:val="zh-CN"/>
              </w:rPr>
              <w:t>职称</w:t>
            </w:r>
            <w:r>
              <w:rPr>
                <w:rFonts w:hint="eastAsia" w:ascii="宋体" w:hAnsi="宋体" w:cs="宋体"/>
                <w:color w:val="auto"/>
                <w:sz w:val="22"/>
                <w:szCs w:val="22"/>
                <w:highlight w:val="none"/>
                <w:lang w:val="zh-CN"/>
              </w:rPr>
              <w:t>/资格证书</w:t>
            </w:r>
          </w:p>
        </w:tc>
        <w:tc>
          <w:tcPr>
            <w:tcW w:w="2451" w:type="dxa"/>
            <w:vAlign w:val="center"/>
          </w:tcPr>
          <w:p w14:paraId="52F60E5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c>
          <w:tcPr>
            <w:tcW w:w="5395" w:type="dxa"/>
            <w:vMerge w:val="continue"/>
            <w:vAlign w:val="center"/>
          </w:tcPr>
          <w:p w14:paraId="7B714AB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r>
      <w:tr w14:paraId="75C5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09" w:type="dxa"/>
            <w:vAlign w:val="center"/>
          </w:tcPr>
          <w:p w14:paraId="1A12652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default" w:ascii="宋体" w:hAnsi="宋体" w:cs="宋体"/>
                <w:color w:val="auto"/>
                <w:sz w:val="22"/>
                <w:szCs w:val="22"/>
                <w:highlight w:val="none"/>
                <w:lang w:val="zh-CN"/>
              </w:rPr>
              <w:t>毕业时间</w:t>
            </w:r>
          </w:p>
        </w:tc>
        <w:tc>
          <w:tcPr>
            <w:tcW w:w="2451" w:type="dxa"/>
            <w:vAlign w:val="center"/>
          </w:tcPr>
          <w:p w14:paraId="18637F6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c>
          <w:tcPr>
            <w:tcW w:w="5395" w:type="dxa"/>
            <w:vMerge w:val="continue"/>
            <w:vAlign w:val="center"/>
          </w:tcPr>
          <w:p w14:paraId="4971936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r>
      <w:tr w14:paraId="0625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09" w:type="dxa"/>
            <w:vAlign w:val="center"/>
          </w:tcPr>
          <w:p w14:paraId="6E384CD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default" w:ascii="宋体" w:hAnsi="宋体" w:cs="宋体"/>
                <w:color w:val="auto"/>
                <w:sz w:val="22"/>
                <w:szCs w:val="22"/>
                <w:highlight w:val="none"/>
                <w:lang w:val="zh-CN"/>
              </w:rPr>
              <w:t>学校专业</w:t>
            </w:r>
          </w:p>
        </w:tc>
        <w:tc>
          <w:tcPr>
            <w:tcW w:w="2451" w:type="dxa"/>
            <w:vAlign w:val="center"/>
          </w:tcPr>
          <w:p w14:paraId="51399B0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c>
          <w:tcPr>
            <w:tcW w:w="5395" w:type="dxa"/>
            <w:vMerge w:val="continue"/>
            <w:vAlign w:val="center"/>
          </w:tcPr>
          <w:p w14:paraId="74DEB12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r>
      <w:tr w14:paraId="1DE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09" w:type="dxa"/>
            <w:vAlign w:val="center"/>
          </w:tcPr>
          <w:p w14:paraId="596DACA8">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default" w:ascii="宋体" w:hAnsi="宋体" w:cs="宋体"/>
                <w:color w:val="auto"/>
                <w:sz w:val="22"/>
                <w:szCs w:val="22"/>
                <w:highlight w:val="none"/>
                <w:lang w:val="zh-CN"/>
              </w:rPr>
              <w:t>联系电话</w:t>
            </w:r>
          </w:p>
        </w:tc>
        <w:tc>
          <w:tcPr>
            <w:tcW w:w="2451" w:type="dxa"/>
            <w:vAlign w:val="center"/>
          </w:tcPr>
          <w:p w14:paraId="384C536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c>
          <w:tcPr>
            <w:tcW w:w="5395" w:type="dxa"/>
            <w:vMerge w:val="continue"/>
            <w:vAlign w:val="center"/>
          </w:tcPr>
          <w:p w14:paraId="46CDF3B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r>
      <w:tr w14:paraId="1A9E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09" w:type="dxa"/>
            <w:vAlign w:val="center"/>
          </w:tcPr>
          <w:p w14:paraId="6D8D848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default" w:ascii="宋体" w:hAnsi="宋体" w:cs="宋体"/>
                <w:color w:val="auto"/>
                <w:sz w:val="22"/>
                <w:szCs w:val="22"/>
                <w:highlight w:val="none"/>
                <w:lang w:val="zh-CN"/>
              </w:rPr>
              <w:t>最近一年工作状况</w:t>
            </w:r>
          </w:p>
        </w:tc>
        <w:tc>
          <w:tcPr>
            <w:tcW w:w="2451" w:type="dxa"/>
            <w:vAlign w:val="center"/>
          </w:tcPr>
          <w:p w14:paraId="44294B0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c>
          <w:tcPr>
            <w:tcW w:w="5395" w:type="dxa"/>
            <w:vMerge w:val="continue"/>
            <w:vAlign w:val="center"/>
          </w:tcPr>
          <w:p w14:paraId="0E8E36C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r>
      <w:tr w14:paraId="2ED4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09" w:type="dxa"/>
            <w:vAlign w:val="center"/>
          </w:tcPr>
          <w:p w14:paraId="6E7E985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color w:val="auto"/>
                <w:sz w:val="22"/>
                <w:szCs w:val="22"/>
                <w:highlight w:val="none"/>
                <w:lang w:val="zh-CN"/>
              </w:rPr>
            </w:pPr>
            <w:r>
              <w:rPr>
                <w:rFonts w:hint="default" w:ascii="宋体" w:hAnsi="宋体" w:cs="宋体"/>
                <w:color w:val="auto"/>
                <w:sz w:val="22"/>
                <w:szCs w:val="22"/>
                <w:highlight w:val="none"/>
                <w:lang w:val="zh-CN"/>
              </w:rPr>
              <w:t>拟在本项目中担任主要工作</w:t>
            </w:r>
          </w:p>
        </w:tc>
        <w:tc>
          <w:tcPr>
            <w:tcW w:w="7846" w:type="dxa"/>
            <w:gridSpan w:val="2"/>
            <w:vAlign w:val="center"/>
          </w:tcPr>
          <w:p w14:paraId="7D1B37D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sz w:val="22"/>
                <w:szCs w:val="22"/>
                <w:highlight w:val="none"/>
                <w:lang w:val="zh-CN"/>
              </w:rPr>
            </w:pPr>
          </w:p>
        </w:tc>
      </w:tr>
    </w:tbl>
    <w:p w14:paraId="3CEE4E61">
      <w:pPr>
        <w:spacing w:line="360" w:lineRule="exact"/>
        <w:ind w:left="752" w:hanging="752" w:hangingChars="342"/>
        <w:rPr>
          <w:rFonts w:ascii="宋体" w:hAnsi="宋体" w:cs="Arial"/>
          <w:color w:val="auto"/>
          <w:sz w:val="22"/>
          <w:szCs w:val="22"/>
          <w:highlight w:val="none"/>
        </w:rPr>
      </w:pPr>
      <w:r>
        <w:rPr>
          <w:rFonts w:hint="eastAsia" w:ascii="宋体" w:hAnsi="宋体" w:cs="Arial"/>
          <w:color w:val="auto"/>
          <w:sz w:val="22"/>
          <w:szCs w:val="22"/>
          <w:highlight w:val="none"/>
        </w:rPr>
        <w:t>附注：1.以上人员包括项目负责人、技术</w:t>
      </w:r>
      <w:r>
        <w:rPr>
          <w:rFonts w:hint="eastAsia" w:ascii="宋体" w:hAnsi="宋体"/>
          <w:color w:val="auto"/>
          <w:sz w:val="22"/>
          <w:szCs w:val="22"/>
          <w:highlight w:val="none"/>
        </w:rPr>
        <w:t>负责人</w:t>
      </w:r>
      <w:r>
        <w:rPr>
          <w:rFonts w:hint="eastAsia" w:ascii="宋体" w:hAnsi="宋体"/>
          <w:color w:val="auto"/>
          <w:sz w:val="22"/>
          <w:szCs w:val="22"/>
          <w:highlight w:val="none"/>
          <w:lang w:val="en-US" w:eastAsia="zh-CN"/>
        </w:rPr>
        <w:t>(技术</w:t>
      </w:r>
      <w:r>
        <w:rPr>
          <w:rFonts w:hint="eastAsia" w:ascii="宋体" w:hAnsi="宋体" w:cs="Arial"/>
          <w:color w:val="auto"/>
          <w:sz w:val="22"/>
          <w:szCs w:val="22"/>
          <w:highlight w:val="none"/>
        </w:rPr>
        <w:t>总监</w:t>
      </w:r>
      <w:r>
        <w:rPr>
          <w:rFonts w:hint="eastAsia" w:ascii="宋体" w:hAnsi="宋体" w:cs="Arial"/>
          <w:color w:val="auto"/>
          <w:sz w:val="22"/>
          <w:szCs w:val="22"/>
          <w:highlight w:val="none"/>
          <w:lang w:val="en-US" w:eastAsia="zh-CN"/>
        </w:rPr>
        <w:t>)</w:t>
      </w:r>
      <w:r>
        <w:rPr>
          <w:rFonts w:hint="eastAsia" w:ascii="宋体" w:hAnsi="宋体" w:cs="Arial"/>
          <w:color w:val="auto"/>
          <w:sz w:val="22"/>
          <w:szCs w:val="22"/>
          <w:highlight w:val="none"/>
        </w:rPr>
        <w:t>、安全</w:t>
      </w:r>
      <w:r>
        <w:rPr>
          <w:rFonts w:hint="eastAsia" w:ascii="宋体" w:hAnsi="宋体"/>
          <w:color w:val="auto"/>
          <w:sz w:val="22"/>
          <w:szCs w:val="22"/>
          <w:highlight w:val="none"/>
        </w:rPr>
        <w:t>负责人</w:t>
      </w:r>
      <w:r>
        <w:rPr>
          <w:rFonts w:hint="eastAsia" w:ascii="宋体" w:hAnsi="宋体"/>
          <w:color w:val="auto"/>
          <w:sz w:val="22"/>
          <w:szCs w:val="22"/>
          <w:highlight w:val="none"/>
          <w:lang w:eastAsia="zh-CN"/>
        </w:rPr>
        <w:t>（</w:t>
      </w:r>
      <w:r>
        <w:rPr>
          <w:rFonts w:hint="eastAsia" w:ascii="宋体" w:hAnsi="宋体" w:cs="Arial"/>
          <w:color w:val="auto"/>
          <w:sz w:val="22"/>
          <w:szCs w:val="22"/>
          <w:highlight w:val="none"/>
        </w:rPr>
        <w:t>安全总监</w:t>
      </w:r>
      <w:r>
        <w:rPr>
          <w:rFonts w:hint="eastAsia" w:ascii="宋体" w:hAnsi="宋体"/>
          <w:color w:val="auto"/>
          <w:sz w:val="22"/>
          <w:szCs w:val="22"/>
          <w:highlight w:val="none"/>
          <w:lang w:eastAsia="zh-CN"/>
        </w:rPr>
        <w:t>）</w:t>
      </w:r>
      <w:r>
        <w:rPr>
          <w:rFonts w:hint="eastAsia" w:ascii="宋体" w:hAnsi="宋体" w:cs="Arial"/>
          <w:color w:val="auto"/>
          <w:sz w:val="22"/>
          <w:szCs w:val="22"/>
          <w:highlight w:val="none"/>
        </w:rPr>
        <w:t>；</w:t>
      </w:r>
    </w:p>
    <w:p w14:paraId="3D45950C">
      <w:pPr>
        <w:spacing w:line="360" w:lineRule="exact"/>
        <w:ind w:firstLine="660" w:firstLineChars="300"/>
        <w:rPr>
          <w:rFonts w:ascii="宋体" w:hAnsi="宋体" w:cs="Arial"/>
          <w:color w:val="auto"/>
          <w:sz w:val="22"/>
          <w:szCs w:val="22"/>
          <w:highlight w:val="none"/>
        </w:rPr>
      </w:pPr>
      <w:r>
        <w:rPr>
          <w:rFonts w:hint="eastAsia" w:ascii="宋体" w:hAnsi="宋体" w:cs="Arial"/>
          <w:color w:val="auto"/>
          <w:sz w:val="22"/>
          <w:szCs w:val="22"/>
          <w:highlight w:val="none"/>
        </w:rPr>
        <w:t>2.后附学历、职称/资格证书/认证证书，业绩证明旁证材料（加盖公章）。</w:t>
      </w:r>
    </w:p>
    <w:p w14:paraId="17E9D890">
      <w:pPr>
        <w:spacing w:line="360" w:lineRule="exact"/>
        <w:ind w:left="752" w:hanging="752" w:hangingChars="342"/>
        <w:rPr>
          <w:rFonts w:ascii="宋体" w:hAnsi="宋体" w:cs="Arial"/>
          <w:color w:val="auto"/>
          <w:sz w:val="22"/>
          <w:szCs w:val="22"/>
          <w:highlight w:val="none"/>
        </w:rPr>
      </w:pPr>
    </w:p>
    <w:p w14:paraId="4D6EAAF4">
      <w:pPr>
        <w:spacing w:line="360" w:lineRule="exact"/>
        <w:ind w:left="752" w:hanging="752" w:hangingChars="342"/>
        <w:rPr>
          <w:rFonts w:ascii="宋体" w:hAnsi="宋体" w:cs="Arial"/>
          <w:color w:val="auto"/>
          <w:sz w:val="22"/>
          <w:szCs w:val="22"/>
          <w:highlight w:val="none"/>
        </w:rPr>
      </w:pPr>
      <w:r>
        <w:rPr>
          <w:rFonts w:hint="eastAsia" w:ascii="宋体" w:hAnsi="宋体" w:cs="Arial"/>
          <w:color w:val="auto"/>
          <w:sz w:val="22"/>
          <w:szCs w:val="22"/>
          <w:highlight w:val="none"/>
        </w:rPr>
        <w:t>供应商</w:t>
      </w:r>
      <w:r>
        <w:rPr>
          <w:rFonts w:ascii="宋体" w:hAnsi="宋体" w:cs="Arial"/>
          <w:color w:val="auto"/>
          <w:sz w:val="22"/>
          <w:szCs w:val="22"/>
          <w:highlight w:val="none"/>
        </w:rPr>
        <w:t>全称（公章）：</w:t>
      </w:r>
    </w:p>
    <w:p w14:paraId="64417990">
      <w:pPr>
        <w:spacing w:line="360" w:lineRule="exact"/>
        <w:ind w:left="752" w:hanging="752" w:hangingChars="342"/>
        <w:rPr>
          <w:rFonts w:ascii="宋体" w:hAnsi="宋体" w:cs="Arial"/>
          <w:color w:val="auto"/>
          <w:sz w:val="22"/>
          <w:szCs w:val="22"/>
          <w:highlight w:val="none"/>
        </w:rPr>
      </w:pPr>
      <w:r>
        <w:rPr>
          <w:rFonts w:ascii="宋体" w:hAnsi="宋体" w:cs="Arial"/>
          <w:color w:val="auto"/>
          <w:sz w:val="22"/>
          <w:szCs w:val="22"/>
          <w:highlight w:val="none"/>
        </w:rPr>
        <w:t>日期：</w:t>
      </w:r>
    </w:p>
    <w:p w14:paraId="1BB85DE7">
      <w:pPr>
        <w:spacing w:line="360" w:lineRule="exact"/>
        <w:ind w:left="752" w:hanging="752" w:hangingChars="342"/>
        <w:rPr>
          <w:rFonts w:ascii="宋体" w:hAnsi="宋体" w:cs="Arial"/>
          <w:color w:val="auto"/>
          <w:sz w:val="22"/>
          <w:szCs w:val="22"/>
          <w:highlight w:val="none"/>
        </w:rPr>
      </w:pPr>
    </w:p>
    <w:p w14:paraId="4AA09F2C">
      <w:pPr>
        <w:spacing w:line="360" w:lineRule="exact"/>
        <w:ind w:left="752" w:hanging="752" w:hangingChars="342"/>
        <w:rPr>
          <w:rFonts w:ascii="宋体" w:hAnsi="宋体" w:cs="Arial"/>
          <w:color w:val="auto"/>
          <w:sz w:val="22"/>
          <w:szCs w:val="22"/>
          <w:highlight w:val="none"/>
        </w:rPr>
      </w:pPr>
    </w:p>
    <w:p w14:paraId="7AE640DA">
      <w:pPr>
        <w:spacing w:line="360" w:lineRule="exact"/>
        <w:ind w:left="752" w:hanging="752" w:hangingChars="342"/>
        <w:rPr>
          <w:rFonts w:ascii="宋体" w:hAnsi="宋体" w:cs="Arial"/>
          <w:color w:val="auto"/>
          <w:sz w:val="22"/>
          <w:szCs w:val="22"/>
          <w:highlight w:val="none"/>
        </w:rPr>
      </w:pPr>
    </w:p>
    <w:p w14:paraId="6D91D893">
      <w:pPr>
        <w:spacing w:line="360" w:lineRule="exact"/>
        <w:ind w:left="752" w:hanging="752" w:hangingChars="342"/>
        <w:rPr>
          <w:rFonts w:ascii="宋体" w:hAnsi="宋体" w:cs="Arial"/>
          <w:color w:val="auto"/>
          <w:sz w:val="22"/>
          <w:szCs w:val="22"/>
          <w:highlight w:val="none"/>
        </w:rPr>
      </w:pPr>
    </w:p>
    <w:p w14:paraId="16BEA924">
      <w:pPr>
        <w:spacing w:line="360" w:lineRule="exact"/>
        <w:ind w:right="880"/>
        <w:jc w:val="center"/>
        <w:rPr>
          <w:rFonts w:ascii="宋体" w:hAnsi="宋体"/>
          <w:color w:val="auto"/>
          <w:kern w:val="0"/>
          <w:sz w:val="32"/>
          <w:szCs w:val="32"/>
          <w:highlight w:val="none"/>
        </w:rPr>
      </w:pPr>
    </w:p>
    <w:p w14:paraId="0E9A0294">
      <w:pPr>
        <w:spacing w:beforeLines="50" w:afterLines="50" w:line="460" w:lineRule="atLeast"/>
        <w:ind w:right="-10"/>
        <w:rPr>
          <w:rFonts w:ascii="宋体" w:hAnsi="宋体"/>
          <w:color w:val="auto"/>
          <w:kern w:val="0"/>
          <w:sz w:val="22"/>
          <w:highlight w:val="none"/>
        </w:rPr>
      </w:pPr>
    </w:p>
    <w:bookmarkEnd w:id="80"/>
    <w:p w14:paraId="797C9A9F">
      <w:pPr>
        <w:spacing w:line="440" w:lineRule="exact"/>
        <w:jc w:val="center"/>
        <w:rPr>
          <w:rFonts w:hAnsi="宋体"/>
          <w:color w:val="auto"/>
          <w:sz w:val="36"/>
          <w:szCs w:val="36"/>
          <w:highlight w:val="none"/>
        </w:rPr>
      </w:pPr>
      <w:r>
        <w:rPr>
          <w:rFonts w:hint="eastAsia" w:hAnsi="宋体"/>
          <w:color w:val="auto"/>
          <w:sz w:val="36"/>
          <w:szCs w:val="36"/>
          <w:highlight w:val="none"/>
        </w:rPr>
        <w:t>第七部分   确定成交供应商办法</w:t>
      </w:r>
    </w:p>
    <w:p w14:paraId="4AB5244C">
      <w:pPr>
        <w:snapToGrid w:val="0"/>
        <w:spacing w:line="470" w:lineRule="atLeast"/>
        <w:ind w:firstLine="540"/>
        <w:rPr>
          <w:rFonts w:ascii="宋体" w:hAnsi="宋体"/>
          <w:color w:val="auto"/>
          <w:sz w:val="22"/>
          <w:szCs w:val="22"/>
          <w:highlight w:val="none"/>
        </w:rPr>
      </w:pPr>
      <w:r>
        <w:rPr>
          <w:rFonts w:hint="eastAsia" w:ascii="宋体" w:hAnsi="宋体"/>
          <w:color w:val="auto"/>
          <w:sz w:val="22"/>
          <w:szCs w:val="22"/>
          <w:highlight w:val="none"/>
        </w:rPr>
        <w:t>根据《中华人民共和国政府采购法》等有关政府采购法规，结合本次所要采购项目的实际，按照公平、公正、科学、择优的原则选择成交单位，特制定本评审办法。</w:t>
      </w:r>
    </w:p>
    <w:p w14:paraId="3A3D39D5">
      <w:pPr>
        <w:snapToGrid w:val="0"/>
        <w:spacing w:line="470" w:lineRule="atLeast"/>
        <w:ind w:firstLine="3795" w:firstLineChars="1725"/>
        <w:rPr>
          <w:rFonts w:ascii="宋体" w:hAnsi="宋体"/>
          <w:color w:val="auto"/>
          <w:sz w:val="22"/>
          <w:szCs w:val="22"/>
          <w:highlight w:val="none"/>
        </w:rPr>
      </w:pPr>
      <w:r>
        <w:rPr>
          <w:rFonts w:hint="eastAsia" w:ascii="宋体" w:hAnsi="宋体"/>
          <w:color w:val="auto"/>
          <w:sz w:val="22"/>
          <w:szCs w:val="22"/>
          <w:highlight w:val="none"/>
        </w:rPr>
        <w:t>一、总则</w:t>
      </w:r>
    </w:p>
    <w:p w14:paraId="13CFDCAB">
      <w:pPr>
        <w:snapToGrid w:val="0"/>
        <w:spacing w:line="470" w:lineRule="atLeast"/>
        <w:ind w:firstLine="540"/>
        <w:rPr>
          <w:rFonts w:ascii="宋体" w:hAnsi="宋体"/>
          <w:color w:val="auto"/>
          <w:sz w:val="22"/>
          <w:szCs w:val="22"/>
          <w:highlight w:val="none"/>
        </w:rPr>
      </w:pPr>
      <w:r>
        <w:rPr>
          <w:rFonts w:hint="eastAsia" w:ascii="宋体" w:hAnsi="宋体"/>
          <w:color w:val="auto"/>
          <w:sz w:val="22"/>
          <w:szCs w:val="22"/>
          <w:highlight w:val="none"/>
        </w:rPr>
        <w:t>评审工作遵循公平、公正、民主、科学的原则和诚实、信誉、效率的服务原则。本着科学、严谨的态度，认真进行评审。择优选定提供服务单位</w:t>
      </w:r>
      <w:r>
        <w:rPr>
          <w:rFonts w:hint="eastAsia" w:ascii="宋体" w:hAnsi="宋体"/>
          <w:color w:val="auto"/>
          <w:sz w:val="22"/>
          <w:highlight w:val="none"/>
        </w:rPr>
        <w:t>，确保服务质量、服务期(完工期)，节约投资，</w:t>
      </w:r>
      <w:r>
        <w:rPr>
          <w:rFonts w:hint="eastAsia" w:ascii="宋体" w:hAnsi="宋体"/>
          <w:color w:val="auto"/>
          <w:sz w:val="22"/>
          <w:szCs w:val="22"/>
          <w:highlight w:val="none"/>
        </w:rPr>
        <w:t>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磋商响应文件将被拒绝。</w:t>
      </w:r>
    </w:p>
    <w:p w14:paraId="29B2C27F">
      <w:pPr>
        <w:snapToGrid w:val="0"/>
        <w:spacing w:line="470" w:lineRule="atLeast"/>
        <w:ind w:firstLine="3795" w:firstLineChars="1725"/>
        <w:rPr>
          <w:rFonts w:ascii="宋体" w:hAnsi="宋体"/>
          <w:color w:val="auto"/>
          <w:sz w:val="22"/>
          <w:szCs w:val="22"/>
          <w:highlight w:val="none"/>
        </w:rPr>
      </w:pPr>
      <w:r>
        <w:rPr>
          <w:rFonts w:hint="eastAsia" w:ascii="宋体" w:hAnsi="宋体"/>
          <w:color w:val="auto"/>
          <w:sz w:val="22"/>
          <w:szCs w:val="22"/>
          <w:highlight w:val="none"/>
        </w:rPr>
        <w:t>二、评审组织</w:t>
      </w:r>
    </w:p>
    <w:p w14:paraId="1AC5DA6C">
      <w:pPr>
        <w:snapToGrid w:val="0"/>
        <w:spacing w:line="470" w:lineRule="atLeast"/>
        <w:ind w:firstLine="540"/>
        <w:rPr>
          <w:rFonts w:ascii="宋体" w:hAnsi="宋体"/>
          <w:color w:val="auto"/>
          <w:sz w:val="22"/>
          <w:szCs w:val="22"/>
          <w:highlight w:val="none"/>
        </w:rPr>
      </w:pPr>
      <w:r>
        <w:rPr>
          <w:rFonts w:hint="eastAsia" w:ascii="宋体" w:hAnsi="宋体"/>
          <w:color w:val="auto"/>
          <w:sz w:val="22"/>
          <w:szCs w:val="22"/>
          <w:highlight w:val="none"/>
        </w:rPr>
        <w:t>评审工作由采购人依法组建的磋商小组负责，磋商小组由采购人代表以及评审专家库中随机抽取的有关技术、经济专家共同组成。评审全过程由采购管理部门全程监督。</w:t>
      </w:r>
    </w:p>
    <w:p w14:paraId="0CA4006E">
      <w:pPr>
        <w:pStyle w:val="149"/>
        <w:widowControl w:val="0"/>
        <w:pBdr>
          <w:left w:val="none" w:color="auto" w:sz="0" w:space="0"/>
          <w:bottom w:val="none" w:color="auto" w:sz="0" w:space="0"/>
          <w:right w:val="none" w:color="auto" w:sz="0" w:space="0"/>
        </w:pBdr>
        <w:adjustRightInd w:val="0"/>
        <w:snapToGrid w:val="0"/>
        <w:spacing w:beforeLines="50" w:beforeAutospacing="0" w:after="50" w:afterAutospacing="0" w:line="470" w:lineRule="atLeast"/>
        <w:ind w:firstLine="3740" w:firstLineChars="1700"/>
        <w:jc w:val="both"/>
        <w:textAlignment w:val="auto"/>
        <w:outlineLvl w:val="0"/>
        <w:rPr>
          <w:rFonts w:ascii="宋体" w:hAnsi="宋体"/>
          <w:b w:val="0"/>
          <w:color w:val="auto"/>
          <w:kern w:val="2"/>
          <w:sz w:val="22"/>
          <w:szCs w:val="22"/>
          <w:highlight w:val="none"/>
        </w:rPr>
      </w:pPr>
      <w:r>
        <w:rPr>
          <w:rFonts w:hint="eastAsia" w:ascii="宋体" w:hAnsi="宋体"/>
          <w:b w:val="0"/>
          <w:color w:val="auto"/>
          <w:kern w:val="2"/>
          <w:sz w:val="22"/>
          <w:szCs w:val="22"/>
          <w:highlight w:val="none"/>
        </w:rPr>
        <w:t>三、开标程序</w:t>
      </w:r>
    </w:p>
    <w:p w14:paraId="4142853D">
      <w:pPr>
        <w:snapToGrid w:val="0"/>
        <w:spacing w:line="470" w:lineRule="atLeast"/>
        <w:ind w:firstLine="540"/>
        <w:rPr>
          <w:rFonts w:ascii="宋体" w:hAnsi="宋体"/>
          <w:color w:val="auto"/>
          <w:sz w:val="22"/>
          <w:szCs w:val="22"/>
          <w:highlight w:val="none"/>
        </w:rPr>
      </w:pPr>
      <w:r>
        <w:rPr>
          <w:rFonts w:hint="eastAsia" w:ascii="宋体" w:hAnsi="宋体"/>
          <w:color w:val="auto"/>
          <w:sz w:val="22"/>
          <w:szCs w:val="22"/>
          <w:highlight w:val="none"/>
        </w:rPr>
        <w:t>具体开标流程见本磋商文件第三部分相关内容描述。</w:t>
      </w:r>
    </w:p>
    <w:p w14:paraId="607BB5EC">
      <w:pPr>
        <w:snapToGrid w:val="0"/>
        <w:spacing w:line="470" w:lineRule="atLeast"/>
        <w:ind w:firstLine="3795" w:firstLineChars="1725"/>
        <w:rPr>
          <w:rFonts w:ascii="宋体" w:hAnsi="宋体"/>
          <w:color w:val="auto"/>
          <w:sz w:val="22"/>
          <w:szCs w:val="22"/>
          <w:highlight w:val="none"/>
        </w:rPr>
      </w:pPr>
      <w:r>
        <w:rPr>
          <w:rFonts w:hint="eastAsia" w:ascii="宋体" w:hAnsi="宋体"/>
          <w:color w:val="auto"/>
          <w:sz w:val="22"/>
          <w:szCs w:val="22"/>
          <w:highlight w:val="none"/>
        </w:rPr>
        <w:t>四、评分细则（按标项评审）</w:t>
      </w:r>
    </w:p>
    <w:p w14:paraId="705A278C">
      <w:pPr>
        <w:pStyle w:val="25"/>
        <w:adjustRightInd w:val="0"/>
        <w:snapToGrid w:val="0"/>
        <w:spacing w:line="470" w:lineRule="atLeast"/>
        <w:ind w:firstLine="442" w:firstLineChars="200"/>
        <w:rPr>
          <w:rFonts w:hAnsi="宋体"/>
          <w:b/>
          <w:color w:val="auto"/>
          <w:sz w:val="22"/>
          <w:szCs w:val="22"/>
          <w:highlight w:val="none"/>
        </w:rPr>
      </w:pPr>
      <w:r>
        <w:rPr>
          <w:rFonts w:hint="eastAsia" w:hAnsi="宋体"/>
          <w:b/>
          <w:color w:val="auto"/>
          <w:sz w:val="22"/>
          <w:szCs w:val="22"/>
          <w:highlight w:val="none"/>
        </w:rPr>
        <w:t xml:space="preserve">一、报价评分 20分  </w:t>
      </w:r>
      <w:r>
        <w:rPr>
          <w:rFonts w:hAnsi="宋体"/>
          <w:b/>
          <w:color w:val="auto"/>
          <w:sz w:val="22"/>
          <w:szCs w:val="22"/>
          <w:highlight w:val="none"/>
        </w:rPr>
        <w:tab/>
      </w:r>
    </w:p>
    <w:p w14:paraId="3252632F">
      <w:pPr>
        <w:widowControl/>
        <w:autoSpaceDE w:val="0"/>
        <w:autoSpaceDN w:val="0"/>
        <w:adjustRightInd w:val="0"/>
        <w:spacing w:line="470" w:lineRule="atLeast"/>
        <w:ind w:firstLine="442" w:firstLineChars="200"/>
        <w:textAlignment w:val="bottom"/>
        <w:rPr>
          <w:rFonts w:ascii="宋体" w:hAnsi="宋体"/>
          <w:b/>
          <w:bCs/>
          <w:color w:val="auto"/>
          <w:sz w:val="22"/>
          <w:highlight w:val="none"/>
          <w:u w:val="single"/>
        </w:rPr>
      </w:pPr>
      <w:r>
        <w:rPr>
          <w:rFonts w:hint="eastAsia" w:ascii="宋体" w:hAnsi="宋体"/>
          <w:b/>
          <w:bCs/>
          <w:color w:val="auto"/>
          <w:sz w:val="22"/>
          <w:highlight w:val="none"/>
          <w:u w:val="single"/>
        </w:rPr>
        <w:t>以供应商有效投标价中的最低价为评标基准价，得满分20分。商务报价评分结算公式为:投标报价得分=(评标基准价／投标报价)×20%×100。</w:t>
      </w:r>
    </w:p>
    <w:p w14:paraId="41EB5F62">
      <w:pPr>
        <w:widowControl/>
        <w:autoSpaceDE w:val="0"/>
        <w:autoSpaceDN w:val="0"/>
        <w:adjustRightInd w:val="0"/>
        <w:spacing w:line="470" w:lineRule="atLeast"/>
        <w:ind w:firstLine="442" w:firstLineChars="200"/>
        <w:textAlignment w:val="bottom"/>
        <w:rPr>
          <w:rFonts w:ascii="宋体" w:hAnsi="宋体"/>
          <w:b/>
          <w:bCs/>
          <w:color w:val="auto"/>
          <w:sz w:val="22"/>
          <w:highlight w:val="none"/>
          <w:u w:val="single"/>
        </w:rPr>
      </w:pPr>
      <w:r>
        <w:rPr>
          <w:rFonts w:hint="eastAsia" w:ascii="宋体" w:hAnsi="宋体"/>
          <w:b/>
          <w:bCs/>
          <w:color w:val="auto"/>
          <w:sz w:val="22"/>
          <w:highlight w:val="none"/>
          <w:u w:val="single"/>
        </w:rPr>
        <w:t>本项目对符合磋商文件规定条件的小、微企业（或监狱企业或残疾人福利性单位）所投的价格给予10%的扣除，用扣除后的价格参与评审，如中标签订合同时以其投标价作为签订合同价。</w:t>
      </w:r>
      <w:r>
        <w:rPr>
          <w:rFonts w:ascii="宋体" w:hAnsi="宋体"/>
          <w:b/>
          <w:bCs/>
          <w:color w:val="auto"/>
          <w:sz w:val="22"/>
          <w:highlight w:val="none"/>
          <w:u w:val="single"/>
        </w:rPr>
        <w:t>因落实政府采购政策进行价格调整的，以调整后的价格计算评标基准价和投标报价。</w:t>
      </w:r>
      <w:r>
        <w:rPr>
          <w:rFonts w:hint="eastAsia" w:ascii="宋体" w:hAnsi="宋体"/>
          <w:b/>
          <w:bCs/>
          <w:color w:val="auto"/>
          <w:sz w:val="22"/>
          <w:highlight w:val="none"/>
          <w:u w:val="single"/>
        </w:rPr>
        <w:t>供应商企业属于以上多种性质的，不重复享受扶持政策。</w:t>
      </w:r>
    </w:p>
    <w:p w14:paraId="3C3684BD">
      <w:pPr>
        <w:pStyle w:val="25"/>
        <w:adjustRightInd w:val="0"/>
        <w:snapToGrid w:val="0"/>
        <w:spacing w:line="470" w:lineRule="atLeast"/>
        <w:ind w:firstLine="442" w:firstLineChars="200"/>
        <w:rPr>
          <w:rFonts w:hAnsi="宋体"/>
          <w:b/>
          <w:color w:val="auto"/>
          <w:sz w:val="22"/>
          <w:szCs w:val="22"/>
          <w:highlight w:val="none"/>
        </w:rPr>
      </w:pPr>
      <w:r>
        <w:rPr>
          <w:rFonts w:hint="eastAsia" w:hAnsi="宋体"/>
          <w:b/>
          <w:color w:val="auto"/>
          <w:sz w:val="22"/>
          <w:szCs w:val="22"/>
          <w:highlight w:val="none"/>
        </w:rPr>
        <w:t>二、商务技术综合评分80分</w:t>
      </w:r>
    </w:p>
    <w:p w14:paraId="6BCE0DFB">
      <w:pPr>
        <w:pStyle w:val="25"/>
        <w:adjustRightInd w:val="0"/>
        <w:snapToGrid w:val="0"/>
        <w:spacing w:line="470" w:lineRule="atLeast"/>
        <w:ind w:firstLine="442" w:firstLineChars="200"/>
        <w:rPr>
          <w:rFonts w:hAnsi="宋体"/>
          <w:b/>
          <w:color w:val="auto"/>
          <w:sz w:val="22"/>
          <w:szCs w:val="22"/>
          <w:highlight w:val="none"/>
        </w:rPr>
      </w:pPr>
      <w:r>
        <w:rPr>
          <w:rFonts w:hint="eastAsia"/>
          <w:b/>
          <w:bCs/>
          <w:color w:val="auto"/>
          <w:sz w:val="22"/>
          <w:szCs w:val="22"/>
          <w:highlight w:val="none"/>
        </w:rPr>
        <w:t>1、适用于标项一</w:t>
      </w:r>
    </w:p>
    <w:tbl>
      <w:tblPr>
        <w:tblStyle w:val="46"/>
        <w:tblW w:w="9901" w:type="dxa"/>
        <w:jc w:val="center"/>
        <w:tblLayout w:type="fixed"/>
        <w:tblCellMar>
          <w:top w:w="0" w:type="dxa"/>
          <w:left w:w="108" w:type="dxa"/>
          <w:bottom w:w="0" w:type="dxa"/>
          <w:right w:w="108" w:type="dxa"/>
        </w:tblCellMar>
      </w:tblPr>
      <w:tblGrid>
        <w:gridCol w:w="791"/>
        <w:gridCol w:w="1359"/>
        <w:gridCol w:w="1419"/>
        <w:gridCol w:w="818"/>
        <w:gridCol w:w="5514"/>
      </w:tblGrid>
      <w:tr w14:paraId="4CF49A50">
        <w:tblPrEx>
          <w:tblCellMar>
            <w:top w:w="0" w:type="dxa"/>
            <w:left w:w="108" w:type="dxa"/>
            <w:bottom w:w="0" w:type="dxa"/>
            <w:right w:w="108" w:type="dxa"/>
          </w:tblCellMar>
        </w:tblPrEx>
        <w:trPr>
          <w:trHeight w:val="452" w:hRule="atLeast"/>
          <w:jc w:val="center"/>
        </w:trPr>
        <w:tc>
          <w:tcPr>
            <w:tcW w:w="791" w:type="dxa"/>
            <w:tcBorders>
              <w:top w:val="single" w:color="000000" w:sz="8" w:space="0"/>
              <w:left w:val="single" w:color="000000" w:sz="8" w:space="0"/>
              <w:bottom w:val="single" w:color="000000" w:sz="8" w:space="0"/>
              <w:right w:val="single" w:color="000000" w:sz="8" w:space="0"/>
            </w:tcBorders>
            <w:vAlign w:val="center"/>
          </w:tcPr>
          <w:p w14:paraId="6EFF7482">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序号</w:t>
            </w:r>
          </w:p>
        </w:tc>
        <w:tc>
          <w:tcPr>
            <w:tcW w:w="1359" w:type="dxa"/>
            <w:tcBorders>
              <w:top w:val="single" w:color="000000" w:sz="8" w:space="0"/>
              <w:left w:val="nil"/>
              <w:bottom w:val="single" w:color="000000" w:sz="8" w:space="0"/>
              <w:right w:val="single" w:color="000000" w:sz="8" w:space="0"/>
            </w:tcBorders>
            <w:vAlign w:val="center"/>
          </w:tcPr>
          <w:p w14:paraId="072BCB0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评分项目</w:t>
            </w:r>
          </w:p>
        </w:tc>
        <w:tc>
          <w:tcPr>
            <w:tcW w:w="1419" w:type="dxa"/>
            <w:tcBorders>
              <w:top w:val="single" w:color="000000" w:sz="8" w:space="0"/>
              <w:left w:val="nil"/>
              <w:bottom w:val="single" w:color="000000" w:sz="8" w:space="0"/>
              <w:right w:val="single" w:color="000000" w:sz="8" w:space="0"/>
            </w:tcBorders>
            <w:vAlign w:val="center"/>
          </w:tcPr>
          <w:p w14:paraId="21508C19">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评分细则</w:t>
            </w:r>
          </w:p>
        </w:tc>
        <w:tc>
          <w:tcPr>
            <w:tcW w:w="818" w:type="dxa"/>
            <w:tcBorders>
              <w:top w:val="single" w:color="000000" w:sz="8" w:space="0"/>
              <w:left w:val="nil"/>
              <w:bottom w:val="single" w:color="000000" w:sz="8" w:space="0"/>
              <w:right w:val="single" w:color="000000" w:sz="8" w:space="0"/>
            </w:tcBorders>
            <w:vAlign w:val="center"/>
          </w:tcPr>
          <w:p w14:paraId="49487CCC">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分值</w:t>
            </w:r>
          </w:p>
        </w:tc>
        <w:tc>
          <w:tcPr>
            <w:tcW w:w="5514" w:type="dxa"/>
            <w:tcBorders>
              <w:top w:val="single" w:color="000000" w:sz="8" w:space="0"/>
              <w:left w:val="nil"/>
              <w:bottom w:val="single" w:color="000000" w:sz="8" w:space="0"/>
              <w:right w:val="single" w:color="000000" w:sz="8" w:space="0"/>
            </w:tcBorders>
            <w:vAlign w:val="center"/>
          </w:tcPr>
          <w:p w14:paraId="1EB4C22A">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评分标准</w:t>
            </w:r>
          </w:p>
        </w:tc>
      </w:tr>
      <w:tr w14:paraId="33C731BA">
        <w:tblPrEx>
          <w:tblCellMar>
            <w:top w:w="0" w:type="dxa"/>
            <w:left w:w="108" w:type="dxa"/>
            <w:bottom w:w="0" w:type="dxa"/>
            <w:right w:w="108" w:type="dxa"/>
          </w:tblCellMar>
        </w:tblPrEx>
        <w:trPr>
          <w:trHeight w:val="264" w:hRule="atLeast"/>
          <w:jc w:val="center"/>
        </w:trPr>
        <w:tc>
          <w:tcPr>
            <w:tcW w:w="791" w:type="dxa"/>
            <w:tcBorders>
              <w:top w:val="nil"/>
              <w:left w:val="single" w:color="000000" w:sz="8" w:space="0"/>
              <w:bottom w:val="single" w:color="000000" w:sz="8" w:space="0"/>
              <w:right w:val="single" w:color="000000" w:sz="8" w:space="0"/>
            </w:tcBorders>
            <w:vAlign w:val="center"/>
          </w:tcPr>
          <w:p w14:paraId="093ABE9C">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1</w:t>
            </w:r>
          </w:p>
        </w:tc>
        <w:tc>
          <w:tcPr>
            <w:tcW w:w="1359" w:type="dxa"/>
            <w:tcBorders>
              <w:top w:val="nil"/>
              <w:left w:val="nil"/>
              <w:bottom w:val="single" w:color="000000" w:sz="8" w:space="0"/>
              <w:right w:val="single" w:color="000000" w:sz="8" w:space="0"/>
            </w:tcBorders>
            <w:vAlign w:val="center"/>
          </w:tcPr>
          <w:p w14:paraId="480C288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投标供应商综合实力</w:t>
            </w:r>
          </w:p>
        </w:tc>
        <w:tc>
          <w:tcPr>
            <w:tcW w:w="1419" w:type="dxa"/>
            <w:tcBorders>
              <w:top w:val="nil"/>
              <w:left w:val="nil"/>
              <w:bottom w:val="single" w:color="auto" w:sz="8" w:space="0"/>
              <w:right w:val="single" w:color="000000" w:sz="8" w:space="0"/>
            </w:tcBorders>
            <w:vAlign w:val="center"/>
          </w:tcPr>
          <w:p w14:paraId="1F212F37">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综合实力</w:t>
            </w:r>
          </w:p>
        </w:tc>
        <w:tc>
          <w:tcPr>
            <w:tcW w:w="818" w:type="dxa"/>
            <w:tcBorders>
              <w:top w:val="nil"/>
              <w:left w:val="nil"/>
              <w:bottom w:val="single" w:color="auto" w:sz="8" w:space="0"/>
              <w:right w:val="single" w:color="000000" w:sz="8" w:space="0"/>
            </w:tcBorders>
            <w:vAlign w:val="center"/>
          </w:tcPr>
          <w:p w14:paraId="3E39F7E0">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3分</w:t>
            </w:r>
          </w:p>
        </w:tc>
        <w:tc>
          <w:tcPr>
            <w:tcW w:w="5514" w:type="dxa"/>
            <w:tcBorders>
              <w:top w:val="nil"/>
              <w:left w:val="nil"/>
              <w:bottom w:val="single" w:color="auto" w:sz="8" w:space="0"/>
              <w:right w:val="single" w:color="000000" w:sz="8" w:space="0"/>
            </w:tcBorders>
            <w:vAlign w:val="center"/>
          </w:tcPr>
          <w:p w14:paraId="6D2D6FB0">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①具有质量管理体系认证证书的得1分</w:t>
            </w:r>
          </w:p>
          <w:p w14:paraId="7ED432EF">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②具有环境管理体系认证证书的得1分</w:t>
            </w:r>
          </w:p>
          <w:p w14:paraId="504A06A1">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③具有职业健康安全管理体系认证证书的得1分</w:t>
            </w:r>
          </w:p>
          <w:p w14:paraId="639F6B37">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备注：若分公司参与投标，总公司具有该证书均认可，相关证书需在有效期内。</w:t>
            </w:r>
          </w:p>
        </w:tc>
      </w:tr>
      <w:tr w14:paraId="5204C950">
        <w:tblPrEx>
          <w:tblCellMar>
            <w:top w:w="0" w:type="dxa"/>
            <w:left w:w="108" w:type="dxa"/>
            <w:bottom w:w="0" w:type="dxa"/>
            <w:right w:w="108" w:type="dxa"/>
          </w:tblCellMar>
        </w:tblPrEx>
        <w:trPr>
          <w:trHeight w:val="555" w:hRule="atLeast"/>
          <w:jc w:val="center"/>
        </w:trPr>
        <w:tc>
          <w:tcPr>
            <w:tcW w:w="791" w:type="dxa"/>
            <w:vMerge w:val="restart"/>
            <w:tcBorders>
              <w:top w:val="single" w:color="000000" w:sz="8" w:space="0"/>
              <w:left w:val="single" w:color="000000" w:sz="8" w:space="0"/>
              <w:bottom w:val="single" w:color="000000" w:sz="8" w:space="0"/>
              <w:right w:val="single" w:color="000000" w:sz="8" w:space="0"/>
            </w:tcBorders>
            <w:vAlign w:val="center"/>
          </w:tcPr>
          <w:p w14:paraId="16494B61">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2</w:t>
            </w:r>
          </w:p>
        </w:tc>
        <w:tc>
          <w:tcPr>
            <w:tcW w:w="1359" w:type="dxa"/>
            <w:vMerge w:val="restart"/>
            <w:tcBorders>
              <w:top w:val="single" w:color="000000" w:sz="8" w:space="0"/>
              <w:left w:val="single" w:color="000000" w:sz="8" w:space="0"/>
              <w:bottom w:val="single" w:color="000000" w:sz="8" w:space="0"/>
              <w:right w:val="single" w:color="auto" w:sz="8" w:space="0"/>
            </w:tcBorders>
            <w:vAlign w:val="center"/>
          </w:tcPr>
          <w:p w14:paraId="036660BE">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云平台技术方案</w:t>
            </w:r>
          </w:p>
        </w:tc>
        <w:tc>
          <w:tcPr>
            <w:tcW w:w="1419" w:type="dxa"/>
            <w:tcBorders>
              <w:top w:val="single" w:color="auto" w:sz="8" w:space="0"/>
              <w:left w:val="single" w:color="auto" w:sz="8" w:space="0"/>
              <w:bottom w:val="single" w:color="auto" w:sz="8" w:space="0"/>
              <w:right w:val="single" w:color="auto" w:sz="8" w:space="0"/>
            </w:tcBorders>
            <w:vAlign w:val="center"/>
          </w:tcPr>
          <w:p w14:paraId="3C73A6A9">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云平台建设能力</w:t>
            </w:r>
          </w:p>
        </w:tc>
        <w:tc>
          <w:tcPr>
            <w:tcW w:w="818" w:type="dxa"/>
            <w:tcBorders>
              <w:top w:val="single" w:color="auto" w:sz="8" w:space="0"/>
              <w:left w:val="single" w:color="auto" w:sz="8" w:space="0"/>
              <w:bottom w:val="single" w:color="auto" w:sz="8" w:space="0"/>
              <w:right w:val="single" w:color="auto" w:sz="8" w:space="0"/>
            </w:tcBorders>
            <w:vAlign w:val="center"/>
          </w:tcPr>
          <w:p w14:paraId="63F4D6DA">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3分</w:t>
            </w:r>
          </w:p>
        </w:tc>
        <w:tc>
          <w:tcPr>
            <w:tcW w:w="5514" w:type="dxa"/>
            <w:tcBorders>
              <w:top w:val="single" w:color="auto" w:sz="8" w:space="0"/>
              <w:left w:val="single" w:color="auto" w:sz="8" w:space="0"/>
              <w:bottom w:val="single" w:color="auto" w:sz="8" w:space="0"/>
              <w:right w:val="single" w:color="auto" w:sz="8" w:space="0"/>
            </w:tcBorders>
            <w:vAlign w:val="center"/>
          </w:tcPr>
          <w:p w14:paraId="7C22BBDF">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根据投标供应商提供的政务云平台在国内建设的知名度、成熟度和应用案例由评委打分，0-3分。</w:t>
            </w:r>
          </w:p>
        </w:tc>
      </w:tr>
      <w:tr w14:paraId="53B61B71">
        <w:tblPrEx>
          <w:tblCellMar>
            <w:top w:w="0" w:type="dxa"/>
            <w:left w:w="108" w:type="dxa"/>
            <w:bottom w:w="0" w:type="dxa"/>
            <w:right w:w="108" w:type="dxa"/>
          </w:tblCellMar>
        </w:tblPrEx>
        <w:trPr>
          <w:trHeight w:val="825" w:hRule="atLeast"/>
          <w:jc w:val="center"/>
        </w:trPr>
        <w:tc>
          <w:tcPr>
            <w:tcW w:w="791" w:type="dxa"/>
            <w:vMerge w:val="continue"/>
            <w:tcBorders>
              <w:top w:val="single" w:color="000000" w:sz="8" w:space="0"/>
              <w:left w:val="single" w:color="000000" w:sz="8" w:space="0"/>
              <w:bottom w:val="single" w:color="000000" w:sz="8" w:space="0"/>
              <w:right w:val="single" w:color="000000" w:sz="8" w:space="0"/>
            </w:tcBorders>
            <w:vAlign w:val="center"/>
          </w:tcPr>
          <w:p w14:paraId="6F87FD5E">
            <w:pPr>
              <w:keepNext w:val="0"/>
              <w:keepLines w:val="0"/>
              <w:suppressLineNumbers w:val="0"/>
              <w:spacing w:before="0" w:beforeAutospacing="0" w:after="0" w:afterAutospacing="0"/>
              <w:ind w:left="0" w:right="0"/>
              <w:jc w:val="center"/>
              <w:rPr>
                <w:rFonts w:hint="default" w:ascii="宋体" w:hAnsi="宋体"/>
                <w:color w:val="auto"/>
                <w:sz w:val="22"/>
                <w:szCs w:val="22"/>
                <w:highlight w:val="none"/>
              </w:rPr>
            </w:pPr>
          </w:p>
        </w:tc>
        <w:tc>
          <w:tcPr>
            <w:tcW w:w="1359" w:type="dxa"/>
            <w:vMerge w:val="continue"/>
            <w:tcBorders>
              <w:top w:val="single" w:color="000000" w:sz="8" w:space="0"/>
              <w:left w:val="single" w:color="000000" w:sz="8" w:space="0"/>
              <w:bottom w:val="single" w:color="000000" w:sz="8" w:space="0"/>
              <w:right w:val="single" w:color="000000" w:sz="8" w:space="0"/>
            </w:tcBorders>
            <w:vAlign w:val="center"/>
          </w:tcPr>
          <w:p w14:paraId="74A51764">
            <w:pPr>
              <w:keepNext w:val="0"/>
              <w:keepLines w:val="0"/>
              <w:suppressLineNumbers w:val="0"/>
              <w:spacing w:before="0" w:beforeAutospacing="0" w:after="0" w:afterAutospacing="0"/>
              <w:ind w:left="0" w:right="0"/>
              <w:rPr>
                <w:rFonts w:hint="default" w:ascii="宋体" w:hAnsi="宋体"/>
                <w:color w:val="auto"/>
                <w:sz w:val="22"/>
                <w:szCs w:val="22"/>
                <w:highlight w:val="none"/>
              </w:rPr>
            </w:pPr>
          </w:p>
        </w:tc>
        <w:tc>
          <w:tcPr>
            <w:tcW w:w="1419" w:type="dxa"/>
            <w:tcBorders>
              <w:top w:val="single" w:color="auto" w:sz="8" w:space="0"/>
              <w:left w:val="single" w:color="000000" w:sz="8" w:space="0"/>
              <w:bottom w:val="single" w:color="000000" w:sz="8" w:space="0"/>
              <w:right w:val="single" w:color="000000" w:sz="8" w:space="0"/>
            </w:tcBorders>
            <w:vAlign w:val="center"/>
          </w:tcPr>
          <w:p w14:paraId="297D1F5E">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云平台系统架构方案</w:t>
            </w:r>
          </w:p>
        </w:tc>
        <w:tc>
          <w:tcPr>
            <w:tcW w:w="818" w:type="dxa"/>
            <w:tcBorders>
              <w:top w:val="single" w:color="auto" w:sz="8" w:space="0"/>
              <w:left w:val="nil"/>
              <w:bottom w:val="single" w:color="000000" w:sz="8" w:space="0"/>
              <w:right w:val="single" w:color="000000" w:sz="8" w:space="0"/>
            </w:tcBorders>
            <w:vAlign w:val="center"/>
          </w:tcPr>
          <w:p w14:paraId="32E720AB">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5分</w:t>
            </w:r>
          </w:p>
        </w:tc>
        <w:tc>
          <w:tcPr>
            <w:tcW w:w="5514" w:type="dxa"/>
            <w:tcBorders>
              <w:top w:val="single" w:color="auto" w:sz="8" w:space="0"/>
              <w:left w:val="nil"/>
              <w:bottom w:val="single" w:color="000000" w:sz="8" w:space="0"/>
              <w:right w:val="single" w:color="000000" w:sz="8" w:space="0"/>
            </w:tcBorders>
            <w:vAlign w:val="center"/>
          </w:tcPr>
          <w:p w14:paraId="6C966694">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根据响应文件中对政务云平台总体设计思路和技术架构的合理性、先进性打分。</w:t>
            </w:r>
          </w:p>
          <w:p w14:paraId="57C9C511">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应答详尽、明晰，内容完整齐全、表述准确、条理清晰，内容无前后矛盾，符合磋商文件要求，分析本项目的特点针对性强，服务响应时间及时的3-5分；</w:t>
            </w:r>
          </w:p>
          <w:p w14:paraId="5705C739">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应答基本详尽、基本明晰，内容基本齐全、表述基本准确、条理基本清晰，内容前后矛盾较少，基本符合磋商文件要求，分析本项目的特点针对性一般，服务响应时间拖沓的1-3分；</w:t>
            </w:r>
          </w:p>
          <w:p w14:paraId="1A889A48">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应答不详尽、不明晰，内容不齐全、表述不准确、条理不清晰，内容有明显前后矛盾，不符合磋商文件要求，分析本项目的特点针对性差，服务响应时间不满意的0-1分。</w:t>
            </w:r>
          </w:p>
        </w:tc>
      </w:tr>
      <w:tr w14:paraId="0913E3B5">
        <w:tblPrEx>
          <w:tblCellMar>
            <w:top w:w="0" w:type="dxa"/>
            <w:left w:w="108" w:type="dxa"/>
            <w:bottom w:w="0" w:type="dxa"/>
            <w:right w:w="108" w:type="dxa"/>
          </w:tblCellMar>
        </w:tblPrEx>
        <w:trPr>
          <w:trHeight w:val="825" w:hRule="atLeast"/>
          <w:jc w:val="center"/>
        </w:trPr>
        <w:tc>
          <w:tcPr>
            <w:tcW w:w="791" w:type="dxa"/>
            <w:vMerge w:val="continue"/>
            <w:tcBorders>
              <w:top w:val="single" w:color="000000" w:sz="8" w:space="0"/>
              <w:left w:val="single" w:color="000000" w:sz="8" w:space="0"/>
              <w:bottom w:val="single" w:color="000000" w:sz="8" w:space="0"/>
              <w:right w:val="single" w:color="000000" w:sz="8" w:space="0"/>
            </w:tcBorders>
            <w:vAlign w:val="center"/>
          </w:tcPr>
          <w:p w14:paraId="34AA2359">
            <w:pPr>
              <w:keepNext w:val="0"/>
              <w:keepLines w:val="0"/>
              <w:suppressLineNumbers w:val="0"/>
              <w:spacing w:before="0" w:beforeAutospacing="0" w:after="0" w:afterAutospacing="0"/>
              <w:ind w:left="0" w:right="0"/>
              <w:jc w:val="center"/>
              <w:rPr>
                <w:rFonts w:hint="default" w:ascii="宋体" w:hAnsi="宋体"/>
                <w:color w:val="auto"/>
                <w:sz w:val="22"/>
                <w:szCs w:val="22"/>
                <w:highlight w:val="none"/>
              </w:rPr>
            </w:pPr>
          </w:p>
        </w:tc>
        <w:tc>
          <w:tcPr>
            <w:tcW w:w="1359" w:type="dxa"/>
            <w:vMerge w:val="continue"/>
            <w:tcBorders>
              <w:top w:val="single" w:color="000000" w:sz="8" w:space="0"/>
              <w:left w:val="single" w:color="000000" w:sz="8" w:space="0"/>
              <w:bottom w:val="single" w:color="000000" w:sz="8" w:space="0"/>
              <w:right w:val="single" w:color="000000" w:sz="8" w:space="0"/>
            </w:tcBorders>
            <w:vAlign w:val="center"/>
          </w:tcPr>
          <w:p w14:paraId="7125865C">
            <w:pPr>
              <w:keepNext w:val="0"/>
              <w:keepLines w:val="0"/>
              <w:suppressLineNumbers w:val="0"/>
              <w:spacing w:before="0" w:beforeAutospacing="0" w:after="0" w:afterAutospacing="0"/>
              <w:ind w:left="0" w:right="0"/>
              <w:rPr>
                <w:rFonts w:hint="default" w:ascii="宋体" w:hAnsi="宋体"/>
                <w:color w:val="auto"/>
                <w:sz w:val="22"/>
                <w:szCs w:val="22"/>
                <w:highlight w:val="none"/>
              </w:rPr>
            </w:pPr>
          </w:p>
        </w:tc>
        <w:tc>
          <w:tcPr>
            <w:tcW w:w="1419" w:type="dxa"/>
            <w:tcBorders>
              <w:top w:val="nil"/>
              <w:left w:val="nil"/>
              <w:bottom w:val="single" w:color="000000" w:sz="8" w:space="0"/>
              <w:right w:val="single" w:color="000000" w:sz="8" w:space="0"/>
            </w:tcBorders>
            <w:vAlign w:val="center"/>
          </w:tcPr>
          <w:p w14:paraId="55E5897B">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技术指标需求响应程度</w:t>
            </w:r>
          </w:p>
        </w:tc>
        <w:tc>
          <w:tcPr>
            <w:tcW w:w="818" w:type="dxa"/>
            <w:tcBorders>
              <w:top w:val="nil"/>
              <w:left w:val="nil"/>
              <w:bottom w:val="single" w:color="auto" w:sz="8" w:space="0"/>
              <w:right w:val="single" w:color="000000" w:sz="8" w:space="0"/>
            </w:tcBorders>
            <w:vAlign w:val="center"/>
          </w:tcPr>
          <w:p w14:paraId="574C02E0">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20分</w:t>
            </w:r>
          </w:p>
        </w:tc>
        <w:tc>
          <w:tcPr>
            <w:tcW w:w="5514" w:type="dxa"/>
            <w:tcBorders>
              <w:top w:val="nil"/>
              <w:left w:val="nil"/>
              <w:bottom w:val="single" w:color="auto" w:sz="8" w:space="0"/>
              <w:right w:val="single" w:color="000000" w:sz="8" w:space="0"/>
            </w:tcBorders>
            <w:vAlign w:val="center"/>
          </w:tcPr>
          <w:p w14:paraId="35D2D358">
            <w:pPr>
              <w:keepNext w:val="0"/>
              <w:keepLines w:val="0"/>
              <w:suppressLineNumbers w:val="0"/>
              <w:snapToGrid w:val="0"/>
              <w:spacing w:before="0" w:beforeAutospacing="0" w:after="0" w:afterAutospacing="0"/>
              <w:ind w:left="0" w:right="0"/>
              <w:rPr>
                <w:rFonts w:hint="default" w:ascii="宋体" w:hAnsi="宋体"/>
                <w:color w:val="auto"/>
                <w:sz w:val="22"/>
                <w:szCs w:val="22"/>
                <w:highlight w:val="none"/>
              </w:rPr>
            </w:pPr>
            <w:r>
              <w:rPr>
                <w:rFonts w:hint="eastAsia" w:ascii="宋体" w:hAnsi="宋体"/>
                <w:color w:val="auto"/>
                <w:sz w:val="22"/>
                <w:szCs w:val="22"/>
                <w:highlight w:val="none"/>
              </w:rPr>
              <w:t>根据响应文件对所列云平台技术需求和技术指标的符合程度评分。</w:t>
            </w:r>
          </w:p>
          <w:p w14:paraId="6C959A4F">
            <w:pPr>
              <w:keepNext w:val="0"/>
              <w:keepLines w:val="0"/>
              <w:suppressLineNumbers w:val="0"/>
              <w:snapToGrid w:val="0"/>
              <w:spacing w:before="0" w:beforeAutospacing="0" w:after="0" w:afterAutospacing="0"/>
              <w:ind w:left="0" w:right="0"/>
              <w:rPr>
                <w:rFonts w:hint="default" w:ascii="宋体" w:hAnsi="宋体"/>
                <w:color w:val="auto"/>
                <w:sz w:val="22"/>
                <w:szCs w:val="22"/>
                <w:highlight w:val="none"/>
              </w:rPr>
            </w:pPr>
            <w:r>
              <w:rPr>
                <w:rFonts w:hint="eastAsia" w:ascii="宋体" w:hAnsi="宋体"/>
                <w:color w:val="auto"/>
                <w:sz w:val="22"/>
                <w:szCs w:val="22"/>
                <w:highlight w:val="none"/>
              </w:rPr>
              <w:t>1.标有“▲”且加下划线必须满足，负偏离按无效投标处理；</w:t>
            </w:r>
          </w:p>
          <w:p w14:paraId="7DB4396D">
            <w:pPr>
              <w:keepNext w:val="0"/>
              <w:keepLines w:val="0"/>
              <w:suppressLineNumbers w:val="0"/>
              <w:snapToGrid w:val="0"/>
              <w:spacing w:before="0" w:beforeAutospacing="0" w:after="0" w:afterAutospacing="0"/>
              <w:ind w:left="0" w:right="0"/>
              <w:rPr>
                <w:rFonts w:hint="default" w:ascii="宋体" w:hAnsi="宋体"/>
                <w:color w:val="auto"/>
                <w:sz w:val="22"/>
                <w:szCs w:val="22"/>
                <w:highlight w:val="none"/>
              </w:rPr>
            </w:pPr>
            <w:r>
              <w:rPr>
                <w:rFonts w:hint="eastAsia" w:ascii="宋体" w:hAnsi="宋体"/>
                <w:color w:val="auto"/>
                <w:sz w:val="22"/>
                <w:szCs w:val="22"/>
                <w:highlight w:val="none"/>
              </w:rPr>
              <w:t>2.投标产品的技术参数“★”的，每负偏离1项扣2分，</w:t>
            </w:r>
          </w:p>
          <w:p w14:paraId="2786B33C">
            <w:pPr>
              <w:keepNext w:val="0"/>
              <w:keepLines w:val="0"/>
              <w:suppressLineNumbers w:val="0"/>
              <w:snapToGrid w:val="0"/>
              <w:spacing w:before="0" w:beforeAutospacing="0" w:after="0" w:afterAutospacing="0"/>
              <w:ind w:left="0" w:right="0"/>
              <w:rPr>
                <w:rFonts w:hint="default" w:ascii="宋体" w:hAnsi="宋体"/>
                <w:color w:val="auto"/>
                <w:sz w:val="22"/>
                <w:szCs w:val="22"/>
                <w:highlight w:val="none"/>
              </w:rPr>
            </w:pPr>
            <w:r>
              <w:rPr>
                <w:rFonts w:hint="eastAsia" w:ascii="宋体" w:hAnsi="宋体"/>
                <w:color w:val="auto"/>
                <w:sz w:val="22"/>
                <w:szCs w:val="22"/>
                <w:highlight w:val="none"/>
              </w:rPr>
              <w:t>扣完为止，由评委共同认定。</w:t>
            </w:r>
          </w:p>
        </w:tc>
      </w:tr>
      <w:tr w14:paraId="7DF0B619">
        <w:tblPrEx>
          <w:tblCellMar>
            <w:top w:w="0" w:type="dxa"/>
            <w:left w:w="108" w:type="dxa"/>
            <w:bottom w:w="0" w:type="dxa"/>
            <w:right w:w="108" w:type="dxa"/>
          </w:tblCellMar>
        </w:tblPrEx>
        <w:trPr>
          <w:trHeight w:val="1669" w:hRule="atLeast"/>
          <w:jc w:val="center"/>
        </w:trPr>
        <w:tc>
          <w:tcPr>
            <w:tcW w:w="791" w:type="dxa"/>
            <w:vMerge w:val="continue"/>
            <w:tcBorders>
              <w:top w:val="single" w:color="000000" w:sz="8" w:space="0"/>
              <w:left w:val="single" w:color="000000" w:sz="8" w:space="0"/>
              <w:bottom w:val="single" w:color="000000" w:sz="8" w:space="0"/>
              <w:right w:val="single" w:color="000000" w:sz="8" w:space="0"/>
            </w:tcBorders>
            <w:vAlign w:val="center"/>
          </w:tcPr>
          <w:p w14:paraId="4865C75E">
            <w:pPr>
              <w:keepNext w:val="0"/>
              <w:keepLines w:val="0"/>
              <w:suppressLineNumbers w:val="0"/>
              <w:spacing w:before="0" w:beforeAutospacing="0" w:after="0" w:afterAutospacing="0"/>
              <w:ind w:left="0" w:right="0"/>
              <w:jc w:val="center"/>
              <w:rPr>
                <w:rFonts w:hint="default" w:ascii="宋体" w:hAnsi="宋体"/>
                <w:color w:val="auto"/>
                <w:sz w:val="22"/>
                <w:szCs w:val="22"/>
                <w:highlight w:val="none"/>
              </w:rPr>
            </w:pPr>
          </w:p>
        </w:tc>
        <w:tc>
          <w:tcPr>
            <w:tcW w:w="1359" w:type="dxa"/>
            <w:vMerge w:val="continue"/>
            <w:tcBorders>
              <w:top w:val="single" w:color="000000" w:sz="8" w:space="0"/>
              <w:left w:val="single" w:color="000000" w:sz="8" w:space="0"/>
              <w:bottom w:val="single" w:color="000000" w:sz="8" w:space="0"/>
              <w:right w:val="single" w:color="000000" w:sz="8" w:space="0"/>
            </w:tcBorders>
            <w:vAlign w:val="center"/>
          </w:tcPr>
          <w:p w14:paraId="794D7645">
            <w:pPr>
              <w:keepNext w:val="0"/>
              <w:keepLines w:val="0"/>
              <w:suppressLineNumbers w:val="0"/>
              <w:spacing w:before="0" w:beforeAutospacing="0" w:after="0" w:afterAutospacing="0"/>
              <w:ind w:left="0" w:right="0"/>
              <w:rPr>
                <w:rFonts w:hint="default" w:ascii="宋体" w:hAnsi="宋体"/>
                <w:color w:val="auto"/>
                <w:sz w:val="22"/>
                <w:szCs w:val="22"/>
                <w:highlight w:val="none"/>
              </w:rPr>
            </w:pPr>
          </w:p>
        </w:tc>
        <w:tc>
          <w:tcPr>
            <w:tcW w:w="1419" w:type="dxa"/>
            <w:tcBorders>
              <w:top w:val="single" w:color="000000" w:sz="8" w:space="0"/>
              <w:left w:val="single" w:color="000000" w:sz="8" w:space="0"/>
              <w:bottom w:val="single" w:color="000000" w:sz="8" w:space="0"/>
              <w:right w:val="single" w:color="auto" w:sz="8" w:space="0"/>
            </w:tcBorders>
            <w:vAlign w:val="center"/>
          </w:tcPr>
          <w:p w14:paraId="26AF92A4">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机房要求</w:t>
            </w:r>
          </w:p>
        </w:tc>
        <w:tc>
          <w:tcPr>
            <w:tcW w:w="818" w:type="dxa"/>
            <w:tcBorders>
              <w:top w:val="single" w:color="auto" w:sz="8" w:space="0"/>
              <w:left w:val="single" w:color="auto" w:sz="8" w:space="0"/>
              <w:bottom w:val="single" w:color="auto" w:sz="8" w:space="0"/>
              <w:right w:val="single" w:color="auto" w:sz="8" w:space="0"/>
            </w:tcBorders>
            <w:vAlign w:val="center"/>
          </w:tcPr>
          <w:p w14:paraId="22198A8A">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9分</w:t>
            </w:r>
          </w:p>
        </w:tc>
        <w:tc>
          <w:tcPr>
            <w:tcW w:w="5514" w:type="dxa"/>
            <w:tcBorders>
              <w:top w:val="single" w:color="auto" w:sz="8" w:space="0"/>
              <w:left w:val="single" w:color="auto" w:sz="8" w:space="0"/>
              <w:bottom w:val="single" w:color="auto" w:sz="8" w:space="0"/>
              <w:right w:val="single" w:color="auto" w:sz="8" w:space="0"/>
            </w:tcBorders>
            <w:vAlign w:val="center"/>
          </w:tcPr>
          <w:p w14:paraId="56709A58">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22"/>
                <w:szCs w:val="22"/>
                <w:highlight w:val="none"/>
              </w:rPr>
            </w:pPr>
            <w:r>
              <w:rPr>
                <w:rFonts w:hint="eastAsia" w:ascii="宋体" w:hAnsi="宋体"/>
                <w:color w:val="auto"/>
                <w:sz w:val="22"/>
                <w:szCs w:val="22"/>
                <w:highlight w:val="none"/>
              </w:rPr>
              <w:t>1.获得平台等保三级（含）以上安全等级保护要求。提供证书扫描件得3分，不满足不得分。</w:t>
            </w:r>
          </w:p>
          <w:p w14:paraId="63F71241">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22"/>
                <w:szCs w:val="22"/>
                <w:highlight w:val="none"/>
              </w:rPr>
            </w:pPr>
            <w:r>
              <w:rPr>
                <w:rFonts w:hint="eastAsia" w:ascii="宋体" w:hAnsi="宋体"/>
                <w:color w:val="auto"/>
                <w:sz w:val="22"/>
                <w:szCs w:val="22"/>
                <w:highlight w:val="none"/>
              </w:rPr>
              <w:t>2.获得</w:t>
            </w:r>
            <w:r>
              <w:rPr>
                <w:rFonts w:hint="default" w:ascii="宋体" w:hAnsi="宋体"/>
                <w:color w:val="auto"/>
                <w:sz w:val="22"/>
                <w:szCs w:val="22"/>
                <w:highlight w:val="none"/>
              </w:rPr>
              <w:t>信息安全管理体系认证证书</w:t>
            </w:r>
            <w:r>
              <w:rPr>
                <w:rFonts w:hint="eastAsia" w:ascii="宋体" w:hAnsi="宋体"/>
                <w:color w:val="auto"/>
                <w:sz w:val="22"/>
                <w:szCs w:val="22"/>
                <w:highlight w:val="none"/>
              </w:rPr>
              <w:t>，认证范围必须包含云计算服务，提供证书扫描件得3分，不满足不得分。</w:t>
            </w:r>
          </w:p>
          <w:p w14:paraId="1183C673">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22"/>
                <w:szCs w:val="22"/>
                <w:highlight w:val="none"/>
              </w:rPr>
            </w:pPr>
            <w:r>
              <w:rPr>
                <w:rFonts w:hint="eastAsia" w:ascii="宋体" w:hAnsi="宋体"/>
                <w:color w:val="auto"/>
                <w:sz w:val="22"/>
                <w:szCs w:val="22"/>
                <w:highlight w:val="none"/>
              </w:rPr>
              <w:t>3.提供</w:t>
            </w:r>
            <w:r>
              <w:rPr>
                <w:rFonts w:hint="eastAsia" w:ascii="宋体" w:hAnsi="宋体"/>
                <w:color w:val="auto"/>
                <w:sz w:val="22"/>
                <w:szCs w:val="22"/>
                <w:highlight w:val="none"/>
                <w:lang w:val="en-US" w:eastAsia="zh-CN"/>
              </w:rPr>
              <w:t>信息技术服务</w:t>
            </w:r>
            <w:r>
              <w:rPr>
                <w:rFonts w:hint="default" w:ascii="宋体" w:hAnsi="宋体"/>
                <w:color w:val="auto"/>
                <w:sz w:val="22"/>
                <w:szCs w:val="22"/>
                <w:highlight w:val="none"/>
                <w:lang w:eastAsia="zh-CN"/>
              </w:rPr>
              <w:t>管理</w:t>
            </w:r>
            <w:r>
              <w:rPr>
                <w:rFonts w:hint="eastAsia" w:ascii="宋体" w:hAnsi="宋体"/>
                <w:color w:val="auto"/>
                <w:sz w:val="22"/>
                <w:szCs w:val="22"/>
                <w:highlight w:val="none"/>
              </w:rPr>
              <w:t>体系认证证书得3分，不满足不得分。</w:t>
            </w:r>
          </w:p>
          <w:p w14:paraId="6AA8ADCC">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22"/>
                <w:szCs w:val="22"/>
                <w:highlight w:val="none"/>
              </w:rPr>
            </w:pPr>
            <w:r>
              <w:rPr>
                <w:rFonts w:hint="eastAsia" w:ascii="宋体" w:hAnsi="宋体"/>
                <w:color w:val="auto"/>
                <w:sz w:val="22"/>
                <w:szCs w:val="22"/>
                <w:highlight w:val="none"/>
              </w:rPr>
              <w:t>备注：若分公司参与投标，授权函有相关内容授权则总公司具有该证书均认可，相关证书需在有效期内。</w:t>
            </w:r>
          </w:p>
        </w:tc>
      </w:tr>
      <w:tr w14:paraId="525D3051">
        <w:tblPrEx>
          <w:tblCellMar>
            <w:top w:w="0" w:type="dxa"/>
            <w:left w:w="108" w:type="dxa"/>
            <w:bottom w:w="0" w:type="dxa"/>
            <w:right w:w="108" w:type="dxa"/>
          </w:tblCellMar>
        </w:tblPrEx>
        <w:trPr>
          <w:trHeight w:val="810" w:hRule="atLeast"/>
          <w:jc w:val="center"/>
        </w:trPr>
        <w:tc>
          <w:tcPr>
            <w:tcW w:w="791" w:type="dxa"/>
            <w:vMerge w:val="continue"/>
            <w:tcBorders>
              <w:top w:val="single" w:color="000000" w:sz="8" w:space="0"/>
              <w:left w:val="single" w:color="000000" w:sz="8" w:space="0"/>
              <w:bottom w:val="single" w:color="000000" w:sz="8" w:space="0"/>
              <w:right w:val="single" w:color="000000" w:sz="8" w:space="0"/>
            </w:tcBorders>
            <w:vAlign w:val="center"/>
          </w:tcPr>
          <w:p w14:paraId="5B96D958">
            <w:pPr>
              <w:keepNext w:val="0"/>
              <w:keepLines w:val="0"/>
              <w:suppressLineNumbers w:val="0"/>
              <w:spacing w:before="0" w:beforeAutospacing="0" w:after="0" w:afterAutospacing="0"/>
              <w:ind w:left="0" w:right="0"/>
              <w:jc w:val="center"/>
              <w:rPr>
                <w:rFonts w:hint="default" w:ascii="宋体" w:hAnsi="宋体"/>
                <w:color w:val="auto"/>
                <w:sz w:val="22"/>
                <w:szCs w:val="22"/>
                <w:highlight w:val="none"/>
              </w:rPr>
            </w:pPr>
          </w:p>
        </w:tc>
        <w:tc>
          <w:tcPr>
            <w:tcW w:w="1359" w:type="dxa"/>
            <w:vMerge w:val="continue"/>
            <w:tcBorders>
              <w:top w:val="single" w:color="000000" w:sz="8" w:space="0"/>
              <w:left w:val="single" w:color="000000" w:sz="8" w:space="0"/>
              <w:bottom w:val="single" w:color="000000" w:sz="8" w:space="0"/>
              <w:right w:val="single" w:color="000000" w:sz="8" w:space="0"/>
            </w:tcBorders>
            <w:vAlign w:val="center"/>
          </w:tcPr>
          <w:p w14:paraId="47302BDE">
            <w:pPr>
              <w:keepNext w:val="0"/>
              <w:keepLines w:val="0"/>
              <w:suppressLineNumbers w:val="0"/>
              <w:spacing w:before="0" w:beforeAutospacing="0" w:after="0" w:afterAutospacing="0"/>
              <w:ind w:left="0" w:right="0"/>
              <w:rPr>
                <w:rFonts w:hint="default" w:ascii="宋体" w:hAnsi="宋体"/>
                <w:color w:val="auto"/>
                <w:sz w:val="22"/>
                <w:szCs w:val="22"/>
                <w:highlight w:val="none"/>
              </w:rPr>
            </w:pPr>
          </w:p>
        </w:tc>
        <w:tc>
          <w:tcPr>
            <w:tcW w:w="1419" w:type="dxa"/>
            <w:tcBorders>
              <w:top w:val="single" w:color="000000" w:sz="8" w:space="0"/>
              <w:left w:val="single" w:color="000000" w:sz="8" w:space="0"/>
              <w:bottom w:val="single" w:color="000000" w:sz="8" w:space="0"/>
              <w:right w:val="single" w:color="auto" w:sz="8" w:space="0"/>
            </w:tcBorders>
            <w:vAlign w:val="center"/>
          </w:tcPr>
          <w:p w14:paraId="7BC08DDD">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平台带宽与链路</w:t>
            </w:r>
          </w:p>
        </w:tc>
        <w:tc>
          <w:tcPr>
            <w:tcW w:w="818" w:type="dxa"/>
            <w:tcBorders>
              <w:top w:val="single" w:color="auto" w:sz="8" w:space="0"/>
              <w:left w:val="single" w:color="auto" w:sz="8" w:space="0"/>
              <w:bottom w:val="single" w:color="auto" w:sz="8" w:space="0"/>
              <w:right w:val="single" w:color="auto" w:sz="8" w:space="0"/>
            </w:tcBorders>
            <w:vAlign w:val="center"/>
          </w:tcPr>
          <w:p w14:paraId="5D550F21">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6分</w:t>
            </w:r>
          </w:p>
        </w:tc>
        <w:tc>
          <w:tcPr>
            <w:tcW w:w="5514" w:type="dxa"/>
            <w:tcBorders>
              <w:top w:val="single" w:color="auto" w:sz="8" w:space="0"/>
              <w:left w:val="single" w:color="auto" w:sz="8" w:space="0"/>
              <w:bottom w:val="single" w:color="auto" w:sz="8" w:space="0"/>
              <w:right w:val="single" w:color="auto" w:sz="8" w:space="0"/>
            </w:tcBorders>
            <w:vAlign w:val="center"/>
          </w:tcPr>
          <w:p w14:paraId="64D03F95">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1.提供的政务云平台与市本级以及12个区县政务外网的专用互联光纤带宽不小于1G，以满足网络互访的要求。（满足得4分，部分满足得2分，不满足不得分）。</w:t>
            </w:r>
          </w:p>
          <w:p w14:paraId="116EF438">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2.提供的政务云平台和互联网独享出口总带宽不少于2G，可扩充到20G。（满足得2分，不满足不得分）。</w:t>
            </w:r>
          </w:p>
        </w:tc>
      </w:tr>
      <w:tr w14:paraId="2FD849F7">
        <w:tblPrEx>
          <w:tblCellMar>
            <w:top w:w="0" w:type="dxa"/>
            <w:left w:w="108" w:type="dxa"/>
            <w:bottom w:w="0" w:type="dxa"/>
            <w:right w:w="108" w:type="dxa"/>
          </w:tblCellMar>
        </w:tblPrEx>
        <w:trPr>
          <w:trHeight w:val="264" w:hRule="atLeast"/>
          <w:jc w:val="center"/>
        </w:trPr>
        <w:tc>
          <w:tcPr>
            <w:tcW w:w="791" w:type="dxa"/>
            <w:vMerge w:val="restart"/>
            <w:tcBorders>
              <w:top w:val="single" w:color="000000" w:sz="8" w:space="0"/>
              <w:left w:val="single" w:color="000000" w:sz="8" w:space="0"/>
              <w:bottom w:val="nil"/>
              <w:right w:val="single" w:color="000000" w:sz="8" w:space="0"/>
            </w:tcBorders>
            <w:vAlign w:val="center"/>
          </w:tcPr>
          <w:p w14:paraId="5541D8F9">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3</w:t>
            </w:r>
          </w:p>
        </w:tc>
        <w:tc>
          <w:tcPr>
            <w:tcW w:w="1359" w:type="dxa"/>
            <w:vMerge w:val="restart"/>
            <w:tcBorders>
              <w:top w:val="single" w:color="000000" w:sz="8" w:space="0"/>
              <w:left w:val="single" w:color="000000" w:sz="8" w:space="0"/>
              <w:bottom w:val="nil"/>
              <w:right w:val="single" w:color="000000" w:sz="8" w:space="0"/>
            </w:tcBorders>
            <w:vAlign w:val="center"/>
          </w:tcPr>
          <w:p w14:paraId="2906FC4A">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云平台安全方案</w:t>
            </w:r>
          </w:p>
        </w:tc>
        <w:tc>
          <w:tcPr>
            <w:tcW w:w="1419" w:type="dxa"/>
            <w:tcBorders>
              <w:top w:val="nil"/>
              <w:left w:val="nil"/>
              <w:bottom w:val="single" w:color="000000" w:sz="8" w:space="0"/>
              <w:right w:val="single" w:color="000000" w:sz="8" w:space="0"/>
            </w:tcBorders>
            <w:vAlign w:val="center"/>
          </w:tcPr>
          <w:p w14:paraId="782ED610">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整体方案</w:t>
            </w:r>
          </w:p>
        </w:tc>
        <w:tc>
          <w:tcPr>
            <w:tcW w:w="818" w:type="dxa"/>
            <w:tcBorders>
              <w:top w:val="single" w:color="auto" w:sz="8" w:space="0"/>
              <w:left w:val="nil"/>
              <w:bottom w:val="single" w:color="000000" w:sz="8" w:space="0"/>
              <w:right w:val="single" w:color="000000" w:sz="8" w:space="0"/>
            </w:tcBorders>
            <w:vAlign w:val="center"/>
          </w:tcPr>
          <w:p w14:paraId="25E82B2C">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5分</w:t>
            </w:r>
          </w:p>
        </w:tc>
        <w:tc>
          <w:tcPr>
            <w:tcW w:w="5514" w:type="dxa"/>
            <w:tcBorders>
              <w:top w:val="single" w:color="auto" w:sz="8" w:space="0"/>
              <w:left w:val="nil"/>
              <w:bottom w:val="single" w:color="000000" w:sz="8" w:space="0"/>
              <w:right w:val="single" w:color="000000" w:sz="8" w:space="0"/>
            </w:tcBorders>
            <w:vAlign w:val="center"/>
          </w:tcPr>
          <w:p w14:paraId="448A800D">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根据投标供应商提供完整技术方案，包含组网方案、维保方案，以及所提供方案的合理性、科学性和服务能力及条件综合评定打分。</w:t>
            </w:r>
          </w:p>
          <w:p w14:paraId="702AF2CA">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应答详尽、明晰，内容完整齐全、表述准确、条理清晰，内容无前后矛盾，符合磋商文件要求，分析本项目的特点针对性强，服务响应时间及时的3-5分；</w:t>
            </w:r>
          </w:p>
          <w:p w14:paraId="6263E1C1">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应答基本详尽、基本明晰，内容基本齐全、表述基本准确、条理基本清晰，内容前后矛盾较少，基本符合磋商文件要求，分析本项目的特点针对性一般，服务响应时间拖沓的1-3分；</w:t>
            </w:r>
          </w:p>
          <w:p w14:paraId="7BDC9EAC">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应答不详尽、不明晰，内容不齐全、表述不准确、条理不清晰，内容有明显前后矛盾，不符合磋商文件要求，分析本项目的特点针对性差，服务响应时间不满意的0-1分。</w:t>
            </w:r>
          </w:p>
        </w:tc>
      </w:tr>
      <w:tr w14:paraId="565237CF">
        <w:tblPrEx>
          <w:tblCellMar>
            <w:top w:w="0" w:type="dxa"/>
            <w:left w:w="108" w:type="dxa"/>
            <w:bottom w:w="0" w:type="dxa"/>
            <w:right w:w="108" w:type="dxa"/>
          </w:tblCellMar>
        </w:tblPrEx>
        <w:trPr>
          <w:trHeight w:val="825" w:hRule="atLeast"/>
          <w:jc w:val="center"/>
        </w:trPr>
        <w:tc>
          <w:tcPr>
            <w:tcW w:w="791" w:type="dxa"/>
            <w:vMerge w:val="continue"/>
            <w:tcBorders>
              <w:top w:val="single" w:color="000000" w:sz="8" w:space="0"/>
              <w:left w:val="single" w:color="000000" w:sz="8" w:space="0"/>
              <w:bottom w:val="nil"/>
              <w:right w:val="single" w:color="000000" w:sz="8" w:space="0"/>
            </w:tcBorders>
            <w:vAlign w:val="center"/>
          </w:tcPr>
          <w:p w14:paraId="338BFB03">
            <w:pPr>
              <w:keepNext w:val="0"/>
              <w:keepLines w:val="0"/>
              <w:suppressLineNumbers w:val="0"/>
              <w:spacing w:before="0" w:beforeAutospacing="0" w:after="0" w:afterAutospacing="0"/>
              <w:ind w:left="0" w:right="0"/>
              <w:jc w:val="center"/>
              <w:rPr>
                <w:rFonts w:hint="default" w:ascii="宋体" w:hAnsi="宋体"/>
                <w:color w:val="auto"/>
                <w:sz w:val="22"/>
                <w:szCs w:val="22"/>
                <w:highlight w:val="none"/>
              </w:rPr>
            </w:pPr>
          </w:p>
        </w:tc>
        <w:tc>
          <w:tcPr>
            <w:tcW w:w="1359" w:type="dxa"/>
            <w:vMerge w:val="continue"/>
            <w:tcBorders>
              <w:top w:val="single" w:color="000000" w:sz="8" w:space="0"/>
              <w:left w:val="single" w:color="000000" w:sz="8" w:space="0"/>
              <w:bottom w:val="nil"/>
              <w:right w:val="single" w:color="000000" w:sz="8" w:space="0"/>
            </w:tcBorders>
            <w:vAlign w:val="center"/>
          </w:tcPr>
          <w:p w14:paraId="5F543071">
            <w:pPr>
              <w:keepNext w:val="0"/>
              <w:keepLines w:val="0"/>
              <w:suppressLineNumbers w:val="0"/>
              <w:spacing w:before="0" w:beforeAutospacing="0" w:after="0" w:afterAutospacing="0"/>
              <w:ind w:left="0" w:right="0"/>
              <w:rPr>
                <w:rFonts w:hint="default" w:ascii="宋体" w:hAnsi="宋体"/>
                <w:color w:val="auto"/>
                <w:sz w:val="22"/>
                <w:szCs w:val="22"/>
                <w:highlight w:val="none"/>
              </w:rPr>
            </w:pPr>
          </w:p>
        </w:tc>
        <w:tc>
          <w:tcPr>
            <w:tcW w:w="1419" w:type="dxa"/>
            <w:tcBorders>
              <w:top w:val="single" w:color="000000" w:sz="8" w:space="0"/>
              <w:left w:val="single" w:color="000000" w:sz="8" w:space="0"/>
              <w:bottom w:val="single" w:color="000000" w:sz="8" w:space="0"/>
              <w:right w:val="single" w:color="000000" w:sz="8" w:space="0"/>
            </w:tcBorders>
            <w:vAlign w:val="center"/>
          </w:tcPr>
          <w:p w14:paraId="1018EE5D">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云安全服务参数符合程度</w:t>
            </w:r>
          </w:p>
        </w:tc>
        <w:tc>
          <w:tcPr>
            <w:tcW w:w="818" w:type="dxa"/>
            <w:tcBorders>
              <w:top w:val="single" w:color="000000" w:sz="8" w:space="0"/>
              <w:left w:val="single" w:color="000000" w:sz="8" w:space="0"/>
              <w:bottom w:val="single" w:color="000000" w:sz="8" w:space="0"/>
              <w:right w:val="single" w:color="000000" w:sz="8" w:space="0"/>
            </w:tcBorders>
            <w:vAlign w:val="center"/>
          </w:tcPr>
          <w:p w14:paraId="3DADA563">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10分</w:t>
            </w:r>
          </w:p>
        </w:tc>
        <w:tc>
          <w:tcPr>
            <w:tcW w:w="5514" w:type="dxa"/>
            <w:tcBorders>
              <w:top w:val="single" w:color="000000" w:sz="8" w:space="0"/>
              <w:left w:val="single" w:color="000000" w:sz="8" w:space="0"/>
              <w:bottom w:val="single" w:color="000000" w:sz="8" w:space="0"/>
              <w:right w:val="single" w:color="000000" w:sz="8" w:space="0"/>
            </w:tcBorders>
            <w:vAlign w:val="center"/>
          </w:tcPr>
          <w:p w14:paraId="5D5C8B89">
            <w:pPr>
              <w:keepNext w:val="0"/>
              <w:keepLines w:val="0"/>
              <w:suppressLineNumbers w:val="0"/>
              <w:snapToGrid w:val="0"/>
              <w:spacing w:before="0" w:beforeAutospacing="0" w:after="0" w:afterAutospacing="0"/>
              <w:ind w:left="0" w:right="0"/>
              <w:rPr>
                <w:rFonts w:hint="default" w:ascii="宋体" w:hAnsi="宋体"/>
                <w:color w:val="auto"/>
                <w:sz w:val="22"/>
                <w:szCs w:val="22"/>
                <w:highlight w:val="none"/>
              </w:rPr>
            </w:pPr>
            <w:r>
              <w:rPr>
                <w:rFonts w:hint="eastAsia" w:ascii="宋体" w:hAnsi="宋体"/>
                <w:color w:val="auto"/>
                <w:sz w:val="22"/>
                <w:szCs w:val="22"/>
                <w:highlight w:val="none"/>
              </w:rPr>
              <w:t>对投标供应商提供的云安全服务参数是否满足磋商文件要求评分。</w:t>
            </w:r>
          </w:p>
          <w:p w14:paraId="21A59884">
            <w:pPr>
              <w:keepNext w:val="0"/>
              <w:keepLines w:val="0"/>
              <w:suppressLineNumbers w:val="0"/>
              <w:snapToGrid w:val="0"/>
              <w:spacing w:before="0" w:beforeAutospacing="0" w:after="0" w:afterAutospacing="0"/>
              <w:ind w:left="0" w:right="0"/>
              <w:rPr>
                <w:rFonts w:hint="default" w:ascii="宋体" w:hAnsi="宋体"/>
                <w:color w:val="auto"/>
                <w:sz w:val="22"/>
                <w:szCs w:val="22"/>
                <w:highlight w:val="none"/>
              </w:rPr>
            </w:pPr>
            <w:r>
              <w:rPr>
                <w:rFonts w:hint="eastAsia" w:ascii="宋体" w:hAnsi="宋体"/>
                <w:color w:val="auto"/>
                <w:sz w:val="22"/>
                <w:szCs w:val="22"/>
                <w:highlight w:val="none"/>
              </w:rPr>
              <w:t>1.标有“▲”且加下划线必须满足，负偏离按无效投标处理；</w:t>
            </w:r>
          </w:p>
          <w:p w14:paraId="4C558622">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2.投标产品的技术参数“★”的，每负偏离1项扣1分，扣完为止，由评委共同认定。</w:t>
            </w:r>
          </w:p>
        </w:tc>
      </w:tr>
      <w:tr w14:paraId="79059297">
        <w:tblPrEx>
          <w:tblCellMar>
            <w:top w:w="0" w:type="dxa"/>
            <w:left w:w="108" w:type="dxa"/>
            <w:bottom w:w="0" w:type="dxa"/>
            <w:right w:w="108" w:type="dxa"/>
          </w:tblCellMar>
        </w:tblPrEx>
        <w:trPr>
          <w:trHeight w:val="540" w:hRule="atLeast"/>
          <w:jc w:val="center"/>
        </w:trPr>
        <w:tc>
          <w:tcPr>
            <w:tcW w:w="791" w:type="dxa"/>
            <w:vMerge w:val="restart"/>
            <w:tcBorders>
              <w:top w:val="single" w:color="000000" w:sz="8" w:space="0"/>
              <w:left w:val="single" w:color="000000" w:sz="8" w:space="0"/>
              <w:bottom w:val="single" w:color="000000" w:sz="8" w:space="0"/>
              <w:right w:val="single" w:color="000000" w:sz="8" w:space="0"/>
            </w:tcBorders>
            <w:vAlign w:val="center"/>
          </w:tcPr>
          <w:p w14:paraId="285A0351">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4</w:t>
            </w:r>
          </w:p>
        </w:tc>
        <w:tc>
          <w:tcPr>
            <w:tcW w:w="1359" w:type="dxa"/>
            <w:vMerge w:val="restart"/>
            <w:tcBorders>
              <w:top w:val="single" w:color="000000" w:sz="8" w:space="0"/>
              <w:left w:val="single" w:color="000000" w:sz="8" w:space="0"/>
              <w:bottom w:val="single" w:color="000000" w:sz="8" w:space="0"/>
              <w:right w:val="single" w:color="000000" w:sz="8" w:space="0"/>
            </w:tcBorders>
            <w:vAlign w:val="center"/>
          </w:tcPr>
          <w:p w14:paraId="16CAE14A">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云服务供应商服务能力</w:t>
            </w:r>
          </w:p>
        </w:tc>
        <w:tc>
          <w:tcPr>
            <w:tcW w:w="1419" w:type="dxa"/>
            <w:vMerge w:val="restart"/>
            <w:tcBorders>
              <w:top w:val="single" w:color="000000" w:sz="8" w:space="0"/>
              <w:left w:val="single" w:color="000000" w:sz="8" w:space="0"/>
              <w:bottom w:val="single" w:color="000000" w:sz="8" w:space="0"/>
              <w:right w:val="single" w:color="000000" w:sz="8" w:space="0"/>
            </w:tcBorders>
            <w:vAlign w:val="center"/>
          </w:tcPr>
          <w:p w14:paraId="2E99B580">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技术服务能力</w:t>
            </w:r>
          </w:p>
        </w:tc>
        <w:tc>
          <w:tcPr>
            <w:tcW w:w="818" w:type="dxa"/>
            <w:tcBorders>
              <w:top w:val="single" w:color="000000" w:sz="8" w:space="0"/>
              <w:left w:val="nil"/>
              <w:bottom w:val="nil"/>
              <w:right w:val="single" w:color="000000" w:sz="8" w:space="0"/>
            </w:tcBorders>
            <w:vAlign w:val="center"/>
          </w:tcPr>
          <w:p w14:paraId="6030421B">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4分</w:t>
            </w:r>
          </w:p>
        </w:tc>
        <w:tc>
          <w:tcPr>
            <w:tcW w:w="5514" w:type="dxa"/>
            <w:tcBorders>
              <w:top w:val="single" w:color="000000" w:sz="8" w:space="0"/>
              <w:left w:val="nil"/>
              <w:bottom w:val="nil"/>
              <w:right w:val="single" w:color="000000" w:sz="8" w:space="0"/>
            </w:tcBorders>
            <w:vAlign w:val="center"/>
          </w:tcPr>
          <w:p w14:paraId="578E1131">
            <w:pPr>
              <w:keepNext w:val="0"/>
              <w:keepLines w:val="0"/>
              <w:suppressLineNumbers w:val="0"/>
              <w:tabs>
                <w:tab w:val="left" w:pos="312"/>
              </w:tabs>
              <w:snapToGrid w:val="0"/>
              <w:spacing w:before="0" w:beforeAutospacing="0" w:after="0" w:afterAutospacing="0"/>
              <w:ind w:left="0" w:right="0"/>
              <w:rPr>
                <w:rFonts w:hint="default" w:ascii="宋体" w:hAnsi="宋体"/>
                <w:color w:val="auto"/>
                <w:sz w:val="22"/>
                <w:szCs w:val="22"/>
                <w:highlight w:val="none"/>
              </w:rPr>
            </w:pPr>
            <w:r>
              <w:rPr>
                <w:rFonts w:hint="eastAsia" w:ascii="宋体" w:hAnsi="宋体"/>
                <w:color w:val="auto"/>
                <w:sz w:val="22"/>
                <w:szCs w:val="22"/>
                <w:highlight w:val="none"/>
              </w:rPr>
              <w:t>1.投标供应商提供的服务方案：</w:t>
            </w:r>
          </w:p>
          <w:p w14:paraId="5C296121">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应答详尽、明晰，内容完整齐全、表述准确、条理清晰，内容无前后矛盾，符合磋商文件要求，分析本项目的特点针对性强，服务响应时间及时的1.5-2分；</w:t>
            </w:r>
          </w:p>
          <w:p w14:paraId="31545D68">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应答基本详尽、基本明晰，内容基本齐全、表述基本准确、条理基本清晰，内容前后矛盾较少，基本符合磋商文件要求，分析本项目的特点针对性一般，服务响应时间拖沓的1-1.5分；</w:t>
            </w:r>
          </w:p>
          <w:p w14:paraId="481BB10E">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应答不详尽、不明晰，内容不齐全、表述不准确、条理不清晰，内容有明显前后矛盾，不符合磋商文件要求，分析本项目的特点针对性差，服务响应时间不满意的0-1分。</w:t>
            </w:r>
          </w:p>
          <w:p w14:paraId="7505D265">
            <w:pPr>
              <w:keepNext w:val="0"/>
              <w:keepLines w:val="0"/>
              <w:suppressLineNumbers w:val="0"/>
              <w:tabs>
                <w:tab w:val="left" w:pos="312"/>
              </w:tabs>
              <w:snapToGrid w:val="0"/>
              <w:spacing w:before="0" w:beforeAutospacing="0" w:after="0" w:afterAutospacing="0"/>
              <w:ind w:left="0" w:right="0"/>
              <w:rPr>
                <w:rFonts w:hint="default" w:ascii="宋体" w:hAnsi="宋体"/>
                <w:color w:val="auto"/>
                <w:sz w:val="22"/>
                <w:szCs w:val="22"/>
                <w:highlight w:val="none"/>
              </w:rPr>
            </w:pPr>
            <w:r>
              <w:rPr>
                <w:rFonts w:hint="eastAsia" w:ascii="宋体" w:hAnsi="宋体"/>
                <w:color w:val="auto"/>
                <w:sz w:val="22"/>
                <w:szCs w:val="22"/>
                <w:highlight w:val="none"/>
              </w:rPr>
              <w:t>2.投标供应商本地化技术服务团队在云服务运营方面的实践经验：</w:t>
            </w:r>
          </w:p>
          <w:p w14:paraId="51826379">
            <w:pPr>
              <w:keepNext w:val="0"/>
              <w:keepLines w:val="0"/>
              <w:suppressLineNumbers w:val="0"/>
              <w:tabs>
                <w:tab w:val="left" w:pos="312"/>
              </w:tabs>
              <w:snapToGrid w:val="0"/>
              <w:spacing w:before="0" w:beforeAutospacing="0" w:after="0" w:afterAutospacing="0"/>
              <w:ind w:left="0" w:right="0"/>
              <w:rPr>
                <w:rFonts w:hint="default" w:ascii="宋体" w:hAnsi="宋体"/>
                <w:color w:val="auto"/>
                <w:sz w:val="22"/>
                <w:szCs w:val="22"/>
                <w:highlight w:val="none"/>
              </w:rPr>
            </w:pPr>
            <w:r>
              <w:rPr>
                <w:rFonts w:hint="eastAsia" w:ascii="宋体" w:hAnsi="宋体"/>
                <w:color w:val="auto"/>
                <w:sz w:val="22"/>
                <w:szCs w:val="22"/>
                <w:highlight w:val="none"/>
              </w:rPr>
              <w:t>应答详尽、明晰，内容完整齐全、表述准确、条理清晰，内容无前后矛盾，符合磋商文件要求，分析本项目的特点针对性强，团队技术强大的1.5-2分；</w:t>
            </w:r>
          </w:p>
          <w:p w14:paraId="61770C4D">
            <w:pPr>
              <w:keepNext w:val="0"/>
              <w:keepLines w:val="0"/>
              <w:suppressLineNumbers w:val="0"/>
              <w:tabs>
                <w:tab w:val="left" w:pos="312"/>
              </w:tabs>
              <w:snapToGrid w:val="0"/>
              <w:spacing w:before="0" w:beforeAutospacing="0" w:after="0" w:afterAutospacing="0"/>
              <w:ind w:left="0" w:right="0"/>
              <w:rPr>
                <w:rFonts w:hint="default" w:ascii="宋体" w:hAnsi="宋体"/>
                <w:color w:val="auto"/>
                <w:sz w:val="22"/>
                <w:szCs w:val="22"/>
                <w:highlight w:val="none"/>
              </w:rPr>
            </w:pPr>
            <w:r>
              <w:rPr>
                <w:rFonts w:hint="eastAsia" w:ascii="宋体" w:hAnsi="宋体"/>
                <w:color w:val="auto"/>
                <w:sz w:val="22"/>
                <w:szCs w:val="22"/>
                <w:highlight w:val="none"/>
              </w:rPr>
              <w:t>应答基本详尽、基本明晰，内容基本齐全、表述基本准确、条理基本清晰，内容前后矛盾较少，基本符合磋商文件要求，分析本项目的特点针对性一般，团队技术普通的1-1.5分；</w:t>
            </w:r>
          </w:p>
          <w:p w14:paraId="304DEEA3">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应答不详尽、不明晰，内容不齐全、表述不准确、条理不清晰，内容有明显前后矛盾，不符合磋商文件要求，分析本项目的特点针对性差，服务团队不满意的0-1分。</w:t>
            </w:r>
          </w:p>
        </w:tc>
      </w:tr>
      <w:tr w14:paraId="25291B39">
        <w:tblPrEx>
          <w:tblCellMar>
            <w:top w:w="0" w:type="dxa"/>
            <w:left w:w="108" w:type="dxa"/>
            <w:bottom w:w="0" w:type="dxa"/>
            <w:right w:w="108" w:type="dxa"/>
          </w:tblCellMar>
        </w:tblPrEx>
        <w:trPr>
          <w:trHeight w:val="264" w:hRule="atLeast"/>
          <w:jc w:val="center"/>
        </w:trPr>
        <w:tc>
          <w:tcPr>
            <w:tcW w:w="791" w:type="dxa"/>
            <w:vMerge w:val="continue"/>
            <w:tcBorders>
              <w:top w:val="single" w:color="000000" w:sz="8" w:space="0"/>
              <w:left w:val="single" w:color="000000" w:sz="8" w:space="0"/>
              <w:bottom w:val="single" w:color="000000" w:sz="8" w:space="0"/>
              <w:right w:val="single" w:color="000000" w:sz="8" w:space="0"/>
            </w:tcBorders>
            <w:vAlign w:val="center"/>
          </w:tcPr>
          <w:p w14:paraId="4FFF4BBB">
            <w:pPr>
              <w:keepNext w:val="0"/>
              <w:keepLines w:val="0"/>
              <w:suppressLineNumbers w:val="0"/>
              <w:spacing w:before="0" w:beforeAutospacing="0" w:after="0" w:afterAutospacing="0"/>
              <w:ind w:left="0" w:right="0"/>
              <w:rPr>
                <w:rFonts w:hint="default" w:ascii="宋体" w:hAnsi="宋体"/>
                <w:color w:val="auto"/>
                <w:sz w:val="22"/>
                <w:szCs w:val="22"/>
                <w:highlight w:val="none"/>
              </w:rPr>
            </w:pPr>
          </w:p>
        </w:tc>
        <w:tc>
          <w:tcPr>
            <w:tcW w:w="1359" w:type="dxa"/>
            <w:vMerge w:val="continue"/>
            <w:tcBorders>
              <w:top w:val="single" w:color="000000" w:sz="8" w:space="0"/>
              <w:left w:val="single" w:color="000000" w:sz="8" w:space="0"/>
              <w:bottom w:val="single" w:color="000000" w:sz="8" w:space="0"/>
              <w:right w:val="single" w:color="000000" w:sz="8" w:space="0"/>
            </w:tcBorders>
            <w:vAlign w:val="center"/>
          </w:tcPr>
          <w:p w14:paraId="33E52B84">
            <w:pPr>
              <w:keepNext w:val="0"/>
              <w:keepLines w:val="0"/>
              <w:suppressLineNumbers w:val="0"/>
              <w:spacing w:before="0" w:beforeAutospacing="0" w:after="0" w:afterAutospacing="0"/>
              <w:ind w:left="0" w:right="0"/>
              <w:rPr>
                <w:rFonts w:hint="default" w:ascii="宋体" w:hAnsi="宋体"/>
                <w:color w:val="auto"/>
                <w:sz w:val="22"/>
                <w:szCs w:val="22"/>
                <w:highlight w:val="none"/>
              </w:rPr>
            </w:pPr>
          </w:p>
        </w:tc>
        <w:tc>
          <w:tcPr>
            <w:tcW w:w="1419" w:type="dxa"/>
            <w:vMerge w:val="continue"/>
            <w:tcBorders>
              <w:top w:val="single" w:color="000000" w:sz="8" w:space="0"/>
              <w:left w:val="single" w:color="000000" w:sz="8" w:space="0"/>
              <w:bottom w:val="single" w:color="auto" w:sz="8" w:space="0"/>
              <w:right w:val="single" w:color="000000" w:sz="8" w:space="0"/>
            </w:tcBorders>
            <w:vAlign w:val="center"/>
          </w:tcPr>
          <w:p w14:paraId="754B8473">
            <w:pPr>
              <w:keepNext w:val="0"/>
              <w:keepLines w:val="0"/>
              <w:suppressLineNumbers w:val="0"/>
              <w:spacing w:before="0" w:beforeAutospacing="0" w:after="0" w:afterAutospacing="0"/>
              <w:ind w:left="0" w:right="0"/>
              <w:rPr>
                <w:rFonts w:hint="default" w:ascii="宋体" w:hAnsi="宋体"/>
                <w:color w:val="auto"/>
                <w:sz w:val="22"/>
                <w:szCs w:val="22"/>
                <w:highlight w:val="none"/>
              </w:rPr>
            </w:pPr>
          </w:p>
        </w:tc>
        <w:tc>
          <w:tcPr>
            <w:tcW w:w="818" w:type="dxa"/>
            <w:tcBorders>
              <w:top w:val="single" w:color="000000" w:sz="8" w:space="0"/>
              <w:left w:val="single" w:color="000000" w:sz="8" w:space="0"/>
              <w:bottom w:val="single" w:color="auto" w:sz="8" w:space="0"/>
              <w:right w:val="single" w:color="000000" w:sz="8" w:space="0"/>
            </w:tcBorders>
            <w:vAlign w:val="center"/>
          </w:tcPr>
          <w:p w14:paraId="2DE716B9">
            <w:pPr>
              <w:keepNext w:val="0"/>
              <w:keepLines w:val="0"/>
              <w:suppressLineNumbers w:val="0"/>
              <w:spacing w:before="0" w:beforeAutospacing="0" w:after="0" w:afterAutospacing="0"/>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13分</w:t>
            </w:r>
          </w:p>
        </w:tc>
        <w:tc>
          <w:tcPr>
            <w:tcW w:w="5514" w:type="dxa"/>
            <w:tcBorders>
              <w:top w:val="single" w:color="000000" w:sz="8" w:space="0"/>
              <w:left w:val="single" w:color="000000" w:sz="8" w:space="0"/>
              <w:bottom w:val="single" w:color="auto" w:sz="8" w:space="0"/>
              <w:right w:val="single" w:color="000000" w:sz="8" w:space="0"/>
            </w:tcBorders>
            <w:vAlign w:val="center"/>
          </w:tcPr>
          <w:p w14:paraId="4CA32F94">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lang w:val="en-US" w:eastAsia="zh-CN"/>
              </w:rPr>
              <w:t>3.</w:t>
            </w:r>
            <w:bookmarkStart w:id="81" w:name="_GoBack"/>
            <w:bookmarkEnd w:id="81"/>
            <w:r>
              <w:rPr>
                <w:rFonts w:hint="eastAsia" w:ascii="宋体" w:hAnsi="宋体"/>
                <w:color w:val="auto"/>
                <w:sz w:val="22"/>
                <w:szCs w:val="22"/>
                <w:highlight w:val="none"/>
              </w:rPr>
              <w:t>投标供应商技术服务团队组成人员在网络、数据库、信息安全领域的专业能力。</w:t>
            </w:r>
            <w:r>
              <w:rPr>
                <w:rFonts w:hint="eastAsia" w:ascii="宋体" w:hAnsi="宋体"/>
                <w:color w:val="auto"/>
                <w:sz w:val="22"/>
                <w:szCs w:val="22"/>
                <w:highlight w:val="none"/>
              </w:rPr>
              <w:br w:type="textWrapping"/>
            </w:r>
            <w:r>
              <w:rPr>
                <w:rFonts w:hint="default" w:ascii="宋体" w:hAnsi="宋体"/>
                <w:color w:val="auto"/>
                <w:sz w:val="22"/>
                <w:szCs w:val="22"/>
                <w:highlight w:val="none"/>
              </w:rPr>
              <w:t>1）项目负责人（一名）同时具有信息系统项目管理师、数据库系统工程师得3分，具备一个得1分，没有不得分；</w:t>
            </w:r>
          </w:p>
          <w:p w14:paraId="3356AE94">
            <w:pPr>
              <w:keepNext w:val="0"/>
              <w:keepLines w:val="0"/>
              <w:widowControl/>
              <w:suppressLineNumbers w:val="0"/>
              <w:spacing w:before="0" w:beforeAutospacing="0" w:after="0" w:afterAutospacing="0"/>
              <w:ind w:left="0" w:right="0"/>
              <w:textAlignment w:val="center"/>
              <w:rPr>
                <w:rFonts w:hint="eastAsia" w:ascii="宋体" w:hAnsi="宋体"/>
                <w:color w:val="auto"/>
                <w:sz w:val="22"/>
                <w:szCs w:val="22"/>
                <w:highlight w:val="none"/>
                <w:lang w:val="en-US" w:eastAsia="zh-CN"/>
              </w:rPr>
            </w:pPr>
            <w:r>
              <w:rPr>
                <w:rFonts w:hint="default" w:ascii="宋体" w:hAnsi="宋体"/>
                <w:color w:val="auto"/>
                <w:sz w:val="22"/>
                <w:szCs w:val="22"/>
                <w:highlight w:val="none"/>
              </w:rPr>
              <w:t xml:space="preserve">2）技术总监（一名）同时具有系统分析师、信息系统监理师得3分，具备一个得1分，没有不得分； </w:t>
            </w:r>
          </w:p>
          <w:p w14:paraId="18B1EC04">
            <w:pPr>
              <w:keepNext w:val="0"/>
              <w:keepLines w:val="0"/>
              <w:widowControl/>
              <w:suppressLineNumbers w:val="0"/>
              <w:spacing w:before="0" w:beforeAutospacing="0" w:after="0" w:afterAutospacing="0"/>
              <w:ind w:left="0" w:right="0"/>
              <w:textAlignment w:val="center"/>
              <w:rPr>
                <w:rFonts w:hint="eastAsia" w:ascii="宋体" w:hAnsi="宋体"/>
                <w:color w:val="auto"/>
                <w:sz w:val="22"/>
                <w:szCs w:val="22"/>
                <w:highlight w:val="none"/>
                <w:lang w:val="en-US" w:eastAsia="zh-CN"/>
              </w:rPr>
            </w:pPr>
            <w:r>
              <w:rPr>
                <w:rFonts w:hint="default" w:ascii="宋体" w:hAnsi="宋体"/>
                <w:color w:val="auto"/>
                <w:sz w:val="22"/>
                <w:szCs w:val="22"/>
                <w:highlight w:val="none"/>
              </w:rPr>
              <w:t xml:space="preserve">3）安全总监（一名）同时具有网络规划设计师、信息安全工程师得3分，具备一个得1分，没有不得分； </w:t>
            </w:r>
          </w:p>
          <w:p w14:paraId="211BDF1B">
            <w:pPr>
              <w:keepNext w:val="0"/>
              <w:keepLines w:val="0"/>
              <w:widowControl/>
              <w:suppressLineNumbers w:val="0"/>
              <w:spacing w:before="0" w:beforeAutospacing="0" w:after="0" w:afterAutospacing="0"/>
              <w:ind w:left="0" w:right="0"/>
              <w:textAlignment w:val="center"/>
              <w:rPr>
                <w:rFonts w:hint="eastAsia" w:ascii="宋体" w:hAnsi="宋体"/>
                <w:color w:val="auto"/>
                <w:sz w:val="22"/>
                <w:szCs w:val="22"/>
                <w:highlight w:val="none"/>
                <w:lang w:val="en-US" w:eastAsia="zh-CN"/>
              </w:rPr>
            </w:pPr>
            <w:r>
              <w:rPr>
                <w:rFonts w:hint="default" w:ascii="宋体" w:hAnsi="宋体"/>
                <w:color w:val="auto"/>
                <w:sz w:val="22"/>
                <w:szCs w:val="22"/>
                <w:highlight w:val="none"/>
              </w:rPr>
              <w:t>4）服务团队中（除项目负责人、技术总监、安全总监外）有成员持有系统集成项目管理工程师、网络工程师、软件设计师、数据库系统工程师，每提供一个得1分，满分4</w:t>
            </w:r>
            <w:r>
              <w:rPr>
                <w:rFonts w:hint="eastAsia" w:ascii="宋体" w:hAnsi="宋体"/>
                <w:color w:val="auto"/>
                <w:sz w:val="22"/>
                <w:szCs w:val="22"/>
                <w:highlight w:val="none"/>
                <w:lang w:val="en-US" w:eastAsia="zh-CN"/>
              </w:rPr>
              <w:t>分。</w:t>
            </w:r>
          </w:p>
          <w:p w14:paraId="3D9DD39F">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lang w:val="en-US" w:eastAsia="zh-CN"/>
              </w:rPr>
              <w:t>以上人员须提供相关证书扫描件和在投标单位近三个月中任意一个月的社保证明，两者缺一不可，否则不予给分。</w:t>
            </w:r>
          </w:p>
        </w:tc>
      </w:tr>
      <w:tr w14:paraId="6AC4C7C4">
        <w:tblPrEx>
          <w:tblCellMar>
            <w:top w:w="0" w:type="dxa"/>
            <w:left w:w="108" w:type="dxa"/>
            <w:bottom w:w="0" w:type="dxa"/>
            <w:right w:w="108" w:type="dxa"/>
          </w:tblCellMar>
        </w:tblPrEx>
        <w:trPr>
          <w:trHeight w:val="555" w:hRule="atLeast"/>
          <w:jc w:val="center"/>
        </w:trPr>
        <w:tc>
          <w:tcPr>
            <w:tcW w:w="791" w:type="dxa"/>
            <w:tcBorders>
              <w:top w:val="single" w:color="000000" w:sz="8" w:space="0"/>
              <w:left w:val="single" w:color="000000" w:sz="8" w:space="0"/>
              <w:bottom w:val="single" w:color="000000" w:sz="8" w:space="0"/>
              <w:right w:val="single" w:color="000000" w:sz="8" w:space="0"/>
            </w:tcBorders>
            <w:vAlign w:val="center"/>
          </w:tcPr>
          <w:p w14:paraId="53514247">
            <w:pPr>
              <w:keepNext w:val="0"/>
              <w:keepLines w:val="0"/>
              <w:suppressLineNumbers w:val="0"/>
              <w:spacing w:before="0" w:beforeAutospacing="0" w:after="0" w:afterAutospacing="0"/>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5</w:t>
            </w:r>
          </w:p>
        </w:tc>
        <w:tc>
          <w:tcPr>
            <w:tcW w:w="2778" w:type="dxa"/>
            <w:gridSpan w:val="2"/>
            <w:tcBorders>
              <w:top w:val="single" w:color="000000" w:sz="8" w:space="0"/>
              <w:left w:val="single" w:color="000000" w:sz="8" w:space="0"/>
              <w:bottom w:val="single" w:color="000000" w:sz="8" w:space="0"/>
              <w:right w:val="single" w:color="auto" w:sz="8" w:space="0"/>
            </w:tcBorders>
            <w:vAlign w:val="center"/>
          </w:tcPr>
          <w:p w14:paraId="004D8B8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投标供应商业绩</w:t>
            </w:r>
          </w:p>
        </w:tc>
        <w:tc>
          <w:tcPr>
            <w:tcW w:w="818" w:type="dxa"/>
            <w:tcBorders>
              <w:top w:val="single" w:color="auto" w:sz="8" w:space="0"/>
              <w:left w:val="single" w:color="auto" w:sz="8" w:space="0"/>
              <w:bottom w:val="single" w:color="auto" w:sz="8" w:space="0"/>
              <w:right w:val="single" w:color="auto" w:sz="8" w:space="0"/>
            </w:tcBorders>
            <w:vAlign w:val="center"/>
          </w:tcPr>
          <w:p w14:paraId="5D8971CE">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2分</w:t>
            </w:r>
          </w:p>
        </w:tc>
        <w:tc>
          <w:tcPr>
            <w:tcW w:w="5514" w:type="dxa"/>
            <w:tcBorders>
              <w:top w:val="single" w:color="auto" w:sz="8" w:space="0"/>
              <w:left w:val="single" w:color="auto" w:sz="8" w:space="0"/>
              <w:bottom w:val="single" w:color="auto" w:sz="8" w:space="0"/>
              <w:right w:val="single" w:color="auto" w:sz="8" w:space="0"/>
            </w:tcBorders>
            <w:vAlign w:val="center"/>
          </w:tcPr>
          <w:p w14:paraId="6BB15A33">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22"/>
                <w:szCs w:val="22"/>
                <w:highlight w:val="none"/>
              </w:rPr>
            </w:pPr>
            <w:r>
              <w:rPr>
                <w:rFonts w:hint="eastAsia" w:ascii="宋体" w:hAnsi="宋体"/>
                <w:color w:val="auto"/>
                <w:sz w:val="22"/>
                <w:szCs w:val="22"/>
                <w:highlight w:val="none"/>
              </w:rPr>
              <w:t>投标供应商2021年1月1日以来同类项目业绩（每个得1分，最多得2分，提供合同扫描件，否则不得分）。</w:t>
            </w:r>
          </w:p>
        </w:tc>
      </w:tr>
    </w:tbl>
    <w:p w14:paraId="4F48F7A2">
      <w:pPr>
        <w:adjustRightInd w:val="0"/>
        <w:snapToGrid w:val="0"/>
        <w:spacing w:before="100" w:after="50" w:line="360" w:lineRule="atLeast"/>
        <w:ind w:left="420"/>
        <w:rPr>
          <w:rFonts w:ascii="宋体"/>
          <w:b/>
          <w:bCs/>
          <w:color w:val="auto"/>
          <w:sz w:val="22"/>
          <w:szCs w:val="22"/>
          <w:highlight w:val="none"/>
        </w:rPr>
      </w:pPr>
      <w:r>
        <w:rPr>
          <w:rFonts w:hint="eastAsia" w:ascii="宋体"/>
          <w:b/>
          <w:bCs/>
          <w:color w:val="auto"/>
          <w:sz w:val="22"/>
          <w:szCs w:val="22"/>
          <w:highlight w:val="none"/>
        </w:rPr>
        <w:t>2、适用于标项二</w:t>
      </w:r>
    </w:p>
    <w:tbl>
      <w:tblPr>
        <w:tblStyle w:val="46"/>
        <w:tblW w:w="9855" w:type="dxa"/>
        <w:tblInd w:w="122" w:type="dxa"/>
        <w:tblLayout w:type="fixed"/>
        <w:tblCellMar>
          <w:top w:w="0" w:type="dxa"/>
          <w:left w:w="108" w:type="dxa"/>
          <w:bottom w:w="0" w:type="dxa"/>
          <w:right w:w="108" w:type="dxa"/>
        </w:tblCellMar>
      </w:tblPr>
      <w:tblGrid>
        <w:gridCol w:w="742"/>
        <w:gridCol w:w="2771"/>
        <w:gridCol w:w="869"/>
        <w:gridCol w:w="5473"/>
      </w:tblGrid>
      <w:tr w14:paraId="3B32F3C5">
        <w:tblPrEx>
          <w:tblCellMar>
            <w:top w:w="0" w:type="dxa"/>
            <w:left w:w="108" w:type="dxa"/>
            <w:bottom w:w="0" w:type="dxa"/>
            <w:right w:w="108" w:type="dxa"/>
          </w:tblCellMar>
        </w:tblPrEx>
        <w:trPr>
          <w:trHeight w:val="450" w:hRule="atLeast"/>
        </w:trPr>
        <w:tc>
          <w:tcPr>
            <w:tcW w:w="742" w:type="dxa"/>
            <w:tcBorders>
              <w:top w:val="single" w:color="auto" w:sz="8" w:space="0"/>
              <w:left w:val="single" w:color="auto" w:sz="8" w:space="0"/>
              <w:bottom w:val="single" w:color="auto" w:sz="8" w:space="0"/>
              <w:right w:val="single" w:color="auto" w:sz="8" w:space="0"/>
            </w:tcBorders>
            <w:vAlign w:val="center"/>
          </w:tcPr>
          <w:p w14:paraId="72DC049F">
            <w:pPr>
              <w:keepNext w:val="0"/>
              <w:keepLines w:val="0"/>
              <w:suppressLineNumbers w:val="0"/>
              <w:adjustRightInd w:val="0"/>
              <w:snapToGrid w:val="0"/>
              <w:spacing w:before="100" w:beforeAutospacing="0" w:after="50" w:afterAutospacing="0" w:line="360" w:lineRule="atLeast"/>
              <w:ind w:left="0" w:right="0"/>
              <w:jc w:val="center"/>
              <w:rPr>
                <w:rFonts w:hint="default" w:ascii="宋体" w:hAnsi="宋体"/>
                <w:b/>
                <w:bCs/>
                <w:color w:val="auto"/>
                <w:sz w:val="22"/>
                <w:szCs w:val="22"/>
                <w:highlight w:val="none"/>
              </w:rPr>
            </w:pPr>
            <w:r>
              <w:rPr>
                <w:rFonts w:hint="eastAsia" w:ascii="宋体" w:hAnsi="宋体"/>
                <w:b/>
                <w:bCs/>
                <w:color w:val="auto"/>
                <w:sz w:val="22"/>
                <w:szCs w:val="22"/>
                <w:highlight w:val="none"/>
              </w:rPr>
              <w:t>序号</w:t>
            </w:r>
          </w:p>
        </w:tc>
        <w:tc>
          <w:tcPr>
            <w:tcW w:w="2771" w:type="dxa"/>
            <w:tcBorders>
              <w:top w:val="single" w:color="auto" w:sz="8" w:space="0"/>
              <w:left w:val="single" w:color="auto" w:sz="8" w:space="0"/>
              <w:bottom w:val="single" w:color="auto" w:sz="8" w:space="0"/>
              <w:right w:val="single" w:color="auto" w:sz="8" w:space="0"/>
            </w:tcBorders>
            <w:vAlign w:val="center"/>
          </w:tcPr>
          <w:p w14:paraId="257FFAE9">
            <w:pPr>
              <w:keepNext w:val="0"/>
              <w:keepLines w:val="0"/>
              <w:suppressLineNumbers w:val="0"/>
              <w:adjustRightInd w:val="0"/>
              <w:snapToGrid w:val="0"/>
              <w:spacing w:before="100" w:beforeAutospacing="0" w:after="50" w:afterAutospacing="0" w:line="360" w:lineRule="atLeast"/>
              <w:ind w:left="0" w:right="0"/>
              <w:jc w:val="center"/>
              <w:rPr>
                <w:rFonts w:hint="default" w:ascii="宋体" w:hAnsi="宋体"/>
                <w:b/>
                <w:bCs/>
                <w:color w:val="auto"/>
                <w:sz w:val="22"/>
                <w:szCs w:val="22"/>
                <w:highlight w:val="none"/>
              </w:rPr>
            </w:pPr>
            <w:r>
              <w:rPr>
                <w:rFonts w:hint="eastAsia" w:ascii="宋体" w:hAnsi="宋体"/>
                <w:b/>
                <w:bCs/>
                <w:color w:val="auto"/>
                <w:sz w:val="22"/>
                <w:szCs w:val="22"/>
                <w:highlight w:val="none"/>
              </w:rPr>
              <w:t>评审项目</w:t>
            </w:r>
          </w:p>
        </w:tc>
        <w:tc>
          <w:tcPr>
            <w:tcW w:w="869" w:type="dxa"/>
            <w:tcBorders>
              <w:top w:val="single" w:color="auto" w:sz="8" w:space="0"/>
              <w:left w:val="single" w:color="auto" w:sz="8" w:space="0"/>
              <w:bottom w:val="single" w:color="auto" w:sz="8" w:space="0"/>
              <w:right w:val="single" w:color="auto" w:sz="8" w:space="0"/>
            </w:tcBorders>
            <w:vAlign w:val="center"/>
          </w:tcPr>
          <w:p w14:paraId="580C9A0B">
            <w:pPr>
              <w:keepNext w:val="0"/>
              <w:keepLines w:val="0"/>
              <w:suppressLineNumbers w:val="0"/>
              <w:adjustRightInd w:val="0"/>
              <w:snapToGrid w:val="0"/>
              <w:spacing w:before="100" w:beforeAutospacing="0" w:after="50" w:afterAutospacing="0" w:line="360" w:lineRule="atLeast"/>
              <w:ind w:left="0" w:right="0"/>
              <w:jc w:val="center"/>
              <w:rPr>
                <w:rFonts w:hint="default" w:ascii="宋体" w:hAnsi="宋体"/>
                <w:b/>
                <w:bCs/>
                <w:color w:val="auto"/>
                <w:sz w:val="22"/>
                <w:szCs w:val="22"/>
                <w:highlight w:val="none"/>
              </w:rPr>
            </w:pPr>
            <w:r>
              <w:rPr>
                <w:rFonts w:hint="eastAsia" w:ascii="宋体" w:hAnsi="宋体"/>
                <w:b/>
                <w:bCs/>
                <w:color w:val="auto"/>
                <w:sz w:val="22"/>
                <w:szCs w:val="22"/>
                <w:highlight w:val="none"/>
              </w:rPr>
              <w:t>分值</w:t>
            </w:r>
          </w:p>
        </w:tc>
        <w:tc>
          <w:tcPr>
            <w:tcW w:w="5473" w:type="dxa"/>
            <w:tcBorders>
              <w:top w:val="single" w:color="auto" w:sz="8" w:space="0"/>
              <w:left w:val="single" w:color="auto" w:sz="8" w:space="0"/>
              <w:bottom w:val="single" w:color="auto" w:sz="8" w:space="0"/>
              <w:right w:val="single" w:color="auto" w:sz="8" w:space="0"/>
            </w:tcBorders>
            <w:vAlign w:val="center"/>
          </w:tcPr>
          <w:p w14:paraId="51A7EA2B">
            <w:pPr>
              <w:keepNext w:val="0"/>
              <w:keepLines w:val="0"/>
              <w:suppressLineNumbers w:val="0"/>
              <w:adjustRightInd w:val="0"/>
              <w:snapToGrid w:val="0"/>
              <w:spacing w:before="100" w:beforeAutospacing="0" w:after="50" w:afterAutospacing="0" w:line="360" w:lineRule="atLeast"/>
              <w:ind w:left="0" w:right="0"/>
              <w:jc w:val="center"/>
              <w:rPr>
                <w:rFonts w:hint="default" w:ascii="宋体" w:hAnsi="宋体"/>
                <w:b/>
                <w:bCs/>
                <w:color w:val="auto"/>
                <w:sz w:val="22"/>
                <w:szCs w:val="22"/>
                <w:highlight w:val="none"/>
              </w:rPr>
            </w:pPr>
            <w:r>
              <w:rPr>
                <w:rFonts w:hint="eastAsia" w:ascii="宋体" w:hAnsi="宋体"/>
                <w:b/>
                <w:bCs/>
                <w:color w:val="auto"/>
                <w:sz w:val="22"/>
                <w:szCs w:val="22"/>
                <w:highlight w:val="none"/>
              </w:rPr>
              <w:t>评分标准</w:t>
            </w:r>
          </w:p>
        </w:tc>
      </w:tr>
      <w:tr w14:paraId="5B693567">
        <w:tblPrEx>
          <w:tblCellMar>
            <w:top w:w="0" w:type="dxa"/>
            <w:left w:w="108" w:type="dxa"/>
            <w:bottom w:w="0" w:type="dxa"/>
            <w:right w:w="108" w:type="dxa"/>
          </w:tblCellMar>
        </w:tblPrEx>
        <w:trPr>
          <w:trHeight w:val="431" w:hRule="atLeast"/>
        </w:trPr>
        <w:tc>
          <w:tcPr>
            <w:tcW w:w="742" w:type="dxa"/>
            <w:tcBorders>
              <w:top w:val="single" w:color="auto" w:sz="8" w:space="0"/>
              <w:left w:val="single" w:color="000000" w:sz="8" w:space="0"/>
              <w:bottom w:val="single" w:color="000000" w:sz="8" w:space="0"/>
              <w:right w:val="single" w:color="000000" w:sz="8" w:space="0"/>
            </w:tcBorders>
            <w:vAlign w:val="center"/>
          </w:tcPr>
          <w:p w14:paraId="75CAB270">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1</w:t>
            </w:r>
          </w:p>
        </w:tc>
        <w:tc>
          <w:tcPr>
            <w:tcW w:w="2771" w:type="dxa"/>
            <w:tcBorders>
              <w:top w:val="single" w:color="auto" w:sz="8" w:space="0"/>
              <w:left w:val="single" w:color="000000" w:sz="8" w:space="0"/>
              <w:bottom w:val="single" w:color="000000" w:sz="8" w:space="0"/>
              <w:right w:val="single" w:color="000000" w:sz="8" w:space="0"/>
            </w:tcBorders>
            <w:vAlign w:val="center"/>
          </w:tcPr>
          <w:p w14:paraId="6B99E349">
            <w:pPr>
              <w:keepNext w:val="0"/>
              <w:keepLines w:val="0"/>
              <w:widowControl/>
              <w:suppressLineNumbers w:val="0"/>
              <w:tabs>
                <w:tab w:val="left" w:pos="312"/>
              </w:tabs>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投标供应商综合实力</w:t>
            </w:r>
          </w:p>
        </w:tc>
        <w:tc>
          <w:tcPr>
            <w:tcW w:w="869" w:type="dxa"/>
            <w:tcBorders>
              <w:top w:val="single" w:color="auto" w:sz="8" w:space="0"/>
              <w:left w:val="single" w:color="000000" w:sz="8" w:space="0"/>
              <w:bottom w:val="single" w:color="000000" w:sz="8" w:space="0"/>
              <w:right w:val="single" w:color="000000" w:sz="8" w:space="0"/>
            </w:tcBorders>
            <w:vAlign w:val="center"/>
          </w:tcPr>
          <w:p w14:paraId="41FED010">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10分</w:t>
            </w:r>
          </w:p>
        </w:tc>
        <w:tc>
          <w:tcPr>
            <w:tcW w:w="5473" w:type="dxa"/>
            <w:tcBorders>
              <w:top w:val="single" w:color="auto" w:sz="8" w:space="0"/>
              <w:left w:val="single" w:color="000000" w:sz="8" w:space="0"/>
              <w:bottom w:val="single" w:color="000000" w:sz="8" w:space="0"/>
              <w:right w:val="single" w:color="000000" w:sz="8" w:space="0"/>
            </w:tcBorders>
            <w:vAlign w:val="center"/>
          </w:tcPr>
          <w:p w14:paraId="3D081A18">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1.具有质量管理体系认证证书的得2分；</w:t>
            </w:r>
          </w:p>
          <w:p w14:paraId="5480A45A">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2.具有环境管理体系认证证书的得2分；</w:t>
            </w:r>
          </w:p>
          <w:p w14:paraId="14E13E3E">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3.具有职业健康安全管理体系认证证书（认证范围必须包含云计算服务）的得2分；</w:t>
            </w:r>
          </w:p>
          <w:p w14:paraId="6DFFAF13">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4.具有信息安全管理体系认证有效证书（认证范围必须包含云计算服务）的得2分；</w:t>
            </w:r>
          </w:p>
          <w:p w14:paraId="2E07D5EF">
            <w:pPr>
              <w:keepNext w:val="0"/>
              <w:keepLines w:val="0"/>
              <w:widowControl w:val="0"/>
              <w:suppressLineNumbers w:val="0"/>
              <w:tabs>
                <w:tab w:val="left" w:pos="312"/>
              </w:tabs>
              <w:spacing w:before="0" w:beforeAutospacing="0" w:after="0" w:afterAutospacing="0"/>
              <w:ind w:left="0" w:right="0"/>
              <w:jc w:val="both"/>
              <w:textAlignment w:val="center"/>
              <w:rPr>
                <w:rFonts w:hint="default" w:ascii="宋体" w:hAnsi="宋体"/>
                <w:color w:val="auto"/>
                <w:sz w:val="22"/>
                <w:szCs w:val="22"/>
                <w:highlight w:val="none"/>
              </w:rPr>
            </w:pPr>
            <w:r>
              <w:rPr>
                <w:rFonts w:hint="eastAsia" w:ascii="宋体" w:hAnsi="宋体"/>
                <w:color w:val="auto"/>
                <w:sz w:val="22"/>
                <w:szCs w:val="22"/>
                <w:highlight w:val="none"/>
              </w:rPr>
              <w:t>5.具有</w:t>
            </w:r>
            <w:r>
              <w:rPr>
                <w:rFonts w:hint="eastAsia" w:ascii="宋体" w:hAnsi="宋体" w:eastAsia="宋体" w:cs="宋体"/>
                <w:color w:val="auto"/>
                <w:kern w:val="2"/>
                <w:sz w:val="22"/>
                <w:szCs w:val="22"/>
                <w:highlight w:val="none"/>
                <w:lang w:val="en-US" w:eastAsia="zh-CN" w:bidi="ar"/>
                <w:woUserID w:val="1"/>
              </w:rPr>
              <w:t>信息技术</w:t>
            </w:r>
            <w:r>
              <w:rPr>
                <w:rFonts w:hint="eastAsia" w:ascii="宋体" w:hAnsi="宋体" w:cs="宋体"/>
                <w:color w:val="auto"/>
                <w:kern w:val="2"/>
                <w:sz w:val="22"/>
                <w:szCs w:val="22"/>
                <w:highlight w:val="none"/>
                <w:lang w:val="en-US" w:eastAsia="zh-CN" w:bidi="ar"/>
                <w:woUserID w:val="1"/>
              </w:rPr>
              <w:t>服务</w:t>
            </w:r>
            <w:r>
              <w:rPr>
                <w:rFonts w:hint="default" w:ascii="宋体" w:hAnsi="宋体" w:eastAsia="宋体" w:cs="宋体"/>
                <w:color w:val="auto"/>
                <w:kern w:val="2"/>
                <w:sz w:val="22"/>
                <w:szCs w:val="22"/>
                <w:highlight w:val="none"/>
                <w:lang w:eastAsia="zh-CN" w:bidi="ar"/>
                <w:woUserID w:val="1"/>
              </w:rPr>
              <w:t>管理</w:t>
            </w:r>
            <w:r>
              <w:rPr>
                <w:rFonts w:hint="eastAsia" w:ascii="宋体" w:hAnsi="宋体"/>
                <w:color w:val="auto"/>
                <w:sz w:val="22"/>
                <w:szCs w:val="22"/>
                <w:highlight w:val="none"/>
              </w:rPr>
              <w:t>体系认证证书得 2分。</w:t>
            </w:r>
          </w:p>
          <w:p w14:paraId="7DEC9812">
            <w:pPr>
              <w:keepNext w:val="0"/>
              <w:keepLines w:val="0"/>
              <w:widowControl/>
              <w:suppressLineNumbers w:val="0"/>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备注：若分公司参与投标，总公司具有该证书均认可，相关证书需在有效期内。</w:t>
            </w:r>
          </w:p>
        </w:tc>
      </w:tr>
      <w:tr w14:paraId="7036DDDC">
        <w:tblPrEx>
          <w:tblCellMar>
            <w:top w:w="0" w:type="dxa"/>
            <w:left w:w="108" w:type="dxa"/>
            <w:bottom w:w="0" w:type="dxa"/>
            <w:right w:w="108" w:type="dxa"/>
          </w:tblCellMar>
        </w:tblPrEx>
        <w:trPr>
          <w:trHeight w:val="697" w:hRule="atLeast"/>
        </w:trPr>
        <w:tc>
          <w:tcPr>
            <w:tcW w:w="742" w:type="dxa"/>
            <w:tcBorders>
              <w:top w:val="nil"/>
              <w:left w:val="single" w:color="000000" w:sz="8" w:space="0"/>
              <w:bottom w:val="single" w:color="000000" w:sz="8" w:space="0"/>
              <w:right w:val="single" w:color="000000" w:sz="8" w:space="0"/>
            </w:tcBorders>
            <w:vAlign w:val="center"/>
          </w:tcPr>
          <w:p w14:paraId="1A8C6DD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2</w:t>
            </w:r>
          </w:p>
        </w:tc>
        <w:tc>
          <w:tcPr>
            <w:tcW w:w="2771" w:type="dxa"/>
            <w:tcBorders>
              <w:top w:val="nil"/>
              <w:left w:val="single" w:color="000000" w:sz="8" w:space="0"/>
              <w:bottom w:val="single" w:color="000000" w:sz="8" w:space="0"/>
              <w:right w:val="single" w:color="000000" w:sz="8" w:space="0"/>
            </w:tcBorders>
            <w:vAlign w:val="center"/>
          </w:tcPr>
          <w:p w14:paraId="411E9B97">
            <w:pPr>
              <w:keepNext w:val="0"/>
              <w:keepLines w:val="0"/>
              <w:widowControl/>
              <w:suppressLineNumbers w:val="0"/>
              <w:tabs>
                <w:tab w:val="left" w:pos="312"/>
              </w:tabs>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投标供应商业绩</w:t>
            </w:r>
          </w:p>
        </w:tc>
        <w:tc>
          <w:tcPr>
            <w:tcW w:w="869" w:type="dxa"/>
            <w:tcBorders>
              <w:top w:val="nil"/>
              <w:left w:val="single" w:color="000000" w:sz="8" w:space="0"/>
              <w:bottom w:val="single" w:color="000000" w:sz="8" w:space="0"/>
              <w:right w:val="single" w:color="000000" w:sz="8" w:space="0"/>
            </w:tcBorders>
            <w:vAlign w:val="center"/>
          </w:tcPr>
          <w:p w14:paraId="45390DC5">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2分</w:t>
            </w:r>
          </w:p>
        </w:tc>
        <w:tc>
          <w:tcPr>
            <w:tcW w:w="5473" w:type="dxa"/>
            <w:tcBorders>
              <w:top w:val="nil"/>
              <w:left w:val="single" w:color="000000" w:sz="8" w:space="0"/>
              <w:bottom w:val="single" w:color="auto" w:sz="8" w:space="0"/>
              <w:right w:val="single" w:color="000000" w:sz="8" w:space="0"/>
            </w:tcBorders>
            <w:vAlign w:val="center"/>
          </w:tcPr>
          <w:p w14:paraId="04CF070C">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投标供应商2021年1月1日以来同类项目业绩（每个得1分，最多得2分，提供合同扫描件，否则不得分）。</w:t>
            </w:r>
          </w:p>
        </w:tc>
      </w:tr>
      <w:tr w14:paraId="3FC3F482">
        <w:tblPrEx>
          <w:tblCellMar>
            <w:top w:w="0" w:type="dxa"/>
            <w:left w:w="108" w:type="dxa"/>
            <w:bottom w:w="0" w:type="dxa"/>
            <w:right w:w="108" w:type="dxa"/>
          </w:tblCellMar>
        </w:tblPrEx>
        <w:trPr>
          <w:trHeight w:val="668" w:hRule="atLeast"/>
        </w:trPr>
        <w:tc>
          <w:tcPr>
            <w:tcW w:w="742" w:type="dxa"/>
            <w:tcBorders>
              <w:top w:val="nil"/>
              <w:left w:val="single" w:color="000000" w:sz="8" w:space="0"/>
              <w:bottom w:val="single" w:color="000000" w:sz="8" w:space="0"/>
              <w:right w:val="single" w:color="000000" w:sz="8" w:space="0"/>
            </w:tcBorders>
            <w:vAlign w:val="center"/>
          </w:tcPr>
          <w:p w14:paraId="65EC81DC">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3</w:t>
            </w:r>
          </w:p>
        </w:tc>
        <w:tc>
          <w:tcPr>
            <w:tcW w:w="2771" w:type="dxa"/>
            <w:tcBorders>
              <w:top w:val="nil"/>
              <w:left w:val="single" w:color="000000" w:sz="8" w:space="0"/>
              <w:bottom w:val="single" w:color="000000" w:sz="8" w:space="0"/>
              <w:right w:val="single" w:color="000000" w:sz="8" w:space="0"/>
            </w:tcBorders>
            <w:vAlign w:val="center"/>
          </w:tcPr>
          <w:p w14:paraId="287237D6">
            <w:pPr>
              <w:keepNext w:val="0"/>
              <w:keepLines w:val="0"/>
              <w:widowControl/>
              <w:suppressLineNumbers w:val="0"/>
              <w:tabs>
                <w:tab w:val="left" w:pos="312"/>
              </w:tabs>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投标供应商的云平台资质</w:t>
            </w:r>
          </w:p>
        </w:tc>
        <w:tc>
          <w:tcPr>
            <w:tcW w:w="869" w:type="dxa"/>
            <w:tcBorders>
              <w:top w:val="nil"/>
              <w:left w:val="single" w:color="000000" w:sz="8" w:space="0"/>
              <w:bottom w:val="single" w:color="000000" w:sz="8" w:space="0"/>
              <w:right w:val="single" w:color="auto" w:sz="8" w:space="0"/>
            </w:tcBorders>
            <w:vAlign w:val="center"/>
          </w:tcPr>
          <w:p w14:paraId="7D2552B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6分</w:t>
            </w:r>
          </w:p>
        </w:tc>
        <w:tc>
          <w:tcPr>
            <w:tcW w:w="5473" w:type="dxa"/>
            <w:tcBorders>
              <w:top w:val="single" w:color="auto" w:sz="8" w:space="0"/>
              <w:left w:val="single" w:color="auto" w:sz="8" w:space="0"/>
              <w:bottom w:val="single" w:color="auto" w:sz="8" w:space="0"/>
              <w:right w:val="single" w:color="auto" w:sz="8" w:space="0"/>
            </w:tcBorders>
            <w:vAlign w:val="center"/>
          </w:tcPr>
          <w:p w14:paraId="397549B9">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1、投标</w:t>
            </w:r>
            <w:r>
              <w:rPr>
                <w:rFonts w:hint="eastAsia" w:ascii="宋体" w:hAnsi="宋体"/>
                <w:color w:val="auto"/>
                <w:sz w:val="22"/>
                <w:szCs w:val="22"/>
                <w:highlight w:val="none"/>
                <w:lang w:val="en-US" w:eastAsia="zh-CN"/>
              </w:rPr>
              <w:t>供应商</w:t>
            </w:r>
            <w:r>
              <w:rPr>
                <w:rFonts w:hint="eastAsia" w:ascii="宋体" w:hAnsi="宋体"/>
                <w:color w:val="auto"/>
                <w:sz w:val="22"/>
                <w:szCs w:val="22"/>
                <w:highlight w:val="none"/>
              </w:rPr>
              <w:t>自有的云平台等级测评报告中安全保护等级为第三级及以上，满足要求得3分。（提供有效期内的相关证书</w:t>
            </w:r>
            <w:r>
              <w:rPr>
                <w:rFonts w:hint="eastAsia" w:ascii="宋体" w:hAnsi="宋体"/>
                <w:color w:val="auto"/>
                <w:sz w:val="22"/>
                <w:szCs w:val="22"/>
                <w:highlight w:val="none"/>
                <w:lang w:val="en-US" w:eastAsia="zh-CN"/>
              </w:rPr>
              <w:t>扫描</w:t>
            </w:r>
            <w:r>
              <w:rPr>
                <w:rFonts w:hint="eastAsia" w:ascii="宋体" w:hAnsi="宋体"/>
                <w:color w:val="auto"/>
                <w:sz w:val="22"/>
                <w:szCs w:val="22"/>
                <w:highlight w:val="none"/>
              </w:rPr>
              <w:t>件加盖公章，否则不得分）。</w:t>
            </w:r>
          </w:p>
          <w:p w14:paraId="5D72F0B6">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2、投标供应商具有云管理服务评估证书（卓越级）的得3分，其他不得分。（若分公司参与投标，总公司具有该证书均认可，相关证书需在有效期内）。</w:t>
            </w:r>
          </w:p>
        </w:tc>
      </w:tr>
      <w:tr w14:paraId="1B71CCBC">
        <w:tblPrEx>
          <w:tblCellMar>
            <w:top w:w="0" w:type="dxa"/>
            <w:left w:w="108" w:type="dxa"/>
            <w:bottom w:w="0" w:type="dxa"/>
            <w:right w:w="108" w:type="dxa"/>
          </w:tblCellMar>
        </w:tblPrEx>
        <w:trPr>
          <w:trHeight w:val="1110" w:hRule="atLeast"/>
        </w:trPr>
        <w:tc>
          <w:tcPr>
            <w:tcW w:w="742" w:type="dxa"/>
            <w:vMerge w:val="restart"/>
            <w:tcBorders>
              <w:top w:val="nil"/>
              <w:left w:val="single" w:color="000000" w:sz="8" w:space="0"/>
              <w:bottom w:val="single" w:color="000000" w:sz="8" w:space="0"/>
              <w:right w:val="single" w:color="000000" w:sz="8" w:space="0"/>
            </w:tcBorders>
            <w:vAlign w:val="center"/>
          </w:tcPr>
          <w:p w14:paraId="1ECAD492">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4</w:t>
            </w:r>
          </w:p>
        </w:tc>
        <w:tc>
          <w:tcPr>
            <w:tcW w:w="2771" w:type="dxa"/>
            <w:vMerge w:val="restart"/>
            <w:tcBorders>
              <w:top w:val="nil"/>
              <w:left w:val="single" w:color="000000" w:sz="8" w:space="0"/>
              <w:bottom w:val="single" w:color="000000" w:sz="8" w:space="0"/>
              <w:right w:val="single" w:color="000000" w:sz="8" w:space="0"/>
            </w:tcBorders>
            <w:vAlign w:val="center"/>
          </w:tcPr>
          <w:p w14:paraId="7B981B09">
            <w:pPr>
              <w:keepNext w:val="0"/>
              <w:keepLines w:val="0"/>
              <w:widowControl/>
              <w:suppressLineNumbers w:val="0"/>
              <w:tabs>
                <w:tab w:val="left" w:pos="312"/>
              </w:tabs>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云平台技术方案</w:t>
            </w:r>
          </w:p>
        </w:tc>
        <w:tc>
          <w:tcPr>
            <w:tcW w:w="869" w:type="dxa"/>
            <w:vMerge w:val="restart"/>
            <w:tcBorders>
              <w:top w:val="nil"/>
              <w:left w:val="single" w:color="000000" w:sz="8" w:space="0"/>
              <w:bottom w:val="single" w:color="000000" w:sz="8" w:space="0"/>
              <w:right w:val="single" w:color="000000" w:sz="8" w:space="0"/>
            </w:tcBorders>
            <w:vAlign w:val="center"/>
          </w:tcPr>
          <w:p w14:paraId="1E6AE4FB">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9分</w:t>
            </w:r>
          </w:p>
        </w:tc>
        <w:tc>
          <w:tcPr>
            <w:tcW w:w="5473" w:type="dxa"/>
            <w:tcBorders>
              <w:top w:val="single" w:color="auto" w:sz="8" w:space="0"/>
              <w:left w:val="single" w:color="000000" w:sz="8" w:space="0"/>
              <w:bottom w:val="nil"/>
              <w:right w:val="single" w:color="000000" w:sz="8" w:space="0"/>
            </w:tcBorders>
            <w:vAlign w:val="center"/>
          </w:tcPr>
          <w:p w14:paraId="7658E04E">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云平台整体方案设计：考察投标供应商对于本项目的理解是否全面，包括政务云平台总体设计思路、技术架构，以及云平台安全保障体系技术方案的可靠性、全面性、可行性。</w:t>
            </w:r>
          </w:p>
        </w:tc>
      </w:tr>
      <w:tr w14:paraId="41AC3084">
        <w:tblPrEx>
          <w:tblCellMar>
            <w:top w:w="0" w:type="dxa"/>
            <w:left w:w="108" w:type="dxa"/>
            <w:bottom w:w="0" w:type="dxa"/>
            <w:right w:w="108" w:type="dxa"/>
          </w:tblCellMar>
        </w:tblPrEx>
        <w:trPr>
          <w:trHeight w:val="264" w:hRule="atLeast"/>
        </w:trPr>
        <w:tc>
          <w:tcPr>
            <w:tcW w:w="742" w:type="dxa"/>
            <w:vMerge w:val="continue"/>
            <w:tcBorders>
              <w:top w:val="nil"/>
              <w:left w:val="single" w:color="000000" w:sz="8" w:space="0"/>
              <w:bottom w:val="single" w:color="000000" w:sz="8" w:space="0"/>
              <w:right w:val="single" w:color="000000" w:sz="8" w:space="0"/>
            </w:tcBorders>
            <w:vAlign w:val="center"/>
          </w:tcPr>
          <w:p w14:paraId="590AC3C9">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p>
        </w:tc>
        <w:tc>
          <w:tcPr>
            <w:tcW w:w="2771" w:type="dxa"/>
            <w:vMerge w:val="continue"/>
            <w:tcBorders>
              <w:top w:val="nil"/>
              <w:left w:val="single" w:color="000000" w:sz="8" w:space="0"/>
              <w:bottom w:val="single" w:color="000000" w:sz="8" w:space="0"/>
              <w:right w:val="single" w:color="000000" w:sz="8" w:space="0"/>
            </w:tcBorders>
            <w:vAlign w:val="center"/>
          </w:tcPr>
          <w:p w14:paraId="35891A4C">
            <w:pPr>
              <w:keepNext w:val="0"/>
              <w:keepLines w:val="0"/>
              <w:widowControl/>
              <w:suppressLineNumbers w:val="0"/>
              <w:tabs>
                <w:tab w:val="left" w:pos="312"/>
              </w:tabs>
              <w:spacing w:before="0" w:beforeAutospacing="0" w:after="0" w:afterAutospacing="0"/>
              <w:ind w:left="0" w:right="0"/>
              <w:jc w:val="center"/>
              <w:textAlignment w:val="center"/>
              <w:rPr>
                <w:rFonts w:hint="default" w:ascii="宋体" w:hAnsi="宋体"/>
                <w:color w:val="auto"/>
                <w:sz w:val="22"/>
                <w:szCs w:val="22"/>
                <w:highlight w:val="none"/>
              </w:rPr>
            </w:pPr>
          </w:p>
        </w:tc>
        <w:tc>
          <w:tcPr>
            <w:tcW w:w="869" w:type="dxa"/>
            <w:vMerge w:val="continue"/>
            <w:tcBorders>
              <w:top w:val="nil"/>
              <w:left w:val="single" w:color="000000" w:sz="8" w:space="0"/>
              <w:bottom w:val="single" w:color="000000" w:sz="8" w:space="0"/>
              <w:right w:val="single" w:color="000000" w:sz="8" w:space="0"/>
            </w:tcBorders>
            <w:vAlign w:val="center"/>
          </w:tcPr>
          <w:p w14:paraId="23CD9C27">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p>
        </w:tc>
        <w:tc>
          <w:tcPr>
            <w:tcW w:w="5473" w:type="dxa"/>
            <w:tcBorders>
              <w:top w:val="nil"/>
              <w:left w:val="single" w:color="000000" w:sz="8" w:space="0"/>
              <w:bottom w:val="nil"/>
              <w:right w:val="single" w:color="000000" w:sz="8" w:space="0"/>
            </w:tcBorders>
            <w:vAlign w:val="center"/>
          </w:tcPr>
          <w:p w14:paraId="0526CAE6">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1、政务云平台总体设计思路：</w:t>
            </w:r>
          </w:p>
          <w:p w14:paraId="318D0383">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①描述全面、可行、可靠，得2-3分；</w:t>
            </w:r>
          </w:p>
          <w:p w14:paraId="726AD61D">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②描述基本全面、合理，得1-2分；</w:t>
            </w:r>
          </w:p>
          <w:p w14:paraId="3FD834A4">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③描述简单或存在缺漏的，得0-1分；</w:t>
            </w:r>
          </w:p>
          <w:p w14:paraId="75E6B9AE">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④无描述不得分。</w:t>
            </w:r>
          </w:p>
          <w:p w14:paraId="7437D155">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2、政务云平台总体技术架构：</w:t>
            </w:r>
          </w:p>
          <w:p w14:paraId="0A04E4A6">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①描述全面、可行、可靠，得2-3分；</w:t>
            </w:r>
          </w:p>
          <w:p w14:paraId="0AFCF167">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②描述基本全面、合理，得1-2分；</w:t>
            </w:r>
          </w:p>
          <w:p w14:paraId="25A51FA3">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③描述简单或存在缺漏的，得0-1分；</w:t>
            </w:r>
          </w:p>
          <w:p w14:paraId="1F7E8579">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④无描述不得分。</w:t>
            </w:r>
          </w:p>
          <w:p w14:paraId="2DD42634">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3、云平台安全保障体系技术方案：</w:t>
            </w:r>
          </w:p>
          <w:p w14:paraId="70FCADED">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①描述全面、可行、可靠，得2-3分；</w:t>
            </w:r>
          </w:p>
          <w:p w14:paraId="4482F311">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②描述基本全面、合理，得1-2分；</w:t>
            </w:r>
          </w:p>
          <w:p w14:paraId="1AFED465">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③描述简单或存在缺漏的，得0-1分；</w:t>
            </w:r>
          </w:p>
          <w:p w14:paraId="64874E81">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④无描述不得分。</w:t>
            </w:r>
          </w:p>
        </w:tc>
      </w:tr>
      <w:tr w14:paraId="7D3DCC65">
        <w:tblPrEx>
          <w:tblCellMar>
            <w:top w:w="0" w:type="dxa"/>
            <w:left w:w="108" w:type="dxa"/>
            <w:bottom w:w="0" w:type="dxa"/>
            <w:right w:w="108" w:type="dxa"/>
          </w:tblCellMar>
        </w:tblPrEx>
        <w:trPr>
          <w:trHeight w:val="347" w:hRule="atLeast"/>
        </w:trPr>
        <w:tc>
          <w:tcPr>
            <w:tcW w:w="742" w:type="dxa"/>
            <w:vMerge w:val="continue"/>
            <w:tcBorders>
              <w:top w:val="nil"/>
              <w:left w:val="single" w:color="000000" w:sz="8" w:space="0"/>
              <w:bottom w:val="single" w:color="auto" w:sz="8" w:space="0"/>
              <w:right w:val="single" w:color="000000" w:sz="8" w:space="0"/>
            </w:tcBorders>
            <w:vAlign w:val="center"/>
          </w:tcPr>
          <w:p w14:paraId="2A823EA4">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p>
        </w:tc>
        <w:tc>
          <w:tcPr>
            <w:tcW w:w="2771" w:type="dxa"/>
            <w:vMerge w:val="continue"/>
            <w:tcBorders>
              <w:top w:val="nil"/>
              <w:left w:val="single" w:color="000000" w:sz="8" w:space="0"/>
              <w:bottom w:val="single" w:color="auto" w:sz="8" w:space="0"/>
              <w:right w:val="single" w:color="000000" w:sz="8" w:space="0"/>
            </w:tcBorders>
            <w:vAlign w:val="center"/>
          </w:tcPr>
          <w:p w14:paraId="508511AE">
            <w:pPr>
              <w:keepNext w:val="0"/>
              <w:keepLines w:val="0"/>
              <w:widowControl/>
              <w:suppressLineNumbers w:val="0"/>
              <w:tabs>
                <w:tab w:val="left" w:pos="312"/>
              </w:tabs>
              <w:spacing w:before="0" w:beforeAutospacing="0" w:after="0" w:afterAutospacing="0"/>
              <w:ind w:left="0" w:right="0"/>
              <w:jc w:val="center"/>
              <w:textAlignment w:val="center"/>
              <w:rPr>
                <w:rFonts w:hint="default" w:ascii="宋体" w:hAnsi="宋体"/>
                <w:color w:val="auto"/>
                <w:sz w:val="22"/>
                <w:szCs w:val="22"/>
                <w:highlight w:val="none"/>
              </w:rPr>
            </w:pPr>
          </w:p>
        </w:tc>
        <w:tc>
          <w:tcPr>
            <w:tcW w:w="869" w:type="dxa"/>
            <w:tcBorders>
              <w:top w:val="nil"/>
              <w:left w:val="single" w:color="000000" w:sz="8" w:space="0"/>
              <w:bottom w:val="single" w:color="auto" w:sz="8" w:space="0"/>
              <w:right w:val="single" w:color="auto" w:sz="8" w:space="0"/>
            </w:tcBorders>
            <w:vAlign w:val="center"/>
          </w:tcPr>
          <w:p w14:paraId="568E00B6">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22分</w:t>
            </w:r>
          </w:p>
        </w:tc>
        <w:tc>
          <w:tcPr>
            <w:tcW w:w="5473" w:type="dxa"/>
            <w:tcBorders>
              <w:top w:val="single" w:color="auto" w:sz="8" w:space="0"/>
              <w:left w:val="single" w:color="auto" w:sz="8" w:space="0"/>
              <w:bottom w:val="single" w:color="auto" w:sz="8" w:space="0"/>
              <w:right w:val="single" w:color="auto" w:sz="8" w:space="0"/>
            </w:tcBorders>
            <w:vAlign w:val="center"/>
          </w:tcPr>
          <w:p w14:paraId="7858F945">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根据磋商文件中云基础服务、云平台服务、云安全服务、云基础设施服务、云管系统技术参数的满足程度评分：</w:t>
            </w:r>
          </w:p>
          <w:p w14:paraId="080FAB56">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1.标有“▲”且加下划线必须满足，负偏离按无效投标处理；</w:t>
            </w:r>
          </w:p>
          <w:p w14:paraId="00B1B7BE">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2.投标产品的技术参数“★”的，每负偏离1项扣2分，扣完为止，由评委共同认定。</w:t>
            </w:r>
          </w:p>
        </w:tc>
      </w:tr>
      <w:tr w14:paraId="0C58D854">
        <w:tblPrEx>
          <w:tblCellMar>
            <w:top w:w="0" w:type="dxa"/>
            <w:left w:w="108" w:type="dxa"/>
            <w:bottom w:w="0" w:type="dxa"/>
            <w:right w:w="108" w:type="dxa"/>
          </w:tblCellMar>
        </w:tblPrEx>
        <w:trPr>
          <w:trHeight w:val="1781" w:hRule="atLeast"/>
        </w:trPr>
        <w:tc>
          <w:tcPr>
            <w:tcW w:w="742" w:type="dxa"/>
            <w:tcBorders>
              <w:top w:val="single" w:color="auto" w:sz="8" w:space="0"/>
              <w:left w:val="single" w:color="auto" w:sz="8" w:space="0"/>
              <w:bottom w:val="single" w:color="auto" w:sz="8" w:space="0"/>
              <w:right w:val="single" w:color="auto" w:sz="8" w:space="0"/>
            </w:tcBorders>
            <w:vAlign w:val="center"/>
          </w:tcPr>
          <w:p w14:paraId="11E440A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5</w:t>
            </w:r>
          </w:p>
        </w:tc>
        <w:tc>
          <w:tcPr>
            <w:tcW w:w="2771" w:type="dxa"/>
            <w:tcBorders>
              <w:top w:val="single" w:color="auto" w:sz="8" w:space="0"/>
              <w:left w:val="single" w:color="auto" w:sz="8" w:space="0"/>
              <w:bottom w:val="single" w:color="auto" w:sz="8" w:space="0"/>
              <w:right w:val="single" w:color="auto" w:sz="8" w:space="0"/>
            </w:tcBorders>
            <w:vAlign w:val="center"/>
          </w:tcPr>
          <w:p w14:paraId="1BEA971C">
            <w:pPr>
              <w:keepNext w:val="0"/>
              <w:keepLines w:val="0"/>
              <w:widowControl/>
              <w:suppressLineNumbers w:val="0"/>
              <w:tabs>
                <w:tab w:val="left" w:pos="312"/>
              </w:tabs>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云平台安全方案</w:t>
            </w:r>
          </w:p>
        </w:tc>
        <w:tc>
          <w:tcPr>
            <w:tcW w:w="869" w:type="dxa"/>
            <w:tcBorders>
              <w:top w:val="single" w:color="auto" w:sz="8" w:space="0"/>
              <w:left w:val="single" w:color="auto" w:sz="8" w:space="0"/>
              <w:bottom w:val="single" w:color="auto" w:sz="8" w:space="0"/>
              <w:right w:val="single" w:color="auto" w:sz="8" w:space="0"/>
            </w:tcBorders>
            <w:vAlign w:val="center"/>
          </w:tcPr>
          <w:p w14:paraId="7229E4B6">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4分</w:t>
            </w:r>
          </w:p>
        </w:tc>
        <w:tc>
          <w:tcPr>
            <w:tcW w:w="5473" w:type="dxa"/>
            <w:tcBorders>
              <w:top w:val="single" w:color="auto" w:sz="8" w:space="0"/>
              <w:left w:val="single" w:color="auto" w:sz="8" w:space="0"/>
              <w:bottom w:val="single" w:color="auto" w:sz="8" w:space="0"/>
              <w:right w:val="single" w:color="auto" w:sz="8" w:space="0"/>
            </w:tcBorders>
            <w:vAlign w:val="center"/>
          </w:tcPr>
          <w:p w14:paraId="6D9EDD56">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根据投标供应商提供完整技术方案，包含组网方案、维保方案，以及所提供方案的合理性、科学性和服务能力及条件综合评定打分：</w:t>
            </w:r>
          </w:p>
          <w:p w14:paraId="358EA497">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①描述全面、可行、可靠，得2-4分；</w:t>
            </w:r>
          </w:p>
          <w:p w14:paraId="5C585B4D">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②描述基本全面、合理，得1-2分；</w:t>
            </w:r>
          </w:p>
          <w:p w14:paraId="58EDCB0C">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③描述简单或存在缺漏的，得0-1分；</w:t>
            </w:r>
          </w:p>
          <w:p w14:paraId="39150505">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④无描述不得分。</w:t>
            </w:r>
          </w:p>
        </w:tc>
      </w:tr>
      <w:tr w14:paraId="374699CA">
        <w:tblPrEx>
          <w:tblCellMar>
            <w:top w:w="0" w:type="dxa"/>
            <w:left w:w="108" w:type="dxa"/>
            <w:bottom w:w="0" w:type="dxa"/>
            <w:right w:w="108" w:type="dxa"/>
          </w:tblCellMar>
        </w:tblPrEx>
        <w:trPr>
          <w:trHeight w:val="479" w:hRule="atLeast"/>
        </w:trPr>
        <w:tc>
          <w:tcPr>
            <w:tcW w:w="742" w:type="dxa"/>
            <w:tcBorders>
              <w:top w:val="single" w:color="auto" w:sz="8" w:space="0"/>
              <w:left w:val="single" w:color="000000" w:sz="8" w:space="0"/>
              <w:bottom w:val="single" w:color="000000" w:sz="8" w:space="0"/>
              <w:right w:val="single" w:color="000000" w:sz="8" w:space="0"/>
            </w:tcBorders>
            <w:vAlign w:val="center"/>
          </w:tcPr>
          <w:p w14:paraId="1C4C95EB">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6</w:t>
            </w:r>
          </w:p>
        </w:tc>
        <w:tc>
          <w:tcPr>
            <w:tcW w:w="2771" w:type="dxa"/>
            <w:tcBorders>
              <w:top w:val="single" w:color="auto" w:sz="8" w:space="0"/>
              <w:left w:val="single" w:color="000000" w:sz="8" w:space="0"/>
              <w:bottom w:val="single" w:color="000000" w:sz="8" w:space="0"/>
              <w:right w:val="single" w:color="000000" w:sz="8" w:space="0"/>
            </w:tcBorders>
            <w:vAlign w:val="center"/>
          </w:tcPr>
          <w:p w14:paraId="096FE96F">
            <w:pPr>
              <w:keepNext w:val="0"/>
              <w:keepLines w:val="0"/>
              <w:widowControl/>
              <w:suppressLineNumbers w:val="0"/>
              <w:tabs>
                <w:tab w:val="left" w:pos="312"/>
              </w:tabs>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机房要求</w:t>
            </w:r>
          </w:p>
        </w:tc>
        <w:tc>
          <w:tcPr>
            <w:tcW w:w="869" w:type="dxa"/>
            <w:tcBorders>
              <w:top w:val="single" w:color="auto" w:sz="8" w:space="0"/>
              <w:left w:val="single" w:color="000000" w:sz="8" w:space="0"/>
              <w:bottom w:val="single" w:color="000000" w:sz="8" w:space="0"/>
              <w:right w:val="single" w:color="000000" w:sz="8" w:space="0"/>
            </w:tcBorders>
            <w:vAlign w:val="center"/>
          </w:tcPr>
          <w:p w14:paraId="1D6AEAAC">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4分</w:t>
            </w:r>
          </w:p>
        </w:tc>
        <w:tc>
          <w:tcPr>
            <w:tcW w:w="5473" w:type="dxa"/>
            <w:tcBorders>
              <w:top w:val="single" w:color="auto" w:sz="8" w:space="0"/>
              <w:left w:val="single" w:color="000000" w:sz="8" w:space="0"/>
              <w:bottom w:val="single" w:color="000000" w:sz="8" w:space="0"/>
              <w:right w:val="single" w:color="000000" w:sz="8" w:space="0"/>
            </w:tcBorders>
            <w:vAlign w:val="center"/>
          </w:tcPr>
          <w:p w14:paraId="74A7E4D7">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机房环境及相关物理硬件是否满足磋商文件相关技术指标要求，须提供相关证明材料：</w:t>
            </w:r>
          </w:p>
          <w:p w14:paraId="308D49F7">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①描述全面、可行、可靠，得2-4分；</w:t>
            </w:r>
          </w:p>
          <w:p w14:paraId="7EEE02F9">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②描述基本全面、合理，得1-2分；</w:t>
            </w:r>
          </w:p>
          <w:p w14:paraId="77723678">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③描述简单或存在缺漏的，得0-1分；</w:t>
            </w:r>
          </w:p>
          <w:p w14:paraId="157A69A2">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④无描述不得分。</w:t>
            </w:r>
          </w:p>
        </w:tc>
      </w:tr>
      <w:tr w14:paraId="091BB3BA">
        <w:tblPrEx>
          <w:tblCellMar>
            <w:top w:w="0" w:type="dxa"/>
            <w:left w:w="108" w:type="dxa"/>
            <w:bottom w:w="0" w:type="dxa"/>
            <w:right w:w="108" w:type="dxa"/>
          </w:tblCellMar>
        </w:tblPrEx>
        <w:trPr>
          <w:trHeight w:val="876" w:hRule="atLeast"/>
        </w:trPr>
        <w:tc>
          <w:tcPr>
            <w:tcW w:w="742" w:type="dxa"/>
            <w:tcBorders>
              <w:top w:val="nil"/>
              <w:left w:val="single" w:color="000000" w:sz="8" w:space="0"/>
              <w:bottom w:val="single" w:color="000000" w:sz="8" w:space="0"/>
              <w:right w:val="single" w:color="000000" w:sz="8" w:space="0"/>
            </w:tcBorders>
            <w:vAlign w:val="center"/>
          </w:tcPr>
          <w:p w14:paraId="1BBB150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7</w:t>
            </w:r>
          </w:p>
        </w:tc>
        <w:tc>
          <w:tcPr>
            <w:tcW w:w="2771" w:type="dxa"/>
            <w:tcBorders>
              <w:top w:val="nil"/>
              <w:left w:val="single" w:color="000000" w:sz="8" w:space="0"/>
              <w:bottom w:val="single" w:color="000000" w:sz="8" w:space="0"/>
              <w:right w:val="single" w:color="000000" w:sz="8" w:space="0"/>
            </w:tcBorders>
            <w:vAlign w:val="center"/>
          </w:tcPr>
          <w:p w14:paraId="19DFCF9D">
            <w:pPr>
              <w:keepNext w:val="0"/>
              <w:keepLines w:val="0"/>
              <w:widowControl/>
              <w:suppressLineNumbers w:val="0"/>
              <w:tabs>
                <w:tab w:val="left" w:pos="312"/>
              </w:tabs>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服务人员要求</w:t>
            </w:r>
          </w:p>
        </w:tc>
        <w:tc>
          <w:tcPr>
            <w:tcW w:w="869" w:type="dxa"/>
            <w:tcBorders>
              <w:top w:val="nil"/>
              <w:left w:val="single" w:color="000000" w:sz="8" w:space="0"/>
              <w:bottom w:val="single" w:color="000000" w:sz="8" w:space="0"/>
              <w:right w:val="single" w:color="000000" w:sz="8" w:space="0"/>
            </w:tcBorders>
            <w:vAlign w:val="center"/>
          </w:tcPr>
          <w:p w14:paraId="303FD9D8">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14分</w:t>
            </w:r>
          </w:p>
        </w:tc>
        <w:tc>
          <w:tcPr>
            <w:tcW w:w="5473" w:type="dxa"/>
            <w:tcBorders>
              <w:top w:val="nil"/>
              <w:left w:val="single" w:color="000000" w:sz="8" w:space="0"/>
              <w:bottom w:val="single" w:color="000000" w:sz="8" w:space="0"/>
              <w:right w:val="single" w:color="000000" w:sz="8" w:space="0"/>
            </w:tcBorders>
            <w:vAlign w:val="center"/>
          </w:tcPr>
          <w:p w14:paraId="45DAEB6D">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default" w:ascii="宋体" w:hAnsi="宋体"/>
                <w:color w:val="auto"/>
                <w:sz w:val="22"/>
                <w:szCs w:val="22"/>
                <w:highlight w:val="none"/>
              </w:rPr>
              <w:t>1、投标人服务于此次项目的项目负责人</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一名</w:t>
            </w:r>
            <w:r>
              <w:rPr>
                <w:rFonts w:hint="eastAsia" w:ascii="宋体" w:hAnsi="宋体"/>
                <w:color w:val="auto"/>
                <w:sz w:val="22"/>
                <w:szCs w:val="22"/>
                <w:highlight w:val="none"/>
                <w:lang w:eastAsia="zh-CN"/>
              </w:rPr>
              <w:t>）</w:t>
            </w:r>
            <w:r>
              <w:rPr>
                <w:rFonts w:hint="default" w:ascii="宋体" w:hAnsi="宋体"/>
                <w:color w:val="auto"/>
                <w:sz w:val="22"/>
                <w:szCs w:val="22"/>
                <w:highlight w:val="none"/>
              </w:rPr>
              <w:t>具备高级信息系统项目管理师（软考）证书、一级建造师（通信与广电工程）证书、高级软件开发工程师证书</w:t>
            </w:r>
            <w:r>
              <w:rPr>
                <w:rFonts w:hint="eastAsia" w:ascii="宋体" w:hAnsi="宋体"/>
                <w:color w:val="auto"/>
                <w:sz w:val="22"/>
                <w:szCs w:val="22"/>
                <w:highlight w:val="none"/>
                <w:lang w:eastAsia="zh-CN"/>
              </w:rPr>
              <w:t>的，</w:t>
            </w:r>
            <w:r>
              <w:rPr>
                <w:rFonts w:hint="default" w:ascii="宋体" w:hAnsi="宋体"/>
                <w:color w:val="auto"/>
                <w:sz w:val="22"/>
                <w:szCs w:val="22"/>
                <w:highlight w:val="none"/>
              </w:rPr>
              <w:t>全部具备得4分</w:t>
            </w:r>
            <w:r>
              <w:rPr>
                <w:rFonts w:hint="eastAsia" w:ascii="宋体" w:hAnsi="宋体"/>
                <w:color w:val="auto"/>
                <w:sz w:val="22"/>
                <w:szCs w:val="22"/>
                <w:highlight w:val="none"/>
                <w:lang w:eastAsia="zh-CN"/>
              </w:rPr>
              <w:t>，</w:t>
            </w:r>
            <w:r>
              <w:rPr>
                <w:rFonts w:hint="default" w:ascii="宋体" w:hAnsi="宋体"/>
                <w:color w:val="auto"/>
                <w:sz w:val="22"/>
                <w:szCs w:val="22"/>
                <w:highlight w:val="none"/>
              </w:rPr>
              <w:t>具备一个证书得1分</w:t>
            </w:r>
            <w:r>
              <w:rPr>
                <w:rFonts w:hint="eastAsia" w:ascii="宋体" w:hAnsi="宋体"/>
                <w:color w:val="auto"/>
                <w:sz w:val="22"/>
                <w:szCs w:val="22"/>
                <w:highlight w:val="none"/>
                <w:lang w:eastAsia="zh-CN"/>
              </w:rPr>
              <w:t>；</w:t>
            </w:r>
            <w:r>
              <w:rPr>
                <w:rFonts w:hint="eastAsia" w:ascii="宋体" w:hAnsi="宋体"/>
                <w:color w:val="auto"/>
                <w:sz w:val="22"/>
                <w:szCs w:val="22"/>
                <w:highlight w:val="none"/>
              </w:rPr>
              <w:br w:type="textWrapping"/>
            </w:r>
            <w:r>
              <w:rPr>
                <w:rFonts w:hint="eastAsia" w:ascii="宋体" w:hAnsi="宋体"/>
                <w:color w:val="auto"/>
                <w:sz w:val="22"/>
                <w:szCs w:val="22"/>
                <w:highlight w:val="none"/>
              </w:rPr>
              <w:t>2、投标人服务于此次项目的技术负责人</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一名</w:t>
            </w:r>
            <w:r>
              <w:rPr>
                <w:rFonts w:hint="eastAsia" w:ascii="宋体" w:hAnsi="宋体"/>
                <w:color w:val="auto"/>
                <w:sz w:val="22"/>
                <w:szCs w:val="22"/>
                <w:highlight w:val="none"/>
                <w:lang w:eastAsia="zh-CN"/>
              </w:rPr>
              <w:t>）</w:t>
            </w:r>
            <w:r>
              <w:rPr>
                <w:rFonts w:hint="eastAsia" w:ascii="宋体" w:hAnsi="宋体"/>
                <w:color w:val="auto"/>
                <w:sz w:val="22"/>
                <w:szCs w:val="22"/>
                <w:highlight w:val="none"/>
              </w:rPr>
              <w:t>具备高级系统规划与管理师（软考）证书、高级软件设计师证书、信息技术应用创新专业人员证书</w:t>
            </w:r>
            <w:r>
              <w:rPr>
                <w:rFonts w:hint="eastAsia" w:ascii="宋体" w:hAnsi="宋体"/>
                <w:color w:val="auto"/>
                <w:sz w:val="22"/>
                <w:szCs w:val="22"/>
                <w:highlight w:val="none"/>
                <w:lang w:eastAsia="zh-CN"/>
              </w:rPr>
              <w:t>的，</w:t>
            </w:r>
            <w:r>
              <w:rPr>
                <w:rFonts w:hint="default" w:ascii="宋体" w:hAnsi="宋体"/>
                <w:color w:val="auto"/>
                <w:sz w:val="22"/>
                <w:szCs w:val="22"/>
                <w:highlight w:val="none"/>
              </w:rPr>
              <w:t>全部具备得4分</w:t>
            </w:r>
            <w:r>
              <w:rPr>
                <w:rFonts w:hint="eastAsia" w:ascii="宋体" w:hAnsi="宋体"/>
                <w:color w:val="auto"/>
                <w:sz w:val="22"/>
                <w:szCs w:val="22"/>
                <w:highlight w:val="none"/>
                <w:lang w:eastAsia="zh-CN"/>
              </w:rPr>
              <w:t>，</w:t>
            </w:r>
            <w:r>
              <w:rPr>
                <w:rFonts w:hint="default" w:ascii="宋体" w:hAnsi="宋体"/>
                <w:color w:val="auto"/>
                <w:sz w:val="22"/>
                <w:szCs w:val="22"/>
                <w:highlight w:val="none"/>
              </w:rPr>
              <w:t>具备一个证书得1分</w:t>
            </w:r>
            <w:r>
              <w:rPr>
                <w:rFonts w:hint="eastAsia" w:ascii="宋体" w:hAnsi="宋体"/>
                <w:color w:val="auto"/>
                <w:sz w:val="22"/>
                <w:szCs w:val="22"/>
                <w:highlight w:val="none"/>
                <w:lang w:eastAsia="zh-CN"/>
              </w:rPr>
              <w:t>；</w:t>
            </w:r>
            <w:r>
              <w:rPr>
                <w:rFonts w:hint="eastAsia" w:ascii="宋体" w:hAnsi="宋体"/>
                <w:color w:val="auto"/>
                <w:sz w:val="22"/>
                <w:szCs w:val="22"/>
                <w:highlight w:val="none"/>
              </w:rPr>
              <w:br w:type="textWrapping"/>
            </w:r>
            <w:r>
              <w:rPr>
                <w:rFonts w:hint="eastAsia" w:ascii="宋体" w:hAnsi="宋体"/>
                <w:color w:val="auto"/>
                <w:sz w:val="22"/>
                <w:szCs w:val="22"/>
                <w:highlight w:val="none"/>
              </w:rPr>
              <w:t>3、投标人服务于此次项目的安全负责人</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一名</w:t>
            </w:r>
            <w:r>
              <w:rPr>
                <w:rFonts w:hint="eastAsia" w:ascii="宋体" w:hAnsi="宋体"/>
                <w:color w:val="auto"/>
                <w:sz w:val="22"/>
                <w:szCs w:val="22"/>
                <w:highlight w:val="none"/>
                <w:lang w:eastAsia="zh-CN"/>
              </w:rPr>
              <w:t>）</w:t>
            </w:r>
            <w:r>
              <w:rPr>
                <w:rFonts w:hint="eastAsia" w:ascii="宋体" w:hAnsi="宋体"/>
                <w:color w:val="auto"/>
                <w:sz w:val="22"/>
                <w:szCs w:val="22"/>
                <w:highlight w:val="none"/>
              </w:rPr>
              <w:t>具备中级</w:t>
            </w:r>
            <w:r>
              <w:rPr>
                <w:rFonts w:hint="eastAsia" w:ascii="宋体" w:hAnsi="宋体"/>
                <w:color w:val="auto"/>
                <w:sz w:val="22"/>
                <w:szCs w:val="22"/>
                <w:highlight w:val="none"/>
                <w:lang w:val="en-US" w:eastAsia="zh-CN"/>
              </w:rPr>
              <w:t>及以上</w:t>
            </w:r>
            <w:r>
              <w:rPr>
                <w:rFonts w:hint="eastAsia" w:ascii="宋体" w:hAnsi="宋体"/>
                <w:color w:val="auto"/>
                <w:sz w:val="22"/>
                <w:szCs w:val="22"/>
                <w:highlight w:val="none"/>
              </w:rPr>
              <w:t>网络工程师（软考）、信息安全管理（高级）证书、中级</w:t>
            </w:r>
            <w:r>
              <w:rPr>
                <w:rFonts w:hint="eastAsia" w:ascii="宋体" w:hAnsi="宋体"/>
                <w:color w:val="auto"/>
                <w:sz w:val="22"/>
                <w:szCs w:val="22"/>
                <w:highlight w:val="none"/>
                <w:lang w:val="en-US" w:eastAsia="zh-CN"/>
              </w:rPr>
              <w:t>及以上</w:t>
            </w:r>
            <w:r>
              <w:rPr>
                <w:rFonts w:hint="eastAsia" w:ascii="宋体" w:hAnsi="宋体"/>
                <w:color w:val="auto"/>
                <w:sz w:val="22"/>
                <w:szCs w:val="22"/>
                <w:highlight w:val="none"/>
              </w:rPr>
              <w:t>信息安全工程师（软考）证书</w:t>
            </w:r>
            <w:r>
              <w:rPr>
                <w:rFonts w:hint="eastAsia" w:ascii="宋体" w:hAnsi="宋体"/>
                <w:color w:val="auto"/>
                <w:sz w:val="22"/>
                <w:szCs w:val="22"/>
                <w:highlight w:val="none"/>
                <w:lang w:eastAsia="zh-CN"/>
              </w:rPr>
              <w:t>，</w:t>
            </w:r>
            <w:r>
              <w:rPr>
                <w:rFonts w:hint="default" w:ascii="宋体" w:hAnsi="宋体"/>
                <w:color w:val="auto"/>
                <w:sz w:val="22"/>
                <w:szCs w:val="22"/>
                <w:highlight w:val="none"/>
              </w:rPr>
              <w:t>全部具备得4分</w:t>
            </w:r>
            <w:r>
              <w:rPr>
                <w:rFonts w:hint="eastAsia" w:ascii="宋体" w:hAnsi="宋体"/>
                <w:color w:val="auto"/>
                <w:sz w:val="22"/>
                <w:szCs w:val="22"/>
                <w:highlight w:val="none"/>
                <w:lang w:eastAsia="zh-CN"/>
              </w:rPr>
              <w:t>，</w:t>
            </w:r>
            <w:r>
              <w:rPr>
                <w:rFonts w:hint="default" w:ascii="宋体" w:hAnsi="宋体"/>
                <w:color w:val="auto"/>
                <w:sz w:val="22"/>
                <w:szCs w:val="22"/>
                <w:highlight w:val="none"/>
              </w:rPr>
              <w:t>具备一个证书得1分</w:t>
            </w:r>
            <w:r>
              <w:rPr>
                <w:rFonts w:hint="eastAsia" w:ascii="宋体" w:hAnsi="宋体"/>
                <w:color w:val="auto"/>
                <w:sz w:val="22"/>
                <w:szCs w:val="22"/>
                <w:highlight w:val="none"/>
                <w:lang w:eastAsia="zh-CN"/>
              </w:rPr>
              <w:t>；</w:t>
            </w:r>
            <w:r>
              <w:rPr>
                <w:rFonts w:hint="eastAsia" w:ascii="宋体" w:hAnsi="宋体"/>
                <w:color w:val="auto"/>
                <w:sz w:val="22"/>
                <w:szCs w:val="22"/>
                <w:highlight w:val="none"/>
              </w:rPr>
              <w:br w:type="textWrapping"/>
            </w:r>
            <w:r>
              <w:rPr>
                <w:rFonts w:hint="eastAsia" w:ascii="宋体" w:hAnsi="宋体"/>
                <w:color w:val="auto"/>
                <w:sz w:val="22"/>
                <w:szCs w:val="22"/>
                <w:highlight w:val="none"/>
              </w:rPr>
              <w:t>4、投标人服务于此次项目的项目组成员中有具备安全评价师证书得1分；具备</w:t>
            </w:r>
            <w:r>
              <w:rPr>
                <w:rFonts w:hint="eastAsia" w:ascii="宋体" w:hAnsi="宋体"/>
                <w:color w:val="auto"/>
                <w:sz w:val="22"/>
                <w:szCs w:val="22"/>
                <w:highlight w:val="none"/>
                <w:lang w:val="en-US" w:eastAsia="zh-CN"/>
              </w:rPr>
              <w:t>信</w:t>
            </w:r>
            <w:r>
              <w:rPr>
                <w:rFonts w:hint="eastAsia" w:ascii="宋体" w:hAnsi="宋体"/>
                <w:color w:val="auto"/>
                <w:sz w:val="22"/>
                <w:szCs w:val="22"/>
                <w:highlight w:val="none"/>
              </w:rPr>
              <w:t>息技术应用创新专业人员证书得1分。同一个人具有多种证书的，按一种证书来计算。</w:t>
            </w:r>
            <w:r>
              <w:rPr>
                <w:rFonts w:hint="eastAsia" w:ascii="宋体" w:hAnsi="宋体"/>
                <w:color w:val="auto"/>
                <w:sz w:val="22"/>
                <w:szCs w:val="22"/>
                <w:highlight w:val="none"/>
              </w:rPr>
              <w:br w:type="textWrapping"/>
            </w:r>
            <w:r>
              <w:rPr>
                <w:rFonts w:hint="eastAsia" w:ascii="宋体" w:hAnsi="宋体"/>
                <w:color w:val="auto"/>
                <w:sz w:val="22"/>
                <w:szCs w:val="22"/>
                <w:highlight w:val="none"/>
              </w:rPr>
              <w:t>(注：①</w:t>
            </w:r>
            <w:r>
              <w:rPr>
                <w:rFonts w:hint="eastAsia" w:ascii="宋体" w:hAnsi="宋体"/>
                <w:color w:val="auto"/>
                <w:sz w:val="22"/>
                <w:szCs w:val="22"/>
                <w:highlight w:val="none"/>
                <w:lang w:val="en-US" w:eastAsia="zh-CN"/>
              </w:rPr>
              <w:t>以上</w:t>
            </w:r>
            <w:r>
              <w:rPr>
                <w:rFonts w:hint="eastAsia" w:ascii="宋体" w:hAnsi="宋体"/>
                <w:color w:val="auto"/>
                <w:sz w:val="22"/>
                <w:szCs w:val="22"/>
                <w:highlight w:val="none"/>
              </w:rPr>
              <w:t>项目负责人</w:t>
            </w:r>
            <w:r>
              <w:rPr>
                <w:rFonts w:hint="eastAsia" w:ascii="宋体" w:hAnsi="宋体"/>
                <w:color w:val="auto"/>
                <w:sz w:val="22"/>
                <w:szCs w:val="22"/>
                <w:highlight w:val="none"/>
                <w:lang w:eastAsia="zh-CN"/>
              </w:rPr>
              <w:t>、</w:t>
            </w:r>
            <w:r>
              <w:rPr>
                <w:rFonts w:hint="eastAsia" w:ascii="宋体" w:hAnsi="宋体"/>
                <w:color w:val="auto"/>
                <w:sz w:val="22"/>
                <w:szCs w:val="22"/>
                <w:highlight w:val="none"/>
              </w:rPr>
              <w:t>技术负责人，安全负责人，不得兼任。</w:t>
            </w:r>
            <w:r>
              <w:rPr>
                <w:rFonts w:hint="eastAsia" w:ascii="宋体" w:hAnsi="宋体"/>
                <w:color w:val="auto"/>
                <w:sz w:val="22"/>
                <w:szCs w:val="22"/>
                <w:highlight w:val="none"/>
              </w:rPr>
              <w:br w:type="textWrapping"/>
            </w:r>
            <w:r>
              <w:rPr>
                <w:rFonts w:hint="eastAsia" w:ascii="宋体" w:hAnsi="宋体"/>
                <w:color w:val="auto"/>
                <w:sz w:val="22"/>
                <w:szCs w:val="22"/>
                <w:highlight w:val="none"/>
              </w:rPr>
              <w:t>②以上人员证书须提供相关证明材料（签发/颁证机构为人力资源和社会保障部（厅、局）或工业和信息化部（厅、局、教育与考试中心、电子工业标准化研究院）</w:t>
            </w:r>
            <w:r>
              <w:rPr>
                <w:rFonts w:hint="eastAsia" w:ascii="宋体" w:hAnsi="宋体"/>
                <w:color w:val="auto"/>
                <w:sz w:val="22"/>
                <w:szCs w:val="22"/>
                <w:highlight w:val="none"/>
                <w:lang w:val="en-US" w:eastAsia="zh-CN"/>
              </w:rPr>
              <w:t>扫描</w:t>
            </w:r>
            <w:r>
              <w:rPr>
                <w:rFonts w:hint="eastAsia" w:ascii="宋体" w:hAnsi="宋体"/>
                <w:color w:val="auto"/>
                <w:sz w:val="22"/>
                <w:szCs w:val="22"/>
                <w:highlight w:val="none"/>
              </w:rPr>
              <w:t>件加盖公章，否则不得分。</w:t>
            </w:r>
            <w:r>
              <w:rPr>
                <w:rFonts w:hint="eastAsia" w:ascii="宋体" w:hAnsi="宋体"/>
                <w:color w:val="auto"/>
                <w:sz w:val="22"/>
                <w:szCs w:val="22"/>
                <w:highlight w:val="none"/>
              </w:rPr>
              <w:br w:type="textWrapping"/>
            </w:r>
            <w:r>
              <w:rPr>
                <w:rFonts w:hint="eastAsia" w:ascii="宋体" w:hAnsi="宋体"/>
                <w:color w:val="auto"/>
                <w:sz w:val="22"/>
                <w:szCs w:val="22"/>
                <w:highlight w:val="none"/>
              </w:rPr>
              <w:t>③</w:t>
            </w:r>
            <w:r>
              <w:rPr>
                <w:rFonts w:hint="eastAsia" w:ascii="宋体" w:hAnsi="宋体"/>
                <w:color w:val="auto"/>
                <w:sz w:val="22"/>
                <w:szCs w:val="22"/>
                <w:highlight w:val="none"/>
                <w:lang w:val="en-US" w:eastAsia="zh-CN"/>
              </w:rPr>
              <w:t>以上人员须提供在投标单位近三个月中任意一个月的社保证明，否则不予给分。</w:t>
            </w:r>
          </w:p>
        </w:tc>
      </w:tr>
      <w:tr w14:paraId="19FB93E6">
        <w:tblPrEx>
          <w:tblCellMar>
            <w:top w:w="0" w:type="dxa"/>
            <w:left w:w="108" w:type="dxa"/>
            <w:bottom w:w="0" w:type="dxa"/>
            <w:right w:w="108" w:type="dxa"/>
          </w:tblCellMar>
        </w:tblPrEx>
        <w:trPr>
          <w:trHeight w:val="264" w:hRule="atLeast"/>
        </w:trPr>
        <w:tc>
          <w:tcPr>
            <w:tcW w:w="742" w:type="dxa"/>
            <w:tcBorders>
              <w:top w:val="nil"/>
              <w:left w:val="single" w:color="000000" w:sz="8" w:space="0"/>
              <w:bottom w:val="single" w:color="000000" w:sz="8" w:space="0"/>
              <w:right w:val="single" w:color="000000" w:sz="8" w:space="0"/>
            </w:tcBorders>
            <w:vAlign w:val="center"/>
          </w:tcPr>
          <w:p w14:paraId="0E46D9C7">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8</w:t>
            </w:r>
          </w:p>
        </w:tc>
        <w:tc>
          <w:tcPr>
            <w:tcW w:w="2771" w:type="dxa"/>
            <w:tcBorders>
              <w:top w:val="nil"/>
              <w:left w:val="single" w:color="000000" w:sz="8" w:space="0"/>
              <w:bottom w:val="single" w:color="000000" w:sz="8" w:space="0"/>
              <w:right w:val="single" w:color="000000" w:sz="8" w:space="0"/>
            </w:tcBorders>
            <w:vAlign w:val="center"/>
          </w:tcPr>
          <w:p w14:paraId="519A8F30">
            <w:pPr>
              <w:keepNext w:val="0"/>
              <w:keepLines w:val="0"/>
              <w:widowControl/>
              <w:suppressLineNumbers w:val="0"/>
              <w:tabs>
                <w:tab w:val="left" w:pos="312"/>
              </w:tabs>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技术服务方案</w:t>
            </w:r>
          </w:p>
        </w:tc>
        <w:tc>
          <w:tcPr>
            <w:tcW w:w="869" w:type="dxa"/>
            <w:tcBorders>
              <w:top w:val="nil"/>
              <w:left w:val="single" w:color="000000" w:sz="8" w:space="0"/>
              <w:bottom w:val="single" w:color="000000" w:sz="8" w:space="0"/>
              <w:right w:val="single" w:color="000000" w:sz="8" w:space="0"/>
            </w:tcBorders>
            <w:vAlign w:val="center"/>
          </w:tcPr>
          <w:p w14:paraId="782A6DAF">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2"/>
                <w:szCs w:val="22"/>
                <w:highlight w:val="none"/>
              </w:rPr>
            </w:pPr>
            <w:r>
              <w:rPr>
                <w:rFonts w:hint="eastAsia" w:ascii="宋体" w:hAnsi="宋体"/>
                <w:color w:val="auto"/>
                <w:sz w:val="22"/>
                <w:szCs w:val="22"/>
                <w:highlight w:val="none"/>
              </w:rPr>
              <w:t>9分</w:t>
            </w:r>
          </w:p>
        </w:tc>
        <w:tc>
          <w:tcPr>
            <w:tcW w:w="5473" w:type="dxa"/>
            <w:tcBorders>
              <w:top w:val="nil"/>
              <w:left w:val="single" w:color="000000" w:sz="8" w:space="0"/>
              <w:bottom w:val="single" w:color="000000" w:sz="8" w:space="0"/>
              <w:right w:val="single" w:color="000000" w:sz="8" w:space="0"/>
            </w:tcBorders>
            <w:vAlign w:val="center"/>
          </w:tcPr>
          <w:p w14:paraId="6515AB12">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根据详细的运维服务方案、运维服务报告的详细程度、服务响应时间等打分，最高得9分。</w:t>
            </w:r>
          </w:p>
          <w:p w14:paraId="10F5CF83">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1、运维服务方案：</w:t>
            </w:r>
          </w:p>
          <w:p w14:paraId="367B60B0">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①描述全面、可行、可靠，得2-3分；</w:t>
            </w:r>
          </w:p>
          <w:p w14:paraId="56E8C98F">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②描述基本全面、合理，得1-2分；</w:t>
            </w:r>
          </w:p>
          <w:p w14:paraId="37AF6E69">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③描述简单或存在缺漏的，得0-1分；</w:t>
            </w:r>
          </w:p>
          <w:p w14:paraId="6EC52F9A">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④无描述不得分。</w:t>
            </w:r>
          </w:p>
          <w:p w14:paraId="15972D75">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2、运维服务报告的详细程度：</w:t>
            </w:r>
          </w:p>
          <w:p w14:paraId="7C134F28">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①描述全面、可行、可靠，得2-3分；</w:t>
            </w:r>
          </w:p>
          <w:p w14:paraId="368B2CA3">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②描述基本全面、合理，得1-2分；</w:t>
            </w:r>
          </w:p>
          <w:p w14:paraId="061617DE">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③描述简单或存在缺漏的，得0-1分；</w:t>
            </w:r>
          </w:p>
          <w:p w14:paraId="6F7FB959">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④无描述不得分。</w:t>
            </w:r>
          </w:p>
          <w:p w14:paraId="01CECBD5">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3、服务响应时间：</w:t>
            </w:r>
          </w:p>
          <w:p w14:paraId="776D32E1">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①描述全面、可行、可靠，得2-3分；</w:t>
            </w:r>
          </w:p>
          <w:p w14:paraId="5A1B2E26">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②描述基本全面、合理，得1-2分；</w:t>
            </w:r>
          </w:p>
          <w:p w14:paraId="20E65B13">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③描述简单或存在缺漏的，得0-1分；</w:t>
            </w:r>
          </w:p>
          <w:p w14:paraId="3280B454">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auto"/>
                <w:sz w:val="22"/>
                <w:szCs w:val="22"/>
                <w:highlight w:val="none"/>
              </w:rPr>
            </w:pPr>
            <w:r>
              <w:rPr>
                <w:rFonts w:hint="eastAsia" w:ascii="宋体" w:hAnsi="宋体"/>
                <w:color w:val="auto"/>
                <w:sz w:val="22"/>
                <w:szCs w:val="22"/>
                <w:highlight w:val="none"/>
              </w:rPr>
              <w:t>④无描述不得分。</w:t>
            </w:r>
          </w:p>
        </w:tc>
      </w:tr>
    </w:tbl>
    <w:p w14:paraId="5A8389A0">
      <w:pPr>
        <w:adjustRightInd w:val="0"/>
        <w:snapToGrid w:val="0"/>
        <w:spacing w:before="100" w:after="50" w:line="360" w:lineRule="atLeast"/>
        <w:ind w:left="420"/>
        <w:rPr>
          <w:rFonts w:ascii="宋体" w:hAnsi="宋体"/>
          <w:color w:val="auto"/>
          <w:sz w:val="22"/>
          <w:szCs w:val="22"/>
          <w:highlight w:val="none"/>
        </w:rPr>
      </w:pPr>
      <w:r>
        <w:rPr>
          <w:rFonts w:hint="eastAsia" w:ascii="宋体" w:hAnsi="宋体"/>
          <w:color w:val="auto"/>
          <w:sz w:val="22"/>
          <w:szCs w:val="22"/>
          <w:highlight w:val="none"/>
        </w:rPr>
        <w:t>三、说明</w:t>
      </w:r>
    </w:p>
    <w:p w14:paraId="4280BFF2">
      <w:pPr>
        <w:adjustRightInd w:val="0"/>
        <w:snapToGrid w:val="0"/>
        <w:spacing w:before="100" w:after="50" w:line="3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1、各标项每个有效投标供应商的综合得分=商务技术得分（所有磋商小组成员打分的算术平均值）＋报价得分。</w:t>
      </w:r>
    </w:p>
    <w:p w14:paraId="1DF31195">
      <w:pPr>
        <w:adjustRightInd w:val="0"/>
        <w:snapToGrid w:val="0"/>
        <w:spacing w:before="100" w:after="50" w:line="3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2、磋商小组推荐各标项综合得分最高的供应商为成交供应商（如果得分相同则按最终磋商报价从低到高顺序依次推荐为成交候选供应商；如果综合得分相同最终磋商报价也相同，则抽签决定），并编写评审报告。</w:t>
      </w:r>
    </w:p>
    <w:p w14:paraId="19224748">
      <w:pPr>
        <w:adjustRightInd w:val="0"/>
        <w:snapToGrid w:val="0"/>
        <w:spacing w:before="100" w:after="50" w:line="3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3、所有分值计算保留小数点后二位，小数点后第三位起四舍五入。</w:t>
      </w:r>
    </w:p>
    <w:p w14:paraId="78E1CA03">
      <w:pPr>
        <w:adjustRightInd w:val="0"/>
        <w:snapToGrid w:val="0"/>
        <w:spacing w:before="100" w:after="50" w:line="360" w:lineRule="atLeast"/>
        <w:ind w:firstLine="431" w:firstLineChars="196"/>
        <w:rPr>
          <w:rFonts w:ascii="宋体" w:hAnsi="宋体" w:cs="Arial"/>
          <w:color w:val="auto"/>
          <w:sz w:val="22"/>
          <w:szCs w:val="22"/>
          <w:highlight w:val="none"/>
        </w:rPr>
      </w:pPr>
      <w:r>
        <w:rPr>
          <w:rFonts w:hint="eastAsia" w:ascii="宋体" w:hAnsi="宋体" w:cs="Arial"/>
          <w:color w:val="auto"/>
          <w:sz w:val="22"/>
          <w:szCs w:val="22"/>
          <w:highlight w:val="none"/>
        </w:rPr>
        <w:t xml:space="preserve">其它参见本磋商文件第三部分：“供应商须知” 中的相关内容，未尽事宜按有关法律规定处理。 </w:t>
      </w:r>
    </w:p>
    <w:p w14:paraId="291A4694">
      <w:pPr>
        <w:adjustRightInd w:val="0"/>
        <w:snapToGrid w:val="0"/>
        <w:spacing w:before="100" w:after="50" w:line="360" w:lineRule="atLeast"/>
        <w:ind w:firstLine="431" w:firstLineChars="196"/>
        <w:rPr>
          <w:rFonts w:ascii="宋体" w:hAnsi="宋体" w:cs="Arial"/>
          <w:color w:val="auto"/>
          <w:sz w:val="22"/>
          <w:szCs w:val="22"/>
          <w:highlight w:val="none"/>
        </w:rPr>
      </w:pPr>
    </w:p>
    <w:p w14:paraId="6AADBCD5">
      <w:pPr>
        <w:adjustRightInd w:val="0"/>
        <w:snapToGrid w:val="0"/>
        <w:spacing w:before="100" w:after="50" w:line="360" w:lineRule="atLeast"/>
        <w:ind w:firstLine="431" w:firstLineChars="196"/>
        <w:rPr>
          <w:rFonts w:ascii="宋体" w:hAnsi="宋体" w:cs="Arial"/>
          <w:color w:val="auto"/>
          <w:sz w:val="22"/>
          <w:szCs w:val="22"/>
          <w:highlight w:val="none"/>
        </w:rPr>
      </w:pPr>
    </w:p>
    <w:p w14:paraId="5FB7E132">
      <w:pPr>
        <w:adjustRightInd w:val="0"/>
        <w:snapToGrid w:val="0"/>
        <w:spacing w:before="100" w:after="50" w:line="360" w:lineRule="atLeast"/>
        <w:ind w:firstLine="431" w:firstLineChars="196"/>
        <w:rPr>
          <w:rFonts w:ascii="宋体" w:hAnsi="宋体" w:cs="Arial"/>
          <w:color w:val="auto"/>
          <w:sz w:val="22"/>
          <w:szCs w:val="22"/>
          <w:highlight w:val="none"/>
        </w:rPr>
      </w:pPr>
    </w:p>
    <w:p w14:paraId="58CB262F">
      <w:pPr>
        <w:adjustRightInd w:val="0"/>
        <w:snapToGrid w:val="0"/>
        <w:spacing w:before="100" w:after="50" w:line="360" w:lineRule="atLeast"/>
        <w:ind w:firstLine="431" w:firstLineChars="196"/>
        <w:rPr>
          <w:rFonts w:ascii="宋体" w:hAnsi="宋体" w:cs="Arial"/>
          <w:color w:val="auto"/>
          <w:sz w:val="22"/>
          <w:szCs w:val="22"/>
          <w:highlight w:val="none"/>
        </w:rPr>
      </w:pPr>
    </w:p>
    <w:p w14:paraId="0F4CA4AF">
      <w:pPr>
        <w:rPr>
          <w:color w:val="auto"/>
          <w:szCs w:val="20"/>
          <w:highlight w:val="none"/>
        </w:rPr>
      </w:pPr>
    </w:p>
    <w:sectPr>
      <w:footerReference r:id="rId8" w:type="first"/>
      <w:headerReference r:id="rId5" w:type="default"/>
      <w:footerReference r:id="rId6" w:type="default"/>
      <w:footerReference r:id="rId7" w:type="even"/>
      <w:pgSz w:w="11907" w:h="16840"/>
      <w:pgMar w:top="1440" w:right="924" w:bottom="1440" w:left="115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F95F">
    <w:pPr>
      <w:pStyle w:val="30"/>
      <w:spacing w:before="240" w:after="240"/>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FB25">
    <w:pPr>
      <w:pStyle w:val="30"/>
      <w:framePr w:wrap="around" w:vAnchor="text" w:hAnchor="margin" w:xAlign="center" w:y="1"/>
      <w:rPr>
        <w:rStyle w:val="50"/>
        <w:rFonts w:ascii="宋体" w:hAnsi="宋体"/>
      </w:rPr>
    </w:pPr>
    <w:r>
      <w:rPr>
        <w:rFonts w:ascii="宋体" w:hAnsi="宋体"/>
      </w:rPr>
      <w:fldChar w:fldCharType="begin"/>
    </w:r>
    <w:r>
      <w:rPr>
        <w:rStyle w:val="50"/>
        <w:rFonts w:ascii="宋体" w:hAnsi="宋体"/>
      </w:rPr>
      <w:instrText xml:space="preserve">PAGE  </w:instrText>
    </w:r>
    <w:r>
      <w:rPr>
        <w:rFonts w:ascii="宋体" w:hAnsi="宋体"/>
      </w:rPr>
      <w:fldChar w:fldCharType="separate"/>
    </w:r>
    <w:r>
      <w:rPr>
        <w:rStyle w:val="50"/>
        <w:rFonts w:ascii="宋体" w:hAnsi="宋体"/>
      </w:rPr>
      <w:t>113</w:t>
    </w:r>
    <w:r>
      <w:rPr>
        <w:rFonts w:ascii="宋体" w:hAnsi="宋体"/>
      </w:rPr>
      <w:fldChar w:fldCharType="end"/>
    </w:r>
  </w:p>
  <w:p w14:paraId="536ECF03">
    <w:pPr>
      <w:pStyle w:val="30"/>
      <w:jc w:val="both"/>
      <w:rPr>
        <w:rFonts w:ascii="宋体" w:hAnsi="宋体"/>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mHNT1QAAAAgBAAAPAAAAAAAAAAEAIAAAACIAAABkcnMvZG93bnJldi54bWxQSwECFAAU&#10;AAAACACHTuJAuVJujfQBAADzAwAADgAAAAAAAAABACAAAAAkAQAAZHJzL2Uyb0RvYy54bWxQSwUG&#10;AAAAAAYABgBZAQAAigUAAAAA&#10;">
              <v:fill on="f" focussize="0,0"/>
              <v:stroke color="#000000" joinstyle="round"/>
              <v:imagedata o:title=""/>
              <o:lock v:ext="edit" aspectratio="f"/>
            </v:line>
          </w:pict>
        </mc:Fallback>
      </mc:AlternateContent>
    </w:r>
    <w:r>
      <w:rPr>
        <w:rFonts w:hint="eastAsia"/>
      </w:rPr>
      <w:t xml:space="preserve">                                                     </w:t>
    </w:r>
    <w:r>
      <w:rPr>
        <w:rFonts w:hint="eastAsia" w:ascii="宋体" w:hAnsi="宋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95EE">
    <w:pPr>
      <w:pStyle w:val="30"/>
      <w:framePr w:wrap="around" w:vAnchor="text" w:hAnchor="margin" w:xAlign="center" w:y="1"/>
      <w:rPr>
        <w:rStyle w:val="50"/>
      </w:rPr>
    </w:pPr>
    <w:r>
      <w:fldChar w:fldCharType="begin"/>
    </w:r>
    <w:r>
      <w:rPr>
        <w:rStyle w:val="50"/>
      </w:rPr>
      <w:instrText xml:space="preserve">PAGE  </w:instrText>
    </w:r>
    <w:r>
      <w:fldChar w:fldCharType="end"/>
    </w:r>
  </w:p>
  <w:p w14:paraId="67684238">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D105">
    <w:pPr>
      <w:pStyle w:val="30"/>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EAF7A">
    <w:pPr>
      <w:pStyle w:val="31"/>
      <w:jc w:val="left"/>
      <w:rPr>
        <w:rFonts w:ascii="宋体" w:hAnsi="宋体"/>
      </w:rPr>
    </w:pPr>
    <w:r>
      <w:rPr>
        <w:rFonts w:ascii="宋体" w:hAnsi="宋体"/>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5B090">
    <w:pPr>
      <w:pStyle w:val="31"/>
      <w:jc w:val="both"/>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04A81"/>
    <w:multiLevelType w:val="singleLevel"/>
    <w:tmpl w:val="E1504A81"/>
    <w:lvl w:ilvl="0" w:tentative="0">
      <w:start w:val="1"/>
      <w:numFmt w:val="decimal"/>
      <w:suff w:val="nothing"/>
      <w:lvlText w:val="%1）"/>
      <w:lvlJc w:val="left"/>
    </w:lvl>
  </w:abstractNum>
  <w:abstractNum w:abstractNumId="1">
    <w:nsid w:val="00000014"/>
    <w:multiLevelType w:val="multilevel"/>
    <w:tmpl w:val="00000014"/>
    <w:lvl w:ilvl="0" w:tentative="0">
      <w:start w:val="1"/>
      <w:numFmt w:val="lowerLetter"/>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3B0C05AB"/>
    <w:multiLevelType w:val="multilevel"/>
    <w:tmpl w:val="3B0C05AB"/>
    <w:lvl w:ilvl="0" w:tentative="0">
      <w:start w:val="1"/>
      <w:numFmt w:val="none"/>
      <w:lvlText w:val="一、"/>
      <w:lvlJc w:val="left"/>
      <w:pPr>
        <w:ind w:left="840" w:hanging="48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NDc1OTM3ZjRjYjY2MzM2NzhjZTc4MWNlYzM4YzYifQ=="/>
  </w:docVars>
  <w:rsids>
    <w:rsidRoot w:val="000C44DD"/>
    <w:rsid w:val="000002D7"/>
    <w:rsid w:val="000003B1"/>
    <w:rsid w:val="00000471"/>
    <w:rsid w:val="00000C48"/>
    <w:rsid w:val="000010E4"/>
    <w:rsid w:val="0000134D"/>
    <w:rsid w:val="00001EEF"/>
    <w:rsid w:val="00002FE4"/>
    <w:rsid w:val="00003A64"/>
    <w:rsid w:val="00004B15"/>
    <w:rsid w:val="00004D26"/>
    <w:rsid w:val="000051FA"/>
    <w:rsid w:val="00006BF0"/>
    <w:rsid w:val="0000754C"/>
    <w:rsid w:val="0000784A"/>
    <w:rsid w:val="000078F8"/>
    <w:rsid w:val="0001058B"/>
    <w:rsid w:val="000109CB"/>
    <w:rsid w:val="00010A6E"/>
    <w:rsid w:val="0001273A"/>
    <w:rsid w:val="00012E40"/>
    <w:rsid w:val="00012E72"/>
    <w:rsid w:val="00013CA4"/>
    <w:rsid w:val="00013D4A"/>
    <w:rsid w:val="000142CB"/>
    <w:rsid w:val="00014608"/>
    <w:rsid w:val="000157E5"/>
    <w:rsid w:val="000158D1"/>
    <w:rsid w:val="00015A68"/>
    <w:rsid w:val="00015BAC"/>
    <w:rsid w:val="000161B6"/>
    <w:rsid w:val="00016639"/>
    <w:rsid w:val="00016FCC"/>
    <w:rsid w:val="0001742E"/>
    <w:rsid w:val="000178DD"/>
    <w:rsid w:val="000221C8"/>
    <w:rsid w:val="000231B3"/>
    <w:rsid w:val="000237E1"/>
    <w:rsid w:val="000242C5"/>
    <w:rsid w:val="0002592B"/>
    <w:rsid w:val="00025C73"/>
    <w:rsid w:val="00026E26"/>
    <w:rsid w:val="00026EFA"/>
    <w:rsid w:val="0002784A"/>
    <w:rsid w:val="0003010B"/>
    <w:rsid w:val="00030511"/>
    <w:rsid w:val="00031282"/>
    <w:rsid w:val="000323BD"/>
    <w:rsid w:val="00032E39"/>
    <w:rsid w:val="00034186"/>
    <w:rsid w:val="000345CC"/>
    <w:rsid w:val="00034B54"/>
    <w:rsid w:val="000362E9"/>
    <w:rsid w:val="0003663D"/>
    <w:rsid w:val="000367D8"/>
    <w:rsid w:val="000374D7"/>
    <w:rsid w:val="00037BB6"/>
    <w:rsid w:val="00040CC1"/>
    <w:rsid w:val="0004138A"/>
    <w:rsid w:val="00042220"/>
    <w:rsid w:val="00042486"/>
    <w:rsid w:val="0004254A"/>
    <w:rsid w:val="000429C8"/>
    <w:rsid w:val="00042AAC"/>
    <w:rsid w:val="00042EF3"/>
    <w:rsid w:val="00043801"/>
    <w:rsid w:val="00043EC9"/>
    <w:rsid w:val="00043F7F"/>
    <w:rsid w:val="00044E17"/>
    <w:rsid w:val="00045362"/>
    <w:rsid w:val="0004595C"/>
    <w:rsid w:val="00046F00"/>
    <w:rsid w:val="000473FA"/>
    <w:rsid w:val="00051E33"/>
    <w:rsid w:val="00051FBE"/>
    <w:rsid w:val="000524F7"/>
    <w:rsid w:val="00052A01"/>
    <w:rsid w:val="00052F6C"/>
    <w:rsid w:val="00053166"/>
    <w:rsid w:val="000541CD"/>
    <w:rsid w:val="000542BF"/>
    <w:rsid w:val="00054E58"/>
    <w:rsid w:val="00054E9C"/>
    <w:rsid w:val="00055CE5"/>
    <w:rsid w:val="0005680C"/>
    <w:rsid w:val="000569B5"/>
    <w:rsid w:val="000579AE"/>
    <w:rsid w:val="000601D1"/>
    <w:rsid w:val="00060B24"/>
    <w:rsid w:val="0006121B"/>
    <w:rsid w:val="00061393"/>
    <w:rsid w:val="00061FD8"/>
    <w:rsid w:val="00062415"/>
    <w:rsid w:val="0006285A"/>
    <w:rsid w:val="00062E44"/>
    <w:rsid w:val="000649F7"/>
    <w:rsid w:val="00065DBA"/>
    <w:rsid w:val="000677C1"/>
    <w:rsid w:val="00067869"/>
    <w:rsid w:val="00071460"/>
    <w:rsid w:val="00071C1E"/>
    <w:rsid w:val="000726D6"/>
    <w:rsid w:val="0007286B"/>
    <w:rsid w:val="00073264"/>
    <w:rsid w:val="0007340C"/>
    <w:rsid w:val="000735C8"/>
    <w:rsid w:val="0007449C"/>
    <w:rsid w:val="0007616C"/>
    <w:rsid w:val="0007707C"/>
    <w:rsid w:val="00077A52"/>
    <w:rsid w:val="00077BD5"/>
    <w:rsid w:val="00080110"/>
    <w:rsid w:val="0008078C"/>
    <w:rsid w:val="0008142C"/>
    <w:rsid w:val="00081B79"/>
    <w:rsid w:val="0008382C"/>
    <w:rsid w:val="00084D60"/>
    <w:rsid w:val="000864E9"/>
    <w:rsid w:val="00086A41"/>
    <w:rsid w:val="000877E6"/>
    <w:rsid w:val="0009013E"/>
    <w:rsid w:val="000909FD"/>
    <w:rsid w:val="000910D4"/>
    <w:rsid w:val="00092D7F"/>
    <w:rsid w:val="00092DA2"/>
    <w:rsid w:val="00094080"/>
    <w:rsid w:val="000944EA"/>
    <w:rsid w:val="000946EA"/>
    <w:rsid w:val="000947B5"/>
    <w:rsid w:val="00096269"/>
    <w:rsid w:val="000A03CB"/>
    <w:rsid w:val="000A1758"/>
    <w:rsid w:val="000A2B3C"/>
    <w:rsid w:val="000A321B"/>
    <w:rsid w:val="000A4AAC"/>
    <w:rsid w:val="000A4B47"/>
    <w:rsid w:val="000A4ED2"/>
    <w:rsid w:val="000A5C1D"/>
    <w:rsid w:val="000A6426"/>
    <w:rsid w:val="000A69DC"/>
    <w:rsid w:val="000A6D17"/>
    <w:rsid w:val="000A7286"/>
    <w:rsid w:val="000B1E32"/>
    <w:rsid w:val="000B2D79"/>
    <w:rsid w:val="000B3FB5"/>
    <w:rsid w:val="000B4496"/>
    <w:rsid w:val="000B4E0F"/>
    <w:rsid w:val="000B524E"/>
    <w:rsid w:val="000B5607"/>
    <w:rsid w:val="000B5E91"/>
    <w:rsid w:val="000B6A85"/>
    <w:rsid w:val="000B7D96"/>
    <w:rsid w:val="000C0E1D"/>
    <w:rsid w:val="000C230E"/>
    <w:rsid w:val="000C299B"/>
    <w:rsid w:val="000C3F56"/>
    <w:rsid w:val="000C44DD"/>
    <w:rsid w:val="000C55A9"/>
    <w:rsid w:val="000C6D1A"/>
    <w:rsid w:val="000C7229"/>
    <w:rsid w:val="000D04A8"/>
    <w:rsid w:val="000D0AE6"/>
    <w:rsid w:val="000D29FD"/>
    <w:rsid w:val="000D316E"/>
    <w:rsid w:val="000D4DDB"/>
    <w:rsid w:val="000D59E2"/>
    <w:rsid w:val="000D5A02"/>
    <w:rsid w:val="000D5BAF"/>
    <w:rsid w:val="000D5CA5"/>
    <w:rsid w:val="000D5DB7"/>
    <w:rsid w:val="000D5F2A"/>
    <w:rsid w:val="000D6164"/>
    <w:rsid w:val="000D7339"/>
    <w:rsid w:val="000D7759"/>
    <w:rsid w:val="000E22C0"/>
    <w:rsid w:val="000E2972"/>
    <w:rsid w:val="000E399C"/>
    <w:rsid w:val="000E484B"/>
    <w:rsid w:val="000E4C0D"/>
    <w:rsid w:val="000E542C"/>
    <w:rsid w:val="000E610D"/>
    <w:rsid w:val="000E6168"/>
    <w:rsid w:val="000E7769"/>
    <w:rsid w:val="000F0139"/>
    <w:rsid w:val="000F0779"/>
    <w:rsid w:val="000F187E"/>
    <w:rsid w:val="000F1889"/>
    <w:rsid w:val="000F249B"/>
    <w:rsid w:val="000F2546"/>
    <w:rsid w:val="000F6372"/>
    <w:rsid w:val="000F70CF"/>
    <w:rsid w:val="000F780A"/>
    <w:rsid w:val="000F7AD2"/>
    <w:rsid w:val="001006C3"/>
    <w:rsid w:val="00100B91"/>
    <w:rsid w:val="00101367"/>
    <w:rsid w:val="00101C9A"/>
    <w:rsid w:val="00101F79"/>
    <w:rsid w:val="00102FB5"/>
    <w:rsid w:val="0010376C"/>
    <w:rsid w:val="0010494D"/>
    <w:rsid w:val="001051EF"/>
    <w:rsid w:val="00105B79"/>
    <w:rsid w:val="0010691F"/>
    <w:rsid w:val="00107291"/>
    <w:rsid w:val="00107651"/>
    <w:rsid w:val="00110131"/>
    <w:rsid w:val="001110A3"/>
    <w:rsid w:val="0011190E"/>
    <w:rsid w:val="00111BB9"/>
    <w:rsid w:val="00112739"/>
    <w:rsid w:val="00112798"/>
    <w:rsid w:val="00112908"/>
    <w:rsid w:val="00112BE1"/>
    <w:rsid w:val="00112FC4"/>
    <w:rsid w:val="00113081"/>
    <w:rsid w:val="001145D2"/>
    <w:rsid w:val="00114A56"/>
    <w:rsid w:val="00115B26"/>
    <w:rsid w:val="00116F51"/>
    <w:rsid w:val="0012196B"/>
    <w:rsid w:val="00121A12"/>
    <w:rsid w:val="001223B3"/>
    <w:rsid w:val="001243DC"/>
    <w:rsid w:val="001244BB"/>
    <w:rsid w:val="00125270"/>
    <w:rsid w:val="001259E8"/>
    <w:rsid w:val="00126ACF"/>
    <w:rsid w:val="001274B2"/>
    <w:rsid w:val="00130339"/>
    <w:rsid w:val="001313B2"/>
    <w:rsid w:val="00132896"/>
    <w:rsid w:val="001332BF"/>
    <w:rsid w:val="00133761"/>
    <w:rsid w:val="0013558F"/>
    <w:rsid w:val="00136762"/>
    <w:rsid w:val="00136A04"/>
    <w:rsid w:val="00137782"/>
    <w:rsid w:val="001412C6"/>
    <w:rsid w:val="0014197D"/>
    <w:rsid w:val="00141E6F"/>
    <w:rsid w:val="001421D0"/>
    <w:rsid w:val="00143B1B"/>
    <w:rsid w:val="00143B51"/>
    <w:rsid w:val="001448F7"/>
    <w:rsid w:val="00145848"/>
    <w:rsid w:val="00145C5D"/>
    <w:rsid w:val="0014752A"/>
    <w:rsid w:val="00147826"/>
    <w:rsid w:val="00147E71"/>
    <w:rsid w:val="0015014A"/>
    <w:rsid w:val="00152C41"/>
    <w:rsid w:val="001540BE"/>
    <w:rsid w:val="001542DD"/>
    <w:rsid w:val="00154982"/>
    <w:rsid w:val="001560C8"/>
    <w:rsid w:val="00156484"/>
    <w:rsid w:val="0015683D"/>
    <w:rsid w:val="00157E3D"/>
    <w:rsid w:val="001609F5"/>
    <w:rsid w:val="00161475"/>
    <w:rsid w:val="001652BF"/>
    <w:rsid w:val="00165D54"/>
    <w:rsid w:val="00166C00"/>
    <w:rsid w:val="00166D4D"/>
    <w:rsid w:val="00167413"/>
    <w:rsid w:val="001678BE"/>
    <w:rsid w:val="00167B15"/>
    <w:rsid w:val="0017049C"/>
    <w:rsid w:val="00172497"/>
    <w:rsid w:val="00172CC6"/>
    <w:rsid w:val="0017397B"/>
    <w:rsid w:val="00173A30"/>
    <w:rsid w:val="001746FD"/>
    <w:rsid w:val="00174A98"/>
    <w:rsid w:val="00174B6F"/>
    <w:rsid w:val="00175BD1"/>
    <w:rsid w:val="00175E8B"/>
    <w:rsid w:val="0017639B"/>
    <w:rsid w:val="001764D0"/>
    <w:rsid w:val="00176B7F"/>
    <w:rsid w:val="00176C15"/>
    <w:rsid w:val="00176E0E"/>
    <w:rsid w:val="0017706F"/>
    <w:rsid w:val="00177CB0"/>
    <w:rsid w:val="0018010F"/>
    <w:rsid w:val="00180589"/>
    <w:rsid w:val="001807D3"/>
    <w:rsid w:val="001808C8"/>
    <w:rsid w:val="001812B2"/>
    <w:rsid w:val="00181816"/>
    <w:rsid w:val="00182983"/>
    <w:rsid w:val="00183575"/>
    <w:rsid w:val="00183E52"/>
    <w:rsid w:val="0018415F"/>
    <w:rsid w:val="00185DEA"/>
    <w:rsid w:val="001875F9"/>
    <w:rsid w:val="001879AE"/>
    <w:rsid w:val="00187BFC"/>
    <w:rsid w:val="00190037"/>
    <w:rsid w:val="001903A7"/>
    <w:rsid w:val="0019043A"/>
    <w:rsid w:val="00190A4A"/>
    <w:rsid w:val="00190DB4"/>
    <w:rsid w:val="00190E31"/>
    <w:rsid w:val="001921BC"/>
    <w:rsid w:val="00193504"/>
    <w:rsid w:val="0019366E"/>
    <w:rsid w:val="00193AED"/>
    <w:rsid w:val="00193C48"/>
    <w:rsid w:val="00193DD5"/>
    <w:rsid w:val="001942EA"/>
    <w:rsid w:val="001956EB"/>
    <w:rsid w:val="00196101"/>
    <w:rsid w:val="001979C1"/>
    <w:rsid w:val="001A0309"/>
    <w:rsid w:val="001A16A0"/>
    <w:rsid w:val="001A3963"/>
    <w:rsid w:val="001A398D"/>
    <w:rsid w:val="001A3F7F"/>
    <w:rsid w:val="001A40F0"/>
    <w:rsid w:val="001A4F02"/>
    <w:rsid w:val="001A73A5"/>
    <w:rsid w:val="001B0D34"/>
    <w:rsid w:val="001B137D"/>
    <w:rsid w:val="001B16D1"/>
    <w:rsid w:val="001B1B22"/>
    <w:rsid w:val="001B1ECF"/>
    <w:rsid w:val="001B2881"/>
    <w:rsid w:val="001B2961"/>
    <w:rsid w:val="001B2C14"/>
    <w:rsid w:val="001B6683"/>
    <w:rsid w:val="001B7A4F"/>
    <w:rsid w:val="001C06A6"/>
    <w:rsid w:val="001C0914"/>
    <w:rsid w:val="001C0BCE"/>
    <w:rsid w:val="001C14EA"/>
    <w:rsid w:val="001C1567"/>
    <w:rsid w:val="001C2145"/>
    <w:rsid w:val="001C2952"/>
    <w:rsid w:val="001C3B22"/>
    <w:rsid w:val="001C518B"/>
    <w:rsid w:val="001C5AFC"/>
    <w:rsid w:val="001C6138"/>
    <w:rsid w:val="001D0C9B"/>
    <w:rsid w:val="001D1D7E"/>
    <w:rsid w:val="001D2B81"/>
    <w:rsid w:val="001D3B02"/>
    <w:rsid w:val="001D4670"/>
    <w:rsid w:val="001D4855"/>
    <w:rsid w:val="001D4D54"/>
    <w:rsid w:val="001D5065"/>
    <w:rsid w:val="001D51C0"/>
    <w:rsid w:val="001D525D"/>
    <w:rsid w:val="001D6375"/>
    <w:rsid w:val="001D6B8C"/>
    <w:rsid w:val="001D75EA"/>
    <w:rsid w:val="001D7933"/>
    <w:rsid w:val="001D7B96"/>
    <w:rsid w:val="001E0748"/>
    <w:rsid w:val="001E0863"/>
    <w:rsid w:val="001E1591"/>
    <w:rsid w:val="001E19F2"/>
    <w:rsid w:val="001E1CE1"/>
    <w:rsid w:val="001E2F8A"/>
    <w:rsid w:val="001E3272"/>
    <w:rsid w:val="001E3E34"/>
    <w:rsid w:val="001E4986"/>
    <w:rsid w:val="001E4AAB"/>
    <w:rsid w:val="001E6264"/>
    <w:rsid w:val="001E63C7"/>
    <w:rsid w:val="001E7E03"/>
    <w:rsid w:val="001F0785"/>
    <w:rsid w:val="001F1042"/>
    <w:rsid w:val="001F26E5"/>
    <w:rsid w:val="001F32AF"/>
    <w:rsid w:val="001F5369"/>
    <w:rsid w:val="001F698E"/>
    <w:rsid w:val="001F7898"/>
    <w:rsid w:val="0020097A"/>
    <w:rsid w:val="00201FA9"/>
    <w:rsid w:val="00201FAF"/>
    <w:rsid w:val="00202CB8"/>
    <w:rsid w:val="0020301D"/>
    <w:rsid w:val="00203464"/>
    <w:rsid w:val="002043E1"/>
    <w:rsid w:val="00205862"/>
    <w:rsid w:val="00206C1D"/>
    <w:rsid w:val="00207DF8"/>
    <w:rsid w:val="002110CC"/>
    <w:rsid w:val="00211727"/>
    <w:rsid w:val="0021273B"/>
    <w:rsid w:val="00212823"/>
    <w:rsid w:val="002146D3"/>
    <w:rsid w:val="002153DC"/>
    <w:rsid w:val="00215E9C"/>
    <w:rsid w:val="00215EF8"/>
    <w:rsid w:val="00216239"/>
    <w:rsid w:val="0021659E"/>
    <w:rsid w:val="002169E0"/>
    <w:rsid w:val="00220671"/>
    <w:rsid w:val="0022133A"/>
    <w:rsid w:val="00222661"/>
    <w:rsid w:val="00222FC4"/>
    <w:rsid w:val="00224B0B"/>
    <w:rsid w:val="00225B44"/>
    <w:rsid w:val="002260A0"/>
    <w:rsid w:val="0022691E"/>
    <w:rsid w:val="00226B1F"/>
    <w:rsid w:val="00226FB9"/>
    <w:rsid w:val="0022789E"/>
    <w:rsid w:val="002307A0"/>
    <w:rsid w:val="00230E8A"/>
    <w:rsid w:val="00231B8A"/>
    <w:rsid w:val="00231F97"/>
    <w:rsid w:val="00232136"/>
    <w:rsid w:val="00232744"/>
    <w:rsid w:val="002330DA"/>
    <w:rsid w:val="00233E6A"/>
    <w:rsid w:val="00236175"/>
    <w:rsid w:val="00236E81"/>
    <w:rsid w:val="00236F96"/>
    <w:rsid w:val="00237B9B"/>
    <w:rsid w:val="00237C38"/>
    <w:rsid w:val="00241EE2"/>
    <w:rsid w:val="002425B7"/>
    <w:rsid w:val="00242903"/>
    <w:rsid w:val="0024313D"/>
    <w:rsid w:val="00243545"/>
    <w:rsid w:val="002449F7"/>
    <w:rsid w:val="00246832"/>
    <w:rsid w:val="00247005"/>
    <w:rsid w:val="00247308"/>
    <w:rsid w:val="0025129A"/>
    <w:rsid w:val="00252E5E"/>
    <w:rsid w:val="00256FBE"/>
    <w:rsid w:val="00257DED"/>
    <w:rsid w:val="002601FA"/>
    <w:rsid w:val="002618AC"/>
    <w:rsid w:val="0026499D"/>
    <w:rsid w:val="00264DA8"/>
    <w:rsid w:val="00265998"/>
    <w:rsid w:val="0026687E"/>
    <w:rsid w:val="002670F1"/>
    <w:rsid w:val="0026787D"/>
    <w:rsid w:val="00267982"/>
    <w:rsid w:val="00270513"/>
    <w:rsid w:val="00272B4B"/>
    <w:rsid w:val="00273113"/>
    <w:rsid w:val="00273857"/>
    <w:rsid w:val="00273B59"/>
    <w:rsid w:val="00273BBB"/>
    <w:rsid w:val="00274870"/>
    <w:rsid w:val="002751B8"/>
    <w:rsid w:val="00275848"/>
    <w:rsid w:val="00275EEE"/>
    <w:rsid w:val="0027607E"/>
    <w:rsid w:val="002764E1"/>
    <w:rsid w:val="00276D72"/>
    <w:rsid w:val="002773CA"/>
    <w:rsid w:val="00280322"/>
    <w:rsid w:val="00280B77"/>
    <w:rsid w:val="00281576"/>
    <w:rsid w:val="002819D7"/>
    <w:rsid w:val="00281A64"/>
    <w:rsid w:val="00282788"/>
    <w:rsid w:val="00282AB9"/>
    <w:rsid w:val="00282F1C"/>
    <w:rsid w:val="00283BDA"/>
    <w:rsid w:val="00284D79"/>
    <w:rsid w:val="00287147"/>
    <w:rsid w:val="00287A33"/>
    <w:rsid w:val="00287E29"/>
    <w:rsid w:val="002903A6"/>
    <w:rsid w:val="00290572"/>
    <w:rsid w:val="00290FED"/>
    <w:rsid w:val="00291F8D"/>
    <w:rsid w:val="00292D97"/>
    <w:rsid w:val="002931ED"/>
    <w:rsid w:val="00293CC6"/>
    <w:rsid w:val="002940A6"/>
    <w:rsid w:val="002940AA"/>
    <w:rsid w:val="00294409"/>
    <w:rsid w:val="002947EC"/>
    <w:rsid w:val="00295BA6"/>
    <w:rsid w:val="002A1300"/>
    <w:rsid w:val="002A16A2"/>
    <w:rsid w:val="002A3966"/>
    <w:rsid w:val="002A494D"/>
    <w:rsid w:val="002A5423"/>
    <w:rsid w:val="002A5BDB"/>
    <w:rsid w:val="002A605E"/>
    <w:rsid w:val="002A6295"/>
    <w:rsid w:val="002A6BEA"/>
    <w:rsid w:val="002A6D42"/>
    <w:rsid w:val="002A6D53"/>
    <w:rsid w:val="002A71AE"/>
    <w:rsid w:val="002A7247"/>
    <w:rsid w:val="002A746E"/>
    <w:rsid w:val="002A7608"/>
    <w:rsid w:val="002A7862"/>
    <w:rsid w:val="002A7F67"/>
    <w:rsid w:val="002B11E8"/>
    <w:rsid w:val="002B13CD"/>
    <w:rsid w:val="002B171F"/>
    <w:rsid w:val="002B1AEB"/>
    <w:rsid w:val="002B1C28"/>
    <w:rsid w:val="002B3659"/>
    <w:rsid w:val="002B3D0B"/>
    <w:rsid w:val="002B573B"/>
    <w:rsid w:val="002B6C5C"/>
    <w:rsid w:val="002C074D"/>
    <w:rsid w:val="002C0ED2"/>
    <w:rsid w:val="002C12C8"/>
    <w:rsid w:val="002C21EC"/>
    <w:rsid w:val="002C3551"/>
    <w:rsid w:val="002C4F09"/>
    <w:rsid w:val="002C5466"/>
    <w:rsid w:val="002C5C6D"/>
    <w:rsid w:val="002C5E18"/>
    <w:rsid w:val="002C62EE"/>
    <w:rsid w:val="002C670F"/>
    <w:rsid w:val="002C6761"/>
    <w:rsid w:val="002C6B6E"/>
    <w:rsid w:val="002C71E0"/>
    <w:rsid w:val="002C779F"/>
    <w:rsid w:val="002D0B8A"/>
    <w:rsid w:val="002D0DE6"/>
    <w:rsid w:val="002D0DF6"/>
    <w:rsid w:val="002D23F4"/>
    <w:rsid w:val="002D2479"/>
    <w:rsid w:val="002D24D4"/>
    <w:rsid w:val="002D2876"/>
    <w:rsid w:val="002D2D16"/>
    <w:rsid w:val="002D2EA7"/>
    <w:rsid w:val="002D3143"/>
    <w:rsid w:val="002D32AF"/>
    <w:rsid w:val="002D423B"/>
    <w:rsid w:val="002D44CC"/>
    <w:rsid w:val="002D4FDB"/>
    <w:rsid w:val="002D5327"/>
    <w:rsid w:val="002D577B"/>
    <w:rsid w:val="002D58B3"/>
    <w:rsid w:val="002D5A96"/>
    <w:rsid w:val="002D6016"/>
    <w:rsid w:val="002D6AFC"/>
    <w:rsid w:val="002D6B37"/>
    <w:rsid w:val="002D6C20"/>
    <w:rsid w:val="002E0345"/>
    <w:rsid w:val="002E05D1"/>
    <w:rsid w:val="002E0E30"/>
    <w:rsid w:val="002E0F9D"/>
    <w:rsid w:val="002E1D6B"/>
    <w:rsid w:val="002E1FCB"/>
    <w:rsid w:val="002E3394"/>
    <w:rsid w:val="002E3A75"/>
    <w:rsid w:val="002E3EB3"/>
    <w:rsid w:val="002E4FB6"/>
    <w:rsid w:val="002E6F89"/>
    <w:rsid w:val="002E734C"/>
    <w:rsid w:val="002F0B5C"/>
    <w:rsid w:val="002F15C3"/>
    <w:rsid w:val="002F1809"/>
    <w:rsid w:val="002F1942"/>
    <w:rsid w:val="002F2946"/>
    <w:rsid w:val="002F2BE9"/>
    <w:rsid w:val="002F5416"/>
    <w:rsid w:val="002F5EE2"/>
    <w:rsid w:val="002F5F29"/>
    <w:rsid w:val="002F619C"/>
    <w:rsid w:val="002F6453"/>
    <w:rsid w:val="002F68ED"/>
    <w:rsid w:val="002F6F88"/>
    <w:rsid w:val="002F7222"/>
    <w:rsid w:val="002F7EC0"/>
    <w:rsid w:val="0030030D"/>
    <w:rsid w:val="00303487"/>
    <w:rsid w:val="00303D46"/>
    <w:rsid w:val="0030423B"/>
    <w:rsid w:val="003053C8"/>
    <w:rsid w:val="00305E41"/>
    <w:rsid w:val="0030604C"/>
    <w:rsid w:val="00306AFB"/>
    <w:rsid w:val="003072D5"/>
    <w:rsid w:val="003075A5"/>
    <w:rsid w:val="00307606"/>
    <w:rsid w:val="00310096"/>
    <w:rsid w:val="00310FDE"/>
    <w:rsid w:val="003114FE"/>
    <w:rsid w:val="00311E9A"/>
    <w:rsid w:val="00312093"/>
    <w:rsid w:val="00312B25"/>
    <w:rsid w:val="0031311A"/>
    <w:rsid w:val="00313DAB"/>
    <w:rsid w:val="00314129"/>
    <w:rsid w:val="00314F04"/>
    <w:rsid w:val="00315D2D"/>
    <w:rsid w:val="0031629E"/>
    <w:rsid w:val="003166C5"/>
    <w:rsid w:val="00316D33"/>
    <w:rsid w:val="0031714B"/>
    <w:rsid w:val="0031775C"/>
    <w:rsid w:val="00322FBD"/>
    <w:rsid w:val="003235BD"/>
    <w:rsid w:val="00323D3A"/>
    <w:rsid w:val="00324025"/>
    <w:rsid w:val="00324BE7"/>
    <w:rsid w:val="00330106"/>
    <w:rsid w:val="00330EE6"/>
    <w:rsid w:val="0033131C"/>
    <w:rsid w:val="00331790"/>
    <w:rsid w:val="00332857"/>
    <w:rsid w:val="00332EEC"/>
    <w:rsid w:val="003333D5"/>
    <w:rsid w:val="003338FE"/>
    <w:rsid w:val="00333C9A"/>
    <w:rsid w:val="00334D20"/>
    <w:rsid w:val="00335620"/>
    <w:rsid w:val="00335C83"/>
    <w:rsid w:val="00336BB6"/>
    <w:rsid w:val="003372E5"/>
    <w:rsid w:val="00340388"/>
    <w:rsid w:val="0034050B"/>
    <w:rsid w:val="00340BE0"/>
    <w:rsid w:val="00340FB1"/>
    <w:rsid w:val="0034103C"/>
    <w:rsid w:val="00342755"/>
    <w:rsid w:val="0034276C"/>
    <w:rsid w:val="003428A3"/>
    <w:rsid w:val="003430C6"/>
    <w:rsid w:val="003435A2"/>
    <w:rsid w:val="00343930"/>
    <w:rsid w:val="00344388"/>
    <w:rsid w:val="0034480F"/>
    <w:rsid w:val="0034563E"/>
    <w:rsid w:val="0034576F"/>
    <w:rsid w:val="00346C04"/>
    <w:rsid w:val="003505DC"/>
    <w:rsid w:val="00350949"/>
    <w:rsid w:val="003515E0"/>
    <w:rsid w:val="003524DE"/>
    <w:rsid w:val="00353E97"/>
    <w:rsid w:val="00355A99"/>
    <w:rsid w:val="003562AF"/>
    <w:rsid w:val="00360FB2"/>
    <w:rsid w:val="00365B11"/>
    <w:rsid w:val="00366EA8"/>
    <w:rsid w:val="00367344"/>
    <w:rsid w:val="00367A0A"/>
    <w:rsid w:val="003712C9"/>
    <w:rsid w:val="003713AA"/>
    <w:rsid w:val="00372493"/>
    <w:rsid w:val="00372E49"/>
    <w:rsid w:val="00373C73"/>
    <w:rsid w:val="0037476E"/>
    <w:rsid w:val="003748BB"/>
    <w:rsid w:val="0037517C"/>
    <w:rsid w:val="003759EB"/>
    <w:rsid w:val="00375FFA"/>
    <w:rsid w:val="003760CF"/>
    <w:rsid w:val="003763FE"/>
    <w:rsid w:val="0038002A"/>
    <w:rsid w:val="00380060"/>
    <w:rsid w:val="003823FB"/>
    <w:rsid w:val="0038240A"/>
    <w:rsid w:val="00383A37"/>
    <w:rsid w:val="003848AB"/>
    <w:rsid w:val="003855EE"/>
    <w:rsid w:val="003856A9"/>
    <w:rsid w:val="003865F6"/>
    <w:rsid w:val="00387E47"/>
    <w:rsid w:val="0039004F"/>
    <w:rsid w:val="0039033A"/>
    <w:rsid w:val="0039093A"/>
    <w:rsid w:val="003909D7"/>
    <w:rsid w:val="00391DDB"/>
    <w:rsid w:val="00391FC5"/>
    <w:rsid w:val="003934D1"/>
    <w:rsid w:val="0039409A"/>
    <w:rsid w:val="00396339"/>
    <w:rsid w:val="003966A4"/>
    <w:rsid w:val="00396759"/>
    <w:rsid w:val="003974B7"/>
    <w:rsid w:val="0039783B"/>
    <w:rsid w:val="00397FAD"/>
    <w:rsid w:val="003A0A0C"/>
    <w:rsid w:val="003A0A95"/>
    <w:rsid w:val="003A10E5"/>
    <w:rsid w:val="003A1813"/>
    <w:rsid w:val="003A1CC6"/>
    <w:rsid w:val="003A2318"/>
    <w:rsid w:val="003A253D"/>
    <w:rsid w:val="003A29B0"/>
    <w:rsid w:val="003A2DB7"/>
    <w:rsid w:val="003A434A"/>
    <w:rsid w:val="003A6387"/>
    <w:rsid w:val="003A68E5"/>
    <w:rsid w:val="003A7830"/>
    <w:rsid w:val="003B0A61"/>
    <w:rsid w:val="003B1C0C"/>
    <w:rsid w:val="003B3DC9"/>
    <w:rsid w:val="003B4165"/>
    <w:rsid w:val="003B4FC2"/>
    <w:rsid w:val="003B5CB5"/>
    <w:rsid w:val="003B67CB"/>
    <w:rsid w:val="003B684E"/>
    <w:rsid w:val="003B7197"/>
    <w:rsid w:val="003B7429"/>
    <w:rsid w:val="003C0300"/>
    <w:rsid w:val="003C03C9"/>
    <w:rsid w:val="003C04ED"/>
    <w:rsid w:val="003C197D"/>
    <w:rsid w:val="003C204B"/>
    <w:rsid w:val="003C218B"/>
    <w:rsid w:val="003C222F"/>
    <w:rsid w:val="003C40E3"/>
    <w:rsid w:val="003C42A1"/>
    <w:rsid w:val="003C4A15"/>
    <w:rsid w:val="003C5157"/>
    <w:rsid w:val="003C5A70"/>
    <w:rsid w:val="003C6025"/>
    <w:rsid w:val="003C64CB"/>
    <w:rsid w:val="003C6E8A"/>
    <w:rsid w:val="003C7677"/>
    <w:rsid w:val="003C7B6A"/>
    <w:rsid w:val="003D23A2"/>
    <w:rsid w:val="003D249E"/>
    <w:rsid w:val="003D382E"/>
    <w:rsid w:val="003D3A11"/>
    <w:rsid w:val="003D4E22"/>
    <w:rsid w:val="003D5610"/>
    <w:rsid w:val="003D5714"/>
    <w:rsid w:val="003D6413"/>
    <w:rsid w:val="003D64B3"/>
    <w:rsid w:val="003D6FA3"/>
    <w:rsid w:val="003D7990"/>
    <w:rsid w:val="003E0998"/>
    <w:rsid w:val="003E0E75"/>
    <w:rsid w:val="003E14D5"/>
    <w:rsid w:val="003E2AC9"/>
    <w:rsid w:val="003E2BA7"/>
    <w:rsid w:val="003E2F35"/>
    <w:rsid w:val="003E3493"/>
    <w:rsid w:val="003E382B"/>
    <w:rsid w:val="003E3B66"/>
    <w:rsid w:val="003E3CC0"/>
    <w:rsid w:val="003E3DC5"/>
    <w:rsid w:val="003E43BC"/>
    <w:rsid w:val="003E4611"/>
    <w:rsid w:val="003E4F66"/>
    <w:rsid w:val="003E5584"/>
    <w:rsid w:val="003E7B74"/>
    <w:rsid w:val="003E7BD0"/>
    <w:rsid w:val="003F03DB"/>
    <w:rsid w:val="003F1FAD"/>
    <w:rsid w:val="003F207B"/>
    <w:rsid w:val="003F2577"/>
    <w:rsid w:val="003F2F12"/>
    <w:rsid w:val="003F3FF3"/>
    <w:rsid w:val="003F53AA"/>
    <w:rsid w:val="003F5F41"/>
    <w:rsid w:val="003F727B"/>
    <w:rsid w:val="003F7426"/>
    <w:rsid w:val="003F794D"/>
    <w:rsid w:val="00401DFD"/>
    <w:rsid w:val="00402623"/>
    <w:rsid w:val="00402B1F"/>
    <w:rsid w:val="00402B4A"/>
    <w:rsid w:val="004035BB"/>
    <w:rsid w:val="00403EA6"/>
    <w:rsid w:val="00404036"/>
    <w:rsid w:val="004048BE"/>
    <w:rsid w:val="004056AA"/>
    <w:rsid w:val="0040582E"/>
    <w:rsid w:val="004066FF"/>
    <w:rsid w:val="00406D11"/>
    <w:rsid w:val="00410B3B"/>
    <w:rsid w:val="00411EDC"/>
    <w:rsid w:val="004157B2"/>
    <w:rsid w:val="00415B5F"/>
    <w:rsid w:val="00417521"/>
    <w:rsid w:val="004177B1"/>
    <w:rsid w:val="004214FB"/>
    <w:rsid w:val="00422CA0"/>
    <w:rsid w:val="00423154"/>
    <w:rsid w:val="00423282"/>
    <w:rsid w:val="00425217"/>
    <w:rsid w:val="00425E69"/>
    <w:rsid w:val="004304CC"/>
    <w:rsid w:val="0043141D"/>
    <w:rsid w:val="0043270E"/>
    <w:rsid w:val="00432E9C"/>
    <w:rsid w:val="004332A9"/>
    <w:rsid w:val="0043337A"/>
    <w:rsid w:val="00433ED4"/>
    <w:rsid w:val="00433F53"/>
    <w:rsid w:val="004340F1"/>
    <w:rsid w:val="0043534D"/>
    <w:rsid w:val="0043656C"/>
    <w:rsid w:val="0043656D"/>
    <w:rsid w:val="004371BF"/>
    <w:rsid w:val="00437569"/>
    <w:rsid w:val="004375B0"/>
    <w:rsid w:val="00440D82"/>
    <w:rsid w:val="00441C77"/>
    <w:rsid w:val="00441F3A"/>
    <w:rsid w:val="004429C7"/>
    <w:rsid w:val="00445145"/>
    <w:rsid w:val="00445EC0"/>
    <w:rsid w:val="00445F9C"/>
    <w:rsid w:val="004462CA"/>
    <w:rsid w:val="00446655"/>
    <w:rsid w:val="00446BE2"/>
    <w:rsid w:val="0044726F"/>
    <w:rsid w:val="00447A97"/>
    <w:rsid w:val="00450964"/>
    <w:rsid w:val="00450B3F"/>
    <w:rsid w:val="004518DC"/>
    <w:rsid w:val="00451A25"/>
    <w:rsid w:val="00453CFD"/>
    <w:rsid w:val="00453EF6"/>
    <w:rsid w:val="0045456E"/>
    <w:rsid w:val="004549AC"/>
    <w:rsid w:val="00454A4D"/>
    <w:rsid w:val="00454B83"/>
    <w:rsid w:val="00454CE7"/>
    <w:rsid w:val="0045626E"/>
    <w:rsid w:val="0045769C"/>
    <w:rsid w:val="0046005D"/>
    <w:rsid w:val="00460147"/>
    <w:rsid w:val="00460685"/>
    <w:rsid w:val="00461070"/>
    <w:rsid w:val="00461461"/>
    <w:rsid w:val="00461720"/>
    <w:rsid w:val="004626FC"/>
    <w:rsid w:val="00462D3B"/>
    <w:rsid w:val="00462FC8"/>
    <w:rsid w:val="004637A2"/>
    <w:rsid w:val="00463AED"/>
    <w:rsid w:val="00463B9A"/>
    <w:rsid w:val="00464E32"/>
    <w:rsid w:val="00470AC8"/>
    <w:rsid w:val="00471D19"/>
    <w:rsid w:val="00472D8A"/>
    <w:rsid w:val="00476472"/>
    <w:rsid w:val="00477549"/>
    <w:rsid w:val="004779E5"/>
    <w:rsid w:val="0048046F"/>
    <w:rsid w:val="00480F61"/>
    <w:rsid w:val="0048202A"/>
    <w:rsid w:val="00482472"/>
    <w:rsid w:val="004829F0"/>
    <w:rsid w:val="004852C2"/>
    <w:rsid w:val="004856FF"/>
    <w:rsid w:val="004858F2"/>
    <w:rsid w:val="0048648E"/>
    <w:rsid w:val="0048735C"/>
    <w:rsid w:val="00490AE4"/>
    <w:rsid w:val="00491513"/>
    <w:rsid w:val="00491A01"/>
    <w:rsid w:val="00491C60"/>
    <w:rsid w:val="00491F22"/>
    <w:rsid w:val="0049308C"/>
    <w:rsid w:val="0049338D"/>
    <w:rsid w:val="00493419"/>
    <w:rsid w:val="0049370C"/>
    <w:rsid w:val="004942A5"/>
    <w:rsid w:val="004957EF"/>
    <w:rsid w:val="00495B90"/>
    <w:rsid w:val="00495D92"/>
    <w:rsid w:val="00496F33"/>
    <w:rsid w:val="00497DEB"/>
    <w:rsid w:val="004A03A9"/>
    <w:rsid w:val="004A1432"/>
    <w:rsid w:val="004A1870"/>
    <w:rsid w:val="004A1ACD"/>
    <w:rsid w:val="004A1FA3"/>
    <w:rsid w:val="004A21FA"/>
    <w:rsid w:val="004A253D"/>
    <w:rsid w:val="004A2FA3"/>
    <w:rsid w:val="004A41CD"/>
    <w:rsid w:val="004A42FA"/>
    <w:rsid w:val="004A4D97"/>
    <w:rsid w:val="004A53E9"/>
    <w:rsid w:val="004A6023"/>
    <w:rsid w:val="004A60D4"/>
    <w:rsid w:val="004A662A"/>
    <w:rsid w:val="004A749A"/>
    <w:rsid w:val="004A7C29"/>
    <w:rsid w:val="004B0B8D"/>
    <w:rsid w:val="004B1CA8"/>
    <w:rsid w:val="004B1D35"/>
    <w:rsid w:val="004B36E6"/>
    <w:rsid w:val="004B4E44"/>
    <w:rsid w:val="004B64CD"/>
    <w:rsid w:val="004B7038"/>
    <w:rsid w:val="004C0036"/>
    <w:rsid w:val="004C0986"/>
    <w:rsid w:val="004C0E95"/>
    <w:rsid w:val="004C0F44"/>
    <w:rsid w:val="004C208D"/>
    <w:rsid w:val="004C24EB"/>
    <w:rsid w:val="004C267F"/>
    <w:rsid w:val="004C28CE"/>
    <w:rsid w:val="004C3659"/>
    <w:rsid w:val="004C377E"/>
    <w:rsid w:val="004C3AE9"/>
    <w:rsid w:val="004C3AF0"/>
    <w:rsid w:val="004C4292"/>
    <w:rsid w:val="004C514B"/>
    <w:rsid w:val="004C54AF"/>
    <w:rsid w:val="004C5FF3"/>
    <w:rsid w:val="004C6104"/>
    <w:rsid w:val="004D02F5"/>
    <w:rsid w:val="004D08DC"/>
    <w:rsid w:val="004D17F3"/>
    <w:rsid w:val="004D3084"/>
    <w:rsid w:val="004D3F22"/>
    <w:rsid w:val="004D58BF"/>
    <w:rsid w:val="004D6476"/>
    <w:rsid w:val="004E16C1"/>
    <w:rsid w:val="004E1C3F"/>
    <w:rsid w:val="004E3658"/>
    <w:rsid w:val="004E3D35"/>
    <w:rsid w:val="004E44F2"/>
    <w:rsid w:val="004E4C60"/>
    <w:rsid w:val="004E4F85"/>
    <w:rsid w:val="004E5970"/>
    <w:rsid w:val="004E5B24"/>
    <w:rsid w:val="004E647D"/>
    <w:rsid w:val="004E6C77"/>
    <w:rsid w:val="004E7F42"/>
    <w:rsid w:val="004F08F7"/>
    <w:rsid w:val="004F20FF"/>
    <w:rsid w:val="004F3457"/>
    <w:rsid w:val="004F34D9"/>
    <w:rsid w:val="004F374F"/>
    <w:rsid w:val="004F6CAF"/>
    <w:rsid w:val="004F6E1E"/>
    <w:rsid w:val="004F7424"/>
    <w:rsid w:val="00500376"/>
    <w:rsid w:val="00501B4D"/>
    <w:rsid w:val="00501ECF"/>
    <w:rsid w:val="0050215D"/>
    <w:rsid w:val="00502283"/>
    <w:rsid w:val="00502A55"/>
    <w:rsid w:val="00503030"/>
    <w:rsid w:val="005049EF"/>
    <w:rsid w:val="00504C1C"/>
    <w:rsid w:val="005050EF"/>
    <w:rsid w:val="005076C8"/>
    <w:rsid w:val="00513F34"/>
    <w:rsid w:val="005158E8"/>
    <w:rsid w:val="00515E77"/>
    <w:rsid w:val="00516093"/>
    <w:rsid w:val="0051614E"/>
    <w:rsid w:val="00516554"/>
    <w:rsid w:val="005167E4"/>
    <w:rsid w:val="00516AB2"/>
    <w:rsid w:val="00516FAA"/>
    <w:rsid w:val="00517013"/>
    <w:rsid w:val="0051710F"/>
    <w:rsid w:val="005172B7"/>
    <w:rsid w:val="0051741F"/>
    <w:rsid w:val="005209CA"/>
    <w:rsid w:val="00522356"/>
    <w:rsid w:val="0052266C"/>
    <w:rsid w:val="005231CD"/>
    <w:rsid w:val="00523484"/>
    <w:rsid w:val="00523A2A"/>
    <w:rsid w:val="005240CC"/>
    <w:rsid w:val="005243D3"/>
    <w:rsid w:val="005257A5"/>
    <w:rsid w:val="00526B56"/>
    <w:rsid w:val="0052714B"/>
    <w:rsid w:val="0052731D"/>
    <w:rsid w:val="00527843"/>
    <w:rsid w:val="00532D1D"/>
    <w:rsid w:val="00534DEE"/>
    <w:rsid w:val="00535BE6"/>
    <w:rsid w:val="00535EE8"/>
    <w:rsid w:val="00537001"/>
    <w:rsid w:val="00541926"/>
    <w:rsid w:val="00541C00"/>
    <w:rsid w:val="005441AB"/>
    <w:rsid w:val="005443D8"/>
    <w:rsid w:val="005454D2"/>
    <w:rsid w:val="00545A8F"/>
    <w:rsid w:val="00546A3B"/>
    <w:rsid w:val="00547647"/>
    <w:rsid w:val="00547B16"/>
    <w:rsid w:val="005502D7"/>
    <w:rsid w:val="0055095B"/>
    <w:rsid w:val="0055202E"/>
    <w:rsid w:val="00552220"/>
    <w:rsid w:val="0055307B"/>
    <w:rsid w:val="005535A8"/>
    <w:rsid w:val="00553D0B"/>
    <w:rsid w:val="0055458B"/>
    <w:rsid w:val="00554EE3"/>
    <w:rsid w:val="00555024"/>
    <w:rsid w:val="00555516"/>
    <w:rsid w:val="005563FB"/>
    <w:rsid w:val="00556E09"/>
    <w:rsid w:val="00557A92"/>
    <w:rsid w:val="005605BD"/>
    <w:rsid w:val="00560A71"/>
    <w:rsid w:val="0056131E"/>
    <w:rsid w:val="00561F90"/>
    <w:rsid w:val="00562A0F"/>
    <w:rsid w:val="00562E20"/>
    <w:rsid w:val="005652D9"/>
    <w:rsid w:val="005662B3"/>
    <w:rsid w:val="00566B28"/>
    <w:rsid w:val="005676C3"/>
    <w:rsid w:val="005703C2"/>
    <w:rsid w:val="00570705"/>
    <w:rsid w:val="00570E5B"/>
    <w:rsid w:val="00571D53"/>
    <w:rsid w:val="0057246D"/>
    <w:rsid w:val="0057301B"/>
    <w:rsid w:val="00573821"/>
    <w:rsid w:val="00573B3F"/>
    <w:rsid w:val="00573C8A"/>
    <w:rsid w:val="00573D31"/>
    <w:rsid w:val="00573F17"/>
    <w:rsid w:val="00574422"/>
    <w:rsid w:val="005746F8"/>
    <w:rsid w:val="005747D6"/>
    <w:rsid w:val="00574B3E"/>
    <w:rsid w:val="00575975"/>
    <w:rsid w:val="005767CF"/>
    <w:rsid w:val="00576D1C"/>
    <w:rsid w:val="00576FC0"/>
    <w:rsid w:val="00577F44"/>
    <w:rsid w:val="00580919"/>
    <w:rsid w:val="00580CF2"/>
    <w:rsid w:val="00580E82"/>
    <w:rsid w:val="00581EEF"/>
    <w:rsid w:val="005828A9"/>
    <w:rsid w:val="00582A4C"/>
    <w:rsid w:val="0058344B"/>
    <w:rsid w:val="0058477C"/>
    <w:rsid w:val="00584B3F"/>
    <w:rsid w:val="00584E2F"/>
    <w:rsid w:val="005855A0"/>
    <w:rsid w:val="00585C6F"/>
    <w:rsid w:val="0058670C"/>
    <w:rsid w:val="005867FE"/>
    <w:rsid w:val="0058688C"/>
    <w:rsid w:val="005916A4"/>
    <w:rsid w:val="00592013"/>
    <w:rsid w:val="0059286F"/>
    <w:rsid w:val="00592C99"/>
    <w:rsid w:val="00594147"/>
    <w:rsid w:val="00596880"/>
    <w:rsid w:val="00596AF2"/>
    <w:rsid w:val="00596B0B"/>
    <w:rsid w:val="005A06A0"/>
    <w:rsid w:val="005A104E"/>
    <w:rsid w:val="005A1F42"/>
    <w:rsid w:val="005A21E6"/>
    <w:rsid w:val="005A46E8"/>
    <w:rsid w:val="005A4AD6"/>
    <w:rsid w:val="005A5E14"/>
    <w:rsid w:val="005A6757"/>
    <w:rsid w:val="005A6B66"/>
    <w:rsid w:val="005A6CB8"/>
    <w:rsid w:val="005A6CE1"/>
    <w:rsid w:val="005B27F5"/>
    <w:rsid w:val="005B2855"/>
    <w:rsid w:val="005B2FCE"/>
    <w:rsid w:val="005B32CF"/>
    <w:rsid w:val="005B3394"/>
    <w:rsid w:val="005B45B3"/>
    <w:rsid w:val="005B4CFB"/>
    <w:rsid w:val="005B7449"/>
    <w:rsid w:val="005B7E2E"/>
    <w:rsid w:val="005C07F4"/>
    <w:rsid w:val="005C13D0"/>
    <w:rsid w:val="005C355A"/>
    <w:rsid w:val="005C40AB"/>
    <w:rsid w:val="005C4C07"/>
    <w:rsid w:val="005C54BB"/>
    <w:rsid w:val="005C5D52"/>
    <w:rsid w:val="005C5FB9"/>
    <w:rsid w:val="005C6347"/>
    <w:rsid w:val="005D23BA"/>
    <w:rsid w:val="005D2909"/>
    <w:rsid w:val="005D393F"/>
    <w:rsid w:val="005D4624"/>
    <w:rsid w:val="005D4CE2"/>
    <w:rsid w:val="005D5073"/>
    <w:rsid w:val="005D5379"/>
    <w:rsid w:val="005D5784"/>
    <w:rsid w:val="005D5E92"/>
    <w:rsid w:val="005D609A"/>
    <w:rsid w:val="005D6281"/>
    <w:rsid w:val="005D7880"/>
    <w:rsid w:val="005E12F9"/>
    <w:rsid w:val="005E15DE"/>
    <w:rsid w:val="005E1946"/>
    <w:rsid w:val="005E1E78"/>
    <w:rsid w:val="005E211C"/>
    <w:rsid w:val="005E2BAB"/>
    <w:rsid w:val="005E3C43"/>
    <w:rsid w:val="005E4483"/>
    <w:rsid w:val="005E489B"/>
    <w:rsid w:val="005E5F7B"/>
    <w:rsid w:val="005E62C1"/>
    <w:rsid w:val="005E65E3"/>
    <w:rsid w:val="005E6BD3"/>
    <w:rsid w:val="005E6C55"/>
    <w:rsid w:val="005F0CC5"/>
    <w:rsid w:val="005F18AA"/>
    <w:rsid w:val="005F2797"/>
    <w:rsid w:val="005F2E98"/>
    <w:rsid w:val="005F3AD1"/>
    <w:rsid w:val="005F4169"/>
    <w:rsid w:val="005F542A"/>
    <w:rsid w:val="005F5920"/>
    <w:rsid w:val="005F5C5F"/>
    <w:rsid w:val="005F6335"/>
    <w:rsid w:val="005F64FD"/>
    <w:rsid w:val="005F7496"/>
    <w:rsid w:val="005F7577"/>
    <w:rsid w:val="00600C59"/>
    <w:rsid w:val="00601E0D"/>
    <w:rsid w:val="006021C0"/>
    <w:rsid w:val="00602383"/>
    <w:rsid w:val="00602631"/>
    <w:rsid w:val="00602A4A"/>
    <w:rsid w:val="00603508"/>
    <w:rsid w:val="006043DF"/>
    <w:rsid w:val="006047BF"/>
    <w:rsid w:val="00604E3B"/>
    <w:rsid w:val="0060639A"/>
    <w:rsid w:val="006068E8"/>
    <w:rsid w:val="00606D9C"/>
    <w:rsid w:val="00606F7B"/>
    <w:rsid w:val="00607FC2"/>
    <w:rsid w:val="00610F39"/>
    <w:rsid w:val="00611275"/>
    <w:rsid w:val="006119F3"/>
    <w:rsid w:val="00612479"/>
    <w:rsid w:val="00612753"/>
    <w:rsid w:val="00612ABB"/>
    <w:rsid w:val="00613E05"/>
    <w:rsid w:val="0061546E"/>
    <w:rsid w:val="006162DC"/>
    <w:rsid w:val="00620314"/>
    <w:rsid w:val="0062070E"/>
    <w:rsid w:val="00620EF4"/>
    <w:rsid w:val="00621424"/>
    <w:rsid w:val="00621B9A"/>
    <w:rsid w:val="0062229B"/>
    <w:rsid w:val="006222BE"/>
    <w:rsid w:val="006227FC"/>
    <w:rsid w:val="006238A6"/>
    <w:rsid w:val="006251F8"/>
    <w:rsid w:val="006252E6"/>
    <w:rsid w:val="00625681"/>
    <w:rsid w:val="00627684"/>
    <w:rsid w:val="0063089A"/>
    <w:rsid w:val="006321B7"/>
    <w:rsid w:val="006326CC"/>
    <w:rsid w:val="00632DED"/>
    <w:rsid w:val="00632F62"/>
    <w:rsid w:val="00634214"/>
    <w:rsid w:val="006344AB"/>
    <w:rsid w:val="0063594C"/>
    <w:rsid w:val="0063644E"/>
    <w:rsid w:val="0064000D"/>
    <w:rsid w:val="006406BD"/>
    <w:rsid w:val="0064176F"/>
    <w:rsid w:val="00641A93"/>
    <w:rsid w:val="00641FEC"/>
    <w:rsid w:val="00642073"/>
    <w:rsid w:val="00642BFB"/>
    <w:rsid w:val="00642D26"/>
    <w:rsid w:val="00643579"/>
    <w:rsid w:val="00644361"/>
    <w:rsid w:val="006444FE"/>
    <w:rsid w:val="00645754"/>
    <w:rsid w:val="00645A6E"/>
    <w:rsid w:val="00645B02"/>
    <w:rsid w:val="00645F21"/>
    <w:rsid w:val="00646108"/>
    <w:rsid w:val="0064679F"/>
    <w:rsid w:val="00647367"/>
    <w:rsid w:val="006475A1"/>
    <w:rsid w:val="00647AD7"/>
    <w:rsid w:val="00647FBA"/>
    <w:rsid w:val="0065067B"/>
    <w:rsid w:val="0065147D"/>
    <w:rsid w:val="00651AFF"/>
    <w:rsid w:val="00653CFE"/>
    <w:rsid w:val="0065450F"/>
    <w:rsid w:val="006556C2"/>
    <w:rsid w:val="00655F67"/>
    <w:rsid w:val="006574B9"/>
    <w:rsid w:val="006605B0"/>
    <w:rsid w:val="006609CC"/>
    <w:rsid w:val="00660A70"/>
    <w:rsid w:val="006614DB"/>
    <w:rsid w:val="006617A5"/>
    <w:rsid w:val="006620F1"/>
    <w:rsid w:val="006632FC"/>
    <w:rsid w:val="00663617"/>
    <w:rsid w:val="00665CE0"/>
    <w:rsid w:val="006668EA"/>
    <w:rsid w:val="00666DEA"/>
    <w:rsid w:val="0066704B"/>
    <w:rsid w:val="0066711A"/>
    <w:rsid w:val="00671AE4"/>
    <w:rsid w:val="00671B8D"/>
    <w:rsid w:val="006722D8"/>
    <w:rsid w:val="006728DD"/>
    <w:rsid w:val="0067329B"/>
    <w:rsid w:val="0067389E"/>
    <w:rsid w:val="006738FF"/>
    <w:rsid w:val="00673BDD"/>
    <w:rsid w:val="006747B0"/>
    <w:rsid w:val="00674BE2"/>
    <w:rsid w:val="00674DA0"/>
    <w:rsid w:val="006753B0"/>
    <w:rsid w:val="00675D19"/>
    <w:rsid w:val="00675F85"/>
    <w:rsid w:val="0067600D"/>
    <w:rsid w:val="00676F2C"/>
    <w:rsid w:val="00676F30"/>
    <w:rsid w:val="006775CC"/>
    <w:rsid w:val="00680268"/>
    <w:rsid w:val="00680814"/>
    <w:rsid w:val="0068177C"/>
    <w:rsid w:val="006822FC"/>
    <w:rsid w:val="006830C5"/>
    <w:rsid w:val="00683F66"/>
    <w:rsid w:val="006845B8"/>
    <w:rsid w:val="00685DBD"/>
    <w:rsid w:val="0068670B"/>
    <w:rsid w:val="00690E12"/>
    <w:rsid w:val="00691BAA"/>
    <w:rsid w:val="00692BF6"/>
    <w:rsid w:val="006930B8"/>
    <w:rsid w:val="00693A85"/>
    <w:rsid w:val="00693CE2"/>
    <w:rsid w:val="00694289"/>
    <w:rsid w:val="00695245"/>
    <w:rsid w:val="00696A37"/>
    <w:rsid w:val="0069772A"/>
    <w:rsid w:val="006979A2"/>
    <w:rsid w:val="00697B60"/>
    <w:rsid w:val="00697E17"/>
    <w:rsid w:val="00697E52"/>
    <w:rsid w:val="006A01B5"/>
    <w:rsid w:val="006A166E"/>
    <w:rsid w:val="006A2868"/>
    <w:rsid w:val="006A2D46"/>
    <w:rsid w:val="006A36C1"/>
    <w:rsid w:val="006A5763"/>
    <w:rsid w:val="006A66EB"/>
    <w:rsid w:val="006A68C1"/>
    <w:rsid w:val="006A6A4B"/>
    <w:rsid w:val="006A6FE5"/>
    <w:rsid w:val="006A71A3"/>
    <w:rsid w:val="006B06E7"/>
    <w:rsid w:val="006B0A63"/>
    <w:rsid w:val="006B0F34"/>
    <w:rsid w:val="006B1100"/>
    <w:rsid w:val="006B172D"/>
    <w:rsid w:val="006B1891"/>
    <w:rsid w:val="006B2DEE"/>
    <w:rsid w:val="006B3AF4"/>
    <w:rsid w:val="006B4D60"/>
    <w:rsid w:val="006B5735"/>
    <w:rsid w:val="006B6705"/>
    <w:rsid w:val="006B76B3"/>
    <w:rsid w:val="006B7999"/>
    <w:rsid w:val="006B7E37"/>
    <w:rsid w:val="006C0211"/>
    <w:rsid w:val="006C0942"/>
    <w:rsid w:val="006C1DFB"/>
    <w:rsid w:val="006C23BF"/>
    <w:rsid w:val="006C29CC"/>
    <w:rsid w:val="006C2C50"/>
    <w:rsid w:val="006C5962"/>
    <w:rsid w:val="006C5D31"/>
    <w:rsid w:val="006C757E"/>
    <w:rsid w:val="006C76E9"/>
    <w:rsid w:val="006D0145"/>
    <w:rsid w:val="006D09C6"/>
    <w:rsid w:val="006D0B12"/>
    <w:rsid w:val="006D0CA7"/>
    <w:rsid w:val="006D14AF"/>
    <w:rsid w:val="006D2180"/>
    <w:rsid w:val="006D2489"/>
    <w:rsid w:val="006D4832"/>
    <w:rsid w:val="006D4B2E"/>
    <w:rsid w:val="006E0610"/>
    <w:rsid w:val="006E109E"/>
    <w:rsid w:val="006E12FE"/>
    <w:rsid w:val="006E2326"/>
    <w:rsid w:val="006E280F"/>
    <w:rsid w:val="006E3CAA"/>
    <w:rsid w:val="006E3D7E"/>
    <w:rsid w:val="006E4ED1"/>
    <w:rsid w:val="006E5407"/>
    <w:rsid w:val="006E5FE2"/>
    <w:rsid w:val="006E6B36"/>
    <w:rsid w:val="006F0DFA"/>
    <w:rsid w:val="006F0E28"/>
    <w:rsid w:val="006F11F0"/>
    <w:rsid w:val="006F2103"/>
    <w:rsid w:val="006F28B6"/>
    <w:rsid w:val="006F3AF2"/>
    <w:rsid w:val="006F3C78"/>
    <w:rsid w:val="006F41F3"/>
    <w:rsid w:val="006F4DCC"/>
    <w:rsid w:val="006F516F"/>
    <w:rsid w:val="006F580E"/>
    <w:rsid w:val="006F6776"/>
    <w:rsid w:val="006F6DB0"/>
    <w:rsid w:val="006F6F75"/>
    <w:rsid w:val="007020CF"/>
    <w:rsid w:val="00702FD8"/>
    <w:rsid w:val="00703EF3"/>
    <w:rsid w:val="00704CAB"/>
    <w:rsid w:val="00705512"/>
    <w:rsid w:val="00706A63"/>
    <w:rsid w:val="00707061"/>
    <w:rsid w:val="00707D65"/>
    <w:rsid w:val="00710ED1"/>
    <w:rsid w:val="00711405"/>
    <w:rsid w:val="00711C9B"/>
    <w:rsid w:val="0071240E"/>
    <w:rsid w:val="00712E78"/>
    <w:rsid w:val="0071314F"/>
    <w:rsid w:val="0071381B"/>
    <w:rsid w:val="00714338"/>
    <w:rsid w:val="007143AE"/>
    <w:rsid w:val="00714D44"/>
    <w:rsid w:val="00715794"/>
    <w:rsid w:val="0071699C"/>
    <w:rsid w:val="007175C9"/>
    <w:rsid w:val="00717E92"/>
    <w:rsid w:val="00721367"/>
    <w:rsid w:val="00721C64"/>
    <w:rsid w:val="00721FDC"/>
    <w:rsid w:val="00722ECE"/>
    <w:rsid w:val="00723EFA"/>
    <w:rsid w:val="007245B7"/>
    <w:rsid w:val="00724959"/>
    <w:rsid w:val="00725B31"/>
    <w:rsid w:val="00726FB8"/>
    <w:rsid w:val="00727667"/>
    <w:rsid w:val="00727731"/>
    <w:rsid w:val="00730497"/>
    <w:rsid w:val="00730804"/>
    <w:rsid w:val="00730BA0"/>
    <w:rsid w:val="00731298"/>
    <w:rsid w:val="007316A9"/>
    <w:rsid w:val="007323E6"/>
    <w:rsid w:val="007323F0"/>
    <w:rsid w:val="0073259E"/>
    <w:rsid w:val="00732C53"/>
    <w:rsid w:val="00733A3D"/>
    <w:rsid w:val="00734A10"/>
    <w:rsid w:val="0073530C"/>
    <w:rsid w:val="00735B36"/>
    <w:rsid w:val="007375AE"/>
    <w:rsid w:val="00737D2C"/>
    <w:rsid w:val="00740768"/>
    <w:rsid w:val="007410AC"/>
    <w:rsid w:val="007418A8"/>
    <w:rsid w:val="00742223"/>
    <w:rsid w:val="007443E4"/>
    <w:rsid w:val="007449C2"/>
    <w:rsid w:val="007476B8"/>
    <w:rsid w:val="00747A0E"/>
    <w:rsid w:val="0075008C"/>
    <w:rsid w:val="00750230"/>
    <w:rsid w:val="00750BC7"/>
    <w:rsid w:val="0075137B"/>
    <w:rsid w:val="0075141D"/>
    <w:rsid w:val="0075259C"/>
    <w:rsid w:val="0075282A"/>
    <w:rsid w:val="00753BF2"/>
    <w:rsid w:val="00754A40"/>
    <w:rsid w:val="00755DB1"/>
    <w:rsid w:val="00757021"/>
    <w:rsid w:val="00757501"/>
    <w:rsid w:val="00757B1A"/>
    <w:rsid w:val="007616B9"/>
    <w:rsid w:val="00761758"/>
    <w:rsid w:val="0076243A"/>
    <w:rsid w:val="007624E8"/>
    <w:rsid w:val="00762BA4"/>
    <w:rsid w:val="00762F9D"/>
    <w:rsid w:val="00763AE7"/>
    <w:rsid w:val="00763D85"/>
    <w:rsid w:val="0076476E"/>
    <w:rsid w:val="0076497A"/>
    <w:rsid w:val="0076512C"/>
    <w:rsid w:val="007654B2"/>
    <w:rsid w:val="007658F7"/>
    <w:rsid w:val="00766512"/>
    <w:rsid w:val="00766743"/>
    <w:rsid w:val="00770985"/>
    <w:rsid w:val="00771338"/>
    <w:rsid w:val="00771C59"/>
    <w:rsid w:val="00771FAB"/>
    <w:rsid w:val="00772147"/>
    <w:rsid w:val="007729D9"/>
    <w:rsid w:val="0077381E"/>
    <w:rsid w:val="0077383C"/>
    <w:rsid w:val="00773C51"/>
    <w:rsid w:val="00774E2B"/>
    <w:rsid w:val="00776052"/>
    <w:rsid w:val="00777C68"/>
    <w:rsid w:val="00777ED4"/>
    <w:rsid w:val="0078068C"/>
    <w:rsid w:val="00780C2D"/>
    <w:rsid w:val="0078126D"/>
    <w:rsid w:val="007827A4"/>
    <w:rsid w:val="00783C7E"/>
    <w:rsid w:val="00785408"/>
    <w:rsid w:val="0078552D"/>
    <w:rsid w:val="0078557D"/>
    <w:rsid w:val="00785B23"/>
    <w:rsid w:val="00787030"/>
    <w:rsid w:val="00791FFF"/>
    <w:rsid w:val="0079308B"/>
    <w:rsid w:val="007950E4"/>
    <w:rsid w:val="0079613A"/>
    <w:rsid w:val="007965D5"/>
    <w:rsid w:val="007966CD"/>
    <w:rsid w:val="00796767"/>
    <w:rsid w:val="00797456"/>
    <w:rsid w:val="007A04A9"/>
    <w:rsid w:val="007A088E"/>
    <w:rsid w:val="007A0E1A"/>
    <w:rsid w:val="007A140B"/>
    <w:rsid w:val="007A1A92"/>
    <w:rsid w:val="007A225C"/>
    <w:rsid w:val="007A35D2"/>
    <w:rsid w:val="007A3EE4"/>
    <w:rsid w:val="007A5268"/>
    <w:rsid w:val="007A5FB8"/>
    <w:rsid w:val="007A5FFE"/>
    <w:rsid w:val="007A647C"/>
    <w:rsid w:val="007A6BCA"/>
    <w:rsid w:val="007A6E17"/>
    <w:rsid w:val="007A7B18"/>
    <w:rsid w:val="007A7F7B"/>
    <w:rsid w:val="007B0A53"/>
    <w:rsid w:val="007B1EC6"/>
    <w:rsid w:val="007B3085"/>
    <w:rsid w:val="007B3248"/>
    <w:rsid w:val="007B3AE7"/>
    <w:rsid w:val="007B4051"/>
    <w:rsid w:val="007B459B"/>
    <w:rsid w:val="007B5583"/>
    <w:rsid w:val="007B6245"/>
    <w:rsid w:val="007B6B27"/>
    <w:rsid w:val="007B72A3"/>
    <w:rsid w:val="007C0337"/>
    <w:rsid w:val="007C1B9D"/>
    <w:rsid w:val="007C2860"/>
    <w:rsid w:val="007C2F4F"/>
    <w:rsid w:val="007C2FAD"/>
    <w:rsid w:val="007C3BC6"/>
    <w:rsid w:val="007C47DC"/>
    <w:rsid w:val="007C4B6E"/>
    <w:rsid w:val="007C51C1"/>
    <w:rsid w:val="007C6197"/>
    <w:rsid w:val="007C6244"/>
    <w:rsid w:val="007C6729"/>
    <w:rsid w:val="007C77B8"/>
    <w:rsid w:val="007C79A9"/>
    <w:rsid w:val="007D17A5"/>
    <w:rsid w:val="007D1E14"/>
    <w:rsid w:val="007D2869"/>
    <w:rsid w:val="007D3451"/>
    <w:rsid w:val="007D34C4"/>
    <w:rsid w:val="007D3506"/>
    <w:rsid w:val="007D3C4E"/>
    <w:rsid w:val="007D48AB"/>
    <w:rsid w:val="007D50D5"/>
    <w:rsid w:val="007D638E"/>
    <w:rsid w:val="007D6CC4"/>
    <w:rsid w:val="007D6E63"/>
    <w:rsid w:val="007D747C"/>
    <w:rsid w:val="007D7B6B"/>
    <w:rsid w:val="007E0531"/>
    <w:rsid w:val="007E064C"/>
    <w:rsid w:val="007E07DB"/>
    <w:rsid w:val="007E0D8B"/>
    <w:rsid w:val="007E0ED6"/>
    <w:rsid w:val="007E1338"/>
    <w:rsid w:val="007E1D27"/>
    <w:rsid w:val="007E2842"/>
    <w:rsid w:val="007E2908"/>
    <w:rsid w:val="007E4B85"/>
    <w:rsid w:val="007E4F9A"/>
    <w:rsid w:val="007E5B09"/>
    <w:rsid w:val="007E5C72"/>
    <w:rsid w:val="007E6012"/>
    <w:rsid w:val="007E71F6"/>
    <w:rsid w:val="007E7AF0"/>
    <w:rsid w:val="007E7F23"/>
    <w:rsid w:val="007F212C"/>
    <w:rsid w:val="007F2753"/>
    <w:rsid w:val="007F4327"/>
    <w:rsid w:val="00800D65"/>
    <w:rsid w:val="00801DB0"/>
    <w:rsid w:val="0080293D"/>
    <w:rsid w:val="00802AC8"/>
    <w:rsid w:val="00802BF6"/>
    <w:rsid w:val="0080356A"/>
    <w:rsid w:val="00803B54"/>
    <w:rsid w:val="00804AD5"/>
    <w:rsid w:val="008052BC"/>
    <w:rsid w:val="00806409"/>
    <w:rsid w:val="0080640B"/>
    <w:rsid w:val="00806C44"/>
    <w:rsid w:val="00806F1F"/>
    <w:rsid w:val="00807DAD"/>
    <w:rsid w:val="008113FA"/>
    <w:rsid w:val="008118D7"/>
    <w:rsid w:val="00812CF2"/>
    <w:rsid w:val="008149B4"/>
    <w:rsid w:val="0081797D"/>
    <w:rsid w:val="00820142"/>
    <w:rsid w:val="008208AB"/>
    <w:rsid w:val="00822C20"/>
    <w:rsid w:val="0082374B"/>
    <w:rsid w:val="00823BB4"/>
    <w:rsid w:val="00823DC4"/>
    <w:rsid w:val="00824419"/>
    <w:rsid w:val="00825CE7"/>
    <w:rsid w:val="00825F42"/>
    <w:rsid w:val="00826940"/>
    <w:rsid w:val="00830C15"/>
    <w:rsid w:val="0083311A"/>
    <w:rsid w:val="00834FA2"/>
    <w:rsid w:val="0083653E"/>
    <w:rsid w:val="008368C2"/>
    <w:rsid w:val="00837273"/>
    <w:rsid w:val="00837383"/>
    <w:rsid w:val="008405E6"/>
    <w:rsid w:val="008408D0"/>
    <w:rsid w:val="00842A84"/>
    <w:rsid w:val="00842A90"/>
    <w:rsid w:val="0084333E"/>
    <w:rsid w:val="008436ED"/>
    <w:rsid w:val="0084382A"/>
    <w:rsid w:val="00843846"/>
    <w:rsid w:val="008441DC"/>
    <w:rsid w:val="008447C0"/>
    <w:rsid w:val="00844F72"/>
    <w:rsid w:val="00845764"/>
    <w:rsid w:val="00845A31"/>
    <w:rsid w:val="00847241"/>
    <w:rsid w:val="00850D84"/>
    <w:rsid w:val="0085105F"/>
    <w:rsid w:val="008524BF"/>
    <w:rsid w:val="00853200"/>
    <w:rsid w:val="0085333D"/>
    <w:rsid w:val="008539DA"/>
    <w:rsid w:val="00854D22"/>
    <w:rsid w:val="0085507A"/>
    <w:rsid w:val="00855AEF"/>
    <w:rsid w:val="00856A15"/>
    <w:rsid w:val="0085732D"/>
    <w:rsid w:val="00857762"/>
    <w:rsid w:val="00860108"/>
    <w:rsid w:val="00862A0F"/>
    <w:rsid w:val="00862F59"/>
    <w:rsid w:val="0086447C"/>
    <w:rsid w:val="00864E4F"/>
    <w:rsid w:val="0086510D"/>
    <w:rsid w:val="008662F5"/>
    <w:rsid w:val="00866A88"/>
    <w:rsid w:val="008672CF"/>
    <w:rsid w:val="008675CB"/>
    <w:rsid w:val="00867C51"/>
    <w:rsid w:val="00867D88"/>
    <w:rsid w:val="008708FC"/>
    <w:rsid w:val="00871E31"/>
    <w:rsid w:val="008727BE"/>
    <w:rsid w:val="00872912"/>
    <w:rsid w:val="00873656"/>
    <w:rsid w:val="00873C91"/>
    <w:rsid w:val="00874050"/>
    <w:rsid w:val="00874AC5"/>
    <w:rsid w:val="0087547F"/>
    <w:rsid w:val="008765BD"/>
    <w:rsid w:val="00882BBE"/>
    <w:rsid w:val="00882C6C"/>
    <w:rsid w:val="0088383E"/>
    <w:rsid w:val="00883F84"/>
    <w:rsid w:val="00885A08"/>
    <w:rsid w:val="008864BA"/>
    <w:rsid w:val="0088664C"/>
    <w:rsid w:val="00887977"/>
    <w:rsid w:val="00887A1C"/>
    <w:rsid w:val="008908D0"/>
    <w:rsid w:val="00891097"/>
    <w:rsid w:val="00891AC5"/>
    <w:rsid w:val="00892130"/>
    <w:rsid w:val="00892956"/>
    <w:rsid w:val="00892C3C"/>
    <w:rsid w:val="00893479"/>
    <w:rsid w:val="00893C53"/>
    <w:rsid w:val="008954D3"/>
    <w:rsid w:val="0089654D"/>
    <w:rsid w:val="00896D93"/>
    <w:rsid w:val="0089730A"/>
    <w:rsid w:val="008A091E"/>
    <w:rsid w:val="008A1F21"/>
    <w:rsid w:val="008A1F54"/>
    <w:rsid w:val="008A263E"/>
    <w:rsid w:val="008A432A"/>
    <w:rsid w:val="008A4864"/>
    <w:rsid w:val="008A486A"/>
    <w:rsid w:val="008A49A9"/>
    <w:rsid w:val="008A4BCC"/>
    <w:rsid w:val="008A7635"/>
    <w:rsid w:val="008A777C"/>
    <w:rsid w:val="008B0B2C"/>
    <w:rsid w:val="008B0E1D"/>
    <w:rsid w:val="008B1F80"/>
    <w:rsid w:val="008B20B7"/>
    <w:rsid w:val="008B2159"/>
    <w:rsid w:val="008B2208"/>
    <w:rsid w:val="008B2338"/>
    <w:rsid w:val="008B2F4C"/>
    <w:rsid w:val="008B30FC"/>
    <w:rsid w:val="008B3C2F"/>
    <w:rsid w:val="008B63DA"/>
    <w:rsid w:val="008B7935"/>
    <w:rsid w:val="008B7FB5"/>
    <w:rsid w:val="008C1315"/>
    <w:rsid w:val="008C14EB"/>
    <w:rsid w:val="008C1605"/>
    <w:rsid w:val="008C1734"/>
    <w:rsid w:val="008C183D"/>
    <w:rsid w:val="008C1BD5"/>
    <w:rsid w:val="008C2381"/>
    <w:rsid w:val="008C3DEB"/>
    <w:rsid w:val="008C466B"/>
    <w:rsid w:val="008C4FD2"/>
    <w:rsid w:val="008C5003"/>
    <w:rsid w:val="008C5456"/>
    <w:rsid w:val="008C5BDA"/>
    <w:rsid w:val="008C674F"/>
    <w:rsid w:val="008C678F"/>
    <w:rsid w:val="008C6D0D"/>
    <w:rsid w:val="008C761A"/>
    <w:rsid w:val="008D00A9"/>
    <w:rsid w:val="008D00AF"/>
    <w:rsid w:val="008D0290"/>
    <w:rsid w:val="008D19E0"/>
    <w:rsid w:val="008D19E7"/>
    <w:rsid w:val="008D1B66"/>
    <w:rsid w:val="008D2033"/>
    <w:rsid w:val="008D265E"/>
    <w:rsid w:val="008D613D"/>
    <w:rsid w:val="008E0DEA"/>
    <w:rsid w:val="008E15B0"/>
    <w:rsid w:val="008E1B50"/>
    <w:rsid w:val="008E2F3E"/>
    <w:rsid w:val="008E3D2E"/>
    <w:rsid w:val="008E42DF"/>
    <w:rsid w:val="008E4A32"/>
    <w:rsid w:val="008E5DEC"/>
    <w:rsid w:val="008E649B"/>
    <w:rsid w:val="008E6F07"/>
    <w:rsid w:val="008E70CF"/>
    <w:rsid w:val="008E7C71"/>
    <w:rsid w:val="008F0A48"/>
    <w:rsid w:val="008F2936"/>
    <w:rsid w:val="008F2B2F"/>
    <w:rsid w:val="008F2B8F"/>
    <w:rsid w:val="008F2E66"/>
    <w:rsid w:val="008F337F"/>
    <w:rsid w:val="008F4181"/>
    <w:rsid w:val="008F4274"/>
    <w:rsid w:val="008F7997"/>
    <w:rsid w:val="008F7BB4"/>
    <w:rsid w:val="00900840"/>
    <w:rsid w:val="00900A58"/>
    <w:rsid w:val="00901CA9"/>
    <w:rsid w:val="00903192"/>
    <w:rsid w:val="00903C75"/>
    <w:rsid w:val="00906814"/>
    <w:rsid w:val="00907822"/>
    <w:rsid w:val="00907A8F"/>
    <w:rsid w:val="00907B92"/>
    <w:rsid w:val="00907F91"/>
    <w:rsid w:val="009102A5"/>
    <w:rsid w:val="00910589"/>
    <w:rsid w:val="00910714"/>
    <w:rsid w:val="0091136F"/>
    <w:rsid w:val="00911434"/>
    <w:rsid w:val="00912F20"/>
    <w:rsid w:val="00913F2A"/>
    <w:rsid w:val="00913F8F"/>
    <w:rsid w:val="0091459A"/>
    <w:rsid w:val="0091680C"/>
    <w:rsid w:val="0091713C"/>
    <w:rsid w:val="009175C7"/>
    <w:rsid w:val="00921150"/>
    <w:rsid w:val="0092155E"/>
    <w:rsid w:val="00921D97"/>
    <w:rsid w:val="009225AD"/>
    <w:rsid w:val="00922DF2"/>
    <w:rsid w:val="00923066"/>
    <w:rsid w:val="0092423F"/>
    <w:rsid w:val="0092455E"/>
    <w:rsid w:val="00924DBE"/>
    <w:rsid w:val="00926185"/>
    <w:rsid w:val="009275B2"/>
    <w:rsid w:val="00927F71"/>
    <w:rsid w:val="00931570"/>
    <w:rsid w:val="00931EEB"/>
    <w:rsid w:val="00932949"/>
    <w:rsid w:val="009336F0"/>
    <w:rsid w:val="009341C3"/>
    <w:rsid w:val="00934EBE"/>
    <w:rsid w:val="0093552B"/>
    <w:rsid w:val="00935D0B"/>
    <w:rsid w:val="00936D25"/>
    <w:rsid w:val="00937197"/>
    <w:rsid w:val="009374E2"/>
    <w:rsid w:val="00937BA6"/>
    <w:rsid w:val="009403E2"/>
    <w:rsid w:val="009406C2"/>
    <w:rsid w:val="00941BB3"/>
    <w:rsid w:val="00941BC1"/>
    <w:rsid w:val="009422BE"/>
    <w:rsid w:val="00944622"/>
    <w:rsid w:val="0094591A"/>
    <w:rsid w:val="00945954"/>
    <w:rsid w:val="009473F1"/>
    <w:rsid w:val="00950AB8"/>
    <w:rsid w:val="009532E3"/>
    <w:rsid w:val="009538FA"/>
    <w:rsid w:val="00953AD3"/>
    <w:rsid w:val="00954FF3"/>
    <w:rsid w:val="009557B6"/>
    <w:rsid w:val="00955805"/>
    <w:rsid w:val="00956B9F"/>
    <w:rsid w:val="00956C20"/>
    <w:rsid w:val="00956C87"/>
    <w:rsid w:val="00957852"/>
    <w:rsid w:val="0096058A"/>
    <w:rsid w:val="0096169F"/>
    <w:rsid w:val="00961BC1"/>
    <w:rsid w:val="00962782"/>
    <w:rsid w:val="00963C39"/>
    <w:rsid w:val="0096463A"/>
    <w:rsid w:val="00965CFC"/>
    <w:rsid w:val="009662BE"/>
    <w:rsid w:val="009669F3"/>
    <w:rsid w:val="00966F91"/>
    <w:rsid w:val="0096745F"/>
    <w:rsid w:val="0096773C"/>
    <w:rsid w:val="00967A08"/>
    <w:rsid w:val="00967FE1"/>
    <w:rsid w:val="009708E6"/>
    <w:rsid w:val="00970C71"/>
    <w:rsid w:val="009714AB"/>
    <w:rsid w:val="009730C7"/>
    <w:rsid w:val="00974219"/>
    <w:rsid w:val="0097516A"/>
    <w:rsid w:val="009751A5"/>
    <w:rsid w:val="009751DB"/>
    <w:rsid w:val="009754CE"/>
    <w:rsid w:val="00977E0A"/>
    <w:rsid w:val="0098043E"/>
    <w:rsid w:val="00980E73"/>
    <w:rsid w:val="009810B0"/>
    <w:rsid w:val="009811BE"/>
    <w:rsid w:val="00981D8D"/>
    <w:rsid w:val="0098289E"/>
    <w:rsid w:val="009829D6"/>
    <w:rsid w:val="00982BBE"/>
    <w:rsid w:val="00982BCD"/>
    <w:rsid w:val="00982D31"/>
    <w:rsid w:val="00984AE9"/>
    <w:rsid w:val="00984DA4"/>
    <w:rsid w:val="009865AD"/>
    <w:rsid w:val="009867F3"/>
    <w:rsid w:val="00986942"/>
    <w:rsid w:val="00987295"/>
    <w:rsid w:val="00987F5B"/>
    <w:rsid w:val="00991CF4"/>
    <w:rsid w:val="00991D55"/>
    <w:rsid w:val="00993027"/>
    <w:rsid w:val="009946E7"/>
    <w:rsid w:val="00996C57"/>
    <w:rsid w:val="00997458"/>
    <w:rsid w:val="009A070F"/>
    <w:rsid w:val="009A14A2"/>
    <w:rsid w:val="009A3A4D"/>
    <w:rsid w:val="009A3C10"/>
    <w:rsid w:val="009A5141"/>
    <w:rsid w:val="009A5998"/>
    <w:rsid w:val="009A7361"/>
    <w:rsid w:val="009B11F0"/>
    <w:rsid w:val="009B168C"/>
    <w:rsid w:val="009B1ABA"/>
    <w:rsid w:val="009B1C1A"/>
    <w:rsid w:val="009B1DED"/>
    <w:rsid w:val="009B239C"/>
    <w:rsid w:val="009B37C3"/>
    <w:rsid w:val="009B4B87"/>
    <w:rsid w:val="009B5296"/>
    <w:rsid w:val="009B5E0F"/>
    <w:rsid w:val="009B6492"/>
    <w:rsid w:val="009C0061"/>
    <w:rsid w:val="009C019A"/>
    <w:rsid w:val="009C1324"/>
    <w:rsid w:val="009C20F5"/>
    <w:rsid w:val="009C2ACF"/>
    <w:rsid w:val="009C3F97"/>
    <w:rsid w:val="009C5233"/>
    <w:rsid w:val="009C54C3"/>
    <w:rsid w:val="009C5C20"/>
    <w:rsid w:val="009C6547"/>
    <w:rsid w:val="009C6B50"/>
    <w:rsid w:val="009C7237"/>
    <w:rsid w:val="009C73E5"/>
    <w:rsid w:val="009C7971"/>
    <w:rsid w:val="009D0678"/>
    <w:rsid w:val="009D192B"/>
    <w:rsid w:val="009D212E"/>
    <w:rsid w:val="009D2C87"/>
    <w:rsid w:val="009D2FB3"/>
    <w:rsid w:val="009D4324"/>
    <w:rsid w:val="009D4AC9"/>
    <w:rsid w:val="009D51CC"/>
    <w:rsid w:val="009D56FA"/>
    <w:rsid w:val="009D60A4"/>
    <w:rsid w:val="009D70FB"/>
    <w:rsid w:val="009E0C3E"/>
    <w:rsid w:val="009E3BB9"/>
    <w:rsid w:val="009E4658"/>
    <w:rsid w:val="009E4E36"/>
    <w:rsid w:val="009E5264"/>
    <w:rsid w:val="009E5B22"/>
    <w:rsid w:val="009E5C98"/>
    <w:rsid w:val="009E6804"/>
    <w:rsid w:val="009F0A4A"/>
    <w:rsid w:val="009F20E6"/>
    <w:rsid w:val="009F2969"/>
    <w:rsid w:val="009F3345"/>
    <w:rsid w:val="009F4064"/>
    <w:rsid w:val="009F4FBF"/>
    <w:rsid w:val="009F5004"/>
    <w:rsid w:val="009F6A6F"/>
    <w:rsid w:val="009F6C7A"/>
    <w:rsid w:val="009F6E9A"/>
    <w:rsid w:val="009F7F23"/>
    <w:rsid w:val="00A00827"/>
    <w:rsid w:val="00A0089D"/>
    <w:rsid w:val="00A0289C"/>
    <w:rsid w:val="00A0293A"/>
    <w:rsid w:val="00A02EC4"/>
    <w:rsid w:val="00A06764"/>
    <w:rsid w:val="00A06C49"/>
    <w:rsid w:val="00A070A9"/>
    <w:rsid w:val="00A07A04"/>
    <w:rsid w:val="00A155EF"/>
    <w:rsid w:val="00A160A1"/>
    <w:rsid w:val="00A1633B"/>
    <w:rsid w:val="00A16B7A"/>
    <w:rsid w:val="00A16D1E"/>
    <w:rsid w:val="00A16DA4"/>
    <w:rsid w:val="00A175C6"/>
    <w:rsid w:val="00A17610"/>
    <w:rsid w:val="00A2253C"/>
    <w:rsid w:val="00A230D4"/>
    <w:rsid w:val="00A23376"/>
    <w:rsid w:val="00A234AC"/>
    <w:rsid w:val="00A23BE9"/>
    <w:rsid w:val="00A23F2C"/>
    <w:rsid w:val="00A242C2"/>
    <w:rsid w:val="00A2461A"/>
    <w:rsid w:val="00A25724"/>
    <w:rsid w:val="00A25A6D"/>
    <w:rsid w:val="00A26683"/>
    <w:rsid w:val="00A26CD8"/>
    <w:rsid w:val="00A27165"/>
    <w:rsid w:val="00A27A82"/>
    <w:rsid w:val="00A30F45"/>
    <w:rsid w:val="00A3216A"/>
    <w:rsid w:val="00A32231"/>
    <w:rsid w:val="00A326DD"/>
    <w:rsid w:val="00A3522F"/>
    <w:rsid w:val="00A35EFC"/>
    <w:rsid w:val="00A36087"/>
    <w:rsid w:val="00A372AD"/>
    <w:rsid w:val="00A40887"/>
    <w:rsid w:val="00A41194"/>
    <w:rsid w:val="00A4357B"/>
    <w:rsid w:val="00A44B34"/>
    <w:rsid w:val="00A4500D"/>
    <w:rsid w:val="00A452E9"/>
    <w:rsid w:val="00A45540"/>
    <w:rsid w:val="00A45716"/>
    <w:rsid w:val="00A4610E"/>
    <w:rsid w:val="00A464CF"/>
    <w:rsid w:val="00A46986"/>
    <w:rsid w:val="00A470DF"/>
    <w:rsid w:val="00A47D1F"/>
    <w:rsid w:val="00A47ECE"/>
    <w:rsid w:val="00A50D21"/>
    <w:rsid w:val="00A51446"/>
    <w:rsid w:val="00A51EB4"/>
    <w:rsid w:val="00A52729"/>
    <w:rsid w:val="00A53753"/>
    <w:rsid w:val="00A53D15"/>
    <w:rsid w:val="00A53E1B"/>
    <w:rsid w:val="00A542A8"/>
    <w:rsid w:val="00A55EDF"/>
    <w:rsid w:val="00A56DFA"/>
    <w:rsid w:val="00A571C6"/>
    <w:rsid w:val="00A60110"/>
    <w:rsid w:val="00A60737"/>
    <w:rsid w:val="00A60F46"/>
    <w:rsid w:val="00A616E2"/>
    <w:rsid w:val="00A61D47"/>
    <w:rsid w:val="00A624E0"/>
    <w:rsid w:val="00A627BE"/>
    <w:rsid w:val="00A63FAC"/>
    <w:rsid w:val="00A65116"/>
    <w:rsid w:val="00A653DB"/>
    <w:rsid w:val="00A65F23"/>
    <w:rsid w:val="00A70C29"/>
    <w:rsid w:val="00A70D94"/>
    <w:rsid w:val="00A71133"/>
    <w:rsid w:val="00A712EB"/>
    <w:rsid w:val="00A7195F"/>
    <w:rsid w:val="00A71FA5"/>
    <w:rsid w:val="00A732FD"/>
    <w:rsid w:val="00A739EC"/>
    <w:rsid w:val="00A73A68"/>
    <w:rsid w:val="00A74642"/>
    <w:rsid w:val="00A75589"/>
    <w:rsid w:val="00A7564F"/>
    <w:rsid w:val="00A75A18"/>
    <w:rsid w:val="00A75EC3"/>
    <w:rsid w:val="00A76197"/>
    <w:rsid w:val="00A805B9"/>
    <w:rsid w:val="00A808D3"/>
    <w:rsid w:val="00A80D4A"/>
    <w:rsid w:val="00A82AD0"/>
    <w:rsid w:val="00A82CD9"/>
    <w:rsid w:val="00A8316B"/>
    <w:rsid w:val="00A83EEE"/>
    <w:rsid w:val="00A8440D"/>
    <w:rsid w:val="00A844F5"/>
    <w:rsid w:val="00A8489F"/>
    <w:rsid w:val="00A8539F"/>
    <w:rsid w:val="00A857EE"/>
    <w:rsid w:val="00A859B5"/>
    <w:rsid w:val="00A8703C"/>
    <w:rsid w:val="00A87069"/>
    <w:rsid w:val="00A93FD1"/>
    <w:rsid w:val="00A962A6"/>
    <w:rsid w:val="00A972D2"/>
    <w:rsid w:val="00AA04AB"/>
    <w:rsid w:val="00AA0E9B"/>
    <w:rsid w:val="00AA177A"/>
    <w:rsid w:val="00AA1FCD"/>
    <w:rsid w:val="00AA2457"/>
    <w:rsid w:val="00AA2483"/>
    <w:rsid w:val="00AA2F2D"/>
    <w:rsid w:val="00AA63C5"/>
    <w:rsid w:val="00AA645C"/>
    <w:rsid w:val="00AA6F75"/>
    <w:rsid w:val="00AA7E5B"/>
    <w:rsid w:val="00AB0208"/>
    <w:rsid w:val="00AB1D77"/>
    <w:rsid w:val="00AB2BB6"/>
    <w:rsid w:val="00AB2CD7"/>
    <w:rsid w:val="00AB3A49"/>
    <w:rsid w:val="00AB4A6E"/>
    <w:rsid w:val="00AB5196"/>
    <w:rsid w:val="00AB614A"/>
    <w:rsid w:val="00AB66DD"/>
    <w:rsid w:val="00AC022C"/>
    <w:rsid w:val="00AC0450"/>
    <w:rsid w:val="00AC0714"/>
    <w:rsid w:val="00AC0BCF"/>
    <w:rsid w:val="00AC13FE"/>
    <w:rsid w:val="00AC26F0"/>
    <w:rsid w:val="00AC29DB"/>
    <w:rsid w:val="00AC3A9D"/>
    <w:rsid w:val="00AC3F10"/>
    <w:rsid w:val="00AC4819"/>
    <w:rsid w:val="00AC4E3D"/>
    <w:rsid w:val="00AC5692"/>
    <w:rsid w:val="00AC598E"/>
    <w:rsid w:val="00AC5C11"/>
    <w:rsid w:val="00AC5E4F"/>
    <w:rsid w:val="00AC6054"/>
    <w:rsid w:val="00AC621F"/>
    <w:rsid w:val="00AC7024"/>
    <w:rsid w:val="00AC74BA"/>
    <w:rsid w:val="00AC78E2"/>
    <w:rsid w:val="00AD008D"/>
    <w:rsid w:val="00AD0F38"/>
    <w:rsid w:val="00AD2798"/>
    <w:rsid w:val="00AD2B01"/>
    <w:rsid w:val="00AD3EAD"/>
    <w:rsid w:val="00AD4F20"/>
    <w:rsid w:val="00AD51F6"/>
    <w:rsid w:val="00AD719B"/>
    <w:rsid w:val="00AD75D9"/>
    <w:rsid w:val="00AD7B69"/>
    <w:rsid w:val="00AD7EC4"/>
    <w:rsid w:val="00AE00C2"/>
    <w:rsid w:val="00AE081F"/>
    <w:rsid w:val="00AE3727"/>
    <w:rsid w:val="00AE4151"/>
    <w:rsid w:val="00AE48BE"/>
    <w:rsid w:val="00AE4A59"/>
    <w:rsid w:val="00AE5526"/>
    <w:rsid w:val="00AE58BC"/>
    <w:rsid w:val="00AE679D"/>
    <w:rsid w:val="00AE7D83"/>
    <w:rsid w:val="00AF14A8"/>
    <w:rsid w:val="00AF21BA"/>
    <w:rsid w:val="00AF28F7"/>
    <w:rsid w:val="00AF2CA4"/>
    <w:rsid w:val="00AF6A7C"/>
    <w:rsid w:val="00AF6DAB"/>
    <w:rsid w:val="00AF75C8"/>
    <w:rsid w:val="00AF7E6D"/>
    <w:rsid w:val="00B00C95"/>
    <w:rsid w:val="00B00D4C"/>
    <w:rsid w:val="00B01CA7"/>
    <w:rsid w:val="00B02F48"/>
    <w:rsid w:val="00B0365B"/>
    <w:rsid w:val="00B0437F"/>
    <w:rsid w:val="00B05EFC"/>
    <w:rsid w:val="00B07323"/>
    <w:rsid w:val="00B07996"/>
    <w:rsid w:val="00B10902"/>
    <w:rsid w:val="00B11895"/>
    <w:rsid w:val="00B11AB2"/>
    <w:rsid w:val="00B11E85"/>
    <w:rsid w:val="00B12A68"/>
    <w:rsid w:val="00B153A5"/>
    <w:rsid w:val="00B17FE9"/>
    <w:rsid w:val="00B2020D"/>
    <w:rsid w:val="00B20408"/>
    <w:rsid w:val="00B217F9"/>
    <w:rsid w:val="00B2468B"/>
    <w:rsid w:val="00B24BCB"/>
    <w:rsid w:val="00B26013"/>
    <w:rsid w:val="00B26955"/>
    <w:rsid w:val="00B26957"/>
    <w:rsid w:val="00B325DF"/>
    <w:rsid w:val="00B326E4"/>
    <w:rsid w:val="00B32CE3"/>
    <w:rsid w:val="00B3346C"/>
    <w:rsid w:val="00B33C6D"/>
    <w:rsid w:val="00B3465B"/>
    <w:rsid w:val="00B34B35"/>
    <w:rsid w:val="00B350BF"/>
    <w:rsid w:val="00B36575"/>
    <w:rsid w:val="00B36F99"/>
    <w:rsid w:val="00B37D90"/>
    <w:rsid w:val="00B417FD"/>
    <w:rsid w:val="00B41DE1"/>
    <w:rsid w:val="00B430BB"/>
    <w:rsid w:val="00B43253"/>
    <w:rsid w:val="00B436B6"/>
    <w:rsid w:val="00B437F9"/>
    <w:rsid w:val="00B43FD4"/>
    <w:rsid w:val="00B446FD"/>
    <w:rsid w:val="00B4473C"/>
    <w:rsid w:val="00B44F9E"/>
    <w:rsid w:val="00B5306B"/>
    <w:rsid w:val="00B53761"/>
    <w:rsid w:val="00B53DA1"/>
    <w:rsid w:val="00B53E4D"/>
    <w:rsid w:val="00B54B86"/>
    <w:rsid w:val="00B5587A"/>
    <w:rsid w:val="00B55DC4"/>
    <w:rsid w:val="00B55EAC"/>
    <w:rsid w:val="00B55EC6"/>
    <w:rsid w:val="00B568AC"/>
    <w:rsid w:val="00B56F6D"/>
    <w:rsid w:val="00B57FCB"/>
    <w:rsid w:val="00B612C2"/>
    <w:rsid w:val="00B612E2"/>
    <w:rsid w:val="00B6242F"/>
    <w:rsid w:val="00B6250A"/>
    <w:rsid w:val="00B631A7"/>
    <w:rsid w:val="00B65B6C"/>
    <w:rsid w:val="00B65D44"/>
    <w:rsid w:val="00B66E2D"/>
    <w:rsid w:val="00B66E7F"/>
    <w:rsid w:val="00B704B7"/>
    <w:rsid w:val="00B70F02"/>
    <w:rsid w:val="00B712FB"/>
    <w:rsid w:val="00B7395F"/>
    <w:rsid w:val="00B74199"/>
    <w:rsid w:val="00B74753"/>
    <w:rsid w:val="00B74B7B"/>
    <w:rsid w:val="00B7515E"/>
    <w:rsid w:val="00B76383"/>
    <w:rsid w:val="00B76680"/>
    <w:rsid w:val="00B773E0"/>
    <w:rsid w:val="00B80059"/>
    <w:rsid w:val="00B8166B"/>
    <w:rsid w:val="00B820EB"/>
    <w:rsid w:val="00B86CF5"/>
    <w:rsid w:val="00B87E9A"/>
    <w:rsid w:val="00B912E4"/>
    <w:rsid w:val="00B91BCF"/>
    <w:rsid w:val="00B93774"/>
    <w:rsid w:val="00B93BE0"/>
    <w:rsid w:val="00B95894"/>
    <w:rsid w:val="00B95D4C"/>
    <w:rsid w:val="00B95EEB"/>
    <w:rsid w:val="00B9655D"/>
    <w:rsid w:val="00B9709A"/>
    <w:rsid w:val="00BA095E"/>
    <w:rsid w:val="00BA0AE0"/>
    <w:rsid w:val="00BA12DA"/>
    <w:rsid w:val="00BA1D79"/>
    <w:rsid w:val="00BA2BD2"/>
    <w:rsid w:val="00BA3F54"/>
    <w:rsid w:val="00BA457D"/>
    <w:rsid w:val="00BA5A33"/>
    <w:rsid w:val="00BA5EE9"/>
    <w:rsid w:val="00BA671E"/>
    <w:rsid w:val="00BA6779"/>
    <w:rsid w:val="00BA7570"/>
    <w:rsid w:val="00BA75DB"/>
    <w:rsid w:val="00BA79F5"/>
    <w:rsid w:val="00BA7C96"/>
    <w:rsid w:val="00BB0EC1"/>
    <w:rsid w:val="00BB13DD"/>
    <w:rsid w:val="00BB1DAC"/>
    <w:rsid w:val="00BB2613"/>
    <w:rsid w:val="00BB2A33"/>
    <w:rsid w:val="00BB3806"/>
    <w:rsid w:val="00BB460A"/>
    <w:rsid w:val="00BB4EC0"/>
    <w:rsid w:val="00BB628F"/>
    <w:rsid w:val="00BB7C34"/>
    <w:rsid w:val="00BB7FAD"/>
    <w:rsid w:val="00BC21E0"/>
    <w:rsid w:val="00BC2EAE"/>
    <w:rsid w:val="00BC4022"/>
    <w:rsid w:val="00BC4418"/>
    <w:rsid w:val="00BC4461"/>
    <w:rsid w:val="00BC567E"/>
    <w:rsid w:val="00BC63CD"/>
    <w:rsid w:val="00BC6B4D"/>
    <w:rsid w:val="00BC71E9"/>
    <w:rsid w:val="00BC72CC"/>
    <w:rsid w:val="00BD091C"/>
    <w:rsid w:val="00BD12C9"/>
    <w:rsid w:val="00BD137C"/>
    <w:rsid w:val="00BD1FFB"/>
    <w:rsid w:val="00BD2BAB"/>
    <w:rsid w:val="00BD3063"/>
    <w:rsid w:val="00BD4D19"/>
    <w:rsid w:val="00BD4DE3"/>
    <w:rsid w:val="00BD5207"/>
    <w:rsid w:val="00BD5807"/>
    <w:rsid w:val="00BD5EEB"/>
    <w:rsid w:val="00BD77C2"/>
    <w:rsid w:val="00BE09BF"/>
    <w:rsid w:val="00BE0CCF"/>
    <w:rsid w:val="00BE1228"/>
    <w:rsid w:val="00BE1378"/>
    <w:rsid w:val="00BE149C"/>
    <w:rsid w:val="00BE2076"/>
    <w:rsid w:val="00BE42AA"/>
    <w:rsid w:val="00BE47A0"/>
    <w:rsid w:val="00BE5287"/>
    <w:rsid w:val="00BE5D49"/>
    <w:rsid w:val="00BE5F17"/>
    <w:rsid w:val="00BE6279"/>
    <w:rsid w:val="00BE662B"/>
    <w:rsid w:val="00BE75CD"/>
    <w:rsid w:val="00BE7640"/>
    <w:rsid w:val="00BF0359"/>
    <w:rsid w:val="00BF0C24"/>
    <w:rsid w:val="00BF5517"/>
    <w:rsid w:val="00BF796A"/>
    <w:rsid w:val="00C007D0"/>
    <w:rsid w:val="00C00CA9"/>
    <w:rsid w:val="00C01370"/>
    <w:rsid w:val="00C015DB"/>
    <w:rsid w:val="00C016DC"/>
    <w:rsid w:val="00C0193F"/>
    <w:rsid w:val="00C01F97"/>
    <w:rsid w:val="00C02AEE"/>
    <w:rsid w:val="00C0315D"/>
    <w:rsid w:val="00C033AC"/>
    <w:rsid w:val="00C0340C"/>
    <w:rsid w:val="00C03539"/>
    <w:rsid w:val="00C04882"/>
    <w:rsid w:val="00C076E0"/>
    <w:rsid w:val="00C07A8E"/>
    <w:rsid w:val="00C07E24"/>
    <w:rsid w:val="00C10441"/>
    <w:rsid w:val="00C1045F"/>
    <w:rsid w:val="00C11089"/>
    <w:rsid w:val="00C112ED"/>
    <w:rsid w:val="00C121D2"/>
    <w:rsid w:val="00C12EF5"/>
    <w:rsid w:val="00C14BE6"/>
    <w:rsid w:val="00C14D11"/>
    <w:rsid w:val="00C14F82"/>
    <w:rsid w:val="00C14FED"/>
    <w:rsid w:val="00C15C6E"/>
    <w:rsid w:val="00C15E8B"/>
    <w:rsid w:val="00C1669B"/>
    <w:rsid w:val="00C167F6"/>
    <w:rsid w:val="00C1731A"/>
    <w:rsid w:val="00C1735A"/>
    <w:rsid w:val="00C220E5"/>
    <w:rsid w:val="00C23111"/>
    <w:rsid w:val="00C23E70"/>
    <w:rsid w:val="00C249DB"/>
    <w:rsid w:val="00C24ABD"/>
    <w:rsid w:val="00C25D4D"/>
    <w:rsid w:val="00C300ED"/>
    <w:rsid w:val="00C30FA8"/>
    <w:rsid w:val="00C31491"/>
    <w:rsid w:val="00C3215E"/>
    <w:rsid w:val="00C353F7"/>
    <w:rsid w:val="00C355D4"/>
    <w:rsid w:val="00C35668"/>
    <w:rsid w:val="00C370D5"/>
    <w:rsid w:val="00C37120"/>
    <w:rsid w:val="00C400C2"/>
    <w:rsid w:val="00C4094E"/>
    <w:rsid w:val="00C40EE3"/>
    <w:rsid w:val="00C4232B"/>
    <w:rsid w:val="00C430EC"/>
    <w:rsid w:val="00C433F2"/>
    <w:rsid w:val="00C43A54"/>
    <w:rsid w:val="00C451FC"/>
    <w:rsid w:val="00C4588F"/>
    <w:rsid w:val="00C46751"/>
    <w:rsid w:val="00C46F42"/>
    <w:rsid w:val="00C47C76"/>
    <w:rsid w:val="00C47D62"/>
    <w:rsid w:val="00C50E40"/>
    <w:rsid w:val="00C533E7"/>
    <w:rsid w:val="00C54926"/>
    <w:rsid w:val="00C54C68"/>
    <w:rsid w:val="00C55C87"/>
    <w:rsid w:val="00C571EB"/>
    <w:rsid w:val="00C60561"/>
    <w:rsid w:val="00C60BB7"/>
    <w:rsid w:val="00C612A5"/>
    <w:rsid w:val="00C61AD8"/>
    <w:rsid w:val="00C623EA"/>
    <w:rsid w:val="00C62D30"/>
    <w:rsid w:val="00C631A9"/>
    <w:rsid w:val="00C633C6"/>
    <w:rsid w:val="00C63730"/>
    <w:rsid w:val="00C63900"/>
    <w:rsid w:val="00C63C4C"/>
    <w:rsid w:val="00C64115"/>
    <w:rsid w:val="00C6475F"/>
    <w:rsid w:val="00C64B42"/>
    <w:rsid w:val="00C6502E"/>
    <w:rsid w:val="00C653C9"/>
    <w:rsid w:val="00C66264"/>
    <w:rsid w:val="00C66EEB"/>
    <w:rsid w:val="00C67371"/>
    <w:rsid w:val="00C67F5D"/>
    <w:rsid w:val="00C702BA"/>
    <w:rsid w:val="00C70318"/>
    <w:rsid w:val="00C72166"/>
    <w:rsid w:val="00C729B0"/>
    <w:rsid w:val="00C72D54"/>
    <w:rsid w:val="00C738A3"/>
    <w:rsid w:val="00C7427B"/>
    <w:rsid w:val="00C75D31"/>
    <w:rsid w:val="00C76AB9"/>
    <w:rsid w:val="00C8083C"/>
    <w:rsid w:val="00C821F1"/>
    <w:rsid w:val="00C822B4"/>
    <w:rsid w:val="00C82958"/>
    <w:rsid w:val="00C82FCB"/>
    <w:rsid w:val="00C830D2"/>
    <w:rsid w:val="00C84036"/>
    <w:rsid w:val="00C842DF"/>
    <w:rsid w:val="00C84F00"/>
    <w:rsid w:val="00C85ED2"/>
    <w:rsid w:val="00C85FA6"/>
    <w:rsid w:val="00C86C31"/>
    <w:rsid w:val="00C878E8"/>
    <w:rsid w:val="00C87DDC"/>
    <w:rsid w:val="00C9017C"/>
    <w:rsid w:val="00C902BC"/>
    <w:rsid w:val="00C90755"/>
    <w:rsid w:val="00C90E96"/>
    <w:rsid w:val="00C90FB4"/>
    <w:rsid w:val="00C914B5"/>
    <w:rsid w:val="00C9190D"/>
    <w:rsid w:val="00C92845"/>
    <w:rsid w:val="00C928DD"/>
    <w:rsid w:val="00C93B3F"/>
    <w:rsid w:val="00C9447F"/>
    <w:rsid w:val="00C94D9C"/>
    <w:rsid w:val="00C95001"/>
    <w:rsid w:val="00C9737C"/>
    <w:rsid w:val="00C97B20"/>
    <w:rsid w:val="00CA141B"/>
    <w:rsid w:val="00CA571E"/>
    <w:rsid w:val="00CA6471"/>
    <w:rsid w:val="00CA7747"/>
    <w:rsid w:val="00CB0FA1"/>
    <w:rsid w:val="00CB136A"/>
    <w:rsid w:val="00CB215F"/>
    <w:rsid w:val="00CB25C5"/>
    <w:rsid w:val="00CB2C54"/>
    <w:rsid w:val="00CB3108"/>
    <w:rsid w:val="00CB3430"/>
    <w:rsid w:val="00CB472D"/>
    <w:rsid w:val="00CB5436"/>
    <w:rsid w:val="00CB61CA"/>
    <w:rsid w:val="00CC14C1"/>
    <w:rsid w:val="00CC1C73"/>
    <w:rsid w:val="00CC347B"/>
    <w:rsid w:val="00CC3790"/>
    <w:rsid w:val="00CC3FDF"/>
    <w:rsid w:val="00CC42A3"/>
    <w:rsid w:val="00CC51AE"/>
    <w:rsid w:val="00CC688B"/>
    <w:rsid w:val="00CC6BFE"/>
    <w:rsid w:val="00CC7B7A"/>
    <w:rsid w:val="00CD0054"/>
    <w:rsid w:val="00CD0453"/>
    <w:rsid w:val="00CD0720"/>
    <w:rsid w:val="00CD151E"/>
    <w:rsid w:val="00CD215E"/>
    <w:rsid w:val="00CD22D8"/>
    <w:rsid w:val="00CD22FC"/>
    <w:rsid w:val="00CD233F"/>
    <w:rsid w:val="00CD24A4"/>
    <w:rsid w:val="00CD2BB1"/>
    <w:rsid w:val="00CD3AD0"/>
    <w:rsid w:val="00CD3C72"/>
    <w:rsid w:val="00CD4289"/>
    <w:rsid w:val="00CD6B90"/>
    <w:rsid w:val="00CD7F31"/>
    <w:rsid w:val="00CE19A4"/>
    <w:rsid w:val="00CE2512"/>
    <w:rsid w:val="00CE292B"/>
    <w:rsid w:val="00CE2EC8"/>
    <w:rsid w:val="00CE38DB"/>
    <w:rsid w:val="00CE41BA"/>
    <w:rsid w:val="00CE63D8"/>
    <w:rsid w:val="00CE6681"/>
    <w:rsid w:val="00CE6CE5"/>
    <w:rsid w:val="00CE6D01"/>
    <w:rsid w:val="00CE6E47"/>
    <w:rsid w:val="00CE6E6E"/>
    <w:rsid w:val="00CF00E9"/>
    <w:rsid w:val="00CF01FF"/>
    <w:rsid w:val="00CF1F7C"/>
    <w:rsid w:val="00CF3164"/>
    <w:rsid w:val="00CF3335"/>
    <w:rsid w:val="00CF3812"/>
    <w:rsid w:val="00CF4E6D"/>
    <w:rsid w:val="00CF600B"/>
    <w:rsid w:val="00CF63DB"/>
    <w:rsid w:val="00CF6F8D"/>
    <w:rsid w:val="00CF70BB"/>
    <w:rsid w:val="00D00377"/>
    <w:rsid w:val="00D00754"/>
    <w:rsid w:val="00D012B8"/>
    <w:rsid w:val="00D015B1"/>
    <w:rsid w:val="00D02A63"/>
    <w:rsid w:val="00D02CFE"/>
    <w:rsid w:val="00D02F57"/>
    <w:rsid w:val="00D05381"/>
    <w:rsid w:val="00D05604"/>
    <w:rsid w:val="00D05E49"/>
    <w:rsid w:val="00D06013"/>
    <w:rsid w:val="00D0641C"/>
    <w:rsid w:val="00D06954"/>
    <w:rsid w:val="00D06A6A"/>
    <w:rsid w:val="00D07168"/>
    <w:rsid w:val="00D07D28"/>
    <w:rsid w:val="00D07E35"/>
    <w:rsid w:val="00D109AA"/>
    <w:rsid w:val="00D124B5"/>
    <w:rsid w:val="00D12D4E"/>
    <w:rsid w:val="00D13651"/>
    <w:rsid w:val="00D14FFA"/>
    <w:rsid w:val="00D164C5"/>
    <w:rsid w:val="00D16A7F"/>
    <w:rsid w:val="00D16B79"/>
    <w:rsid w:val="00D16E38"/>
    <w:rsid w:val="00D21AA8"/>
    <w:rsid w:val="00D22B36"/>
    <w:rsid w:val="00D23C67"/>
    <w:rsid w:val="00D24599"/>
    <w:rsid w:val="00D24715"/>
    <w:rsid w:val="00D258DA"/>
    <w:rsid w:val="00D26792"/>
    <w:rsid w:val="00D267BA"/>
    <w:rsid w:val="00D30BF9"/>
    <w:rsid w:val="00D3238F"/>
    <w:rsid w:val="00D32963"/>
    <w:rsid w:val="00D32BDD"/>
    <w:rsid w:val="00D331E4"/>
    <w:rsid w:val="00D34371"/>
    <w:rsid w:val="00D34750"/>
    <w:rsid w:val="00D3475C"/>
    <w:rsid w:val="00D34922"/>
    <w:rsid w:val="00D34DC1"/>
    <w:rsid w:val="00D3539C"/>
    <w:rsid w:val="00D402D2"/>
    <w:rsid w:val="00D40767"/>
    <w:rsid w:val="00D41649"/>
    <w:rsid w:val="00D43C31"/>
    <w:rsid w:val="00D444DB"/>
    <w:rsid w:val="00D447C2"/>
    <w:rsid w:val="00D45A57"/>
    <w:rsid w:val="00D45C1C"/>
    <w:rsid w:val="00D462EE"/>
    <w:rsid w:val="00D46721"/>
    <w:rsid w:val="00D4683C"/>
    <w:rsid w:val="00D46E6C"/>
    <w:rsid w:val="00D50C6B"/>
    <w:rsid w:val="00D51AAF"/>
    <w:rsid w:val="00D51AD7"/>
    <w:rsid w:val="00D51DFA"/>
    <w:rsid w:val="00D52449"/>
    <w:rsid w:val="00D5463D"/>
    <w:rsid w:val="00D54B73"/>
    <w:rsid w:val="00D54B96"/>
    <w:rsid w:val="00D55AB4"/>
    <w:rsid w:val="00D571C9"/>
    <w:rsid w:val="00D60A61"/>
    <w:rsid w:val="00D60D94"/>
    <w:rsid w:val="00D61110"/>
    <w:rsid w:val="00D612A0"/>
    <w:rsid w:val="00D61692"/>
    <w:rsid w:val="00D617C0"/>
    <w:rsid w:val="00D638DB"/>
    <w:rsid w:val="00D64BC4"/>
    <w:rsid w:val="00D64D67"/>
    <w:rsid w:val="00D65C93"/>
    <w:rsid w:val="00D674ED"/>
    <w:rsid w:val="00D67B50"/>
    <w:rsid w:val="00D710C7"/>
    <w:rsid w:val="00D7146B"/>
    <w:rsid w:val="00D742EE"/>
    <w:rsid w:val="00D75237"/>
    <w:rsid w:val="00D75659"/>
    <w:rsid w:val="00D75F83"/>
    <w:rsid w:val="00D7746D"/>
    <w:rsid w:val="00D80F20"/>
    <w:rsid w:val="00D81510"/>
    <w:rsid w:val="00D81CFB"/>
    <w:rsid w:val="00D8377F"/>
    <w:rsid w:val="00D83962"/>
    <w:rsid w:val="00D8407B"/>
    <w:rsid w:val="00D8489F"/>
    <w:rsid w:val="00D85B3E"/>
    <w:rsid w:val="00D8698D"/>
    <w:rsid w:val="00D869F3"/>
    <w:rsid w:val="00D86EEB"/>
    <w:rsid w:val="00D87091"/>
    <w:rsid w:val="00D87C9D"/>
    <w:rsid w:val="00D90000"/>
    <w:rsid w:val="00D905C9"/>
    <w:rsid w:val="00D909D8"/>
    <w:rsid w:val="00D90AEC"/>
    <w:rsid w:val="00D911D1"/>
    <w:rsid w:val="00D9181D"/>
    <w:rsid w:val="00D92961"/>
    <w:rsid w:val="00D929AA"/>
    <w:rsid w:val="00D92C4F"/>
    <w:rsid w:val="00D92D91"/>
    <w:rsid w:val="00D92DCB"/>
    <w:rsid w:val="00D9317D"/>
    <w:rsid w:val="00D932F8"/>
    <w:rsid w:val="00D943D9"/>
    <w:rsid w:val="00D94607"/>
    <w:rsid w:val="00D94729"/>
    <w:rsid w:val="00D9633D"/>
    <w:rsid w:val="00D9637F"/>
    <w:rsid w:val="00DA0687"/>
    <w:rsid w:val="00DA1106"/>
    <w:rsid w:val="00DA1CB3"/>
    <w:rsid w:val="00DA32AE"/>
    <w:rsid w:val="00DA3911"/>
    <w:rsid w:val="00DA4AD2"/>
    <w:rsid w:val="00DA5841"/>
    <w:rsid w:val="00DA6906"/>
    <w:rsid w:val="00DB032F"/>
    <w:rsid w:val="00DB0C54"/>
    <w:rsid w:val="00DB0D4B"/>
    <w:rsid w:val="00DB277B"/>
    <w:rsid w:val="00DB298A"/>
    <w:rsid w:val="00DB688E"/>
    <w:rsid w:val="00DB68DC"/>
    <w:rsid w:val="00DB69D2"/>
    <w:rsid w:val="00DB6C59"/>
    <w:rsid w:val="00DB6DCC"/>
    <w:rsid w:val="00DC0841"/>
    <w:rsid w:val="00DC0C83"/>
    <w:rsid w:val="00DC0CB8"/>
    <w:rsid w:val="00DC1755"/>
    <w:rsid w:val="00DC25EB"/>
    <w:rsid w:val="00DC275F"/>
    <w:rsid w:val="00DC2B06"/>
    <w:rsid w:val="00DC483A"/>
    <w:rsid w:val="00DC4BA5"/>
    <w:rsid w:val="00DC532E"/>
    <w:rsid w:val="00DC5CF1"/>
    <w:rsid w:val="00DC64FF"/>
    <w:rsid w:val="00DC7157"/>
    <w:rsid w:val="00DC749A"/>
    <w:rsid w:val="00DC7FAF"/>
    <w:rsid w:val="00DD1BCA"/>
    <w:rsid w:val="00DD4A96"/>
    <w:rsid w:val="00DD5AA0"/>
    <w:rsid w:val="00DD6415"/>
    <w:rsid w:val="00DD6BFD"/>
    <w:rsid w:val="00DD6C17"/>
    <w:rsid w:val="00DD70FD"/>
    <w:rsid w:val="00DD782C"/>
    <w:rsid w:val="00DD7863"/>
    <w:rsid w:val="00DD79BA"/>
    <w:rsid w:val="00DE0630"/>
    <w:rsid w:val="00DE0B6C"/>
    <w:rsid w:val="00DE0B81"/>
    <w:rsid w:val="00DE0BB4"/>
    <w:rsid w:val="00DE2935"/>
    <w:rsid w:val="00DE3C04"/>
    <w:rsid w:val="00DE4045"/>
    <w:rsid w:val="00DE574D"/>
    <w:rsid w:val="00DE5795"/>
    <w:rsid w:val="00DE5A26"/>
    <w:rsid w:val="00DE5EE7"/>
    <w:rsid w:val="00DE69FD"/>
    <w:rsid w:val="00DE6A71"/>
    <w:rsid w:val="00DE76DE"/>
    <w:rsid w:val="00DE7E02"/>
    <w:rsid w:val="00DE7F1C"/>
    <w:rsid w:val="00DF0123"/>
    <w:rsid w:val="00DF08D7"/>
    <w:rsid w:val="00DF2B15"/>
    <w:rsid w:val="00DF30AE"/>
    <w:rsid w:val="00DF4FEE"/>
    <w:rsid w:val="00DF63A0"/>
    <w:rsid w:val="00DF7342"/>
    <w:rsid w:val="00DF746B"/>
    <w:rsid w:val="00E0040B"/>
    <w:rsid w:val="00E00795"/>
    <w:rsid w:val="00E01420"/>
    <w:rsid w:val="00E02BD3"/>
    <w:rsid w:val="00E03764"/>
    <w:rsid w:val="00E03E32"/>
    <w:rsid w:val="00E05800"/>
    <w:rsid w:val="00E06D45"/>
    <w:rsid w:val="00E07410"/>
    <w:rsid w:val="00E11E8B"/>
    <w:rsid w:val="00E12C0C"/>
    <w:rsid w:val="00E12D87"/>
    <w:rsid w:val="00E132AE"/>
    <w:rsid w:val="00E132E9"/>
    <w:rsid w:val="00E14015"/>
    <w:rsid w:val="00E1443C"/>
    <w:rsid w:val="00E14454"/>
    <w:rsid w:val="00E1791B"/>
    <w:rsid w:val="00E21EF7"/>
    <w:rsid w:val="00E21F36"/>
    <w:rsid w:val="00E22A3C"/>
    <w:rsid w:val="00E233D1"/>
    <w:rsid w:val="00E23882"/>
    <w:rsid w:val="00E248C5"/>
    <w:rsid w:val="00E24A9A"/>
    <w:rsid w:val="00E25268"/>
    <w:rsid w:val="00E26C2A"/>
    <w:rsid w:val="00E26F92"/>
    <w:rsid w:val="00E27900"/>
    <w:rsid w:val="00E3158C"/>
    <w:rsid w:val="00E3266A"/>
    <w:rsid w:val="00E32A0A"/>
    <w:rsid w:val="00E32D6B"/>
    <w:rsid w:val="00E3354E"/>
    <w:rsid w:val="00E342C1"/>
    <w:rsid w:val="00E34850"/>
    <w:rsid w:val="00E34893"/>
    <w:rsid w:val="00E355A1"/>
    <w:rsid w:val="00E35DCE"/>
    <w:rsid w:val="00E36260"/>
    <w:rsid w:val="00E371FD"/>
    <w:rsid w:val="00E37A1B"/>
    <w:rsid w:val="00E37A77"/>
    <w:rsid w:val="00E37B45"/>
    <w:rsid w:val="00E37F46"/>
    <w:rsid w:val="00E40976"/>
    <w:rsid w:val="00E416EF"/>
    <w:rsid w:val="00E418CF"/>
    <w:rsid w:val="00E426C9"/>
    <w:rsid w:val="00E42F97"/>
    <w:rsid w:val="00E45947"/>
    <w:rsid w:val="00E45953"/>
    <w:rsid w:val="00E47790"/>
    <w:rsid w:val="00E47EC6"/>
    <w:rsid w:val="00E47F4E"/>
    <w:rsid w:val="00E5117D"/>
    <w:rsid w:val="00E51288"/>
    <w:rsid w:val="00E52A40"/>
    <w:rsid w:val="00E52DD1"/>
    <w:rsid w:val="00E52F4C"/>
    <w:rsid w:val="00E534E2"/>
    <w:rsid w:val="00E5359F"/>
    <w:rsid w:val="00E54E08"/>
    <w:rsid w:val="00E55CFB"/>
    <w:rsid w:val="00E561B6"/>
    <w:rsid w:val="00E56864"/>
    <w:rsid w:val="00E56FDF"/>
    <w:rsid w:val="00E573A4"/>
    <w:rsid w:val="00E57B00"/>
    <w:rsid w:val="00E60EC9"/>
    <w:rsid w:val="00E6151A"/>
    <w:rsid w:val="00E6390A"/>
    <w:rsid w:val="00E640BA"/>
    <w:rsid w:val="00E64E52"/>
    <w:rsid w:val="00E65616"/>
    <w:rsid w:val="00E657C9"/>
    <w:rsid w:val="00E6583D"/>
    <w:rsid w:val="00E677CF"/>
    <w:rsid w:val="00E67F5D"/>
    <w:rsid w:val="00E700CE"/>
    <w:rsid w:val="00E704C3"/>
    <w:rsid w:val="00E712FC"/>
    <w:rsid w:val="00E71AA2"/>
    <w:rsid w:val="00E723FE"/>
    <w:rsid w:val="00E72979"/>
    <w:rsid w:val="00E73F8B"/>
    <w:rsid w:val="00E741BA"/>
    <w:rsid w:val="00E7473A"/>
    <w:rsid w:val="00E749FF"/>
    <w:rsid w:val="00E74A13"/>
    <w:rsid w:val="00E74B8F"/>
    <w:rsid w:val="00E76101"/>
    <w:rsid w:val="00E76CD3"/>
    <w:rsid w:val="00E801A5"/>
    <w:rsid w:val="00E81291"/>
    <w:rsid w:val="00E814BB"/>
    <w:rsid w:val="00E819AC"/>
    <w:rsid w:val="00E8217A"/>
    <w:rsid w:val="00E832D7"/>
    <w:rsid w:val="00E8458C"/>
    <w:rsid w:val="00E853C9"/>
    <w:rsid w:val="00E857D2"/>
    <w:rsid w:val="00E865B8"/>
    <w:rsid w:val="00E86792"/>
    <w:rsid w:val="00E90D22"/>
    <w:rsid w:val="00E91029"/>
    <w:rsid w:val="00E91376"/>
    <w:rsid w:val="00E91598"/>
    <w:rsid w:val="00E92A4E"/>
    <w:rsid w:val="00E933E0"/>
    <w:rsid w:val="00E95C6C"/>
    <w:rsid w:val="00E9676C"/>
    <w:rsid w:val="00E96E6B"/>
    <w:rsid w:val="00E97A91"/>
    <w:rsid w:val="00EA0966"/>
    <w:rsid w:val="00EA0A1C"/>
    <w:rsid w:val="00EA165F"/>
    <w:rsid w:val="00EA1FE1"/>
    <w:rsid w:val="00EA24B9"/>
    <w:rsid w:val="00EA273D"/>
    <w:rsid w:val="00EA5DD9"/>
    <w:rsid w:val="00EA67E7"/>
    <w:rsid w:val="00EB207A"/>
    <w:rsid w:val="00EB2EB4"/>
    <w:rsid w:val="00EB3917"/>
    <w:rsid w:val="00EB3E46"/>
    <w:rsid w:val="00EB541D"/>
    <w:rsid w:val="00EB58FC"/>
    <w:rsid w:val="00EB5939"/>
    <w:rsid w:val="00EB5B26"/>
    <w:rsid w:val="00EB64AA"/>
    <w:rsid w:val="00EB652A"/>
    <w:rsid w:val="00EB6F49"/>
    <w:rsid w:val="00EB6FA3"/>
    <w:rsid w:val="00EB78BE"/>
    <w:rsid w:val="00EB7920"/>
    <w:rsid w:val="00EB7DBD"/>
    <w:rsid w:val="00EC05CC"/>
    <w:rsid w:val="00EC0DAD"/>
    <w:rsid w:val="00EC130B"/>
    <w:rsid w:val="00EC1847"/>
    <w:rsid w:val="00EC3506"/>
    <w:rsid w:val="00EC3A40"/>
    <w:rsid w:val="00EC3ED4"/>
    <w:rsid w:val="00EC4443"/>
    <w:rsid w:val="00EC4A77"/>
    <w:rsid w:val="00EC4BE7"/>
    <w:rsid w:val="00EC4C13"/>
    <w:rsid w:val="00EC5C20"/>
    <w:rsid w:val="00EC6084"/>
    <w:rsid w:val="00EC614C"/>
    <w:rsid w:val="00EC706A"/>
    <w:rsid w:val="00EC731C"/>
    <w:rsid w:val="00ED0066"/>
    <w:rsid w:val="00ED06F4"/>
    <w:rsid w:val="00ED1808"/>
    <w:rsid w:val="00ED2435"/>
    <w:rsid w:val="00ED283E"/>
    <w:rsid w:val="00ED351A"/>
    <w:rsid w:val="00ED38B0"/>
    <w:rsid w:val="00ED3AE1"/>
    <w:rsid w:val="00ED4041"/>
    <w:rsid w:val="00ED48D1"/>
    <w:rsid w:val="00ED4F28"/>
    <w:rsid w:val="00EE06BF"/>
    <w:rsid w:val="00EE13CA"/>
    <w:rsid w:val="00EE19B3"/>
    <w:rsid w:val="00EE1A72"/>
    <w:rsid w:val="00EE1BE4"/>
    <w:rsid w:val="00EE3EBE"/>
    <w:rsid w:val="00EE3FAC"/>
    <w:rsid w:val="00EE4D24"/>
    <w:rsid w:val="00EE4DB3"/>
    <w:rsid w:val="00EE554E"/>
    <w:rsid w:val="00EE5FCF"/>
    <w:rsid w:val="00EE7458"/>
    <w:rsid w:val="00EE7F06"/>
    <w:rsid w:val="00EF0944"/>
    <w:rsid w:val="00EF1931"/>
    <w:rsid w:val="00EF294E"/>
    <w:rsid w:val="00EF39F8"/>
    <w:rsid w:val="00EF3FE4"/>
    <w:rsid w:val="00EF4433"/>
    <w:rsid w:val="00EF4565"/>
    <w:rsid w:val="00EF62E6"/>
    <w:rsid w:val="00EF7876"/>
    <w:rsid w:val="00EF7E8C"/>
    <w:rsid w:val="00F00F6F"/>
    <w:rsid w:val="00F013A1"/>
    <w:rsid w:val="00F02436"/>
    <w:rsid w:val="00F02655"/>
    <w:rsid w:val="00F02ED3"/>
    <w:rsid w:val="00F03627"/>
    <w:rsid w:val="00F04BA3"/>
    <w:rsid w:val="00F056BC"/>
    <w:rsid w:val="00F05FF0"/>
    <w:rsid w:val="00F06074"/>
    <w:rsid w:val="00F07200"/>
    <w:rsid w:val="00F105D3"/>
    <w:rsid w:val="00F10A1D"/>
    <w:rsid w:val="00F1237D"/>
    <w:rsid w:val="00F12417"/>
    <w:rsid w:val="00F131AD"/>
    <w:rsid w:val="00F142FF"/>
    <w:rsid w:val="00F14A12"/>
    <w:rsid w:val="00F14A77"/>
    <w:rsid w:val="00F1549F"/>
    <w:rsid w:val="00F16059"/>
    <w:rsid w:val="00F16158"/>
    <w:rsid w:val="00F172D9"/>
    <w:rsid w:val="00F17B7B"/>
    <w:rsid w:val="00F17C22"/>
    <w:rsid w:val="00F17CC1"/>
    <w:rsid w:val="00F20801"/>
    <w:rsid w:val="00F215E4"/>
    <w:rsid w:val="00F217FE"/>
    <w:rsid w:val="00F21AE2"/>
    <w:rsid w:val="00F21B11"/>
    <w:rsid w:val="00F21BD9"/>
    <w:rsid w:val="00F2209A"/>
    <w:rsid w:val="00F22F7D"/>
    <w:rsid w:val="00F23239"/>
    <w:rsid w:val="00F235EF"/>
    <w:rsid w:val="00F23A65"/>
    <w:rsid w:val="00F252D8"/>
    <w:rsid w:val="00F25874"/>
    <w:rsid w:val="00F25912"/>
    <w:rsid w:val="00F25B1C"/>
    <w:rsid w:val="00F27FE1"/>
    <w:rsid w:val="00F3041B"/>
    <w:rsid w:val="00F3080C"/>
    <w:rsid w:val="00F3275C"/>
    <w:rsid w:val="00F32907"/>
    <w:rsid w:val="00F3652C"/>
    <w:rsid w:val="00F36D0E"/>
    <w:rsid w:val="00F40377"/>
    <w:rsid w:val="00F40BB6"/>
    <w:rsid w:val="00F44405"/>
    <w:rsid w:val="00F449E2"/>
    <w:rsid w:val="00F44B36"/>
    <w:rsid w:val="00F44C0F"/>
    <w:rsid w:val="00F44C6D"/>
    <w:rsid w:val="00F44E47"/>
    <w:rsid w:val="00F462C8"/>
    <w:rsid w:val="00F46976"/>
    <w:rsid w:val="00F46A02"/>
    <w:rsid w:val="00F50C5E"/>
    <w:rsid w:val="00F51F6D"/>
    <w:rsid w:val="00F52073"/>
    <w:rsid w:val="00F52372"/>
    <w:rsid w:val="00F52F12"/>
    <w:rsid w:val="00F533ED"/>
    <w:rsid w:val="00F53B3E"/>
    <w:rsid w:val="00F53C74"/>
    <w:rsid w:val="00F553BB"/>
    <w:rsid w:val="00F55C97"/>
    <w:rsid w:val="00F55DD5"/>
    <w:rsid w:val="00F5666E"/>
    <w:rsid w:val="00F576AF"/>
    <w:rsid w:val="00F576C9"/>
    <w:rsid w:val="00F57CA5"/>
    <w:rsid w:val="00F57F03"/>
    <w:rsid w:val="00F57F1B"/>
    <w:rsid w:val="00F623BC"/>
    <w:rsid w:val="00F62761"/>
    <w:rsid w:val="00F62B24"/>
    <w:rsid w:val="00F63480"/>
    <w:rsid w:val="00F635D7"/>
    <w:rsid w:val="00F64BB4"/>
    <w:rsid w:val="00F65AB0"/>
    <w:rsid w:val="00F65F69"/>
    <w:rsid w:val="00F661B6"/>
    <w:rsid w:val="00F6657E"/>
    <w:rsid w:val="00F67AF4"/>
    <w:rsid w:val="00F70CEB"/>
    <w:rsid w:val="00F7124C"/>
    <w:rsid w:val="00F71514"/>
    <w:rsid w:val="00F7163D"/>
    <w:rsid w:val="00F7289E"/>
    <w:rsid w:val="00F742AE"/>
    <w:rsid w:val="00F748C3"/>
    <w:rsid w:val="00F757F7"/>
    <w:rsid w:val="00F760BA"/>
    <w:rsid w:val="00F776C0"/>
    <w:rsid w:val="00F77BCB"/>
    <w:rsid w:val="00F81058"/>
    <w:rsid w:val="00F8113D"/>
    <w:rsid w:val="00F8174D"/>
    <w:rsid w:val="00F837E5"/>
    <w:rsid w:val="00F83F5D"/>
    <w:rsid w:val="00F84AFF"/>
    <w:rsid w:val="00F86F42"/>
    <w:rsid w:val="00F873EA"/>
    <w:rsid w:val="00F90085"/>
    <w:rsid w:val="00F901C4"/>
    <w:rsid w:val="00F9085F"/>
    <w:rsid w:val="00F916A0"/>
    <w:rsid w:val="00F92079"/>
    <w:rsid w:val="00F92EFA"/>
    <w:rsid w:val="00F93725"/>
    <w:rsid w:val="00F940FC"/>
    <w:rsid w:val="00F94648"/>
    <w:rsid w:val="00F948FC"/>
    <w:rsid w:val="00F949D2"/>
    <w:rsid w:val="00F95BDF"/>
    <w:rsid w:val="00F95EAE"/>
    <w:rsid w:val="00F96CFB"/>
    <w:rsid w:val="00F96F4A"/>
    <w:rsid w:val="00F9721E"/>
    <w:rsid w:val="00F97AC1"/>
    <w:rsid w:val="00FA0B31"/>
    <w:rsid w:val="00FA10BD"/>
    <w:rsid w:val="00FA1562"/>
    <w:rsid w:val="00FA1E85"/>
    <w:rsid w:val="00FA24AE"/>
    <w:rsid w:val="00FA2D8B"/>
    <w:rsid w:val="00FA3351"/>
    <w:rsid w:val="00FA4087"/>
    <w:rsid w:val="00FA4E3F"/>
    <w:rsid w:val="00FA5030"/>
    <w:rsid w:val="00FA588D"/>
    <w:rsid w:val="00FA68A3"/>
    <w:rsid w:val="00FA72A8"/>
    <w:rsid w:val="00FA780F"/>
    <w:rsid w:val="00FA7B1A"/>
    <w:rsid w:val="00FA7F4B"/>
    <w:rsid w:val="00FB022C"/>
    <w:rsid w:val="00FB0859"/>
    <w:rsid w:val="00FB0D08"/>
    <w:rsid w:val="00FB14AE"/>
    <w:rsid w:val="00FB3EC8"/>
    <w:rsid w:val="00FB3F30"/>
    <w:rsid w:val="00FB425A"/>
    <w:rsid w:val="00FB4964"/>
    <w:rsid w:val="00FB5329"/>
    <w:rsid w:val="00FB5A41"/>
    <w:rsid w:val="00FB5D1B"/>
    <w:rsid w:val="00FB77C0"/>
    <w:rsid w:val="00FB793E"/>
    <w:rsid w:val="00FC2928"/>
    <w:rsid w:val="00FC2C47"/>
    <w:rsid w:val="00FC2F2D"/>
    <w:rsid w:val="00FC5114"/>
    <w:rsid w:val="00FC5404"/>
    <w:rsid w:val="00FC57CE"/>
    <w:rsid w:val="00FC5A2A"/>
    <w:rsid w:val="00FC5D33"/>
    <w:rsid w:val="00FC5EE5"/>
    <w:rsid w:val="00FC7753"/>
    <w:rsid w:val="00FC7A58"/>
    <w:rsid w:val="00FD066B"/>
    <w:rsid w:val="00FD0800"/>
    <w:rsid w:val="00FD0CFE"/>
    <w:rsid w:val="00FD19B3"/>
    <w:rsid w:val="00FD2D4D"/>
    <w:rsid w:val="00FD39F6"/>
    <w:rsid w:val="00FD3B5A"/>
    <w:rsid w:val="00FD41D2"/>
    <w:rsid w:val="00FD5FBE"/>
    <w:rsid w:val="00FD6535"/>
    <w:rsid w:val="00FD7706"/>
    <w:rsid w:val="00FD7C4C"/>
    <w:rsid w:val="00FD7FA1"/>
    <w:rsid w:val="00FE0634"/>
    <w:rsid w:val="00FE0A72"/>
    <w:rsid w:val="00FE130B"/>
    <w:rsid w:val="00FE1F92"/>
    <w:rsid w:val="00FE2619"/>
    <w:rsid w:val="00FE29B8"/>
    <w:rsid w:val="00FE2FDD"/>
    <w:rsid w:val="00FE36A1"/>
    <w:rsid w:val="00FE466B"/>
    <w:rsid w:val="00FE47DE"/>
    <w:rsid w:val="00FE5FFF"/>
    <w:rsid w:val="00FE6C2D"/>
    <w:rsid w:val="00FF06B9"/>
    <w:rsid w:val="00FF0EB9"/>
    <w:rsid w:val="00FF1033"/>
    <w:rsid w:val="00FF1134"/>
    <w:rsid w:val="00FF1555"/>
    <w:rsid w:val="00FF24A5"/>
    <w:rsid w:val="00FF31EB"/>
    <w:rsid w:val="00FF4B52"/>
    <w:rsid w:val="00FF6149"/>
    <w:rsid w:val="00FF6EE7"/>
    <w:rsid w:val="00FF759B"/>
    <w:rsid w:val="00FF75A0"/>
    <w:rsid w:val="00FF7699"/>
    <w:rsid w:val="010D7DD7"/>
    <w:rsid w:val="016A347B"/>
    <w:rsid w:val="03F01093"/>
    <w:rsid w:val="06E74FC6"/>
    <w:rsid w:val="081303C8"/>
    <w:rsid w:val="08137DE1"/>
    <w:rsid w:val="08462EA2"/>
    <w:rsid w:val="087566B7"/>
    <w:rsid w:val="08EF7A39"/>
    <w:rsid w:val="09547AF8"/>
    <w:rsid w:val="099C5A3B"/>
    <w:rsid w:val="0AC848FC"/>
    <w:rsid w:val="0BD04822"/>
    <w:rsid w:val="0C756C7F"/>
    <w:rsid w:val="0D5D665A"/>
    <w:rsid w:val="0EDF64BB"/>
    <w:rsid w:val="0F2D194D"/>
    <w:rsid w:val="10CD08DA"/>
    <w:rsid w:val="10D34B99"/>
    <w:rsid w:val="110F1949"/>
    <w:rsid w:val="11E44848"/>
    <w:rsid w:val="124A70DD"/>
    <w:rsid w:val="12B262EF"/>
    <w:rsid w:val="12FC2ECD"/>
    <w:rsid w:val="140908D1"/>
    <w:rsid w:val="143811B7"/>
    <w:rsid w:val="14A25D60"/>
    <w:rsid w:val="151E215B"/>
    <w:rsid w:val="16473933"/>
    <w:rsid w:val="16565924"/>
    <w:rsid w:val="16B3345A"/>
    <w:rsid w:val="17165E33"/>
    <w:rsid w:val="175F0E38"/>
    <w:rsid w:val="18047C45"/>
    <w:rsid w:val="189B0BAE"/>
    <w:rsid w:val="18BC07BE"/>
    <w:rsid w:val="18E8383A"/>
    <w:rsid w:val="19962C07"/>
    <w:rsid w:val="1B065FB0"/>
    <w:rsid w:val="1BD21EF1"/>
    <w:rsid w:val="1BD6378F"/>
    <w:rsid w:val="1BD70F38"/>
    <w:rsid w:val="1C563D17"/>
    <w:rsid w:val="1DBB0E8E"/>
    <w:rsid w:val="1EE6133B"/>
    <w:rsid w:val="221C2390"/>
    <w:rsid w:val="232D6EF0"/>
    <w:rsid w:val="24182B55"/>
    <w:rsid w:val="25A71CF8"/>
    <w:rsid w:val="25D84740"/>
    <w:rsid w:val="27752099"/>
    <w:rsid w:val="277D0F63"/>
    <w:rsid w:val="27A33318"/>
    <w:rsid w:val="290B1054"/>
    <w:rsid w:val="295D729E"/>
    <w:rsid w:val="296E3259"/>
    <w:rsid w:val="29BFF483"/>
    <w:rsid w:val="2BDF5507"/>
    <w:rsid w:val="2CC47634"/>
    <w:rsid w:val="2CD06EDE"/>
    <w:rsid w:val="2ECE4309"/>
    <w:rsid w:val="30566085"/>
    <w:rsid w:val="317A1902"/>
    <w:rsid w:val="317E3AB7"/>
    <w:rsid w:val="34C82BB2"/>
    <w:rsid w:val="3647730B"/>
    <w:rsid w:val="37107237"/>
    <w:rsid w:val="389C3213"/>
    <w:rsid w:val="3B295232"/>
    <w:rsid w:val="3D8FA4FD"/>
    <w:rsid w:val="3E060E19"/>
    <w:rsid w:val="3EA03A5D"/>
    <w:rsid w:val="3F07131D"/>
    <w:rsid w:val="3F5C23E9"/>
    <w:rsid w:val="3F7E18C4"/>
    <w:rsid w:val="4242307D"/>
    <w:rsid w:val="443E03E3"/>
    <w:rsid w:val="44A42CBE"/>
    <w:rsid w:val="45423BC3"/>
    <w:rsid w:val="45C832BA"/>
    <w:rsid w:val="45D43293"/>
    <w:rsid w:val="484D5382"/>
    <w:rsid w:val="492F1164"/>
    <w:rsid w:val="493C4083"/>
    <w:rsid w:val="49583186"/>
    <w:rsid w:val="49712CC1"/>
    <w:rsid w:val="49E245E6"/>
    <w:rsid w:val="4A776FA6"/>
    <w:rsid w:val="4B686AE1"/>
    <w:rsid w:val="4C0B2731"/>
    <w:rsid w:val="4C5E6D05"/>
    <w:rsid w:val="4CB7121B"/>
    <w:rsid w:val="4CD1139A"/>
    <w:rsid w:val="4D866514"/>
    <w:rsid w:val="4E135CE8"/>
    <w:rsid w:val="4F2F70DF"/>
    <w:rsid w:val="4F927937"/>
    <w:rsid w:val="5276096C"/>
    <w:rsid w:val="551E34D6"/>
    <w:rsid w:val="5540344C"/>
    <w:rsid w:val="5704320B"/>
    <w:rsid w:val="57DE7188"/>
    <w:rsid w:val="58B31B93"/>
    <w:rsid w:val="58FB666B"/>
    <w:rsid w:val="595A6C75"/>
    <w:rsid w:val="5AAA425F"/>
    <w:rsid w:val="5BD81FA4"/>
    <w:rsid w:val="5C4C6B7A"/>
    <w:rsid w:val="5C7D7529"/>
    <w:rsid w:val="5CF66D48"/>
    <w:rsid w:val="607E12CC"/>
    <w:rsid w:val="62405C9B"/>
    <w:rsid w:val="63193BD8"/>
    <w:rsid w:val="63F374BD"/>
    <w:rsid w:val="64A45274"/>
    <w:rsid w:val="6583251D"/>
    <w:rsid w:val="66AF73DB"/>
    <w:rsid w:val="686F79F8"/>
    <w:rsid w:val="689478DF"/>
    <w:rsid w:val="6A235D53"/>
    <w:rsid w:val="6D425CCF"/>
    <w:rsid w:val="6F264514"/>
    <w:rsid w:val="6F32398A"/>
    <w:rsid w:val="6F6124E5"/>
    <w:rsid w:val="6F683EBB"/>
    <w:rsid w:val="6F79F26F"/>
    <w:rsid w:val="70FD7DDB"/>
    <w:rsid w:val="712B6906"/>
    <w:rsid w:val="729C51E9"/>
    <w:rsid w:val="72C75645"/>
    <w:rsid w:val="731E50E5"/>
    <w:rsid w:val="73B97BA3"/>
    <w:rsid w:val="74C94DB4"/>
    <w:rsid w:val="768752A6"/>
    <w:rsid w:val="78FC0B2C"/>
    <w:rsid w:val="79441191"/>
    <w:rsid w:val="795D0175"/>
    <w:rsid w:val="7A8F744A"/>
    <w:rsid w:val="7B2748D5"/>
    <w:rsid w:val="7BFFB55D"/>
    <w:rsid w:val="7C8B4568"/>
    <w:rsid w:val="7CA81753"/>
    <w:rsid w:val="7D223C8C"/>
    <w:rsid w:val="7EE527EB"/>
    <w:rsid w:val="DBAFF323"/>
    <w:rsid w:val="ED72EE6A"/>
    <w:rsid w:val="EFD3395F"/>
    <w:rsid w:val="F6FF6E3B"/>
    <w:rsid w:val="F77A0E9C"/>
    <w:rsid w:val="FF3F54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jc w:val="center"/>
      <w:outlineLvl w:val="0"/>
    </w:pPr>
    <w:rPr>
      <w:sz w:val="28"/>
    </w:rPr>
  </w:style>
  <w:style w:type="paragraph" w:styleId="3">
    <w:name w:val="heading 2"/>
    <w:basedOn w:val="1"/>
    <w:next w:val="1"/>
    <w:link w:val="5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before="260" w:after="260" w:line="416" w:lineRule="auto"/>
      <w:outlineLvl w:val="2"/>
    </w:pPr>
    <w:rPr>
      <w:b/>
      <w:bCs/>
      <w:sz w:val="32"/>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6" w:lineRule="auto"/>
      <w:outlineLvl w:val="4"/>
    </w:pPr>
    <w:rPr>
      <w:b/>
      <w:bCs/>
      <w:sz w:val="28"/>
      <w:szCs w:val="28"/>
    </w:rPr>
  </w:style>
  <w:style w:type="paragraph" w:styleId="7">
    <w:name w:val="heading 6"/>
    <w:basedOn w:val="1"/>
    <w:next w:val="8"/>
    <w:link w:val="60"/>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9">
    <w:name w:val="heading 7"/>
    <w:basedOn w:val="1"/>
    <w:next w:val="8"/>
    <w:link w:val="62"/>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0">
    <w:name w:val="heading 8"/>
    <w:basedOn w:val="1"/>
    <w:next w:val="8"/>
    <w:link w:val="63"/>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1">
    <w:name w:val="heading 9"/>
    <w:basedOn w:val="1"/>
    <w:next w:val="8"/>
    <w:link w:val="64"/>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48">
    <w:name w:val="Default Paragraph Font"/>
    <w:semiHidden/>
    <w:unhideWhenUsed/>
    <w:qFormat/>
    <w:uiPriority w:val="1"/>
  </w:style>
  <w:style w:type="table" w:default="1" w:styleId="4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link w:val="61"/>
    <w:qFormat/>
    <w:uiPriority w:val="0"/>
    <w:pPr>
      <w:spacing w:after="50"/>
      <w:ind w:firstLine="200" w:firstLineChars="200"/>
    </w:pPr>
    <w:rPr>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5"/>
    <w:qFormat/>
    <w:uiPriority w:val="0"/>
    <w:pPr>
      <w:shd w:val="clear" w:color="auto" w:fill="000080"/>
    </w:pPr>
  </w:style>
  <w:style w:type="paragraph" w:styleId="16">
    <w:name w:val="toa heading"/>
    <w:basedOn w:val="1"/>
    <w:next w:val="1"/>
    <w:semiHidden/>
    <w:qFormat/>
    <w:uiPriority w:val="0"/>
    <w:pPr>
      <w:spacing w:before="120"/>
    </w:pPr>
    <w:rPr>
      <w:rFonts w:ascii="Arial" w:hAnsi="Arial" w:cs="Arial"/>
      <w:sz w:val="24"/>
    </w:rPr>
  </w:style>
  <w:style w:type="paragraph" w:styleId="17">
    <w:name w:val="annotation text"/>
    <w:basedOn w:val="1"/>
    <w:link w:val="66"/>
    <w:qFormat/>
    <w:uiPriority w:val="99"/>
    <w:pPr>
      <w:jc w:val="left"/>
    </w:pPr>
  </w:style>
  <w:style w:type="paragraph" w:styleId="18">
    <w:name w:val="Body Text 3"/>
    <w:basedOn w:val="1"/>
    <w:link w:val="67"/>
    <w:qFormat/>
    <w:uiPriority w:val="0"/>
    <w:pPr>
      <w:spacing w:beforeLines="100" w:afterLines="100" w:line="400" w:lineRule="exact"/>
    </w:pPr>
    <w:rPr>
      <w:rFonts w:ascii="宋体" w:hAnsi="宋体"/>
      <w:sz w:val="24"/>
    </w:rPr>
  </w:style>
  <w:style w:type="paragraph" w:styleId="19">
    <w:name w:val="Body Text"/>
    <w:basedOn w:val="1"/>
    <w:link w:val="68"/>
    <w:qFormat/>
    <w:uiPriority w:val="0"/>
    <w:rPr>
      <w:rFonts w:ascii="Arial" w:hAnsi="Arial"/>
      <w:bCs/>
      <w:sz w:val="24"/>
    </w:rPr>
  </w:style>
  <w:style w:type="paragraph" w:styleId="20">
    <w:name w:val="Body Text Indent"/>
    <w:basedOn w:val="1"/>
    <w:link w:val="69"/>
    <w:qFormat/>
    <w:uiPriority w:val="0"/>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1">
    <w:name w:val="List Number 3"/>
    <w:basedOn w:val="1"/>
    <w:qFormat/>
    <w:uiPriority w:val="0"/>
    <w:pPr>
      <w:widowControl/>
      <w:tabs>
        <w:tab w:val="left" w:pos="1080"/>
        <w:tab w:val="left" w:pos="1200"/>
      </w:tabs>
      <w:ind w:left="1080" w:hanging="1080"/>
      <w:contextualSpacing/>
      <w:jc w:val="left"/>
    </w:pPr>
    <w:rPr>
      <w:kern w:val="0"/>
      <w:szCs w:val="20"/>
    </w:rPr>
  </w:style>
  <w:style w:type="paragraph" w:styleId="22">
    <w:name w:val="List 2"/>
    <w:basedOn w:val="1"/>
    <w:qFormat/>
    <w:uiPriority w:val="0"/>
    <w:pPr>
      <w:ind w:left="100" w:leftChars="200" w:hanging="200" w:hangingChars="200"/>
    </w:pPr>
    <w:rPr>
      <w:rFonts w:ascii="Calibri" w:hAnsi="Calibri"/>
      <w:szCs w:val="22"/>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link w:val="70"/>
    <w:qFormat/>
    <w:uiPriority w:val="0"/>
    <w:rPr>
      <w:rFonts w:ascii="宋体" w:hAnsi="Courier New"/>
      <w:szCs w:val="20"/>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link w:val="71"/>
    <w:qFormat/>
    <w:uiPriority w:val="0"/>
    <w:pPr>
      <w:ind w:left="100" w:leftChars="2500"/>
    </w:pPr>
    <w:rPr>
      <w:color w:val="000000"/>
      <w:sz w:val="24"/>
    </w:rPr>
  </w:style>
  <w:style w:type="paragraph" w:styleId="28">
    <w:name w:val="Body Text Indent 2"/>
    <w:basedOn w:val="1"/>
    <w:link w:val="72"/>
    <w:qFormat/>
    <w:uiPriority w:val="0"/>
    <w:pPr>
      <w:widowControl/>
      <w:spacing w:line="480" w:lineRule="atLeast"/>
      <w:ind w:firstLine="480"/>
    </w:pPr>
    <w:rPr>
      <w:rFonts w:ascii="宋体"/>
      <w:kern w:val="0"/>
      <w:sz w:val="24"/>
      <w:szCs w:val="20"/>
    </w:rPr>
  </w:style>
  <w:style w:type="paragraph" w:styleId="29">
    <w:name w:val="Balloon Text"/>
    <w:basedOn w:val="1"/>
    <w:link w:val="73"/>
    <w:qFormat/>
    <w:uiPriority w:val="0"/>
    <w:rPr>
      <w:sz w:val="18"/>
      <w:szCs w:val="18"/>
    </w:rPr>
  </w:style>
  <w:style w:type="paragraph" w:styleId="30">
    <w:name w:val="footer"/>
    <w:basedOn w:val="1"/>
    <w:link w:val="74"/>
    <w:qFormat/>
    <w:uiPriority w:val="99"/>
    <w:pPr>
      <w:tabs>
        <w:tab w:val="center" w:pos="4153"/>
        <w:tab w:val="right" w:pos="8306"/>
      </w:tabs>
      <w:snapToGrid w:val="0"/>
      <w:jc w:val="left"/>
    </w:pPr>
    <w:rPr>
      <w:sz w:val="18"/>
      <w:szCs w:val="18"/>
    </w:rPr>
  </w:style>
  <w:style w:type="paragraph" w:styleId="31">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rPr>
      <w:rFonts w:ascii="宋体" w:hAnsi="宋体"/>
      <w:b/>
      <w:sz w:val="24"/>
    </w:rPr>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Body Text Indent 3"/>
    <w:basedOn w:val="1"/>
    <w:link w:val="76"/>
    <w:qFormat/>
    <w:uiPriority w:val="0"/>
    <w:pPr>
      <w:autoSpaceDE w:val="0"/>
      <w:autoSpaceDN w:val="0"/>
      <w:spacing w:line="400" w:lineRule="atLeast"/>
      <w:ind w:firstLine="443" w:firstLineChars="200"/>
      <w:textAlignment w:val="bottom"/>
    </w:pPr>
    <w:rPr>
      <w:rFonts w:eastAsia="黑体"/>
      <w:color w:val="000000"/>
      <w:sz w:val="24"/>
    </w:rPr>
  </w:style>
  <w:style w:type="paragraph" w:styleId="36">
    <w:name w:val="table of figures"/>
    <w:basedOn w:val="1"/>
    <w:next w:val="1"/>
    <w:qFormat/>
    <w:uiPriority w:val="0"/>
    <w:pPr>
      <w:widowControl/>
      <w:ind w:left="840" w:leftChars="200" w:hanging="420" w:hangingChars="200"/>
      <w:jc w:val="left"/>
    </w:pPr>
    <w:rPr>
      <w:kern w:val="0"/>
      <w:szCs w:val="20"/>
    </w:rPr>
  </w:style>
  <w:style w:type="paragraph" w:styleId="37">
    <w:name w:val="toc 2"/>
    <w:basedOn w:val="1"/>
    <w:next w:val="1"/>
    <w:qFormat/>
    <w:uiPriority w:val="39"/>
    <w:pPr>
      <w:ind w:left="420" w:leftChars="200"/>
    </w:pPr>
  </w:style>
  <w:style w:type="paragraph" w:styleId="38">
    <w:name w:val="toc 9"/>
    <w:basedOn w:val="1"/>
    <w:next w:val="1"/>
    <w:semiHidden/>
    <w:qFormat/>
    <w:uiPriority w:val="0"/>
    <w:pPr>
      <w:ind w:left="1680"/>
      <w:jc w:val="left"/>
    </w:pPr>
    <w:rPr>
      <w:sz w:val="18"/>
      <w:szCs w:val="18"/>
    </w:rPr>
  </w:style>
  <w:style w:type="paragraph" w:styleId="39">
    <w:name w:val="Body Text 2"/>
    <w:basedOn w:val="1"/>
    <w:link w:val="77"/>
    <w:qFormat/>
    <w:uiPriority w:val="0"/>
    <w:pPr>
      <w:spacing w:after="120" w:line="480" w:lineRule="auto"/>
    </w:p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Title"/>
    <w:basedOn w:val="1"/>
    <w:link w:val="78"/>
    <w:qFormat/>
    <w:uiPriority w:val="0"/>
    <w:pPr>
      <w:spacing w:before="240" w:after="60"/>
      <w:jc w:val="center"/>
      <w:outlineLvl w:val="0"/>
    </w:pPr>
    <w:rPr>
      <w:rFonts w:ascii="Arial" w:hAnsi="Arial"/>
      <w:b/>
      <w:bCs/>
      <w:sz w:val="32"/>
      <w:szCs w:val="32"/>
    </w:rPr>
  </w:style>
  <w:style w:type="paragraph" w:styleId="43">
    <w:name w:val="annotation subject"/>
    <w:basedOn w:val="17"/>
    <w:next w:val="17"/>
    <w:link w:val="79"/>
    <w:qFormat/>
    <w:uiPriority w:val="0"/>
    <w:rPr>
      <w:b/>
      <w:bCs/>
    </w:rPr>
  </w:style>
  <w:style w:type="paragraph" w:styleId="44">
    <w:name w:val="Body Text First Indent"/>
    <w:basedOn w:val="19"/>
    <w:link w:val="80"/>
    <w:qFormat/>
    <w:uiPriority w:val="0"/>
    <w:pPr>
      <w:spacing w:after="120"/>
      <w:ind w:firstLine="420" w:firstLineChars="100"/>
    </w:pPr>
    <w:rPr>
      <w:rFonts w:ascii="Times New Roman" w:hAnsi="Times New Roman"/>
      <w:bCs w:val="0"/>
      <w:sz w:val="21"/>
    </w:rPr>
  </w:style>
  <w:style w:type="paragraph" w:styleId="45">
    <w:name w:val="Body Text First Indent 2"/>
    <w:basedOn w:val="20"/>
    <w:link w:val="81"/>
    <w:qFormat/>
    <w:uiPriority w:val="0"/>
    <w:pPr>
      <w:autoSpaceDE/>
      <w:autoSpaceDN/>
      <w:adjustRightInd/>
      <w:snapToGrid/>
      <w:spacing w:after="120" w:line="240" w:lineRule="auto"/>
      <w:ind w:left="420" w:leftChars="200" w:firstLine="420" w:firstLineChars="200"/>
      <w:textAlignment w:val="auto"/>
    </w:pPr>
    <w:rPr>
      <w:rFonts w:ascii="Times New Roman" w:eastAsia="宋体"/>
      <w:b w:val="0"/>
      <w:bCs w:val="0"/>
      <w:color w:val="auto"/>
      <w:sz w:val="21"/>
    </w:r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qFormat/>
    <w:uiPriority w:val="20"/>
    <w:rPr>
      <w:rFonts w:eastAsia="宋体"/>
      <w:color w:val="CC0033"/>
      <w:kern w:val="2"/>
      <w:sz w:val="24"/>
      <w:szCs w:val="24"/>
      <w:lang w:val="en-US" w:eastAsia="zh-CN" w:bidi="ar-SA"/>
    </w:rPr>
  </w:style>
  <w:style w:type="character" w:styleId="53">
    <w:name w:val="Hyperlink"/>
    <w:qFormat/>
    <w:uiPriority w:val="99"/>
    <w:rPr>
      <w:color w:val="0000FF"/>
      <w:u w:val="single"/>
    </w:rPr>
  </w:style>
  <w:style w:type="character" w:styleId="54">
    <w:name w:val="annotation reference"/>
    <w:qFormat/>
    <w:uiPriority w:val="0"/>
    <w:rPr>
      <w:rFonts w:eastAsia="宋体"/>
      <w:kern w:val="2"/>
      <w:sz w:val="21"/>
      <w:szCs w:val="21"/>
      <w:lang w:val="en-US" w:eastAsia="zh-CN" w:bidi="ar-SA"/>
    </w:rPr>
  </w:style>
  <w:style w:type="character" w:customStyle="1" w:styleId="55">
    <w:name w:val="标题 1 Char"/>
    <w:link w:val="2"/>
    <w:qFormat/>
    <w:uiPriority w:val="0"/>
    <w:rPr>
      <w:rFonts w:eastAsia="宋体"/>
      <w:kern w:val="2"/>
      <w:sz w:val="28"/>
      <w:szCs w:val="24"/>
      <w:lang w:val="en-US" w:eastAsia="zh-CN" w:bidi="ar-SA"/>
    </w:rPr>
  </w:style>
  <w:style w:type="character" w:customStyle="1" w:styleId="56">
    <w:name w:val="标题 2 Char"/>
    <w:link w:val="3"/>
    <w:qFormat/>
    <w:uiPriority w:val="9"/>
    <w:rPr>
      <w:rFonts w:ascii="Arial" w:hAnsi="Arial" w:eastAsia="黑体"/>
      <w:b/>
      <w:bCs/>
      <w:kern w:val="2"/>
      <w:sz w:val="32"/>
      <w:szCs w:val="32"/>
      <w:lang w:val="en-US" w:eastAsia="zh-CN" w:bidi="ar-SA"/>
    </w:rPr>
  </w:style>
  <w:style w:type="character" w:customStyle="1" w:styleId="57">
    <w:name w:val="标题 3 Char"/>
    <w:link w:val="4"/>
    <w:qFormat/>
    <w:uiPriority w:val="0"/>
    <w:rPr>
      <w:b/>
      <w:bCs/>
      <w:kern w:val="2"/>
      <w:sz w:val="32"/>
      <w:szCs w:val="32"/>
    </w:rPr>
  </w:style>
  <w:style w:type="character" w:customStyle="1" w:styleId="58">
    <w:name w:val="标题 4 Char"/>
    <w:link w:val="5"/>
    <w:qFormat/>
    <w:uiPriority w:val="0"/>
    <w:rPr>
      <w:rFonts w:ascii="Arial" w:hAnsi="Arial" w:eastAsia="黑体"/>
      <w:b/>
      <w:bCs/>
      <w:kern w:val="2"/>
      <w:sz w:val="28"/>
      <w:szCs w:val="28"/>
    </w:rPr>
  </w:style>
  <w:style w:type="character" w:customStyle="1" w:styleId="59">
    <w:name w:val="标题 5 Char"/>
    <w:link w:val="6"/>
    <w:qFormat/>
    <w:uiPriority w:val="0"/>
    <w:rPr>
      <w:b/>
      <w:bCs/>
      <w:kern w:val="2"/>
      <w:sz w:val="28"/>
      <w:szCs w:val="28"/>
    </w:rPr>
  </w:style>
  <w:style w:type="character" w:customStyle="1" w:styleId="60">
    <w:name w:val="标题 6 Char"/>
    <w:link w:val="7"/>
    <w:qFormat/>
    <w:uiPriority w:val="0"/>
    <w:rPr>
      <w:rFonts w:ascii="Arial" w:hAnsi="Arial" w:eastAsia="黑体"/>
      <w:b/>
      <w:bCs/>
      <w:spacing w:val="6"/>
      <w:kern w:val="2"/>
      <w:sz w:val="24"/>
      <w:szCs w:val="24"/>
    </w:rPr>
  </w:style>
  <w:style w:type="character" w:customStyle="1" w:styleId="61">
    <w:name w:val="正文缩进 Char"/>
    <w:link w:val="8"/>
    <w:qFormat/>
    <w:uiPriority w:val="0"/>
    <w:rPr>
      <w:rFonts w:eastAsia="宋体"/>
      <w:kern w:val="2"/>
      <w:sz w:val="24"/>
      <w:lang w:val="en-US" w:eastAsia="zh-CN" w:bidi="ar-SA"/>
    </w:rPr>
  </w:style>
  <w:style w:type="character" w:customStyle="1" w:styleId="62">
    <w:name w:val="标题 7 Char"/>
    <w:link w:val="9"/>
    <w:qFormat/>
    <w:uiPriority w:val="0"/>
    <w:rPr>
      <w:b/>
      <w:bCs/>
      <w:spacing w:val="6"/>
      <w:kern w:val="2"/>
      <w:sz w:val="24"/>
      <w:szCs w:val="24"/>
    </w:rPr>
  </w:style>
  <w:style w:type="character" w:customStyle="1" w:styleId="63">
    <w:name w:val="标题 8 Char"/>
    <w:link w:val="10"/>
    <w:qFormat/>
    <w:uiPriority w:val="0"/>
    <w:rPr>
      <w:rFonts w:ascii="Arial" w:hAnsi="Arial" w:eastAsia="黑体"/>
      <w:spacing w:val="6"/>
      <w:kern w:val="2"/>
      <w:sz w:val="24"/>
      <w:szCs w:val="24"/>
    </w:rPr>
  </w:style>
  <w:style w:type="character" w:customStyle="1" w:styleId="64">
    <w:name w:val="标题 9 Char"/>
    <w:link w:val="11"/>
    <w:qFormat/>
    <w:uiPriority w:val="0"/>
    <w:rPr>
      <w:rFonts w:ascii="Arial" w:hAnsi="Arial" w:eastAsia="黑体"/>
      <w:spacing w:val="6"/>
      <w:kern w:val="2"/>
      <w:sz w:val="24"/>
      <w:szCs w:val="24"/>
    </w:rPr>
  </w:style>
  <w:style w:type="character" w:customStyle="1" w:styleId="65">
    <w:name w:val="文档结构图 Char"/>
    <w:link w:val="15"/>
    <w:qFormat/>
    <w:uiPriority w:val="0"/>
    <w:rPr>
      <w:kern w:val="2"/>
      <w:sz w:val="21"/>
      <w:szCs w:val="24"/>
      <w:shd w:val="clear" w:color="auto" w:fill="000080"/>
    </w:rPr>
  </w:style>
  <w:style w:type="character" w:customStyle="1" w:styleId="66">
    <w:name w:val="批注文字 Char"/>
    <w:link w:val="17"/>
    <w:qFormat/>
    <w:uiPriority w:val="99"/>
    <w:rPr>
      <w:kern w:val="2"/>
      <w:sz w:val="21"/>
      <w:szCs w:val="24"/>
    </w:rPr>
  </w:style>
  <w:style w:type="character" w:customStyle="1" w:styleId="67">
    <w:name w:val="正文文本 3 Char"/>
    <w:link w:val="18"/>
    <w:qFormat/>
    <w:uiPriority w:val="0"/>
    <w:rPr>
      <w:rFonts w:ascii="宋体" w:hAnsi="宋体"/>
      <w:kern w:val="2"/>
      <w:sz w:val="24"/>
      <w:szCs w:val="24"/>
    </w:rPr>
  </w:style>
  <w:style w:type="character" w:customStyle="1" w:styleId="68">
    <w:name w:val="正文文本 Char"/>
    <w:link w:val="19"/>
    <w:qFormat/>
    <w:uiPriority w:val="0"/>
    <w:rPr>
      <w:rFonts w:ascii="Arial" w:hAnsi="Arial"/>
      <w:bCs/>
      <w:kern w:val="2"/>
      <w:sz w:val="24"/>
      <w:szCs w:val="24"/>
    </w:rPr>
  </w:style>
  <w:style w:type="character" w:customStyle="1" w:styleId="69">
    <w:name w:val="正文文本缩进 Char"/>
    <w:link w:val="20"/>
    <w:qFormat/>
    <w:uiPriority w:val="0"/>
    <w:rPr>
      <w:rFonts w:ascii="仿宋_GB2312" w:eastAsia="仿宋_GB2312"/>
      <w:b/>
      <w:bCs/>
      <w:color w:val="000000"/>
      <w:kern w:val="2"/>
      <w:sz w:val="24"/>
      <w:szCs w:val="24"/>
    </w:rPr>
  </w:style>
  <w:style w:type="character" w:customStyle="1" w:styleId="70">
    <w:name w:val="纯文本 Char"/>
    <w:link w:val="25"/>
    <w:qFormat/>
    <w:uiPriority w:val="0"/>
    <w:rPr>
      <w:rFonts w:ascii="宋体" w:hAnsi="Courier New" w:eastAsia="宋体"/>
      <w:kern w:val="2"/>
      <w:sz w:val="21"/>
      <w:lang w:val="en-US" w:eastAsia="zh-CN" w:bidi="ar-SA"/>
    </w:rPr>
  </w:style>
  <w:style w:type="character" w:customStyle="1" w:styleId="71">
    <w:name w:val="日期 Char"/>
    <w:link w:val="27"/>
    <w:qFormat/>
    <w:uiPriority w:val="0"/>
    <w:rPr>
      <w:rFonts w:eastAsia="宋体"/>
      <w:color w:val="000000"/>
      <w:kern w:val="2"/>
      <w:sz w:val="24"/>
      <w:szCs w:val="24"/>
      <w:lang w:val="en-US" w:eastAsia="zh-CN" w:bidi="ar-SA"/>
    </w:rPr>
  </w:style>
  <w:style w:type="character" w:customStyle="1" w:styleId="72">
    <w:name w:val="正文文本缩进 2 Char"/>
    <w:link w:val="28"/>
    <w:qFormat/>
    <w:uiPriority w:val="0"/>
    <w:rPr>
      <w:rFonts w:ascii="宋体"/>
      <w:sz w:val="24"/>
    </w:rPr>
  </w:style>
  <w:style w:type="character" w:customStyle="1" w:styleId="73">
    <w:name w:val="批注框文本 Char"/>
    <w:link w:val="29"/>
    <w:qFormat/>
    <w:uiPriority w:val="0"/>
    <w:rPr>
      <w:kern w:val="2"/>
      <w:sz w:val="18"/>
      <w:szCs w:val="18"/>
    </w:rPr>
  </w:style>
  <w:style w:type="character" w:customStyle="1" w:styleId="74">
    <w:name w:val="页脚 Char"/>
    <w:link w:val="30"/>
    <w:qFormat/>
    <w:uiPriority w:val="99"/>
    <w:rPr>
      <w:kern w:val="2"/>
      <w:sz w:val="18"/>
      <w:szCs w:val="18"/>
    </w:rPr>
  </w:style>
  <w:style w:type="character" w:customStyle="1" w:styleId="75">
    <w:name w:val="页眉 Char"/>
    <w:link w:val="31"/>
    <w:qFormat/>
    <w:uiPriority w:val="99"/>
    <w:rPr>
      <w:rFonts w:eastAsia="宋体"/>
      <w:kern w:val="2"/>
      <w:sz w:val="18"/>
      <w:szCs w:val="18"/>
      <w:lang w:val="en-US" w:eastAsia="zh-CN" w:bidi="ar-SA"/>
    </w:rPr>
  </w:style>
  <w:style w:type="character" w:customStyle="1" w:styleId="76">
    <w:name w:val="正文文本缩进 3 Char"/>
    <w:link w:val="35"/>
    <w:qFormat/>
    <w:uiPriority w:val="0"/>
    <w:rPr>
      <w:rFonts w:eastAsia="黑体"/>
      <w:color w:val="000000"/>
      <w:kern w:val="2"/>
      <w:sz w:val="24"/>
      <w:szCs w:val="24"/>
    </w:rPr>
  </w:style>
  <w:style w:type="character" w:customStyle="1" w:styleId="77">
    <w:name w:val="正文文本 2 Char"/>
    <w:link w:val="39"/>
    <w:qFormat/>
    <w:uiPriority w:val="0"/>
    <w:rPr>
      <w:kern w:val="2"/>
      <w:sz w:val="21"/>
      <w:szCs w:val="24"/>
    </w:rPr>
  </w:style>
  <w:style w:type="character" w:customStyle="1" w:styleId="78">
    <w:name w:val="标题 Char"/>
    <w:link w:val="42"/>
    <w:qFormat/>
    <w:uiPriority w:val="0"/>
    <w:rPr>
      <w:rFonts w:ascii="Arial" w:hAnsi="Arial" w:cs="Arial"/>
      <w:b/>
      <w:bCs/>
      <w:kern w:val="2"/>
      <w:sz w:val="32"/>
      <w:szCs w:val="32"/>
    </w:rPr>
  </w:style>
  <w:style w:type="character" w:customStyle="1" w:styleId="79">
    <w:name w:val="批注主题 Char"/>
    <w:link w:val="43"/>
    <w:qFormat/>
    <w:uiPriority w:val="0"/>
    <w:rPr>
      <w:b/>
      <w:bCs/>
      <w:kern w:val="2"/>
      <w:sz w:val="21"/>
      <w:szCs w:val="24"/>
    </w:rPr>
  </w:style>
  <w:style w:type="character" w:customStyle="1" w:styleId="80">
    <w:name w:val="正文首行缩进 Char"/>
    <w:link w:val="44"/>
    <w:qFormat/>
    <w:uiPriority w:val="0"/>
    <w:rPr>
      <w:kern w:val="2"/>
      <w:sz w:val="21"/>
      <w:szCs w:val="24"/>
    </w:rPr>
  </w:style>
  <w:style w:type="character" w:customStyle="1" w:styleId="81">
    <w:name w:val="正文首行缩进 2 Char"/>
    <w:basedOn w:val="69"/>
    <w:link w:val="45"/>
    <w:qFormat/>
    <w:uiPriority w:val="0"/>
    <w:rPr>
      <w:sz w:val="21"/>
    </w:rPr>
  </w:style>
  <w:style w:type="character" w:customStyle="1" w:styleId="82">
    <w:name w:val="grame"/>
    <w:qFormat/>
    <w:uiPriority w:val="0"/>
  </w:style>
  <w:style w:type="character" w:customStyle="1" w:styleId="83">
    <w:name w:val="标题 1 Char Char"/>
    <w:qFormat/>
    <w:uiPriority w:val="0"/>
    <w:rPr>
      <w:rFonts w:eastAsia="宋体"/>
      <w:b/>
      <w:spacing w:val="-2"/>
      <w:sz w:val="24"/>
      <w:lang w:val="en-US" w:eastAsia="zh-CN" w:bidi="ar-SA"/>
    </w:rPr>
  </w:style>
  <w:style w:type="character" w:customStyle="1" w:styleId="84">
    <w:name w:val="text1"/>
    <w:qFormat/>
    <w:uiPriority w:val="0"/>
    <w:rPr>
      <w:rFonts w:hint="default" w:ascii="_x000B__x000C_" w:hAnsi="_x000B__x000C_"/>
      <w:color w:val="666666"/>
      <w:sz w:val="18"/>
      <w:szCs w:val="18"/>
      <w:u w:val="none"/>
    </w:rPr>
  </w:style>
  <w:style w:type="character" w:customStyle="1" w:styleId="85">
    <w:name w:val="Char Char2"/>
    <w:semiHidden/>
    <w:qFormat/>
    <w:uiPriority w:val="0"/>
    <w:rPr>
      <w:rFonts w:eastAsia="宋体"/>
      <w:kern w:val="2"/>
      <w:sz w:val="18"/>
      <w:szCs w:val="18"/>
      <w:lang w:val="en-US" w:eastAsia="zh-CN" w:bidi="ar-SA"/>
    </w:rPr>
  </w:style>
  <w:style w:type="character" w:customStyle="1" w:styleId="86">
    <w:name w:val="正文文字首行缩进 Char"/>
    <w:qFormat/>
    <w:uiPriority w:val="0"/>
    <w:rPr>
      <w:rFonts w:ascii="Times New Roman" w:hAnsi="Times New Roman"/>
      <w:sz w:val="21"/>
    </w:rPr>
  </w:style>
  <w:style w:type="character" w:customStyle="1" w:styleId="87">
    <w:name w:val="段 Char"/>
    <w:link w:val="88"/>
    <w:qFormat/>
    <w:uiPriority w:val="0"/>
    <w:rPr>
      <w:rFonts w:ascii="宋体"/>
      <w:lang w:val="en-US" w:eastAsia="zh-CN" w:bidi="ar-SA"/>
    </w:rPr>
  </w:style>
  <w:style w:type="paragraph" w:customStyle="1" w:styleId="88">
    <w:name w:val="段"/>
    <w:link w:val="8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89">
    <w:name w:val="普通文字 Char Char Char Char1"/>
    <w:qFormat/>
    <w:uiPriority w:val="0"/>
    <w:rPr>
      <w:rFonts w:ascii="宋体" w:hAnsi="Courier New" w:eastAsia="仿宋_GB2312"/>
      <w:b/>
      <w:color w:val="000000"/>
      <w:sz w:val="21"/>
    </w:rPr>
  </w:style>
  <w:style w:type="character" w:customStyle="1" w:styleId="90">
    <w:name w:val="op-map-singlepoint-info-right1"/>
    <w:qFormat/>
    <w:uiPriority w:val="0"/>
  </w:style>
  <w:style w:type="character" w:customStyle="1" w:styleId="91">
    <w:name w:val="contentheaderrev1"/>
    <w:qFormat/>
    <w:uiPriority w:val="0"/>
    <w:rPr>
      <w:rFonts w:hint="default" w:ascii="Arial" w:hAnsi="Arial" w:cs="Arial"/>
      <w:b/>
      <w:bCs/>
      <w:color w:val="FFFFFF"/>
      <w:sz w:val="24"/>
      <w:szCs w:val="24"/>
      <w:u w:val="none"/>
    </w:rPr>
  </w:style>
  <w:style w:type="character" w:customStyle="1" w:styleId="92">
    <w:name w:val="Char Char6"/>
    <w:qFormat/>
    <w:uiPriority w:val="0"/>
    <w:rPr>
      <w:rFonts w:ascii="宋体" w:eastAsia="宋体"/>
      <w:b/>
      <w:kern w:val="44"/>
      <w:sz w:val="24"/>
      <w:lang w:val="en-US" w:eastAsia="zh-CN" w:bidi="ar-SA"/>
    </w:rPr>
  </w:style>
  <w:style w:type="character" w:customStyle="1" w:styleId="93">
    <w:name w:val="纯文本字符"/>
    <w:qFormat/>
    <w:uiPriority w:val="0"/>
    <w:rPr>
      <w:rFonts w:ascii="宋体" w:hAnsi="Courier New"/>
      <w:kern w:val="2"/>
      <w:sz w:val="24"/>
      <w:szCs w:val="24"/>
      <w:lang w:bidi="ar-SA"/>
    </w:rPr>
  </w:style>
  <w:style w:type="character" w:customStyle="1" w:styleId="94">
    <w:name w:val="z-窗体顶端 Char"/>
    <w:link w:val="95"/>
    <w:qFormat/>
    <w:uiPriority w:val="0"/>
    <w:rPr>
      <w:rFonts w:ascii="Arial" w:hAnsi="Arial" w:cs="Arial"/>
      <w:vanish/>
      <w:sz w:val="16"/>
      <w:szCs w:val="16"/>
    </w:rPr>
  </w:style>
  <w:style w:type="paragraph" w:customStyle="1" w:styleId="95">
    <w:name w:val="_Style 94"/>
    <w:basedOn w:val="1"/>
    <w:next w:val="1"/>
    <w:link w:val="94"/>
    <w:qFormat/>
    <w:uiPriority w:val="0"/>
    <w:pPr>
      <w:widowControl/>
      <w:pBdr>
        <w:bottom w:val="single" w:color="auto" w:sz="6" w:space="1"/>
      </w:pBdr>
      <w:jc w:val="center"/>
    </w:pPr>
    <w:rPr>
      <w:rFonts w:ascii="Arial" w:hAnsi="Arial"/>
      <w:vanish/>
      <w:kern w:val="0"/>
      <w:sz w:val="16"/>
      <w:szCs w:val="16"/>
    </w:rPr>
  </w:style>
  <w:style w:type="character" w:customStyle="1" w:styleId="96">
    <w:name w:val="wj1"/>
    <w:qFormat/>
    <w:uiPriority w:val="0"/>
    <w:rPr>
      <w:color w:val="000000"/>
      <w:sz w:val="18"/>
      <w:szCs w:val="18"/>
      <w:u w:val="none"/>
    </w:rPr>
  </w:style>
  <w:style w:type="character" w:customStyle="1" w:styleId="97">
    <w:name w:val="纯文本 Char Char Char"/>
    <w:qFormat/>
    <w:uiPriority w:val="0"/>
    <w:rPr>
      <w:rFonts w:ascii="宋体" w:hAnsi="Courier New" w:eastAsia="宋体"/>
      <w:kern w:val="2"/>
      <w:sz w:val="21"/>
      <w:lang w:val="en-US" w:eastAsia="zh-CN" w:bidi="ar-SA"/>
    </w:rPr>
  </w:style>
  <w:style w:type="character" w:customStyle="1" w:styleId="98">
    <w:name w:val="z-窗体底端 Char1"/>
    <w:qFormat/>
    <w:uiPriority w:val="0"/>
    <w:rPr>
      <w:rFonts w:ascii="Arial" w:hAnsi="Arial" w:cs="Arial"/>
      <w:vanish/>
      <w:kern w:val="2"/>
      <w:sz w:val="16"/>
      <w:szCs w:val="16"/>
    </w:rPr>
  </w:style>
  <w:style w:type="character" w:customStyle="1" w:styleId="99">
    <w:name w:val="12blk1"/>
    <w:qFormat/>
    <w:uiPriority w:val="0"/>
    <w:rPr>
      <w:rFonts w:hint="default" w:ascii="_x000B__x000C_" w:hAnsi="_x000B__x000C_"/>
      <w:color w:val="000000"/>
      <w:sz w:val="24"/>
      <w:szCs w:val="24"/>
      <w:u w:val="none"/>
    </w:rPr>
  </w:style>
  <w:style w:type="character" w:customStyle="1" w:styleId="100">
    <w:name w:val="标题2 Char1"/>
    <w:qFormat/>
    <w:uiPriority w:val="0"/>
    <w:rPr>
      <w:rFonts w:ascii="Cambria" w:hAnsi="Cambria" w:eastAsia="宋体" w:cs="Times New Roman"/>
      <w:b/>
      <w:bCs/>
      <w:sz w:val="32"/>
      <w:szCs w:val="32"/>
    </w:rPr>
  </w:style>
  <w:style w:type="character" w:customStyle="1" w:styleId="101">
    <w:name w:val="para"/>
    <w:qFormat/>
    <w:uiPriority w:val="0"/>
    <w:rPr>
      <w:rFonts w:eastAsia="宋体"/>
      <w:kern w:val="2"/>
      <w:sz w:val="24"/>
      <w:szCs w:val="24"/>
      <w:lang w:val="en-US" w:eastAsia="zh-CN" w:bidi="ar-SA"/>
    </w:rPr>
  </w:style>
  <w:style w:type="character" w:customStyle="1" w:styleId="102">
    <w:name w:val="Char Char7"/>
    <w:qFormat/>
    <w:uiPriority w:val="0"/>
    <w:rPr>
      <w:rFonts w:ascii="Cambria" w:hAnsi="Cambria" w:eastAsia="宋体"/>
      <w:b/>
      <w:bCs/>
      <w:sz w:val="32"/>
      <w:szCs w:val="32"/>
      <w:lang w:val="en-US" w:eastAsia="zh-CN" w:bidi="ar-SA"/>
    </w:rPr>
  </w:style>
  <w:style w:type="character" w:customStyle="1" w:styleId="103">
    <w:name w:val="Char Char8"/>
    <w:qFormat/>
    <w:uiPriority w:val="0"/>
    <w:rPr>
      <w:rFonts w:ascii="Cambria" w:hAnsi="Cambria" w:eastAsia="宋体" w:cs="Times New Roman"/>
      <w:b/>
      <w:bCs/>
      <w:sz w:val="32"/>
      <w:szCs w:val="32"/>
    </w:rPr>
  </w:style>
  <w:style w:type="character" w:customStyle="1" w:styleId="104">
    <w:name w:val="small"/>
    <w:qFormat/>
    <w:uiPriority w:val="0"/>
    <w:rPr>
      <w:rFonts w:eastAsia="宋体"/>
      <w:kern w:val="2"/>
      <w:sz w:val="24"/>
      <w:szCs w:val="24"/>
      <w:lang w:val="en-US" w:eastAsia="zh-CN" w:bidi="ar-SA"/>
    </w:rPr>
  </w:style>
  <w:style w:type="character" w:customStyle="1" w:styleId="105">
    <w:name w:val="纯文本 字符1"/>
    <w:qFormat/>
    <w:uiPriority w:val="0"/>
    <w:rPr>
      <w:rFonts w:hint="eastAsia" w:ascii="宋体" w:hAnsi="Courier New" w:eastAsia="仿宋_GB2312" w:cs="宋体"/>
      <w:b/>
      <w:color w:val="000000"/>
      <w:kern w:val="0"/>
      <w:szCs w:val="21"/>
    </w:rPr>
  </w:style>
  <w:style w:type="character" w:customStyle="1" w:styleId="106">
    <w:name w:val="Char Char17"/>
    <w:qFormat/>
    <w:uiPriority w:val="0"/>
    <w:rPr>
      <w:rFonts w:ascii="宋体" w:eastAsia="宋体"/>
      <w:b/>
      <w:kern w:val="44"/>
      <w:sz w:val="24"/>
      <w:lang w:val="en-US" w:eastAsia="zh-CN" w:bidi="ar-SA"/>
    </w:rPr>
  </w:style>
  <w:style w:type="character" w:customStyle="1" w:styleId="107">
    <w:name w:val="纯文本 Char1"/>
    <w:qFormat/>
    <w:uiPriority w:val="0"/>
    <w:rPr>
      <w:rFonts w:ascii="宋体" w:hAnsi="Courier New" w:eastAsia="宋体"/>
      <w:kern w:val="2"/>
      <w:sz w:val="21"/>
      <w:lang w:val="en-US" w:eastAsia="zh-CN" w:bidi="ar-SA"/>
    </w:rPr>
  </w:style>
  <w:style w:type="character" w:customStyle="1" w:styleId="108">
    <w:name w:val="自定义正文 Char Char"/>
    <w:link w:val="109"/>
    <w:qFormat/>
    <w:uiPriority w:val="0"/>
    <w:rPr>
      <w:kern w:val="2"/>
      <w:sz w:val="24"/>
    </w:rPr>
  </w:style>
  <w:style w:type="paragraph" w:customStyle="1" w:styleId="109">
    <w:name w:val="自定义正文"/>
    <w:basedOn w:val="1"/>
    <w:link w:val="108"/>
    <w:qFormat/>
    <w:uiPriority w:val="0"/>
    <w:pPr>
      <w:spacing w:afterLines="50" w:line="360" w:lineRule="auto"/>
      <w:ind w:firstLine="200" w:firstLineChars="200"/>
      <w:jc w:val="left"/>
    </w:pPr>
    <w:rPr>
      <w:sz w:val="24"/>
      <w:szCs w:val="20"/>
    </w:rPr>
  </w:style>
  <w:style w:type="character" w:customStyle="1" w:styleId="110">
    <w:name w:val="标题 2 Char1"/>
    <w:qFormat/>
    <w:uiPriority w:val="9"/>
    <w:rPr>
      <w:rFonts w:ascii="Cambria" w:hAnsi="Cambria"/>
      <w:b/>
      <w:bCs/>
      <w:sz w:val="32"/>
      <w:szCs w:val="32"/>
    </w:rPr>
  </w:style>
  <w:style w:type="character" w:customStyle="1" w:styleId="111">
    <w:name w:val="biaoti-red"/>
    <w:qFormat/>
    <w:uiPriority w:val="0"/>
  </w:style>
  <w:style w:type="character" w:customStyle="1" w:styleId="112">
    <w:name w:val="页眉 Char1"/>
    <w:qFormat/>
    <w:uiPriority w:val="0"/>
    <w:rPr>
      <w:sz w:val="18"/>
    </w:rPr>
  </w:style>
  <w:style w:type="character" w:customStyle="1" w:styleId="113">
    <w:name w:val="Footer-Even Char Char"/>
    <w:qFormat/>
    <w:uiPriority w:val="0"/>
    <w:rPr>
      <w:rFonts w:ascii="Times New Roman" w:hAnsi="Times New Roman" w:eastAsia="宋体" w:cs="Times New Roman"/>
      <w:kern w:val="0"/>
      <w:sz w:val="18"/>
      <w:szCs w:val="20"/>
    </w:rPr>
  </w:style>
  <w:style w:type="character" w:customStyle="1" w:styleId="114">
    <w:name w:val="z-窗体顶端 Char1"/>
    <w:qFormat/>
    <w:uiPriority w:val="0"/>
    <w:rPr>
      <w:rFonts w:ascii="Arial" w:hAnsi="Arial" w:cs="Arial"/>
      <w:vanish/>
      <w:kern w:val="2"/>
      <w:sz w:val="16"/>
      <w:szCs w:val="16"/>
    </w:rPr>
  </w:style>
  <w:style w:type="character" w:customStyle="1" w:styleId="115">
    <w:name w:val="unnamed51"/>
    <w:qFormat/>
    <w:uiPriority w:val="0"/>
    <w:rPr>
      <w:sz w:val="22"/>
      <w:szCs w:val="22"/>
    </w:rPr>
  </w:style>
  <w:style w:type="character" w:customStyle="1" w:styleId="116">
    <w:name w:val="v151"/>
    <w:qFormat/>
    <w:uiPriority w:val="0"/>
    <w:rPr>
      <w:rFonts w:eastAsia="宋体"/>
      <w:kern w:val="2"/>
      <w:sz w:val="18"/>
      <w:szCs w:val="18"/>
      <w:lang w:val="en-US" w:eastAsia="zh-CN" w:bidi="ar-SA"/>
    </w:rPr>
  </w:style>
  <w:style w:type="character" w:customStyle="1" w:styleId="117">
    <w:name w:val="Default 1"/>
    <w:qFormat/>
    <w:uiPriority w:val="0"/>
    <w:rPr>
      <w:rFonts w:cs="Verdana"/>
      <w:sz w:val="16"/>
      <w:szCs w:val="16"/>
    </w:rPr>
  </w:style>
  <w:style w:type="character" w:customStyle="1" w:styleId="118">
    <w:name w:val="themebody1"/>
    <w:qFormat/>
    <w:uiPriority w:val="0"/>
    <w:rPr>
      <w:rFonts w:eastAsia="宋体"/>
      <w:color w:val="FFFFFF"/>
      <w:kern w:val="2"/>
      <w:sz w:val="24"/>
      <w:szCs w:val="24"/>
      <w:lang w:val="en-US" w:eastAsia="zh-CN" w:bidi="ar-SA"/>
    </w:rPr>
  </w:style>
  <w:style w:type="character" w:customStyle="1" w:styleId="119">
    <w:name w:val="z-窗体底端 Char"/>
    <w:link w:val="120"/>
    <w:qFormat/>
    <w:uiPriority w:val="0"/>
    <w:rPr>
      <w:rFonts w:ascii="Arial" w:hAnsi="Arial" w:cs="Arial"/>
      <w:vanish/>
      <w:sz w:val="16"/>
      <w:szCs w:val="16"/>
    </w:rPr>
  </w:style>
  <w:style w:type="paragraph" w:customStyle="1" w:styleId="120">
    <w:name w:val="_Style 119"/>
    <w:basedOn w:val="1"/>
    <w:next w:val="1"/>
    <w:link w:val="119"/>
    <w:qFormat/>
    <w:uiPriority w:val="0"/>
    <w:pPr>
      <w:widowControl/>
      <w:pBdr>
        <w:top w:val="single" w:color="auto" w:sz="6" w:space="1"/>
      </w:pBdr>
      <w:jc w:val="center"/>
    </w:pPr>
    <w:rPr>
      <w:rFonts w:ascii="Arial" w:hAnsi="Arial"/>
      <w:vanish/>
      <w:kern w:val="0"/>
      <w:sz w:val="16"/>
      <w:szCs w:val="16"/>
    </w:rPr>
  </w:style>
  <w:style w:type="character" w:customStyle="1" w:styleId="121">
    <w:name w:val="ft"/>
    <w:qFormat/>
    <w:uiPriority w:val="0"/>
  </w:style>
  <w:style w:type="character" w:customStyle="1" w:styleId="122">
    <w:name w:val="Char Char12"/>
    <w:qFormat/>
    <w:uiPriority w:val="0"/>
    <w:rPr>
      <w:rFonts w:eastAsia="宋体"/>
      <w:kern w:val="2"/>
      <w:sz w:val="18"/>
      <w:szCs w:val="18"/>
      <w:lang w:val="en-US" w:eastAsia="zh-CN" w:bidi="ar-SA"/>
    </w:rPr>
  </w:style>
  <w:style w:type="character" w:customStyle="1" w:styleId="123">
    <w:name w:val="列出段落 Char"/>
    <w:link w:val="124"/>
    <w:qFormat/>
    <w:uiPriority w:val="34"/>
    <w:rPr>
      <w:rFonts w:ascii="Calibri" w:hAnsi="Calibri"/>
      <w:kern w:val="2"/>
      <w:sz w:val="21"/>
      <w:szCs w:val="22"/>
    </w:rPr>
  </w:style>
  <w:style w:type="paragraph" w:styleId="124">
    <w:name w:val="List Paragraph"/>
    <w:basedOn w:val="1"/>
    <w:link w:val="123"/>
    <w:qFormat/>
    <w:uiPriority w:val="34"/>
    <w:pPr>
      <w:ind w:firstLine="420" w:firstLineChars="200"/>
    </w:pPr>
    <w:rPr>
      <w:rFonts w:ascii="Calibri" w:hAnsi="Calibri"/>
      <w:szCs w:val="22"/>
    </w:rPr>
  </w:style>
  <w:style w:type="character" w:customStyle="1" w:styleId="125">
    <w:name w:val="纯文本 Char2"/>
    <w:qFormat/>
    <w:uiPriority w:val="0"/>
    <w:rPr>
      <w:rFonts w:hint="eastAsia" w:ascii="宋体" w:hAnsi="Courier New" w:eastAsia="仿宋_GB2312" w:cs="宋体"/>
      <w:b/>
      <w:color w:val="000000"/>
      <w:kern w:val="0"/>
      <w:szCs w:val="21"/>
    </w:rPr>
  </w:style>
  <w:style w:type="paragraph" w:customStyle="1" w:styleId="126">
    <w:name w:val="纯文本1"/>
    <w:basedOn w:val="1"/>
    <w:qFormat/>
    <w:uiPriority w:val="0"/>
    <w:pPr>
      <w:widowControl/>
      <w:spacing w:before="100" w:beforeAutospacing="1" w:after="100" w:afterAutospacing="1"/>
      <w:jc w:val="left"/>
    </w:pPr>
    <w:rPr>
      <w:rFonts w:ascii="宋体" w:hAnsi="宋体"/>
      <w:sz w:val="24"/>
    </w:rPr>
  </w:style>
  <w:style w:type="paragraph" w:customStyle="1" w:styleId="127">
    <w:name w:val="列出段落1"/>
    <w:basedOn w:val="1"/>
    <w:qFormat/>
    <w:uiPriority w:val="0"/>
    <w:pPr>
      <w:widowControl/>
      <w:ind w:firstLine="420" w:firstLineChars="200"/>
      <w:jc w:val="left"/>
    </w:pPr>
    <w:rPr>
      <w:kern w:val="0"/>
      <w:sz w:val="24"/>
      <w:szCs w:val="20"/>
    </w:rPr>
  </w:style>
  <w:style w:type="paragraph" w:customStyle="1" w:styleId="128">
    <w:name w:val="Char Char1"/>
    <w:basedOn w:val="1"/>
    <w:qFormat/>
    <w:uiPriority w:val="0"/>
    <w:rPr>
      <w:rFonts w:ascii="Tahoma" w:hAnsi="Tahoma"/>
      <w:sz w:val="24"/>
      <w:szCs w:val="20"/>
    </w:rPr>
  </w:style>
  <w:style w:type="paragraph" w:customStyle="1" w:styleId="129">
    <w:name w:val="Char Char9"/>
    <w:basedOn w:val="1"/>
    <w:qFormat/>
    <w:uiPriority w:val="0"/>
    <w:rPr>
      <w:rFonts w:ascii="宋体" w:hAnsi="宋体" w:cs="宋体"/>
      <w:b/>
      <w:bCs/>
      <w:color w:val="000000"/>
      <w:sz w:val="22"/>
      <w:szCs w:val="22"/>
    </w:rPr>
  </w:style>
  <w:style w:type="paragraph" w:customStyle="1" w:styleId="130">
    <w:name w:val="Char Char"/>
    <w:basedOn w:val="1"/>
    <w:qFormat/>
    <w:uiPriority w:val="0"/>
    <w:rPr>
      <w:rFonts w:ascii="Tahoma" w:hAnsi="Tahoma"/>
      <w:sz w:val="24"/>
      <w:szCs w:val="20"/>
    </w:rPr>
  </w:style>
  <w:style w:type="paragraph" w:customStyle="1" w:styleId="131">
    <w:name w:val="正文段"/>
    <w:basedOn w:val="1"/>
    <w:qFormat/>
    <w:uiPriority w:val="0"/>
    <w:pPr>
      <w:widowControl/>
      <w:snapToGrid w:val="0"/>
      <w:spacing w:after="50"/>
      <w:ind w:firstLine="200" w:firstLineChars="200"/>
    </w:pPr>
    <w:rPr>
      <w:kern w:val="0"/>
      <w:sz w:val="24"/>
      <w:szCs w:val="20"/>
    </w:rPr>
  </w:style>
  <w:style w:type="paragraph" w:customStyle="1" w:styleId="132">
    <w:name w:val="Char"/>
    <w:basedOn w:val="1"/>
    <w:qFormat/>
    <w:uiPriority w:val="0"/>
    <w:rPr>
      <w:rFonts w:ascii="仿宋_GB2312" w:eastAsia="仿宋_GB2312"/>
      <w:b/>
      <w:sz w:val="32"/>
      <w:szCs w:val="32"/>
    </w:rPr>
  </w:style>
  <w:style w:type="paragraph" w:customStyle="1" w:styleId="133">
    <w:name w:val="b2-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34">
    <w:name w:val="列出段落11"/>
    <w:basedOn w:val="1"/>
    <w:link w:val="222"/>
    <w:qFormat/>
    <w:uiPriority w:val="34"/>
    <w:pPr>
      <w:ind w:firstLine="420" w:firstLineChars="200"/>
    </w:pPr>
    <w:rPr>
      <w:szCs w:val="20"/>
    </w:rPr>
  </w:style>
  <w:style w:type="paragraph" w:customStyle="1" w:styleId="135">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3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小点说明"/>
    <w:basedOn w:val="1"/>
    <w:qFormat/>
    <w:uiPriority w:val="0"/>
    <w:pPr>
      <w:adjustRightInd w:val="0"/>
      <w:snapToGrid w:val="0"/>
    </w:pPr>
    <w:rPr>
      <w:rFonts w:ascii="仿宋_GB2312" w:eastAsia="仿宋_GB2312"/>
      <w:color w:val="000000"/>
      <w:szCs w:val="18"/>
    </w:rPr>
  </w:style>
  <w:style w:type="paragraph" w:customStyle="1" w:styleId="138">
    <w:name w:val="title"/>
    <w:basedOn w:val="1"/>
    <w:qFormat/>
    <w:uiPriority w:val="0"/>
    <w:pPr>
      <w:widowControl/>
      <w:spacing w:before="100" w:beforeAutospacing="1" w:after="100" w:afterAutospacing="1"/>
      <w:jc w:val="left"/>
    </w:pPr>
    <w:rPr>
      <w:rFonts w:ascii="宋体" w:hAnsi="宋体"/>
      <w:b/>
      <w:bCs/>
      <w:color w:val="0000CC"/>
      <w:kern w:val="0"/>
      <w:sz w:val="34"/>
      <w:szCs w:val="34"/>
    </w:rPr>
  </w:style>
  <w:style w:type="paragraph" w:customStyle="1" w:styleId="139">
    <w:name w:val="Char Char Char Char Char Char Char"/>
    <w:basedOn w:val="1"/>
    <w:qFormat/>
    <w:uiPriority w:val="0"/>
    <w:rPr>
      <w:rFonts w:ascii="仿宋_GB2312" w:eastAsia="仿宋_GB2312"/>
      <w:b/>
      <w:sz w:val="32"/>
      <w:szCs w:val="32"/>
    </w:rPr>
  </w:style>
  <w:style w:type="paragraph" w:customStyle="1" w:styleId="140">
    <w:name w:val="1.1.1B"/>
    <w:basedOn w:val="4"/>
    <w:qFormat/>
    <w:uiPriority w:val="0"/>
    <w:pPr>
      <w:tabs>
        <w:tab w:val="left" w:pos="567"/>
      </w:tabs>
      <w:spacing w:before="240" w:after="240" w:line="240" w:lineRule="auto"/>
      <w:ind w:left="567" w:hanging="567"/>
    </w:pPr>
    <w:rPr>
      <w:sz w:val="24"/>
    </w:rPr>
  </w:style>
  <w:style w:type="paragraph" w:customStyle="1" w:styleId="141">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42">
    <w:name w:val="l18"/>
    <w:basedOn w:val="1"/>
    <w:qFormat/>
    <w:uiPriority w:val="0"/>
    <w:pPr>
      <w:widowControl/>
      <w:spacing w:before="100" w:beforeAutospacing="1" w:after="100" w:afterAutospacing="1" w:line="337" w:lineRule="atLeast"/>
      <w:jc w:val="left"/>
    </w:pPr>
    <w:rPr>
      <w:rFonts w:ascii="宋体" w:hAnsi="宋体"/>
      <w:kern w:val="0"/>
      <w:sz w:val="24"/>
    </w:rPr>
  </w:style>
  <w:style w:type="paragraph" w:customStyle="1" w:styleId="143">
    <w:name w:val="Char11"/>
    <w:basedOn w:val="1"/>
    <w:qFormat/>
    <w:uiPriority w:val="0"/>
    <w:rPr>
      <w:rFonts w:ascii="仿宋_GB2312" w:eastAsia="仿宋_GB2312"/>
      <w:b/>
      <w:sz w:val="32"/>
      <w:szCs w:val="32"/>
    </w:rPr>
  </w:style>
  <w:style w:type="paragraph" w:customStyle="1" w:styleId="144">
    <w:name w:val="font4_1"/>
    <w:basedOn w:val="1"/>
    <w:qFormat/>
    <w:uiPriority w:val="0"/>
    <w:pPr>
      <w:widowControl/>
      <w:spacing w:before="100" w:beforeAutospacing="1" w:after="100" w:afterAutospacing="1"/>
      <w:jc w:val="left"/>
    </w:pPr>
    <w:rPr>
      <w:rFonts w:ascii="宋体" w:hAnsi="宋体"/>
      <w:color w:val="FFFFFF"/>
      <w:kern w:val="0"/>
      <w:sz w:val="24"/>
    </w:rPr>
  </w:style>
  <w:style w:type="paragraph" w:customStyle="1" w:styleId="145">
    <w:name w:val="Char Char2 Char"/>
    <w:basedOn w:val="1"/>
    <w:qFormat/>
    <w:uiPriority w:val="0"/>
    <w:pPr>
      <w:keepNext/>
      <w:keepLines/>
      <w:pageBreakBefore/>
      <w:tabs>
        <w:tab w:val="left" w:pos="845"/>
      </w:tabs>
      <w:ind w:left="845" w:hanging="420"/>
    </w:pPr>
    <w:rPr>
      <w:rFonts w:ascii="仿宋_GB2312" w:hAnsi="宋体" w:eastAsia="仿宋_GB2312"/>
      <w:b/>
      <w:color w:val="000000"/>
      <w:kern w:val="0"/>
      <w:szCs w:val="20"/>
    </w:rPr>
  </w:style>
  <w:style w:type="paragraph" w:customStyle="1" w:styleId="146">
    <w:name w:val="样式1"/>
    <w:basedOn w:val="5"/>
    <w:qFormat/>
    <w:uiPriority w:val="0"/>
    <w:pPr>
      <w:spacing w:line="374" w:lineRule="auto"/>
    </w:pPr>
  </w:style>
  <w:style w:type="paragraph" w:customStyle="1" w:styleId="147">
    <w:name w:val="Figure Desription Char"/>
    <w:basedOn w:val="1"/>
    <w:qFormat/>
    <w:uiPriority w:val="0"/>
  </w:style>
  <w:style w:type="paragraph" w:customStyle="1" w:styleId="14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50">
    <w:name w:val="Char1"/>
    <w:basedOn w:val="1"/>
    <w:qFormat/>
    <w:uiPriority w:val="0"/>
    <w:rPr>
      <w:rFonts w:ascii="Tahoma" w:hAnsi="Tahoma"/>
      <w:sz w:val="24"/>
      <w:szCs w:val="20"/>
    </w:rPr>
  </w:style>
  <w:style w:type="paragraph" w:customStyle="1" w:styleId="151">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152">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53">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54">
    <w:name w:val="Char Char3"/>
    <w:basedOn w:val="1"/>
    <w:qFormat/>
    <w:uiPriority w:val="0"/>
    <w:rPr>
      <w:rFonts w:ascii="仿宋_GB2312" w:eastAsia="仿宋_GB2312"/>
      <w:b/>
      <w:sz w:val="32"/>
      <w:szCs w:val="32"/>
    </w:rPr>
  </w:style>
  <w:style w:type="paragraph" w:customStyle="1" w:styleId="155">
    <w:name w:val="Char12"/>
    <w:basedOn w:val="1"/>
    <w:qFormat/>
    <w:uiPriority w:val="0"/>
    <w:rPr>
      <w:rFonts w:ascii="仿宋_GB2312" w:eastAsia="仿宋_GB2312"/>
      <w:b/>
      <w:sz w:val="32"/>
      <w:szCs w:val="32"/>
    </w:rPr>
  </w:style>
  <w:style w:type="paragraph" w:customStyle="1" w:styleId="156">
    <w:name w:val="标题 1 + 仿宋_GB2312"/>
    <w:basedOn w:val="2"/>
    <w:qFormat/>
    <w:uiPriority w:val="0"/>
    <w:pPr>
      <w:keepLines/>
      <w:spacing w:before="340" w:after="330" w:line="578" w:lineRule="auto"/>
      <w:jc w:val="both"/>
    </w:pPr>
    <w:rPr>
      <w:rFonts w:ascii="仿宋_GB2312" w:eastAsia="仿宋_GB2312"/>
      <w:b/>
      <w:bCs/>
      <w:kern w:val="44"/>
      <w:sz w:val="32"/>
      <w:szCs w:val="32"/>
    </w:rPr>
  </w:style>
  <w:style w:type="paragraph" w:customStyle="1" w:styleId="157">
    <w:name w:val="Char Char Char"/>
    <w:basedOn w:val="1"/>
    <w:qFormat/>
    <w:uiPriority w:val="0"/>
    <w:rPr>
      <w:rFonts w:ascii="Tahoma" w:hAnsi="Tahoma"/>
      <w:sz w:val="24"/>
      <w:szCs w:val="20"/>
    </w:rPr>
  </w:style>
  <w:style w:type="paragraph" w:customStyle="1" w:styleId="158">
    <w:name w:val="标题 61"/>
    <w:basedOn w:val="1"/>
    <w:qFormat/>
    <w:uiPriority w:val="0"/>
    <w:pPr>
      <w:widowControl/>
      <w:jc w:val="left"/>
      <w:outlineLvl w:val="6"/>
    </w:pPr>
    <w:rPr>
      <w:rFonts w:ascii="宋体" w:hAnsi="宋体" w:cs="宋体"/>
      <w:color w:val="00569B"/>
      <w:kern w:val="0"/>
      <w:sz w:val="17"/>
      <w:szCs w:val="17"/>
    </w:rPr>
  </w:style>
  <w:style w:type="paragraph" w:customStyle="1" w:styleId="159">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60">
    <w:name w:val="Char Char Char Char"/>
    <w:basedOn w:val="15"/>
    <w:qFormat/>
    <w:uiPriority w:val="0"/>
    <w:rPr>
      <w:rFonts w:ascii="Tahoma" w:hAnsi="Tahoma"/>
      <w:sz w:val="24"/>
    </w:rPr>
  </w:style>
  <w:style w:type="paragraph" w:customStyle="1" w:styleId="161">
    <w:name w:val="Char1 Char Char Char"/>
    <w:basedOn w:val="1"/>
    <w:qFormat/>
    <w:uiPriority w:val="0"/>
    <w:rPr>
      <w:rFonts w:ascii="Tahoma" w:hAnsi="Tahoma"/>
      <w:sz w:val="24"/>
      <w:szCs w:val="20"/>
    </w:rPr>
  </w:style>
  <w:style w:type="paragraph" w:customStyle="1" w:styleId="162">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3">
    <w:name w:val="默认段落字体 Para Char Char Char Char Char Char Char Char Char1 Char Char Char Char"/>
    <w:basedOn w:val="1"/>
    <w:qFormat/>
    <w:uiPriority w:val="0"/>
    <w:rPr>
      <w:rFonts w:ascii="Tahoma" w:hAnsi="Tahoma"/>
      <w:sz w:val="24"/>
      <w:szCs w:val="20"/>
    </w:rPr>
  </w:style>
  <w:style w:type="paragraph" w:customStyle="1" w:styleId="164">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p0"/>
    <w:basedOn w:val="1"/>
    <w:qFormat/>
    <w:uiPriority w:val="0"/>
    <w:pPr>
      <w:widowControl/>
    </w:pPr>
    <w:rPr>
      <w:rFonts w:ascii="Calibri" w:hAnsi="Calibri" w:cs="宋体"/>
      <w:kern w:val="0"/>
      <w:szCs w:val="21"/>
    </w:rPr>
  </w:style>
  <w:style w:type="paragraph" w:customStyle="1" w:styleId="167">
    <w:name w:val="zoey楷体正文"/>
    <w:basedOn w:val="2"/>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68">
    <w:name w:val="产品手册技术规格类别"/>
    <w:basedOn w:val="1"/>
    <w:qFormat/>
    <w:uiPriority w:val="0"/>
    <w:pPr>
      <w:tabs>
        <w:tab w:val="left" w:pos="420"/>
      </w:tabs>
      <w:spacing w:line="400" w:lineRule="exact"/>
      <w:ind w:left="432" w:hanging="432"/>
    </w:pPr>
    <w:rPr>
      <w:rFonts w:ascii="Arial" w:hAnsi="Arial" w:eastAsia="黑体"/>
      <w:b/>
      <w:szCs w:val="21"/>
    </w:rPr>
  </w:style>
  <w:style w:type="paragraph" w:customStyle="1" w:styleId="169">
    <w:name w:val="正文2"/>
    <w:basedOn w:val="1"/>
    <w:qFormat/>
    <w:uiPriority w:val="0"/>
    <w:pPr>
      <w:spacing w:before="156" w:line="360" w:lineRule="auto"/>
      <w:ind w:firstLine="510" w:firstLineChars="200"/>
    </w:pPr>
    <w:rPr>
      <w:sz w:val="24"/>
      <w:szCs w:val="20"/>
    </w:rPr>
  </w:style>
  <w:style w:type="paragraph" w:customStyle="1" w:styleId="17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71">
    <w:name w:val="正文文字表格居中"/>
    <w:basedOn w:val="1"/>
    <w:next w:val="39"/>
    <w:qFormat/>
    <w:uiPriority w:val="0"/>
    <w:pPr>
      <w:spacing w:line="400" w:lineRule="exact"/>
      <w:jc w:val="center"/>
    </w:pPr>
    <w:rPr>
      <w:b/>
      <w:bCs/>
      <w:sz w:val="24"/>
    </w:rPr>
  </w:style>
  <w:style w:type="paragraph" w:customStyle="1" w:styleId="172">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3">
    <w:name w:val="样式2"/>
    <w:basedOn w:val="5"/>
    <w:qFormat/>
    <w:uiPriority w:val="0"/>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174">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75">
    <w:name w:val="Char Char1 Char Char"/>
    <w:basedOn w:val="1"/>
    <w:qFormat/>
    <w:uiPriority w:val="0"/>
    <w:pPr>
      <w:ind w:left="100" w:leftChars="100" w:right="100" w:rightChars="100"/>
      <w:jc w:val="left"/>
    </w:pPr>
    <w:rPr>
      <w:rFonts w:ascii="Tahoma" w:hAnsi="Tahoma"/>
      <w:sz w:val="24"/>
      <w:szCs w:val="20"/>
    </w:rPr>
  </w:style>
  <w:style w:type="paragraph" w:customStyle="1" w:styleId="176">
    <w:name w:val="正文－恩普"/>
    <w:basedOn w:val="8"/>
    <w:qFormat/>
    <w:uiPriority w:val="0"/>
    <w:pPr>
      <w:framePr w:wrap="around" w:vAnchor="text" w:hAnchor="text" w:y="1"/>
      <w:spacing w:after="0" w:line="360" w:lineRule="auto"/>
    </w:pPr>
    <w:rPr>
      <w:szCs w:val="24"/>
    </w:rPr>
  </w:style>
  <w:style w:type="paragraph" w:customStyle="1" w:styleId="177">
    <w:name w:val="默认段落字体 Para Char Char Char Char"/>
    <w:basedOn w:val="1"/>
    <w:qFormat/>
    <w:uiPriority w:val="0"/>
    <w:rPr>
      <w:szCs w:val="20"/>
    </w:rPr>
  </w:style>
  <w:style w:type="paragraph" w:customStyle="1" w:styleId="178">
    <w:name w:val="模板正文缩进"/>
    <w:basedOn w:val="1"/>
    <w:qFormat/>
    <w:uiPriority w:val="0"/>
    <w:pPr>
      <w:spacing w:beforeLines="50" w:afterLines="50" w:line="520" w:lineRule="exact"/>
      <w:ind w:left="1049" w:hanging="420"/>
    </w:pPr>
    <w:rPr>
      <w:rFonts w:ascii="宋体" w:hAnsi="宋体"/>
      <w:kern w:val="0"/>
      <w:sz w:val="24"/>
    </w:rPr>
  </w:style>
  <w:style w:type="paragraph" w:customStyle="1" w:styleId="179">
    <w:name w:val="Char Char Char Char Char Char Char Char Char Char"/>
    <w:basedOn w:val="15"/>
    <w:qFormat/>
    <w:uiPriority w:val="0"/>
  </w:style>
  <w:style w:type="paragraph" w:customStyle="1" w:styleId="180">
    <w:name w:val="表内文字"/>
    <w:basedOn w:val="1"/>
    <w:qFormat/>
    <w:uiPriority w:val="0"/>
    <w:pPr>
      <w:jc w:val="center"/>
    </w:pPr>
    <w:rPr>
      <w:rFonts w:ascii="仿宋_GB2312" w:eastAsia="仿宋_GB2312"/>
      <w:sz w:val="24"/>
    </w:rPr>
  </w:style>
  <w:style w:type="paragraph" w:customStyle="1" w:styleId="181">
    <w:name w:val="Char Char Char Char1"/>
    <w:basedOn w:val="1"/>
    <w:qFormat/>
    <w:uiPriority w:val="0"/>
    <w:rPr>
      <w:rFonts w:ascii="Tahoma" w:hAnsi="Tahoma"/>
      <w:sz w:val="24"/>
      <w:szCs w:val="20"/>
    </w:rPr>
  </w:style>
  <w:style w:type="paragraph" w:customStyle="1" w:styleId="182">
    <w:name w:val="Char Char Char Char1 Char Char Char Char"/>
    <w:basedOn w:val="15"/>
    <w:qFormat/>
    <w:uiPriority w:val="0"/>
    <w:rPr>
      <w:szCs w:val="20"/>
    </w:rPr>
  </w:style>
  <w:style w:type="paragraph" w:customStyle="1" w:styleId="183">
    <w:name w:val="Char Char Char Char11"/>
    <w:basedOn w:val="15"/>
    <w:qFormat/>
    <w:uiPriority w:val="0"/>
    <w:rPr>
      <w:szCs w:val="20"/>
    </w:rPr>
  </w:style>
  <w:style w:type="paragraph" w:customStyle="1" w:styleId="184">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185">
    <w:name w:val="Char2"/>
    <w:basedOn w:val="1"/>
    <w:qFormat/>
    <w:uiPriority w:val="0"/>
    <w:rPr>
      <w:rFonts w:ascii="仿宋_GB2312" w:eastAsia="仿宋_GB2312"/>
      <w:b/>
      <w:sz w:val="32"/>
      <w:szCs w:val="32"/>
    </w:rPr>
  </w:style>
  <w:style w:type="paragraph" w:customStyle="1" w:styleId="186">
    <w:name w:val="Fließtext"/>
    <w:basedOn w:val="1"/>
    <w:qFormat/>
    <w:uiPriority w:val="0"/>
    <w:pPr>
      <w:widowControl/>
      <w:overflowPunct w:val="0"/>
      <w:autoSpaceDE w:val="0"/>
      <w:autoSpaceDN w:val="0"/>
      <w:adjustRightInd w:val="0"/>
      <w:jc w:val="left"/>
      <w:textAlignment w:val="baseline"/>
    </w:pPr>
    <w:rPr>
      <w:kern w:val="28"/>
      <w:szCs w:val="20"/>
    </w:rPr>
  </w:style>
  <w:style w:type="paragraph" w:customStyle="1" w:styleId="18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88">
    <w:name w:val="p14a"/>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89">
    <w:name w:val="list_sx"/>
    <w:basedOn w:val="1"/>
    <w:qFormat/>
    <w:uiPriority w:val="0"/>
    <w:pPr>
      <w:widowControl/>
      <w:spacing w:before="100" w:beforeAutospacing="1" w:after="100" w:afterAutospacing="1"/>
      <w:jc w:val="left"/>
    </w:pPr>
    <w:rPr>
      <w:rFonts w:ascii="宋体" w:hAnsi="宋体"/>
      <w:color w:val="3166CE"/>
      <w:kern w:val="0"/>
      <w:sz w:val="24"/>
    </w:rPr>
  </w:style>
  <w:style w:type="paragraph" w:customStyle="1" w:styleId="190">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91">
    <w:name w:val="中等深浅网格 1 - 强调文字颜色 21"/>
    <w:basedOn w:val="1"/>
    <w:qFormat/>
    <w:uiPriority w:val="34"/>
    <w:pPr>
      <w:widowControl/>
      <w:ind w:firstLine="420" w:firstLineChars="200"/>
      <w:jc w:val="left"/>
    </w:pPr>
    <w:rPr>
      <w:kern w:val="0"/>
      <w:szCs w:val="20"/>
    </w:rPr>
  </w:style>
  <w:style w:type="paragraph" w:customStyle="1" w:styleId="192">
    <w:name w:val="12shad1"/>
    <w:basedOn w:val="1"/>
    <w:qFormat/>
    <w:uiPriority w:val="0"/>
    <w:pPr>
      <w:widowControl/>
      <w:spacing w:before="100" w:beforeAutospacing="1" w:after="100" w:afterAutospacing="1"/>
      <w:jc w:val="left"/>
    </w:pPr>
    <w:rPr>
      <w:rFonts w:ascii="宋体" w:hAnsi="宋体"/>
      <w:b/>
      <w:bCs/>
      <w:color w:val="FFFFFF"/>
      <w:kern w:val="0"/>
      <w:sz w:val="22"/>
      <w:szCs w:val="22"/>
    </w:rPr>
  </w:style>
  <w:style w:type="paragraph" w:customStyle="1" w:styleId="193">
    <w:name w:val="b5-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94">
    <w:name w:val="12shad"/>
    <w:basedOn w:val="1"/>
    <w:qFormat/>
    <w:uiPriority w:val="0"/>
    <w:pPr>
      <w:widowControl/>
      <w:spacing w:before="100" w:beforeAutospacing="1" w:after="100" w:afterAutospacing="1"/>
      <w:jc w:val="left"/>
    </w:pPr>
    <w:rPr>
      <w:rFonts w:ascii="宋体" w:hAnsi="宋体"/>
      <w:color w:val="FFFFFF"/>
      <w:kern w:val="0"/>
      <w:sz w:val="22"/>
      <w:szCs w:val="22"/>
    </w:rPr>
  </w:style>
  <w:style w:type="paragraph" w:customStyle="1" w:styleId="195">
    <w:name w:val="font14"/>
    <w:basedOn w:val="1"/>
    <w:qFormat/>
    <w:uiPriority w:val="0"/>
    <w:pPr>
      <w:widowControl/>
      <w:spacing w:before="100" w:beforeAutospacing="1" w:after="100" w:afterAutospacing="1"/>
      <w:jc w:val="left"/>
    </w:pPr>
    <w:rPr>
      <w:rFonts w:ascii="宋体" w:hAnsi="宋体"/>
      <w:color w:val="AECFEE"/>
      <w:kern w:val="0"/>
      <w:sz w:val="24"/>
    </w:rPr>
  </w:style>
  <w:style w:type="paragraph" w:customStyle="1" w:styleId="196">
    <w:name w:val="left"/>
    <w:basedOn w:val="1"/>
    <w:qFormat/>
    <w:uiPriority w:val="0"/>
    <w:pPr>
      <w:widowControl/>
      <w:spacing w:before="100" w:beforeAutospacing="1" w:after="100" w:afterAutospacing="1"/>
      <w:jc w:val="left"/>
    </w:pPr>
    <w:rPr>
      <w:rFonts w:ascii="宋体" w:hAnsi="宋体"/>
      <w:kern w:val="0"/>
      <w:sz w:val="24"/>
    </w:rPr>
  </w:style>
  <w:style w:type="paragraph" w:customStyle="1" w:styleId="197">
    <w:name w:val="_Style 70"/>
    <w:basedOn w:val="1"/>
    <w:qFormat/>
    <w:uiPriority w:val="0"/>
    <w:rPr>
      <w:szCs w:val="20"/>
    </w:rPr>
  </w:style>
  <w:style w:type="paragraph" w:customStyle="1" w:styleId="198">
    <w:name w:val="表格文字"/>
    <w:basedOn w:val="1"/>
    <w:next w:val="19"/>
    <w:qFormat/>
    <w:uiPriority w:val="0"/>
    <w:pPr>
      <w:widowControl/>
      <w:adjustRightInd w:val="0"/>
      <w:spacing w:line="420" w:lineRule="atLeast"/>
      <w:jc w:val="left"/>
      <w:textAlignment w:val="baseline"/>
    </w:pPr>
    <w:rPr>
      <w:kern w:val="0"/>
    </w:rPr>
  </w:style>
  <w:style w:type="paragraph" w:customStyle="1" w:styleId="199">
    <w:name w:val="默认段落字体 Para Char Char Char Char Char Char Char"/>
    <w:basedOn w:val="1"/>
    <w:qFormat/>
    <w:uiPriority w:val="0"/>
    <w:rPr>
      <w:rFonts w:ascii="Tahoma" w:hAnsi="Tahoma"/>
      <w:sz w:val="24"/>
      <w:szCs w:val="20"/>
    </w:rPr>
  </w:style>
  <w:style w:type="paragraph" w:customStyle="1" w:styleId="200">
    <w:name w:val="附件"/>
    <w:basedOn w:val="2"/>
    <w:qFormat/>
    <w:uiPriority w:val="0"/>
    <w:pPr>
      <w:keepNext w:val="0"/>
      <w:pageBreakBefore/>
      <w:tabs>
        <w:tab w:val="left" w:pos="840"/>
      </w:tabs>
      <w:adjustRightInd w:val="0"/>
      <w:snapToGrid w:val="0"/>
      <w:spacing w:beforeLines="100" w:afterLines="100"/>
    </w:pPr>
    <w:rPr>
      <w:rFonts w:ascii="宋体" w:hAnsi="宋体"/>
      <w:b/>
      <w:kern w:val="44"/>
      <w:szCs w:val="36"/>
    </w:rPr>
  </w:style>
  <w:style w:type="paragraph" w:customStyle="1" w:styleId="201">
    <w:name w:val="right"/>
    <w:basedOn w:val="1"/>
    <w:qFormat/>
    <w:uiPriority w:val="0"/>
    <w:pPr>
      <w:widowControl/>
      <w:spacing w:before="100" w:beforeAutospacing="1" w:after="100" w:afterAutospacing="1"/>
      <w:jc w:val="left"/>
    </w:pPr>
    <w:rPr>
      <w:rFonts w:ascii="宋体" w:hAnsi="宋体"/>
      <w:kern w:val="0"/>
      <w:sz w:val="24"/>
    </w:rPr>
  </w:style>
  <w:style w:type="paragraph" w:customStyle="1" w:styleId="202">
    <w:name w:val="Char Char4"/>
    <w:basedOn w:val="1"/>
    <w:qFormat/>
    <w:uiPriority w:val="0"/>
    <w:rPr>
      <w:rFonts w:ascii="Tahoma" w:hAnsi="Tahoma"/>
      <w:sz w:val="24"/>
      <w:szCs w:val="20"/>
    </w:rPr>
  </w:style>
  <w:style w:type="paragraph" w:customStyle="1" w:styleId="203">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04">
    <w:name w:val="p14"/>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205">
    <w:name w:val="font2"/>
    <w:basedOn w:val="1"/>
    <w:qFormat/>
    <w:uiPriority w:val="0"/>
    <w:pPr>
      <w:widowControl/>
      <w:spacing w:before="100" w:beforeAutospacing="1" w:after="100" w:afterAutospacing="1"/>
      <w:jc w:val="left"/>
    </w:pPr>
    <w:rPr>
      <w:rFonts w:ascii="宋体" w:hAnsi="宋体"/>
      <w:color w:val="FF0000"/>
      <w:kern w:val="0"/>
      <w:sz w:val="24"/>
    </w:rPr>
  </w:style>
  <w:style w:type="paragraph" w:customStyle="1" w:styleId="206">
    <w:name w:val="GP正文(首行缩进)"/>
    <w:basedOn w:val="1"/>
    <w:qFormat/>
    <w:uiPriority w:val="0"/>
    <w:pPr>
      <w:widowControl/>
      <w:spacing w:line="360" w:lineRule="auto"/>
      <w:ind w:firstLine="480" w:firstLineChars="200"/>
      <w:jc w:val="left"/>
    </w:pPr>
    <w:rPr>
      <w:rFonts w:hAnsi="宋体"/>
      <w:kern w:val="0"/>
      <w:sz w:val="24"/>
      <w:szCs w:val="20"/>
    </w:rPr>
  </w:style>
  <w:style w:type="paragraph" w:customStyle="1" w:styleId="207">
    <w:name w:val="b2-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08">
    <w:name w:val="b3-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09">
    <w:name w:val="font15"/>
    <w:basedOn w:val="1"/>
    <w:qFormat/>
    <w:uiPriority w:val="0"/>
    <w:pPr>
      <w:widowControl/>
      <w:spacing w:before="100" w:beforeAutospacing="1" w:after="100" w:afterAutospacing="1"/>
      <w:jc w:val="left"/>
    </w:pPr>
    <w:rPr>
      <w:rFonts w:ascii="宋体" w:hAnsi="宋体"/>
      <w:b/>
      <w:bCs/>
      <w:color w:val="5C9DDF"/>
      <w:kern w:val="0"/>
      <w:sz w:val="24"/>
    </w:rPr>
  </w:style>
  <w:style w:type="paragraph" w:customStyle="1" w:styleId="210">
    <w:name w:val="14shadhxxx"/>
    <w:basedOn w:val="1"/>
    <w:qFormat/>
    <w:uiPriority w:val="0"/>
    <w:pPr>
      <w:widowControl/>
      <w:spacing w:before="100" w:beforeAutospacing="1" w:after="100" w:afterAutospacing="1"/>
      <w:jc w:val="left"/>
    </w:pPr>
    <w:rPr>
      <w:rFonts w:ascii="宋体" w:hAnsi="宋体"/>
      <w:b/>
      <w:bCs/>
      <w:color w:val="000000"/>
      <w:kern w:val="0"/>
      <w:sz w:val="26"/>
      <w:szCs w:val="26"/>
    </w:rPr>
  </w:style>
  <w:style w:type="paragraph" w:customStyle="1" w:styleId="211">
    <w:name w:val="l17"/>
    <w:basedOn w:val="1"/>
    <w:qFormat/>
    <w:uiPriority w:val="0"/>
    <w:pPr>
      <w:widowControl/>
      <w:spacing w:before="100" w:beforeAutospacing="1" w:after="100" w:afterAutospacing="1" w:line="318" w:lineRule="atLeast"/>
      <w:jc w:val="left"/>
    </w:pPr>
    <w:rPr>
      <w:rFonts w:ascii="宋体" w:hAnsi="宋体"/>
      <w:kern w:val="0"/>
      <w:sz w:val="24"/>
    </w:rPr>
  </w:style>
  <w:style w:type="paragraph" w:customStyle="1" w:styleId="212">
    <w:name w:val="b3-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13">
    <w:name w:val="正文格式"/>
    <w:basedOn w:val="1"/>
    <w:qFormat/>
    <w:uiPriority w:val="0"/>
    <w:pPr>
      <w:spacing w:before="120" w:after="120" w:line="360" w:lineRule="auto"/>
      <w:ind w:firstLine="482"/>
      <w:jc w:val="left"/>
    </w:pPr>
    <w:rPr>
      <w:sz w:val="24"/>
      <w:szCs w:val="20"/>
    </w:rPr>
  </w:style>
  <w:style w:type="paragraph" w:customStyle="1" w:styleId="214">
    <w:name w:val="p14_1"/>
    <w:basedOn w:val="1"/>
    <w:qFormat/>
    <w:uiPriority w:val="0"/>
    <w:pPr>
      <w:widowControl/>
      <w:spacing w:before="100" w:beforeAutospacing="1" w:after="100" w:afterAutospacing="1"/>
      <w:jc w:val="left"/>
    </w:pPr>
    <w:rPr>
      <w:rFonts w:ascii="宋体" w:hAnsi="宋体"/>
      <w:color w:val="000000"/>
      <w:kern w:val="0"/>
      <w:sz w:val="26"/>
      <w:szCs w:val="26"/>
    </w:rPr>
  </w:style>
  <w:style w:type="paragraph" w:customStyle="1" w:styleId="215">
    <w:name w:val="_Style 50"/>
    <w:next w:val="1"/>
    <w:qFormat/>
    <w:uiPriority w:val="0"/>
    <w:rPr>
      <w:rFonts w:ascii="Times New Roman" w:hAnsi="Times New Roman" w:eastAsia="宋体" w:cs="Times New Roman"/>
      <w:sz w:val="21"/>
      <w:lang w:val="en-US" w:eastAsia="zh-CN" w:bidi="ar-SA"/>
    </w:rPr>
  </w:style>
  <w:style w:type="paragraph" w:customStyle="1" w:styleId="216">
    <w:name w:val="*正文"/>
    <w:basedOn w:val="1"/>
    <w:qFormat/>
    <w:uiPriority w:val="0"/>
    <w:pPr>
      <w:spacing w:line="360" w:lineRule="auto"/>
      <w:ind w:firstLine="200" w:firstLineChars="200"/>
    </w:pPr>
    <w:rPr>
      <w:rFonts w:hint="eastAsia" w:ascii="宋体" w:hAnsi="宋体"/>
      <w:sz w:val="24"/>
    </w:rPr>
  </w:style>
  <w:style w:type="character" w:customStyle="1" w:styleId="217">
    <w:name w:val="纯文本 字符"/>
    <w:qFormat/>
    <w:uiPriority w:val="0"/>
    <w:rPr>
      <w:rFonts w:ascii="宋体" w:hAnsi="Courier New" w:eastAsia="仿宋_GB2312"/>
      <w:b/>
      <w:color w:val="000000"/>
      <w:sz w:val="21"/>
    </w:rPr>
  </w:style>
  <w:style w:type="character" w:customStyle="1" w:styleId="218">
    <w:name w:val="正文缩进 Char2"/>
    <w:qFormat/>
    <w:uiPriority w:val="0"/>
    <w:rPr>
      <w:rFonts w:ascii="仿宋_GB2312" w:hAnsi="宋体" w:eastAsia="仿宋_GB2312"/>
      <w:b/>
      <w:color w:val="000000"/>
      <w:sz w:val="21"/>
    </w:rPr>
  </w:style>
  <w:style w:type="character" w:customStyle="1" w:styleId="219">
    <w:name w:val="font81"/>
    <w:qFormat/>
    <w:uiPriority w:val="0"/>
    <w:rPr>
      <w:rFonts w:hint="default" w:ascii="Times New Roman" w:hAnsi="Times New Roman" w:cs="Times New Roman"/>
      <w:b/>
      <w:color w:val="000000"/>
      <w:sz w:val="22"/>
      <w:szCs w:val="22"/>
      <w:u w:val="none"/>
    </w:rPr>
  </w:style>
  <w:style w:type="character" w:customStyle="1" w:styleId="220">
    <w:name w:val="Plain Text Char"/>
    <w:qFormat/>
    <w:uiPriority w:val="0"/>
    <w:rPr>
      <w:rFonts w:ascii="宋体" w:hAnsi="Courier New" w:eastAsia="宋体" w:cs="Times New Roman"/>
      <w:sz w:val="21"/>
      <w:szCs w:val="21"/>
    </w:rPr>
  </w:style>
  <w:style w:type="character" w:customStyle="1" w:styleId="221">
    <w:name w:val="纯文本 Char3"/>
    <w:qFormat/>
    <w:uiPriority w:val="0"/>
    <w:rPr>
      <w:rFonts w:ascii="宋体" w:hAnsi="Courier New" w:eastAsia="宋体"/>
      <w:kern w:val="2"/>
      <w:sz w:val="21"/>
      <w:lang w:val="en-US" w:eastAsia="zh-CN" w:bidi="ar-SA"/>
    </w:rPr>
  </w:style>
  <w:style w:type="character" w:customStyle="1" w:styleId="222">
    <w:name w:val="列出段落 字符"/>
    <w:link w:val="134"/>
    <w:qFormat/>
    <w:uiPriority w:val="34"/>
    <w:rPr>
      <w:kern w:val="2"/>
      <w:sz w:val="21"/>
    </w:rPr>
  </w:style>
  <w:style w:type="paragraph" w:customStyle="1" w:styleId="223">
    <w:name w:val="_Style 340"/>
    <w:basedOn w:val="1"/>
    <w:next w:val="124"/>
    <w:qFormat/>
    <w:uiPriority w:val="0"/>
    <w:pPr>
      <w:widowControl/>
      <w:ind w:firstLine="420" w:firstLineChars="200"/>
      <w:jc w:val="left"/>
    </w:pPr>
    <w:rPr>
      <w:kern w:val="0"/>
      <w:szCs w:val="20"/>
    </w:rPr>
  </w:style>
  <w:style w:type="paragraph" w:customStyle="1" w:styleId="224">
    <w:name w:val="市场调研报告正文样式"/>
    <w:basedOn w:val="1"/>
    <w:qFormat/>
    <w:uiPriority w:val="0"/>
    <w:pPr>
      <w:spacing w:afterLines="50" w:line="276" w:lineRule="auto"/>
      <w:ind w:firstLine="200" w:firstLineChars="200"/>
    </w:pPr>
    <w:rPr>
      <w:rFonts w:ascii="仿宋_GB2312" w:hAnsi="宋体" w:eastAsia="仿宋_GB2312"/>
      <w:b/>
      <w:color w:val="000000"/>
      <w:kern w:val="0"/>
      <w:szCs w:val="20"/>
    </w:rPr>
  </w:style>
  <w:style w:type="paragraph" w:customStyle="1" w:styleId="225">
    <w:name w:val="列表段落1"/>
    <w:basedOn w:val="1"/>
    <w:qFormat/>
    <w:uiPriority w:val="34"/>
    <w:pPr>
      <w:ind w:firstLine="420" w:firstLineChars="200"/>
    </w:pPr>
    <w:rPr>
      <w:rFonts w:ascii="Calibri" w:hAnsi="Calibri"/>
      <w:szCs w:val="22"/>
    </w:rPr>
  </w:style>
  <w:style w:type="character" w:customStyle="1" w:styleId="226">
    <w:name w:val="font141"/>
    <w:qFormat/>
    <w:uiPriority w:val="0"/>
    <w:rPr>
      <w:rFonts w:hint="eastAsia" w:ascii="仿宋_GB2312" w:eastAsia="仿宋_GB2312" w:cs="仿宋_GB2312"/>
      <w:color w:val="000000"/>
      <w:sz w:val="24"/>
      <w:szCs w:val="24"/>
      <w:u w:val="none"/>
    </w:rPr>
  </w:style>
  <w:style w:type="character" w:customStyle="1" w:styleId="227">
    <w:name w:val="font11"/>
    <w:basedOn w:val="48"/>
    <w:qFormat/>
    <w:uiPriority w:val="0"/>
    <w:rPr>
      <w:rFonts w:hint="eastAsia" w:ascii="微软雅黑" w:hAnsi="微软雅黑" w:eastAsia="微软雅黑" w:cs="微软雅黑"/>
      <w:color w:val="000000"/>
      <w:sz w:val="20"/>
      <w:szCs w:val="20"/>
      <w:u w:val="none"/>
    </w:rPr>
  </w:style>
  <w:style w:type="character" w:customStyle="1" w:styleId="228">
    <w:name w:val="15"/>
    <w:basedOn w:val="4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110</Pages>
  <Words>77861</Words>
  <Characters>84691</Characters>
  <Lines>1</Lines>
  <Paragraphs>1</Paragraphs>
  <TotalTime>9</TotalTime>
  <ScaleCrop>false</ScaleCrop>
  <LinksUpToDate>false</LinksUpToDate>
  <CharactersWithSpaces>87584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2020-07-09T02:26:00Z</dcterms:created>
  <dc:creator>zhang</dc:creator>
  <cp:lastModifiedBy>HUAWEI1</cp:lastModifiedBy>
  <dcterms:modified xsi:type="dcterms:W3CDTF">2024-09-18T11:39:01Z</dcterms:modified>
  <dc:title>乐清市公共资源交易中心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8CDA262C7AE54CE9901D762A15B888D9_13</vt:lpwstr>
  </property>
  <property fmtid="{D5CDD505-2E9C-101B-9397-08002B2CF9AE}" pid="4" name="woTemplateTypoMode" linkTarget="0">
    <vt:lpwstr/>
  </property>
  <property fmtid="{D5CDD505-2E9C-101B-9397-08002B2CF9AE}" pid="5" name="woTemplate" linkTarget="0">
    <vt:i4>0</vt:i4>
  </property>
</Properties>
</file>