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355AEF">
      <w:pPr>
        <w:jc w:val="center"/>
        <w:rPr>
          <w:b/>
          <w:bCs/>
          <w:sz w:val="52"/>
          <w:szCs w:val="52"/>
          <w:highlight w:val="none"/>
        </w:rPr>
      </w:pPr>
      <w:bookmarkStart w:id="0" w:name="_Toc19157"/>
      <w:bookmarkStart w:id="1" w:name="_Toc2776"/>
    </w:p>
    <w:bookmarkEnd w:id="0"/>
    <w:bookmarkEnd w:id="1"/>
    <w:p w14:paraId="3570DCD6">
      <w:pPr>
        <w:jc w:val="center"/>
        <w:rPr>
          <w:rFonts w:hint="eastAsia" w:eastAsia="宋体"/>
          <w:highlight w:val="none"/>
          <w:lang w:eastAsia="zh-CN"/>
        </w:rPr>
      </w:pPr>
      <w:r>
        <w:rPr>
          <w:rFonts w:hint="eastAsia" w:eastAsia="宋体"/>
          <w:b/>
          <w:bCs/>
          <w:sz w:val="52"/>
          <w:szCs w:val="52"/>
          <w:highlight w:val="none"/>
          <w:lang w:eastAsia="zh-CN"/>
        </w:rPr>
        <w:t>瑞安市2025年度农村公益电影放映</w:t>
      </w:r>
    </w:p>
    <w:p w14:paraId="7E68A5E7">
      <w:pPr>
        <w:rPr>
          <w:highlight w:val="none"/>
        </w:rPr>
      </w:pPr>
    </w:p>
    <w:p w14:paraId="33EFEA7E">
      <w:pPr>
        <w:rPr>
          <w:highlight w:val="none"/>
        </w:rPr>
      </w:pPr>
    </w:p>
    <w:p w14:paraId="33F67942">
      <w:pPr>
        <w:rPr>
          <w:highlight w:val="none"/>
        </w:rPr>
      </w:pPr>
    </w:p>
    <w:p w14:paraId="54F052BA">
      <w:pPr>
        <w:rPr>
          <w:highlight w:val="none"/>
        </w:rPr>
      </w:pPr>
    </w:p>
    <w:p w14:paraId="1EF1C0AE">
      <w:pPr>
        <w:pStyle w:val="6"/>
        <w:rPr>
          <w:highlight w:val="none"/>
        </w:rPr>
      </w:pPr>
    </w:p>
    <w:p w14:paraId="102F1228">
      <w:pPr>
        <w:pStyle w:val="13"/>
        <w:rPr>
          <w:highlight w:val="none"/>
        </w:rPr>
      </w:pPr>
    </w:p>
    <w:p w14:paraId="2D5F0A4B">
      <w:pPr>
        <w:rPr>
          <w:highlight w:val="none"/>
        </w:rPr>
      </w:pPr>
    </w:p>
    <w:p w14:paraId="2DE1733A">
      <w:pPr>
        <w:rPr>
          <w:highlight w:val="none"/>
        </w:rPr>
      </w:pPr>
    </w:p>
    <w:p w14:paraId="7A42C3F5">
      <w:pPr>
        <w:rPr>
          <w:highlight w:val="none"/>
        </w:rPr>
      </w:pPr>
    </w:p>
    <w:p w14:paraId="57A07AAC">
      <w:pPr>
        <w:jc w:val="center"/>
        <w:rPr>
          <w:rFonts w:ascii="宋体" w:hAnsi="宋体" w:cs="宋体"/>
          <w:b/>
          <w:bCs/>
          <w:sz w:val="72"/>
          <w:highlight w:val="none"/>
        </w:rPr>
      </w:pPr>
      <w:r>
        <w:rPr>
          <w:rFonts w:ascii="宋体" w:hAnsi="宋体" w:cs="宋体"/>
          <w:b/>
          <w:bCs/>
          <w:sz w:val="72"/>
          <w:highlight w:val="none"/>
        </w:rPr>
        <w:t>磋 商 文 件</w:t>
      </w:r>
    </w:p>
    <w:p w14:paraId="6BDD31F1">
      <w:pPr>
        <w:jc w:val="center"/>
        <w:rPr>
          <w:highlight w:val="none"/>
        </w:rPr>
      </w:pPr>
      <w:r>
        <w:rPr>
          <w:rFonts w:ascii="宋体" w:hAnsi="宋体" w:cs="宋体"/>
          <w:b/>
          <w:bCs/>
          <w:sz w:val="36"/>
          <w:szCs w:val="36"/>
          <w:highlight w:val="none"/>
        </w:rPr>
        <w:t>（线上电子招投标）</w:t>
      </w:r>
    </w:p>
    <w:p w14:paraId="3C0D9531">
      <w:pPr>
        <w:rPr>
          <w:highlight w:val="none"/>
        </w:rPr>
      </w:pPr>
    </w:p>
    <w:p w14:paraId="30B1CE3C">
      <w:pPr>
        <w:rPr>
          <w:highlight w:val="none"/>
        </w:rPr>
      </w:pPr>
    </w:p>
    <w:p w14:paraId="1C64E541">
      <w:pPr>
        <w:rPr>
          <w:highlight w:val="none"/>
        </w:rPr>
      </w:pPr>
    </w:p>
    <w:p w14:paraId="4CC36D8B">
      <w:pPr>
        <w:rPr>
          <w:highlight w:val="none"/>
        </w:rPr>
      </w:pPr>
    </w:p>
    <w:p w14:paraId="00469135">
      <w:pPr>
        <w:rPr>
          <w:highlight w:val="none"/>
        </w:rPr>
      </w:pPr>
    </w:p>
    <w:p w14:paraId="411E13D6">
      <w:pPr>
        <w:rPr>
          <w:highlight w:val="none"/>
        </w:rPr>
      </w:pPr>
    </w:p>
    <w:p w14:paraId="7D264F5A">
      <w:pPr>
        <w:rPr>
          <w:highlight w:val="none"/>
        </w:rPr>
      </w:pPr>
    </w:p>
    <w:p w14:paraId="7B9F29B3">
      <w:pPr>
        <w:rPr>
          <w:highlight w:val="none"/>
        </w:rPr>
      </w:pPr>
    </w:p>
    <w:p w14:paraId="4926EA8A">
      <w:pPr>
        <w:rPr>
          <w:highlight w:val="none"/>
        </w:rPr>
      </w:pPr>
    </w:p>
    <w:p w14:paraId="1C93053B">
      <w:pPr>
        <w:spacing w:line="360" w:lineRule="auto"/>
        <w:ind w:firstLine="640" w:firstLineChars="200"/>
        <w:rPr>
          <w:sz w:val="32"/>
          <w:szCs w:val="40"/>
          <w:highlight w:val="none"/>
        </w:rPr>
      </w:pPr>
      <w:r>
        <w:rPr>
          <w:sz w:val="32"/>
          <w:szCs w:val="40"/>
          <w:highlight w:val="none"/>
        </w:rPr>
        <w:t>项 目  编 号：</w:t>
      </w:r>
      <w:r>
        <w:rPr>
          <w:rFonts w:hint="eastAsia"/>
          <w:sz w:val="32"/>
          <w:szCs w:val="40"/>
          <w:highlight w:val="none"/>
          <w:lang w:eastAsia="zh-CN"/>
        </w:rPr>
        <w:t>zjzs202502019</w:t>
      </w:r>
      <w:r>
        <w:rPr>
          <w:sz w:val="32"/>
          <w:szCs w:val="40"/>
          <w:highlight w:val="none"/>
        </w:rPr>
        <w:t xml:space="preserve"> </w:t>
      </w:r>
    </w:p>
    <w:p w14:paraId="477F9DEC">
      <w:pPr>
        <w:spacing w:line="360" w:lineRule="auto"/>
        <w:ind w:firstLine="640" w:firstLineChars="200"/>
        <w:rPr>
          <w:sz w:val="32"/>
          <w:szCs w:val="40"/>
          <w:highlight w:val="none"/>
        </w:rPr>
      </w:pPr>
      <w:r>
        <w:rPr>
          <w:sz w:val="32"/>
          <w:szCs w:val="40"/>
          <w:highlight w:val="none"/>
        </w:rPr>
        <w:t>采 购  方 式：竞争性磋商</w:t>
      </w:r>
    </w:p>
    <w:p w14:paraId="10ACEFDC">
      <w:pPr>
        <w:spacing w:line="360" w:lineRule="auto"/>
        <w:ind w:firstLine="640" w:firstLineChars="200"/>
        <w:rPr>
          <w:rFonts w:hint="eastAsia" w:eastAsia="宋体"/>
          <w:sz w:val="32"/>
          <w:szCs w:val="40"/>
          <w:highlight w:val="none"/>
          <w:lang w:eastAsia="zh-CN"/>
        </w:rPr>
      </w:pPr>
      <w:r>
        <w:rPr>
          <w:sz w:val="32"/>
          <w:szCs w:val="40"/>
          <w:highlight w:val="none"/>
        </w:rPr>
        <w:t>采   购   人：</w:t>
      </w:r>
      <w:r>
        <w:rPr>
          <w:rFonts w:hint="eastAsia"/>
          <w:sz w:val="32"/>
          <w:szCs w:val="40"/>
          <w:highlight w:val="none"/>
          <w:lang w:eastAsia="zh-CN"/>
        </w:rPr>
        <w:t>中共瑞安市委宣传部</w:t>
      </w:r>
    </w:p>
    <w:p w14:paraId="747D8042">
      <w:pPr>
        <w:ind w:firstLine="640" w:firstLineChars="200"/>
        <w:rPr>
          <w:sz w:val="32"/>
          <w:szCs w:val="40"/>
          <w:highlight w:val="none"/>
        </w:rPr>
      </w:pPr>
      <w:r>
        <w:rPr>
          <w:sz w:val="32"/>
          <w:szCs w:val="40"/>
          <w:highlight w:val="none"/>
        </w:rPr>
        <w:t>采购代理机构：浙江综盛项目管理有限公司</w:t>
      </w:r>
    </w:p>
    <w:p w14:paraId="5156420C">
      <w:pPr>
        <w:rPr>
          <w:sz w:val="32"/>
          <w:szCs w:val="40"/>
          <w:highlight w:val="none"/>
        </w:rPr>
      </w:pPr>
    </w:p>
    <w:p w14:paraId="233F1ECC">
      <w:pPr>
        <w:pStyle w:val="13"/>
        <w:rPr>
          <w:highlight w:val="none"/>
        </w:rPr>
      </w:pPr>
    </w:p>
    <w:p w14:paraId="591C99DC">
      <w:pPr>
        <w:jc w:val="center"/>
        <w:rPr>
          <w:b/>
          <w:bCs/>
          <w:sz w:val="52"/>
          <w:szCs w:val="52"/>
          <w:highlight w:val="none"/>
        </w:rPr>
      </w:pPr>
      <w:r>
        <w:rPr>
          <w:sz w:val="32"/>
          <w:szCs w:val="40"/>
          <w:highlight w:val="none"/>
        </w:rPr>
        <w:t>二○二</w:t>
      </w:r>
      <w:r>
        <w:rPr>
          <w:rFonts w:hint="eastAsia"/>
          <w:sz w:val="32"/>
          <w:szCs w:val="40"/>
          <w:highlight w:val="none"/>
          <w:lang w:val="en-US" w:eastAsia="zh-CN"/>
        </w:rPr>
        <w:t>五</w:t>
      </w:r>
      <w:r>
        <w:rPr>
          <w:sz w:val="32"/>
          <w:szCs w:val="40"/>
          <w:highlight w:val="none"/>
        </w:rPr>
        <w:t>年</w:t>
      </w:r>
      <w:r>
        <w:rPr>
          <w:rFonts w:hint="eastAsia"/>
          <w:sz w:val="32"/>
          <w:szCs w:val="40"/>
          <w:highlight w:val="none"/>
          <w:lang w:val="en-US" w:eastAsia="zh-CN"/>
        </w:rPr>
        <w:t>四</w:t>
      </w:r>
      <w:r>
        <w:rPr>
          <w:sz w:val="32"/>
          <w:szCs w:val="40"/>
          <w:highlight w:val="none"/>
        </w:rPr>
        <w:t>月</w:t>
      </w:r>
    </w:p>
    <w:sdt>
      <w:sdtPr>
        <w:rPr>
          <w:rFonts w:ascii="宋体" w:hAnsi="宋体" w:cs="Arial"/>
          <w:szCs w:val="24"/>
          <w:highlight w:val="none"/>
        </w:rPr>
        <w:id w:val="-1713815042"/>
        <w15:color w:val="DBDBDB"/>
        <w:docPartObj>
          <w:docPartGallery w:val="Table of Contents"/>
          <w:docPartUnique/>
        </w:docPartObj>
      </w:sdtPr>
      <w:sdtEndPr>
        <w:rPr>
          <w:rFonts w:ascii="宋体" w:hAnsi="宋体" w:cs="Arial"/>
          <w:szCs w:val="24"/>
          <w:highlight w:val="none"/>
        </w:rPr>
      </w:sdtEndPr>
      <w:sdtContent>
        <w:p w14:paraId="76F07059">
          <w:pPr>
            <w:jc w:val="center"/>
            <w:rPr>
              <w:highlight w:val="none"/>
            </w:rPr>
          </w:pPr>
          <w:r>
            <w:rPr>
              <w:rFonts w:ascii="宋体" w:hAnsi="宋体"/>
              <w:b/>
              <w:bCs/>
              <w:sz w:val="40"/>
              <w:szCs w:val="48"/>
              <w:highlight w:val="none"/>
            </w:rPr>
            <w:t>目 录</w:t>
          </w:r>
          <w:r>
            <w:rPr>
              <w:highlight w:val="none"/>
            </w:rPr>
            <w:fldChar w:fldCharType="begin"/>
          </w:r>
          <w:r>
            <w:rPr>
              <w:highlight w:val="none"/>
            </w:rPr>
            <w:instrText xml:space="preserve">TOC \o "1-3" \h \u </w:instrText>
          </w:r>
          <w:r>
            <w:rPr>
              <w:highlight w:val="none"/>
            </w:rPr>
            <w:fldChar w:fldCharType="separate"/>
          </w:r>
        </w:p>
        <w:p w14:paraId="786E546B">
          <w:pPr>
            <w:pStyle w:val="21"/>
            <w:tabs>
              <w:tab w:val="right" w:leader="dot" w:pos="8306"/>
              <w:tab w:val="clear" w:pos="8948"/>
            </w:tabs>
            <w:spacing w:line="360" w:lineRule="auto"/>
            <w:rPr>
              <w:sz w:val="22"/>
              <w:szCs w:val="22"/>
              <w:highlight w:val="none"/>
            </w:rPr>
          </w:pPr>
          <w:r>
            <w:rPr>
              <w:highlight w:val="none"/>
            </w:rPr>
            <w:fldChar w:fldCharType="begin"/>
          </w:r>
          <w:r>
            <w:rPr>
              <w:highlight w:val="none"/>
            </w:rPr>
            <w:instrText xml:space="preserve"> HYPERLINK \l "_Toc22661" </w:instrText>
          </w:r>
          <w:r>
            <w:rPr>
              <w:highlight w:val="none"/>
            </w:rPr>
            <w:fldChar w:fldCharType="separate"/>
          </w:r>
          <w:r>
            <w:rPr>
              <w:rFonts w:cs="宋体"/>
              <w:sz w:val="22"/>
              <w:szCs w:val="40"/>
              <w:highlight w:val="none"/>
            </w:rPr>
            <w:t>第一部分  竞争性磋商公告</w:t>
          </w:r>
          <w:r>
            <w:rPr>
              <w:sz w:val="22"/>
              <w:szCs w:val="22"/>
              <w:highlight w:val="none"/>
            </w:rPr>
            <w:tab/>
          </w:r>
          <w:r>
            <w:rPr>
              <w:sz w:val="22"/>
              <w:szCs w:val="22"/>
              <w:highlight w:val="none"/>
            </w:rPr>
            <w:fldChar w:fldCharType="begin"/>
          </w:r>
          <w:r>
            <w:rPr>
              <w:sz w:val="22"/>
              <w:szCs w:val="22"/>
              <w:highlight w:val="none"/>
            </w:rPr>
            <w:instrText xml:space="preserve"> PAGEREF _Toc22661 \h </w:instrText>
          </w:r>
          <w:r>
            <w:rPr>
              <w:sz w:val="22"/>
              <w:szCs w:val="22"/>
              <w:highlight w:val="none"/>
            </w:rPr>
            <w:fldChar w:fldCharType="separate"/>
          </w:r>
          <w:r>
            <w:rPr>
              <w:sz w:val="22"/>
              <w:szCs w:val="22"/>
              <w:highlight w:val="none"/>
            </w:rPr>
            <w:t>1</w:t>
          </w:r>
          <w:r>
            <w:rPr>
              <w:sz w:val="22"/>
              <w:szCs w:val="22"/>
              <w:highlight w:val="none"/>
            </w:rPr>
            <w:fldChar w:fldCharType="end"/>
          </w:r>
          <w:r>
            <w:rPr>
              <w:sz w:val="22"/>
              <w:szCs w:val="22"/>
              <w:highlight w:val="none"/>
            </w:rPr>
            <w:fldChar w:fldCharType="end"/>
          </w:r>
        </w:p>
        <w:p w14:paraId="74B0DBD9">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"_Toc3715" </w:instrText>
          </w:r>
          <w:r>
            <w:rPr>
              <w:highlight w:val="none"/>
            </w:rPr>
            <w:fldChar w:fldCharType="separate"/>
          </w:r>
          <w:r>
            <w:rPr>
              <w:rFonts w:ascii="宋体" w:hAnsi="宋体" w:cs="宋体"/>
              <w:sz w:val="22"/>
              <w:szCs w:val="22"/>
              <w:highlight w:val="none"/>
            </w:rPr>
            <w:t>一、项目基本情况</w:t>
          </w:r>
          <w:r>
            <w:rPr>
              <w:sz w:val="22"/>
              <w:szCs w:val="21"/>
              <w:highlight w:val="none"/>
            </w:rPr>
            <w:tab/>
          </w:r>
          <w:r>
            <w:rPr>
              <w:sz w:val="22"/>
              <w:szCs w:val="21"/>
              <w:highlight w:val="none"/>
            </w:rPr>
            <w:fldChar w:fldCharType="begin"/>
          </w:r>
          <w:r>
            <w:rPr>
              <w:sz w:val="22"/>
              <w:szCs w:val="21"/>
              <w:highlight w:val="none"/>
            </w:rPr>
            <w:instrText xml:space="preserve"> PAGEREF _Toc3715 \h </w:instrText>
          </w:r>
          <w:r>
            <w:rPr>
              <w:sz w:val="22"/>
              <w:szCs w:val="21"/>
              <w:highlight w:val="none"/>
            </w:rPr>
            <w:fldChar w:fldCharType="separate"/>
          </w:r>
          <w:r>
            <w:rPr>
              <w:sz w:val="22"/>
              <w:szCs w:val="21"/>
              <w:highlight w:val="none"/>
            </w:rPr>
            <w:t>1</w:t>
          </w:r>
          <w:r>
            <w:rPr>
              <w:sz w:val="22"/>
              <w:szCs w:val="21"/>
              <w:highlight w:val="none"/>
            </w:rPr>
            <w:fldChar w:fldCharType="end"/>
          </w:r>
          <w:r>
            <w:rPr>
              <w:sz w:val="22"/>
              <w:szCs w:val="21"/>
              <w:highlight w:val="none"/>
            </w:rPr>
            <w:fldChar w:fldCharType="end"/>
          </w:r>
        </w:p>
        <w:p w14:paraId="0DD98C41">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"_Toc16698" </w:instrText>
          </w:r>
          <w:r>
            <w:rPr>
              <w:highlight w:val="none"/>
            </w:rPr>
            <w:fldChar w:fldCharType="separate"/>
          </w:r>
          <w:r>
            <w:rPr>
              <w:rFonts w:ascii="宋体" w:hAnsi="宋体" w:cs="宋体"/>
              <w:sz w:val="22"/>
              <w:szCs w:val="22"/>
              <w:highlight w:val="none"/>
            </w:rPr>
            <w:t>二、申请人的资格要求：</w:t>
          </w:r>
          <w:r>
            <w:rPr>
              <w:sz w:val="22"/>
              <w:szCs w:val="21"/>
              <w:highlight w:val="none"/>
            </w:rPr>
            <w:tab/>
          </w:r>
          <w:r>
            <w:rPr>
              <w:sz w:val="22"/>
              <w:szCs w:val="21"/>
              <w:highlight w:val="none"/>
            </w:rPr>
            <w:fldChar w:fldCharType="begin"/>
          </w:r>
          <w:r>
            <w:rPr>
              <w:sz w:val="22"/>
              <w:szCs w:val="21"/>
              <w:highlight w:val="none"/>
            </w:rPr>
            <w:instrText xml:space="preserve"> PAGEREF _Toc16698 \h </w:instrText>
          </w:r>
          <w:r>
            <w:rPr>
              <w:sz w:val="22"/>
              <w:szCs w:val="21"/>
              <w:highlight w:val="none"/>
            </w:rPr>
            <w:fldChar w:fldCharType="separate"/>
          </w:r>
          <w:r>
            <w:rPr>
              <w:sz w:val="22"/>
              <w:szCs w:val="21"/>
              <w:highlight w:val="none"/>
            </w:rPr>
            <w:t>1</w:t>
          </w:r>
          <w:r>
            <w:rPr>
              <w:sz w:val="22"/>
              <w:szCs w:val="21"/>
              <w:highlight w:val="none"/>
            </w:rPr>
            <w:fldChar w:fldCharType="end"/>
          </w:r>
          <w:r>
            <w:rPr>
              <w:sz w:val="22"/>
              <w:szCs w:val="21"/>
              <w:highlight w:val="none"/>
            </w:rPr>
            <w:fldChar w:fldCharType="end"/>
          </w:r>
        </w:p>
        <w:p w14:paraId="7AAAEBB3">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"_Toc32112" </w:instrText>
          </w:r>
          <w:r>
            <w:rPr>
              <w:highlight w:val="none"/>
            </w:rPr>
            <w:fldChar w:fldCharType="separate"/>
          </w:r>
          <w:r>
            <w:rPr>
              <w:rFonts w:ascii="宋体" w:hAnsi="宋体" w:cs="宋体"/>
              <w:sz w:val="22"/>
              <w:szCs w:val="22"/>
              <w:highlight w:val="none"/>
            </w:rPr>
            <w:t>三、获取（下载）采购文件</w:t>
          </w:r>
          <w:r>
            <w:rPr>
              <w:sz w:val="22"/>
              <w:szCs w:val="21"/>
              <w:highlight w:val="none"/>
            </w:rPr>
            <w:tab/>
          </w:r>
          <w:r>
            <w:rPr>
              <w:sz w:val="22"/>
              <w:szCs w:val="21"/>
              <w:highlight w:val="none"/>
            </w:rPr>
            <w:fldChar w:fldCharType="begin"/>
          </w:r>
          <w:r>
            <w:rPr>
              <w:sz w:val="22"/>
              <w:szCs w:val="21"/>
              <w:highlight w:val="none"/>
            </w:rPr>
            <w:instrText xml:space="preserve"> PAGEREF _Toc32112 \h </w:instrText>
          </w:r>
          <w:r>
            <w:rPr>
              <w:sz w:val="22"/>
              <w:szCs w:val="21"/>
              <w:highlight w:val="none"/>
            </w:rPr>
            <w:fldChar w:fldCharType="separate"/>
          </w:r>
          <w:r>
            <w:rPr>
              <w:sz w:val="22"/>
              <w:szCs w:val="21"/>
              <w:highlight w:val="none"/>
            </w:rPr>
            <w:t>1</w:t>
          </w:r>
          <w:r>
            <w:rPr>
              <w:sz w:val="22"/>
              <w:szCs w:val="21"/>
              <w:highlight w:val="none"/>
            </w:rPr>
            <w:fldChar w:fldCharType="end"/>
          </w:r>
          <w:r>
            <w:rPr>
              <w:sz w:val="22"/>
              <w:szCs w:val="21"/>
              <w:highlight w:val="none"/>
            </w:rPr>
            <w:fldChar w:fldCharType="end"/>
          </w:r>
        </w:p>
        <w:p w14:paraId="4E4A5276">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"_Toc5229" </w:instrText>
          </w:r>
          <w:r>
            <w:rPr>
              <w:highlight w:val="none"/>
            </w:rPr>
            <w:fldChar w:fldCharType="separate"/>
          </w:r>
          <w:r>
            <w:rPr>
              <w:rFonts w:ascii="宋体" w:hAnsi="宋体" w:cs="宋体"/>
              <w:sz w:val="22"/>
              <w:szCs w:val="22"/>
              <w:highlight w:val="none"/>
            </w:rPr>
            <w:t>四、响应文件提交（上传）</w:t>
          </w:r>
          <w:r>
            <w:rPr>
              <w:sz w:val="22"/>
              <w:szCs w:val="21"/>
              <w:highlight w:val="none"/>
            </w:rPr>
            <w:tab/>
          </w:r>
          <w:r>
            <w:rPr>
              <w:sz w:val="22"/>
              <w:szCs w:val="21"/>
              <w:highlight w:val="none"/>
            </w:rPr>
            <w:fldChar w:fldCharType="begin"/>
          </w:r>
          <w:r>
            <w:rPr>
              <w:sz w:val="22"/>
              <w:szCs w:val="21"/>
              <w:highlight w:val="none"/>
            </w:rPr>
            <w:instrText xml:space="preserve"> PAGEREF _Toc5229 \h </w:instrText>
          </w:r>
          <w:r>
            <w:rPr>
              <w:sz w:val="22"/>
              <w:szCs w:val="21"/>
              <w:highlight w:val="none"/>
            </w:rPr>
            <w:fldChar w:fldCharType="separate"/>
          </w:r>
          <w:r>
            <w:rPr>
              <w:sz w:val="22"/>
              <w:szCs w:val="21"/>
              <w:highlight w:val="none"/>
            </w:rPr>
            <w:t>2</w:t>
          </w:r>
          <w:r>
            <w:rPr>
              <w:sz w:val="22"/>
              <w:szCs w:val="21"/>
              <w:highlight w:val="none"/>
            </w:rPr>
            <w:fldChar w:fldCharType="end"/>
          </w:r>
          <w:r>
            <w:rPr>
              <w:sz w:val="22"/>
              <w:szCs w:val="21"/>
              <w:highlight w:val="none"/>
            </w:rPr>
            <w:fldChar w:fldCharType="end"/>
          </w:r>
        </w:p>
        <w:p w14:paraId="02F610AA">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"_Toc21124" </w:instrText>
          </w:r>
          <w:r>
            <w:rPr>
              <w:highlight w:val="none"/>
            </w:rPr>
            <w:fldChar w:fldCharType="separate"/>
          </w:r>
          <w:r>
            <w:rPr>
              <w:rFonts w:ascii="宋体" w:hAnsi="宋体" w:cs="宋体"/>
              <w:sz w:val="22"/>
              <w:szCs w:val="22"/>
              <w:highlight w:val="none"/>
            </w:rPr>
            <w:t>五、响应文件开启</w:t>
          </w:r>
          <w:r>
            <w:rPr>
              <w:sz w:val="22"/>
              <w:szCs w:val="21"/>
              <w:highlight w:val="none"/>
            </w:rPr>
            <w:tab/>
          </w:r>
          <w:r>
            <w:rPr>
              <w:sz w:val="22"/>
              <w:szCs w:val="21"/>
              <w:highlight w:val="none"/>
            </w:rPr>
            <w:fldChar w:fldCharType="begin"/>
          </w:r>
          <w:r>
            <w:rPr>
              <w:sz w:val="22"/>
              <w:szCs w:val="21"/>
              <w:highlight w:val="none"/>
            </w:rPr>
            <w:instrText xml:space="preserve"> PAGEREF _Toc21124 \h </w:instrText>
          </w:r>
          <w:r>
            <w:rPr>
              <w:sz w:val="22"/>
              <w:szCs w:val="21"/>
              <w:highlight w:val="none"/>
            </w:rPr>
            <w:fldChar w:fldCharType="separate"/>
          </w:r>
          <w:r>
            <w:rPr>
              <w:sz w:val="22"/>
              <w:szCs w:val="21"/>
              <w:highlight w:val="none"/>
            </w:rPr>
            <w:t>2</w:t>
          </w:r>
          <w:r>
            <w:rPr>
              <w:sz w:val="22"/>
              <w:szCs w:val="21"/>
              <w:highlight w:val="none"/>
            </w:rPr>
            <w:fldChar w:fldCharType="end"/>
          </w:r>
          <w:r>
            <w:rPr>
              <w:sz w:val="22"/>
              <w:szCs w:val="21"/>
              <w:highlight w:val="none"/>
            </w:rPr>
            <w:fldChar w:fldCharType="end"/>
          </w:r>
        </w:p>
        <w:p w14:paraId="5C62E277">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"_Toc7494" </w:instrText>
          </w:r>
          <w:r>
            <w:rPr>
              <w:highlight w:val="none"/>
            </w:rPr>
            <w:fldChar w:fldCharType="separate"/>
          </w:r>
          <w:r>
            <w:rPr>
              <w:rFonts w:ascii="宋体" w:hAnsi="宋体" w:cs="宋体"/>
              <w:sz w:val="22"/>
              <w:szCs w:val="22"/>
              <w:highlight w:val="none"/>
            </w:rPr>
            <w:t>六、公告期限</w:t>
          </w:r>
          <w:r>
            <w:rPr>
              <w:sz w:val="22"/>
              <w:szCs w:val="21"/>
              <w:highlight w:val="none"/>
            </w:rPr>
            <w:tab/>
          </w:r>
          <w:r>
            <w:rPr>
              <w:sz w:val="22"/>
              <w:szCs w:val="21"/>
              <w:highlight w:val="none"/>
            </w:rPr>
            <w:fldChar w:fldCharType="begin"/>
          </w:r>
          <w:r>
            <w:rPr>
              <w:sz w:val="22"/>
              <w:szCs w:val="21"/>
              <w:highlight w:val="none"/>
            </w:rPr>
            <w:instrText xml:space="preserve"> PAGEREF _Toc7494 \h </w:instrText>
          </w:r>
          <w:r>
            <w:rPr>
              <w:sz w:val="22"/>
              <w:szCs w:val="21"/>
              <w:highlight w:val="none"/>
            </w:rPr>
            <w:fldChar w:fldCharType="separate"/>
          </w:r>
          <w:r>
            <w:rPr>
              <w:sz w:val="22"/>
              <w:szCs w:val="21"/>
              <w:highlight w:val="none"/>
            </w:rPr>
            <w:t>2</w:t>
          </w:r>
          <w:r>
            <w:rPr>
              <w:sz w:val="22"/>
              <w:szCs w:val="21"/>
              <w:highlight w:val="none"/>
            </w:rPr>
            <w:fldChar w:fldCharType="end"/>
          </w:r>
          <w:r>
            <w:rPr>
              <w:sz w:val="22"/>
              <w:szCs w:val="21"/>
              <w:highlight w:val="none"/>
            </w:rPr>
            <w:fldChar w:fldCharType="end"/>
          </w:r>
        </w:p>
        <w:p w14:paraId="0E039352">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"_Toc17245" </w:instrText>
          </w:r>
          <w:r>
            <w:rPr>
              <w:highlight w:val="none"/>
            </w:rPr>
            <w:fldChar w:fldCharType="separate"/>
          </w:r>
          <w:r>
            <w:rPr>
              <w:rFonts w:ascii="宋体" w:hAnsi="宋体" w:cs="宋体"/>
              <w:sz w:val="22"/>
              <w:szCs w:val="22"/>
              <w:highlight w:val="none"/>
            </w:rPr>
            <w:t>七、其他补充事宜</w:t>
          </w:r>
          <w:r>
            <w:rPr>
              <w:sz w:val="22"/>
              <w:szCs w:val="21"/>
              <w:highlight w:val="none"/>
            </w:rPr>
            <w:tab/>
          </w:r>
          <w:r>
            <w:rPr>
              <w:sz w:val="22"/>
              <w:szCs w:val="21"/>
              <w:highlight w:val="none"/>
            </w:rPr>
            <w:fldChar w:fldCharType="begin"/>
          </w:r>
          <w:r>
            <w:rPr>
              <w:sz w:val="22"/>
              <w:szCs w:val="21"/>
              <w:highlight w:val="none"/>
            </w:rPr>
            <w:instrText xml:space="preserve"> PAGEREF _Toc17245 \h </w:instrText>
          </w:r>
          <w:r>
            <w:rPr>
              <w:sz w:val="22"/>
              <w:szCs w:val="21"/>
              <w:highlight w:val="none"/>
            </w:rPr>
            <w:fldChar w:fldCharType="separate"/>
          </w:r>
          <w:r>
            <w:rPr>
              <w:sz w:val="22"/>
              <w:szCs w:val="21"/>
              <w:highlight w:val="none"/>
            </w:rPr>
            <w:t>2</w:t>
          </w:r>
          <w:r>
            <w:rPr>
              <w:sz w:val="22"/>
              <w:szCs w:val="21"/>
              <w:highlight w:val="none"/>
            </w:rPr>
            <w:fldChar w:fldCharType="end"/>
          </w:r>
          <w:r>
            <w:rPr>
              <w:sz w:val="22"/>
              <w:szCs w:val="21"/>
              <w:highlight w:val="none"/>
            </w:rPr>
            <w:fldChar w:fldCharType="end"/>
          </w:r>
        </w:p>
        <w:p w14:paraId="2A479C0F">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"_Toc15795" </w:instrText>
          </w:r>
          <w:r>
            <w:rPr>
              <w:highlight w:val="none"/>
            </w:rPr>
            <w:fldChar w:fldCharType="separate"/>
          </w:r>
          <w:r>
            <w:rPr>
              <w:rFonts w:ascii="宋体" w:hAnsi="宋体" w:cs="宋体"/>
              <w:sz w:val="22"/>
              <w:szCs w:val="22"/>
              <w:highlight w:val="none"/>
            </w:rPr>
            <w:t>八、对本次采购提出询问、质疑、投诉，请按以下方式联系</w:t>
          </w:r>
          <w:r>
            <w:rPr>
              <w:sz w:val="22"/>
              <w:szCs w:val="21"/>
              <w:highlight w:val="none"/>
            </w:rPr>
            <w:tab/>
          </w:r>
          <w:r>
            <w:rPr>
              <w:sz w:val="22"/>
              <w:szCs w:val="21"/>
              <w:highlight w:val="none"/>
            </w:rPr>
            <w:fldChar w:fldCharType="begin"/>
          </w:r>
          <w:r>
            <w:rPr>
              <w:sz w:val="22"/>
              <w:szCs w:val="21"/>
              <w:highlight w:val="none"/>
            </w:rPr>
            <w:instrText xml:space="preserve"> PAGEREF _Toc15795 \h </w:instrText>
          </w:r>
          <w:r>
            <w:rPr>
              <w:sz w:val="22"/>
              <w:szCs w:val="21"/>
              <w:highlight w:val="none"/>
            </w:rPr>
            <w:fldChar w:fldCharType="separate"/>
          </w:r>
          <w:r>
            <w:rPr>
              <w:sz w:val="22"/>
              <w:szCs w:val="21"/>
              <w:highlight w:val="none"/>
            </w:rPr>
            <w:t>3</w:t>
          </w:r>
          <w:r>
            <w:rPr>
              <w:sz w:val="22"/>
              <w:szCs w:val="21"/>
              <w:highlight w:val="none"/>
            </w:rPr>
            <w:fldChar w:fldCharType="end"/>
          </w:r>
          <w:r>
            <w:rPr>
              <w:sz w:val="22"/>
              <w:szCs w:val="21"/>
              <w:highlight w:val="none"/>
            </w:rPr>
            <w:fldChar w:fldCharType="end"/>
          </w:r>
        </w:p>
        <w:p w14:paraId="309C7222">
          <w:pPr>
            <w:pStyle w:val="21"/>
            <w:tabs>
              <w:tab w:val="right" w:leader="dot" w:pos="8306"/>
              <w:tab w:val="clear" w:pos="8948"/>
            </w:tabs>
            <w:spacing w:line="360" w:lineRule="auto"/>
            <w:rPr>
              <w:sz w:val="22"/>
              <w:szCs w:val="22"/>
              <w:highlight w:val="none"/>
            </w:rPr>
          </w:pPr>
          <w:r>
            <w:rPr>
              <w:highlight w:val="none"/>
            </w:rPr>
            <w:fldChar w:fldCharType="begin"/>
          </w:r>
          <w:r>
            <w:rPr>
              <w:highlight w:val="none"/>
            </w:rPr>
            <w:instrText xml:space="preserve"> HYPERLINK \l "_Toc18894" </w:instrText>
          </w:r>
          <w:r>
            <w:rPr>
              <w:highlight w:val="none"/>
            </w:rPr>
            <w:fldChar w:fldCharType="separate"/>
          </w:r>
          <w:r>
            <w:rPr>
              <w:rFonts w:cs="宋体"/>
              <w:sz w:val="22"/>
              <w:szCs w:val="40"/>
              <w:highlight w:val="none"/>
            </w:rPr>
            <w:t>第二部分  磋商供应商须知</w:t>
          </w:r>
          <w:r>
            <w:rPr>
              <w:sz w:val="22"/>
              <w:szCs w:val="22"/>
              <w:highlight w:val="none"/>
            </w:rPr>
            <w:tab/>
          </w:r>
          <w:r>
            <w:rPr>
              <w:sz w:val="22"/>
              <w:szCs w:val="22"/>
              <w:highlight w:val="none"/>
            </w:rPr>
            <w:fldChar w:fldCharType="begin"/>
          </w:r>
          <w:r>
            <w:rPr>
              <w:sz w:val="22"/>
              <w:szCs w:val="22"/>
              <w:highlight w:val="none"/>
            </w:rPr>
            <w:instrText xml:space="preserve"> PAGEREF _Toc18894 \h </w:instrText>
          </w:r>
          <w:r>
            <w:rPr>
              <w:sz w:val="22"/>
              <w:szCs w:val="22"/>
              <w:highlight w:val="none"/>
            </w:rPr>
            <w:fldChar w:fldCharType="separate"/>
          </w:r>
          <w:r>
            <w:rPr>
              <w:sz w:val="22"/>
              <w:szCs w:val="22"/>
              <w:highlight w:val="none"/>
            </w:rPr>
            <w:t>5</w:t>
          </w:r>
          <w:r>
            <w:rPr>
              <w:sz w:val="22"/>
              <w:szCs w:val="22"/>
              <w:highlight w:val="none"/>
            </w:rPr>
            <w:fldChar w:fldCharType="end"/>
          </w:r>
          <w:r>
            <w:rPr>
              <w:sz w:val="22"/>
              <w:szCs w:val="22"/>
              <w:highlight w:val="none"/>
            </w:rPr>
            <w:fldChar w:fldCharType="end"/>
          </w:r>
        </w:p>
        <w:p w14:paraId="47CC9BE5">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"_Toc12629" </w:instrText>
          </w:r>
          <w:r>
            <w:rPr>
              <w:highlight w:val="none"/>
            </w:rPr>
            <w:fldChar w:fldCharType="separate"/>
          </w:r>
          <w:r>
            <w:rPr>
              <w:rFonts w:ascii="宋体" w:hAnsi="宋体" w:cs="宋体"/>
              <w:sz w:val="22"/>
              <w:szCs w:val="28"/>
              <w:highlight w:val="none"/>
            </w:rPr>
            <w:t>（一）磋商须知前附表</w:t>
          </w:r>
          <w:r>
            <w:rPr>
              <w:sz w:val="22"/>
              <w:szCs w:val="21"/>
              <w:highlight w:val="none"/>
            </w:rPr>
            <w:tab/>
          </w:r>
          <w:r>
            <w:rPr>
              <w:sz w:val="22"/>
              <w:szCs w:val="21"/>
              <w:highlight w:val="none"/>
            </w:rPr>
            <w:fldChar w:fldCharType="begin"/>
          </w:r>
          <w:r>
            <w:rPr>
              <w:sz w:val="22"/>
              <w:szCs w:val="21"/>
              <w:highlight w:val="none"/>
            </w:rPr>
            <w:instrText xml:space="preserve"> PAGEREF _Toc12629 \h </w:instrText>
          </w:r>
          <w:r>
            <w:rPr>
              <w:sz w:val="22"/>
              <w:szCs w:val="21"/>
              <w:highlight w:val="none"/>
            </w:rPr>
            <w:fldChar w:fldCharType="separate"/>
          </w:r>
          <w:r>
            <w:rPr>
              <w:sz w:val="22"/>
              <w:szCs w:val="21"/>
              <w:highlight w:val="none"/>
            </w:rPr>
            <w:t>5</w:t>
          </w:r>
          <w:r>
            <w:rPr>
              <w:sz w:val="22"/>
              <w:szCs w:val="21"/>
              <w:highlight w:val="none"/>
            </w:rPr>
            <w:fldChar w:fldCharType="end"/>
          </w:r>
          <w:r>
            <w:rPr>
              <w:sz w:val="22"/>
              <w:szCs w:val="21"/>
              <w:highlight w:val="none"/>
            </w:rPr>
            <w:fldChar w:fldCharType="end"/>
          </w:r>
        </w:p>
        <w:p w14:paraId="152442AB">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"_Toc27111" </w:instrText>
          </w:r>
          <w:r>
            <w:rPr>
              <w:highlight w:val="none"/>
            </w:rPr>
            <w:fldChar w:fldCharType="separate"/>
          </w:r>
          <w:r>
            <w:rPr>
              <w:rFonts w:ascii="宋体" w:hAnsi="宋体" w:cs="宋体"/>
              <w:sz w:val="22"/>
              <w:szCs w:val="28"/>
              <w:highlight w:val="none"/>
            </w:rPr>
            <w:t>（二）总   则</w:t>
          </w:r>
          <w:r>
            <w:rPr>
              <w:sz w:val="22"/>
              <w:szCs w:val="21"/>
              <w:highlight w:val="none"/>
            </w:rPr>
            <w:tab/>
          </w:r>
          <w:r>
            <w:rPr>
              <w:sz w:val="22"/>
              <w:szCs w:val="21"/>
              <w:highlight w:val="none"/>
            </w:rPr>
            <w:fldChar w:fldCharType="begin"/>
          </w:r>
          <w:r>
            <w:rPr>
              <w:sz w:val="22"/>
              <w:szCs w:val="21"/>
              <w:highlight w:val="none"/>
            </w:rPr>
            <w:instrText xml:space="preserve"> PAGEREF _Toc27111 \h </w:instrText>
          </w:r>
          <w:r>
            <w:rPr>
              <w:sz w:val="22"/>
              <w:szCs w:val="21"/>
              <w:highlight w:val="none"/>
            </w:rPr>
            <w:fldChar w:fldCharType="separate"/>
          </w:r>
          <w:r>
            <w:rPr>
              <w:sz w:val="22"/>
              <w:szCs w:val="21"/>
              <w:highlight w:val="none"/>
            </w:rPr>
            <w:t>13</w:t>
          </w:r>
          <w:r>
            <w:rPr>
              <w:sz w:val="22"/>
              <w:szCs w:val="21"/>
              <w:highlight w:val="none"/>
            </w:rPr>
            <w:fldChar w:fldCharType="end"/>
          </w:r>
          <w:r>
            <w:rPr>
              <w:sz w:val="22"/>
              <w:szCs w:val="21"/>
              <w:highlight w:val="none"/>
            </w:rPr>
            <w:fldChar w:fldCharType="end"/>
          </w:r>
        </w:p>
        <w:p w14:paraId="18D82B0F">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"_Toc16868" </w:instrText>
          </w:r>
          <w:r>
            <w:rPr>
              <w:highlight w:val="none"/>
            </w:rPr>
            <w:fldChar w:fldCharType="separate"/>
          </w:r>
          <w:r>
            <w:rPr>
              <w:rFonts w:ascii="Arial" w:hAnsi="Arial" w:cs="宋体"/>
              <w:sz w:val="22"/>
              <w:szCs w:val="22"/>
              <w:highlight w:val="none"/>
            </w:rPr>
            <w:t xml:space="preserve">1. </w:t>
          </w:r>
          <w:r>
            <w:rPr>
              <w:rFonts w:ascii="宋体" w:hAnsi="宋体" w:cs="宋体"/>
              <w:sz w:val="22"/>
              <w:szCs w:val="22"/>
              <w:highlight w:val="none"/>
            </w:rPr>
            <w:t>说明</w:t>
          </w:r>
          <w:r>
            <w:rPr>
              <w:sz w:val="22"/>
              <w:szCs w:val="21"/>
              <w:highlight w:val="none"/>
            </w:rPr>
            <w:tab/>
          </w:r>
          <w:r>
            <w:rPr>
              <w:sz w:val="22"/>
              <w:szCs w:val="21"/>
              <w:highlight w:val="none"/>
            </w:rPr>
            <w:fldChar w:fldCharType="begin"/>
          </w:r>
          <w:r>
            <w:rPr>
              <w:sz w:val="22"/>
              <w:szCs w:val="21"/>
              <w:highlight w:val="none"/>
            </w:rPr>
            <w:instrText xml:space="preserve"> PAGEREF _Toc16868 \h </w:instrText>
          </w:r>
          <w:r>
            <w:rPr>
              <w:sz w:val="22"/>
              <w:szCs w:val="21"/>
              <w:highlight w:val="none"/>
            </w:rPr>
            <w:fldChar w:fldCharType="separate"/>
          </w:r>
          <w:r>
            <w:rPr>
              <w:sz w:val="22"/>
              <w:szCs w:val="21"/>
              <w:highlight w:val="none"/>
            </w:rPr>
            <w:t>13</w:t>
          </w:r>
          <w:r>
            <w:rPr>
              <w:sz w:val="22"/>
              <w:szCs w:val="21"/>
              <w:highlight w:val="none"/>
            </w:rPr>
            <w:fldChar w:fldCharType="end"/>
          </w:r>
          <w:r>
            <w:rPr>
              <w:sz w:val="22"/>
              <w:szCs w:val="21"/>
              <w:highlight w:val="none"/>
            </w:rPr>
            <w:fldChar w:fldCharType="end"/>
          </w:r>
        </w:p>
        <w:p w14:paraId="5EAE6D8F">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"_Toc5553" </w:instrText>
          </w:r>
          <w:r>
            <w:rPr>
              <w:highlight w:val="none"/>
            </w:rPr>
            <w:fldChar w:fldCharType="separate"/>
          </w:r>
          <w:r>
            <w:rPr>
              <w:rFonts w:ascii="Arial" w:hAnsi="Arial" w:cs="宋体"/>
              <w:sz w:val="22"/>
              <w:szCs w:val="22"/>
              <w:highlight w:val="none"/>
            </w:rPr>
            <w:t xml:space="preserve">2. </w:t>
          </w:r>
          <w:r>
            <w:rPr>
              <w:rFonts w:ascii="宋体" w:hAnsi="宋体" w:cs="宋体"/>
              <w:sz w:val="22"/>
              <w:szCs w:val="22"/>
              <w:highlight w:val="none"/>
            </w:rPr>
            <w:t>定义及解释</w:t>
          </w:r>
          <w:r>
            <w:rPr>
              <w:sz w:val="22"/>
              <w:szCs w:val="21"/>
              <w:highlight w:val="none"/>
            </w:rPr>
            <w:tab/>
          </w:r>
          <w:r>
            <w:rPr>
              <w:sz w:val="22"/>
              <w:szCs w:val="21"/>
              <w:highlight w:val="none"/>
            </w:rPr>
            <w:fldChar w:fldCharType="begin"/>
          </w:r>
          <w:r>
            <w:rPr>
              <w:sz w:val="22"/>
              <w:szCs w:val="21"/>
              <w:highlight w:val="none"/>
            </w:rPr>
            <w:instrText xml:space="preserve"> PAGEREF _Toc5553 \h </w:instrText>
          </w:r>
          <w:r>
            <w:rPr>
              <w:sz w:val="22"/>
              <w:szCs w:val="21"/>
              <w:highlight w:val="none"/>
            </w:rPr>
            <w:fldChar w:fldCharType="separate"/>
          </w:r>
          <w:r>
            <w:rPr>
              <w:sz w:val="22"/>
              <w:szCs w:val="21"/>
              <w:highlight w:val="none"/>
            </w:rPr>
            <w:t>13</w:t>
          </w:r>
          <w:r>
            <w:rPr>
              <w:sz w:val="22"/>
              <w:szCs w:val="21"/>
              <w:highlight w:val="none"/>
            </w:rPr>
            <w:fldChar w:fldCharType="end"/>
          </w:r>
          <w:r>
            <w:rPr>
              <w:sz w:val="22"/>
              <w:szCs w:val="21"/>
              <w:highlight w:val="none"/>
            </w:rPr>
            <w:fldChar w:fldCharType="end"/>
          </w:r>
        </w:p>
        <w:p w14:paraId="740F6FB1">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"_Toc1199" </w:instrText>
          </w:r>
          <w:r>
            <w:rPr>
              <w:highlight w:val="none"/>
            </w:rPr>
            <w:fldChar w:fldCharType="separate"/>
          </w:r>
          <w:r>
            <w:rPr>
              <w:rFonts w:ascii="Arial" w:hAnsi="Arial" w:cs="宋体"/>
              <w:sz w:val="22"/>
              <w:szCs w:val="22"/>
              <w:highlight w:val="none"/>
            </w:rPr>
            <w:t xml:space="preserve">3. </w:t>
          </w:r>
          <w:r>
            <w:rPr>
              <w:rFonts w:ascii="宋体" w:hAnsi="宋体" w:cs="宋体"/>
              <w:sz w:val="22"/>
              <w:szCs w:val="22"/>
              <w:highlight w:val="none"/>
            </w:rPr>
            <w:t>合格的磋商供应商</w:t>
          </w:r>
          <w:r>
            <w:rPr>
              <w:sz w:val="22"/>
              <w:szCs w:val="21"/>
              <w:highlight w:val="none"/>
            </w:rPr>
            <w:tab/>
          </w:r>
          <w:r>
            <w:rPr>
              <w:sz w:val="22"/>
              <w:szCs w:val="21"/>
              <w:highlight w:val="none"/>
            </w:rPr>
            <w:fldChar w:fldCharType="begin"/>
          </w:r>
          <w:r>
            <w:rPr>
              <w:sz w:val="22"/>
              <w:szCs w:val="21"/>
              <w:highlight w:val="none"/>
            </w:rPr>
            <w:instrText xml:space="preserve"> PAGEREF _Toc1199 \h </w:instrText>
          </w:r>
          <w:r>
            <w:rPr>
              <w:sz w:val="22"/>
              <w:szCs w:val="21"/>
              <w:highlight w:val="none"/>
            </w:rPr>
            <w:fldChar w:fldCharType="separate"/>
          </w:r>
          <w:r>
            <w:rPr>
              <w:sz w:val="22"/>
              <w:szCs w:val="21"/>
              <w:highlight w:val="none"/>
            </w:rPr>
            <w:t>13</w:t>
          </w:r>
          <w:r>
            <w:rPr>
              <w:sz w:val="22"/>
              <w:szCs w:val="21"/>
              <w:highlight w:val="none"/>
            </w:rPr>
            <w:fldChar w:fldCharType="end"/>
          </w:r>
          <w:r>
            <w:rPr>
              <w:sz w:val="22"/>
              <w:szCs w:val="21"/>
              <w:highlight w:val="none"/>
            </w:rPr>
            <w:fldChar w:fldCharType="end"/>
          </w:r>
        </w:p>
        <w:p w14:paraId="11B78567">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"_Toc16246" </w:instrText>
          </w:r>
          <w:r>
            <w:rPr>
              <w:highlight w:val="none"/>
            </w:rPr>
            <w:fldChar w:fldCharType="separate"/>
          </w:r>
          <w:r>
            <w:rPr>
              <w:rFonts w:ascii="Arial" w:hAnsi="Arial" w:cs="宋体"/>
              <w:sz w:val="22"/>
              <w:szCs w:val="22"/>
              <w:highlight w:val="none"/>
            </w:rPr>
            <w:t xml:space="preserve">4. </w:t>
          </w:r>
          <w:r>
            <w:rPr>
              <w:rFonts w:ascii="宋体" w:hAnsi="宋体" w:cs="宋体"/>
              <w:sz w:val="22"/>
              <w:szCs w:val="22"/>
              <w:highlight w:val="none"/>
            </w:rPr>
            <w:t>中小企业认定</w:t>
          </w:r>
          <w:r>
            <w:rPr>
              <w:sz w:val="22"/>
              <w:szCs w:val="21"/>
              <w:highlight w:val="none"/>
            </w:rPr>
            <w:tab/>
          </w:r>
          <w:r>
            <w:rPr>
              <w:sz w:val="22"/>
              <w:szCs w:val="21"/>
              <w:highlight w:val="none"/>
            </w:rPr>
            <w:fldChar w:fldCharType="begin"/>
          </w:r>
          <w:r>
            <w:rPr>
              <w:sz w:val="22"/>
              <w:szCs w:val="21"/>
              <w:highlight w:val="none"/>
            </w:rPr>
            <w:instrText xml:space="preserve"> PAGEREF _Toc16246 \h </w:instrText>
          </w:r>
          <w:r>
            <w:rPr>
              <w:sz w:val="22"/>
              <w:szCs w:val="21"/>
              <w:highlight w:val="none"/>
            </w:rPr>
            <w:fldChar w:fldCharType="separate"/>
          </w:r>
          <w:r>
            <w:rPr>
              <w:sz w:val="22"/>
              <w:szCs w:val="21"/>
              <w:highlight w:val="none"/>
            </w:rPr>
            <w:t>13</w:t>
          </w:r>
          <w:r>
            <w:rPr>
              <w:sz w:val="22"/>
              <w:szCs w:val="21"/>
              <w:highlight w:val="none"/>
            </w:rPr>
            <w:fldChar w:fldCharType="end"/>
          </w:r>
          <w:r>
            <w:rPr>
              <w:sz w:val="22"/>
              <w:szCs w:val="21"/>
              <w:highlight w:val="none"/>
            </w:rPr>
            <w:fldChar w:fldCharType="end"/>
          </w:r>
        </w:p>
        <w:p w14:paraId="4B475D68">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"_Toc25358" </w:instrText>
          </w:r>
          <w:r>
            <w:rPr>
              <w:highlight w:val="none"/>
            </w:rPr>
            <w:fldChar w:fldCharType="separate"/>
          </w:r>
          <w:r>
            <w:rPr>
              <w:rFonts w:ascii="Arial" w:hAnsi="Arial" w:cs="宋体"/>
              <w:sz w:val="22"/>
              <w:szCs w:val="22"/>
              <w:highlight w:val="none"/>
            </w:rPr>
            <w:t xml:space="preserve">5. </w:t>
          </w:r>
          <w:r>
            <w:rPr>
              <w:rFonts w:ascii="宋体" w:hAnsi="宋体" w:cs="宋体"/>
              <w:sz w:val="22"/>
              <w:szCs w:val="22"/>
              <w:highlight w:val="none"/>
            </w:rPr>
            <w:t>信用记录</w:t>
          </w:r>
          <w:r>
            <w:rPr>
              <w:sz w:val="22"/>
              <w:szCs w:val="21"/>
              <w:highlight w:val="none"/>
            </w:rPr>
            <w:tab/>
          </w:r>
          <w:r>
            <w:rPr>
              <w:sz w:val="22"/>
              <w:szCs w:val="21"/>
              <w:highlight w:val="none"/>
            </w:rPr>
            <w:fldChar w:fldCharType="begin"/>
          </w:r>
          <w:r>
            <w:rPr>
              <w:sz w:val="22"/>
              <w:szCs w:val="21"/>
              <w:highlight w:val="none"/>
            </w:rPr>
            <w:instrText xml:space="preserve"> PAGEREF _Toc25358 \h </w:instrText>
          </w:r>
          <w:r>
            <w:rPr>
              <w:sz w:val="22"/>
              <w:szCs w:val="21"/>
              <w:highlight w:val="none"/>
            </w:rPr>
            <w:fldChar w:fldCharType="separate"/>
          </w:r>
          <w:r>
            <w:rPr>
              <w:sz w:val="22"/>
              <w:szCs w:val="21"/>
              <w:highlight w:val="none"/>
            </w:rPr>
            <w:t>14</w:t>
          </w:r>
          <w:r>
            <w:rPr>
              <w:sz w:val="22"/>
              <w:szCs w:val="21"/>
              <w:highlight w:val="none"/>
            </w:rPr>
            <w:fldChar w:fldCharType="end"/>
          </w:r>
          <w:r>
            <w:rPr>
              <w:sz w:val="22"/>
              <w:szCs w:val="21"/>
              <w:highlight w:val="none"/>
            </w:rPr>
            <w:fldChar w:fldCharType="end"/>
          </w:r>
        </w:p>
        <w:p w14:paraId="4228E156">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"_Toc31472" </w:instrText>
          </w:r>
          <w:r>
            <w:rPr>
              <w:highlight w:val="none"/>
            </w:rPr>
            <w:fldChar w:fldCharType="separate"/>
          </w:r>
          <w:r>
            <w:rPr>
              <w:rFonts w:ascii="Arial" w:hAnsi="Arial" w:cs="宋体"/>
              <w:sz w:val="22"/>
              <w:szCs w:val="22"/>
              <w:highlight w:val="none"/>
            </w:rPr>
            <w:t xml:space="preserve">6. </w:t>
          </w:r>
          <w:r>
            <w:rPr>
              <w:rFonts w:ascii="宋体" w:hAnsi="宋体" w:cs="宋体"/>
              <w:sz w:val="22"/>
              <w:szCs w:val="22"/>
              <w:highlight w:val="none"/>
            </w:rPr>
            <w:t>保密与披露事项</w:t>
          </w:r>
          <w:r>
            <w:rPr>
              <w:sz w:val="22"/>
              <w:szCs w:val="21"/>
              <w:highlight w:val="none"/>
            </w:rPr>
            <w:tab/>
          </w:r>
          <w:r>
            <w:rPr>
              <w:sz w:val="22"/>
              <w:szCs w:val="21"/>
              <w:highlight w:val="none"/>
            </w:rPr>
            <w:fldChar w:fldCharType="begin"/>
          </w:r>
          <w:r>
            <w:rPr>
              <w:sz w:val="22"/>
              <w:szCs w:val="21"/>
              <w:highlight w:val="none"/>
            </w:rPr>
            <w:instrText xml:space="preserve"> PAGEREF _Toc31472 \h </w:instrText>
          </w:r>
          <w:r>
            <w:rPr>
              <w:sz w:val="22"/>
              <w:szCs w:val="21"/>
              <w:highlight w:val="none"/>
            </w:rPr>
            <w:fldChar w:fldCharType="separate"/>
          </w:r>
          <w:r>
            <w:rPr>
              <w:sz w:val="22"/>
              <w:szCs w:val="21"/>
              <w:highlight w:val="none"/>
            </w:rPr>
            <w:t>14</w:t>
          </w:r>
          <w:r>
            <w:rPr>
              <w:sz w:val="22"/>
              <w:szCs w:val="21"/>
              <w:highlight w:val="none"/>
            </w:rPr>
            <w:fldChar w:fldCharType="end"/>
          </w:r>
          <w:r>
            <w:rPr>
              <w:sz w:val="22"/>
              <w:szCs w:val="21"/>
              <w:highlight w:val="none"/>
            </w:rPr>
            <w:fldChar w:fldCharType="end"/>
          </w:r>
        </w:p>
        <w:p w14:paraId="2CBB84F1">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"_Toc28670" </w:instrText>
          </w:r>
          <w:r>
            <w:rPr>
              <w:highlight w:val="none"/>
            </w:rPr>
            <w:fldChar w:fldCharType="separate"/>
          </w:r>
          <w:r>
            <w:rPr>
              <w:rFonts w:ascii="Arial" w:hAnsi="Arial" w:cs="宋体"/>
              <w:sz w:val="22"/>
              <w:szCs w:val="22"/>
              <w:highlight w:val="none"/>
            </w:rPr>
            <w:t xml:space="preserve">7. </w:t>
          </w:r>
          <w:r>
            <w:rPr>
              <w:rFonts w:ascii="宋体" w:hAnsi="宋体" w:cs="宋体"/>
              <w:sz w:val="22"/>
              <w:szCs w:val="22"/>
              <w:highlight w:val="none"/>
            </w:rPr>
            <w:t>磋商费用</w:t>
          </w:r>
          <w:r>
            <w:rPr>
              <w:sz w:val="22"/>
              <w:szCs w:val="21"/>
              <w:highlight w:val="none"/>
            </w:rPr>
            <w:tab/>
          </w:r>
          <w:r>
            <w:rPr>
              <w:sz w:val="22"/>
              <w:szCs w:val="21"/>
              <w:highlight w:val="none"/>
            </w:rPr>
            <w:fldChar w:fldCharType="begin"/>
          </w:r>
          <w:r>
            <w:rPr>
              <w:sz w:val="22"/>
              <w:szCs w:val="21"/>
              <w:highlight w:val="none"/>
            </w:rPr>
            <w:instrText xml:space="preserve"> PAGEREF _Toc28670 \h </w:instrText>
          </w:r>
          <w:r>
            <w:rPr>
              <w:sz w:val="22"/>
              <w:szCs w:val="21"/>
              <w:highlight w:val="none"/>
            </w:rPr>
            <w:fldChar w:fldCharType="separate"/>
          </w:r>
          <w:r>
            <w:rPr>
              <w:sz w:val="22"/>
              <w:szCs w:val="21"/>
              <w:highlight w:val="none"/>
            </w:rPr>
            <w:t>14</w:t>
          </w:r>
          <w:r>
            <w:rPr>
              <w:sz w:val="22"/>
              <w:szCs w:val="21"/>
              <w:highlight w:val="none"/>
            </w:rPr>
            <w:fldChar w:fldCharType="end"/>
          </w:r>
          <w:r>
            <w:rPr>
              <w:sz w:val="22"/>
              <w:szCs w:val="21"/>
              <w:highlight w:val="none"/>
            </w:rPr>
            <w:fldChar w:fldCharType="end"/>
          </w:r>
        </w:p>
        <w:p w14:paraId="723F6BB0">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"_Toc19623" </w:instrText>
          </w:r>
          <w:r>
            <w:rPr>
              <w:highlight w:val="none"/>
            </w:rPr>
            <w:fldChar w:fldCharType="separate"/>
          </w:r>
          <w:r>
            <w:rPr>
              <w:rFonts w:ascii="宋体" w:hAnsi="宋体" w:cs="宋体"/>
              <w:sz w:val="22"/>
              <w:szCs w:val="28"/>
              <w:highlight w:val="none"/>
            </w:rPr>
            <w:t>（三）磋商文件说明</w:t>
          </w:r>
          <w:r>
            <w:rPr>
              <w:sz w:val="22"/>
              <w:szCs w:val="21"/>
              <w:highlight w:val="none"/>
            </w:rPr>
            <w:tab/>
          </w:r>
          <w:r>
            <w:rPr>
              <w:sz w:val="22"/>
              <w:szCs w:val="21"/>
              <w:highlight w:val="none"/>
            </w:rPr>
            <w:fldChar w:fldCharType="begin"/>
          </w:r>
          <w:r>
            <w:rPr>
              <w:sz w:val="22"/>
              <w:szCs w:val="21"/>
              <w:highlight w:val="none"/>
            </w:rPr>
            <w:instrText xml:space="preserve"> PAGEREF _Toc19623 \h </w:instrText>
          </w:r>
          <w:r>
            <w:rPr>
              <w:sz w:val="22"/>
              <w:szCs w:val="21"/>
              <w:highlight w:val="none"/>
            </w:rPr>
            <w:fldChar w:fldCharType="separate"/>
          </w:r>
          <w:r>
            <w:rPr>
              <w:sz w:val="22"/>
              <w:szCs w:val="21"/>
              <w:highlight w:val="none"/>
            </w:rPr>
            <w:t>15</w:t>
          </w:r>
          <w:r>
            <w:rPr>
              <w:sz w:val="22"/>
              <w:szCs w:val="21"/>
              <w:highlight w:val="none"/>
            </w:rPr>
            <w:fldChar w:fldCharType="end"/>
          </w:r>
          <w:r>
            <w:rPr>
              <w:sz w:val="22"/>
              <w:szCs w:val="21"/>
              <w:highlight w:val="none"/>
            </w:rPr>
            <w:fldChar w:fldCharType="end"/>
          </w:r>
        </w:p>
        <w:p w14:paraId="0EBF3FAB">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"_Toc27997" </w:instrText>
          </w:r>
          <w:r>
            <w:rPr>
              <w:highlight w:val="none"/>
            </w:rPr>
            <w:fldChar w:fldCharType="separate"/>
          </w:r>
          <w:r>
            <w:rPr>
              <w:rFonts w:ascii="Arial" w:hAnsi="Arial" w:cs="宋体"/>
              <w:sz w:val="22"/>
              <w:szCs w:val="22"/>
              <w:highlight w:val="none"/>
            </w:rPr>
            <w:t xml:space="preserve">10. </w:t>
          </w:r>
          <w:r>
            <w:rPr>
              <w:rFonts w:ascii="宋体" w:hAnsi="宋体" w:cs="宋体"/>
              <w:sz w:val="22"/>
              <w:szCs w:val="22"/>
              <w:highlight w:val="none"/>
            </w:rPr>
            <w:t>磋商文件构成</w:t>
          </w:r>
          <w:r>
            <w:rPr>
              <w:sz w:val="22"/>
              <w:szCs w:val="21"/>
              <w:highlight w:val="none"/>
            </w:rPr>
            <w:tab/>
          </w:r>
          <w:r>
            <w:rPr>
              <w:sz w:val="22"/>
              <w:szCs w:val="21"/>
              <w:highlight w:val="none"/>
            </w:rPr>
            <w:fldChar w:fldCharType="begin"/>
          </w:r>
          <w:r>
            <w:rPr>
              <w:sz w:val="22"/>
              <w:szCs w:val="21"/>
              <w:highlight w:val="none"/>
            </w:rPr>
            <w:instrText xml:space="preserve"> PAGEREF _Toc27997 \h </w:instrText>
          </w:r>
          <w:r>
            <w:rPr>
              <w:sz w:val="22"/>
              <w:szCs w:val="21"/>
              <w:highlight w:val="none"/>
            </w:rPr>
            <w:fldChar w:fldCharType="separate"/>
          </w:r>
          <w:r>
            <w:rPr>
              <w:sz w:val="22"/>
              <w:szCs w:val="21"/>
              <w:highlight w:val="none"/>
            </w:rPr>
            <w:t>15</w:t>
          </w:r>
          <w:r>
            <w:rPr>
              <w:sz w:val="22"/>
              <w:szCs w:val="21"/>
              <w:highlight w:val="none"/>
            </w:rPr>
            <w:fldChar w:fldCharType="end"/>
          </w:r>
          <w:r>
            <w:rPr>
              <w:sz w:val="22"/>
              <w:szCs w:val="21"/>
              <w:highlight w:val="none"/>
            </w:rPr>
            <w:fldChar w:fldCharType="end"/>
          </w:r>
        </w:p>
        <w:p w14:paraId="551516BF">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"_Toc26776" </w:instrText>
          </w:r>
          <w:r>
            <w:rPr>
              <w:highlight w:val="none"/>
            </w:rPr>
            <w:fldChar w:fldCharType="separate"/>
          </w:r>
          <w:r>
            <w:rPr>
              <w:rFonts w:ascii="Arial" w:hAnsi="Arial" w:cs="宋体"/>
              <w:sz w:val="22"/>
              <w:szCs w:val="22"/>
              <w:highlight w:val="none"/>
            </w:rPr>
            <w:t xml:space="preserve">11. </w:t>
          </w:r>
          <w:r>
            <w:rPr>
              <w:rFonts w:ascii="宋体" w:hAnsi="宋体" w:cs="宋体"/>
              <w:sz w:val="22"/>
              <w:szCs w:val="22"/>
              <w:highlight w:val="none"/>
            </w:rPr>
            <w:t>磋商文件的澄清</w:t>
          </w:r>
          <w:r>
            <w:rPr>
              <w:sz w:val="22"/>
              <w:szCs w:val="21"/>
              <w:highlight w:val="none"/>
            </w:rPr>
            <w:tab/>
          </w:r>
          <w:r>
            <w:rPr>
              <w:sz w:val="22"/>
              <w:szCs w:val="21"/>
              <w:highlight w:val="none"/>
            </w:rPr>
            <w:fldChar w:fldCharType="begin"/>
          </w:r>
          <w:r>
            <w:rPr>
              <w:sz w:val="22"/>
              <w:szCs w:val="21"/>
              <w:highlight w:val="none"/>
            </w:rPr>
            <w:instrText xml:space="preserve"> PAGEREF _Toc26776 \h </w:instrText>
          </w:r>
          <w:r>
            <w:rPr>
              <w:sz w:val="22"/>
              <w:szCs w:val="21"/>
              <w:highlight w:val="none"/>
            </w:rPr>
            <w:fldChar w:fldCharType="separate"/>
          </w:r>
          <w:r>
            <w:rPr>
              <w:sz w:val="22"/>
              <w:szCs w:val="21"/>
              <w:highlight w:val="none"/>
            </w:rPr>
            <w:t>15</w:t>
          </w:r>
          <w:r>
            <w:rPr>
              <w:sz w:val="22"/>
              <w:szCs w:val="21"/>
              <w:highlight w:val="none"/>
            </w:rPr>
            <w:fldChar w:fldCharType="end"/>
          </w:r>
          <w:r>
            <w:rPr>
              <w:sz w:val="22"/>
              <w:szCs w:val="21"/>
              <w:highlight w:val="none"/>
            </w:rPr>
            <w:fldChar w:fldCharType="end"/>
          </w:r>
        </w:p>
        <w:p w14:paraId="7A30BB38">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"_Toc6789" </w:instrText>
          </w:r>
          <w:r>
            <w:rPr>
              <w:highlight w:val="none"/>
            </w:rPr>
            <w:fldChar w:fldCharType="separate"/>
          </w:r>
          <w:r>
            <w:rPr>
              <w:rFonts w:ascii="宋体" w:hAnsi="宋体" w:cs="宋体"/>
              <w:sz w:val="22"/>
              <w:szCs w:val="28"/>
              <w:highlight w:val="none"/>
            </w:rPr>
            <w:t>（四）磋商响应文件的编制</w:t>
          </w:r>
          <w:r>
            <w:rPr>
              <w:sz w:val="22"/>
              <w:szCs w:val="21"/>
              <w:highlight w:val="none"/>
            </w:rPr>
            <w:tab/>
          </w:r>
          <w:r>
            <w:rPr>
              <w:sz w:val="22"/>
              <w:szCs w:val="21"/>
              <w:highlight w:val="none"/>
            </w:rPr>
            <w:fldChar w:fldCharType="begin"/>
          </w:r>
          <w:r>
            <w:rPr>
              <w:sz w:val="22"/>
              <w:szCs w:val="21"/>
              <w:highlight w:val="none"/>
            </w:rPr>
            <w:instrText xml:space="preserve"> PAGEREF _Toc6789 \h </w:instrText>
          </w:r>
          <w:r>
            <w:rPr>
              <w:sz w:val="22"/>
              <w:szCs w:val="21"/>
              <w:highlight w:val="none"/>
            </w:rPr>
            <w:fldChar w:fldCharType="separate"/>
          </w:r>
          <w:r>
            <w:rPr>
              <w:sz w:val="22"/>
              <w:szCs w:val="21"/>
              <w:highlight w:val="none"/>
            </w:rPr>
            <w:t>16</w:t>
          </w:r>
          <w:r>
            <w:rPr>
              <w:sz w:val="22"/>
              <w:szCs w:val="21"/>
              <w:highlight w:val="none"/>
            </w:rPr>
            <w:fldChar w:fldCharType="end"/>
          </w:r>
          <w:r>
            <w:rPr>
              <w:sz w:val="22"/>
              <w:szCs w:val="21"/>
              <w:highlight w:val="none"/>
            </w:rPr>
            <w:fldChar w:fldCharType="end"/>
          </w:r>
        </w:p>
        <w:p w14:paraId="6A65CCF0">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"_Toc9937" </w:instrText>
          </w:r>
          <w:r>
            <w:rPr>
              <w:highlight w:val="none"/>
            </w:rPr>
            <w:fldChar w:fldCharType="separate"/>
          </w:r>
          <w:r>
            <w:rPr>
              <w:rFonts w:ascii="Arial" w:hAnsi="Arial" w:cs="宋体"/>
              <w:bCs/>
              <w:sz w:val="22"/>
              <w:szCs w:val="22"/>
              <w:highlight w:val="none"/>
            </w:rPr>
            <w:t xml:space="preserve">12. </w:t>
          </w:r>
          <w:r>
            <w:rPr>
              <w:rFonts w:ascii="宋体" w:hAnsi="宋体" w:cs="宋体"/>
              <w:bCs/>
              <w:sz w:val="22"/>
              <w:szCs w:val="22"/>
              <w:highlight w:val="none"/>
            </w:rPr>
            <w:t>磋商响应文件的说明</w:t>
          </w:r>
          <w:r>
            <w:rPr>
              <w:sz w:val="22"/>
              <w:szCs w:val="21"/>
              <w:highlight w:val="none"/>
            </w:rPr>
            <w:tab/>
          </w:r>
          <w:r>
            <w:rPr>
              <w:sz w:val="22"/>
              <w:szCs w:val="21"/>
              <w:highlight w:val="none"/>
            </w:rPr>
            <w:fldChar w:fldCharType="begin"/>
          </w:r>
          <w:r>
            <w:rPr>
              <w:sz w:val="22"/>
              <w:szCs w:val="21"/>
              <w:highlight w:val="none"/>
            </w:rPr>
            <w:instrText xml:space="preserve"> PAGEREF _Toc9937 \h </w:instrText>
          </w:r>
          <w:r>
            <w:rPr>
              <w:sz w:val="22"/>
              <w:szCs w:val="21"/>
              <w:highlight w:val="none"/>
            </w:rPr>
            <w:fldChar w:fldCharType="separate"/>
          </w:r>
          <w:r>
            <w:rPr>
              <w:sz w:val="22"/>
              <w:szCs w:val="21"/>
              <w:highlight w:val="none"/>
            </w:rPr>
            <w:t>16</w:t>
          </w:r>
          <w:r>
            <w:rPr>
              <w:sz w:val="22"/>
              <w:szCs w:val="21"/>
              <w:highlight w:val="none"/>
            </w:rPr>
            <w:fldChar w:fldCharType="end"/>
          </w:r>
          <w:r>
            <w:rPr>
              <w:sz w:val="22"/>
              <w:szCs w:val="21"/>
              <w:highlight w:val="none"/>
            </w:rPr>
            <w:fldChar w:fldCharType="end"/>
          </w:r>
        </w:p>
        <w:p w14:paraId="0C5526C7">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"_Toc13536" </w:instrText>
          </w:r>
          <w:r>
            <w:rPr>
              <w:highlight w:val="none"/>
            </w:rPr>
            <w:fldChar w:fldCharType="separate"/>
          </w:r>
          <w:r>
            <w:rPr>
              <w:rFonts w:ascii="Arial" w:hAnsi="Arial" w:cs="宋体"/>
              <w:bCs/>
              <w:sz w:val="22"/>
              <w:szCs w:val="21"/>
              <w:highlight w:val="none"/>
            </w:rPr>
            <w:t xml:space="preserve">13. </w:t>
          </w:r>
          <w:r>
            <w:rPr>
              <w:rFonts w:ascii="宋体" w:hAnsi="宋体" w:cs="宋体"/>
              <w:bCs/>
              <w:sz w:val="22"/>
              <w:szCs w:val="22"/>
              <w:highlight w:val="none"/>
            </w:rPr>
            <w:t>磋商响应文件的组成</w:t>
          </w:r>
          <w:r>
            <w:rPr>
              <w:sz w:val="22"/>
              <w:szCs w:val="21"/>
              <w:highlight w:val="none"/>
            </w:rPr>
            <w:tab/>
          </w:r>
          <w:r>
            <w:rPr>
              <w:sz w:val="22"/>
              <w:szCs w:val="21"/>
              <w:highlight w:val="none"/>
            </w:rPr>
            <w:fldChar w:fldCharType="begin"/>
          </w:r>
          <w:r>
            <w:rPr>
              <w:sz w:val="22"/>
              <w:szCs w:val="21"/>
              <w:highlight w:val="none"/>
            </w:rPr>
            <w:instrText xml:space="preserve"> PAGEREF _Toc13536 \h </w:instrText>
          </w:r>
          <w:r>
            <w:rPr>
              <w:sz w:val="22"/>
              <w:szCs w:val="21"/>
              <w:highlight w:val="none"/>
            </w:rPr>
            <w:fldChar w:fldCharType="separate"/>
          </w:r>
          <w:r>
            <w:rPr>
              <w:sz w:val="22"/>
              <w:szCs w:val="21"/>
              <w:highlight w:val="none"/>
            </w:rPr>
            <w:t>16</w:t>
          </w:r>
          <w:r>
            <w:rPr>
              <w:sz w:val="22"/>
              <w:szCs w:val="21"/>
              <w:highlight w:val="none"/>
            </w:rPr>
            <w:fldChar w:fldCharType="end"/>
          </w:r>
          <w:r>
            <w:rPr>
              <w:sz w:val="22"/>
              <w:szCs w:val="21"/>
              <w:highlight w:val="none"/>
            </w:rPr>
            <w:fldChar w:fldCharType="end"/>
          </w:r>
        </w:p>
        <w:p w14:paraId="4272FBF5">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"_Toc26190" </w:instrText>
          </w:r>
          <w:r>
            <w:rPr>
              <w:highlight w:val="none"/>
            </w:rPr>
            <w:fldChar w:fldCharType="separate"/>
          </w:r>
          <w:r>
            <w:rPr>
              <w:rFonts w:ascii="Arial" w:hAnsi="Arial" w:cs="宋体"/>
              <w:bCs/>
              <w:sz w:val="22"/>
              <w:szCs w:val="21"/>
              <w:highlight w:val="none"/>
            </w:rPr>
            <w:t xml:space="preserve">14. </w:t>
          </w:r>
          <w:r>
            <w:rPr>
              <w:rFonts w:ascii="宋体" w:hAnsi="宋体" w:cs="宋体"/>
              <w:bCs/>
              <w:sz w:val="22"/>
              <w:szCs w:val="22"/>
              <w:highlight w:val="none"/>
            </w:rPr>
            <w:t>磋商响应格式填写说明</w:t>
          </w:r>
          <w:r>
            <w:rPr>
              <w:sz w:val="22"/>
              <w:szCs w:val="21"/>
              <w:highlight w:val="none"/>
            </w:rPr>
            <w:tab/>
          </w:r>
          <w:r>
            <w:rPr>
              <w:sz w:val="22"/>
              <w:szCs w:val="21"/>
              <w:highlight w:val="none"/>
            </w:rPr>
            <w:fldChar w:fldCharType="begin"/>
          </w:r>
          <w:r>
            <w:rPr>
              <w:sz w:val="22"/>
              <w:szCs w:val="21"/>
              <w:highlight w:val="none"/>
            </w:rPr>
            <w:instrText xml:space="preserve"> PAGEREF _Toc26190 \h </w:instrText>
          </w:r>
          <w:r>
            <w:rPr>
              <w:sz w:val="22"/>
              <w:szCs w:val="21"/>
              <w:highlight w:val="none"/>
            </w:rPr>
            <w:fldChar w:fldCharType="separate"/>
          </w:r>
          <w:r>
            <w:rPr>
              <w:sz w:val="22"/>
              <w:szCs w:val="21"/>
              <w:highlight w:val="none"/>
            </w:rPr>
            <w:t>17</w:t>
          </w:r>
          <w:r>
            <w:rPr>
              <w:sz w:val="22"/>
              <w:szCs w:val="21"/>
              <w:highlight w:val="none"/>
            </w:rPr>
            <w:fldChar w:fldCharType="end"/>
          </w:r>
          <w:r>
            <w:rPr>
              <w:sz w:val="22"/>
              <w:szCs w:val="21"/>
              <w:highlight w:val="none"/>
            </w:rPr>
            <w:fldChar w:fldCharType="end"/>
          </w:r>
        </w:p>
        <w:p w14:paraId="486ECA28">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"_Toc8681" </w:instrText>
          </w:r>
          <w:r>
            <w:rPr>
              <w:highlight w:val="none"/>
            </w:rPr>
            <w:fldChar w:fldCharType="separate"/>
          </w:r>
          <w:r>
            <w:rPr>
              <w:rFonts w:ascii="Arial" w:hAnsi="Arial" w:cs="宋体"/>
              <w:sz w:val="22"/>
              <w:szCs w:val="21"/>
              <w:highlight w:val="none"/>
            </w:rPr>
            <w:t xml:space="preserve">15. </w:t>
          </w:r>
          <w:r>
            <w:rPr>
              <w:rFonts w:ascii="宋体" w:hAnsi="宋体" w:cs="宋体"/>
              <w:sz w:val="22"/>
              <w:szCs w:val="22"/>
              <w:highlight w:val="none"/>
            </w:rPr>
            <w:t>磋商有效期</w:t>
          </w:r>
          <w:r>
            <w:rPr>
              <w:sz w:val="22"/>
              <w:szCs w:val="21"/>
              <w:highlight w:val="none"/>
            </w:rPr>
            <w:tab/>
          </w:r>
          <w:r>
            <w:rPr>
              <w:sz w:val="22"/>
              <w:szCs w:val="21"/>
              <w:highlight w:val="none"/>
            </w:rPr>
            <w:fldChar w:fldCharType="begin"/>
          </w:r>
          <w:r>
            <w:rPr>
              <w:sz w:val="22"/>
              <w:szCs w:val="21"/>
              <w:highlight w:val="none"/>
            </w:rPr>
            <w:instrText xml:space="preserve"> PAGEREF _Toc8681 \h </w:instrText>
          </w:r>
          <w:r>
            <w:rPr>
              <w:sz w:val="22"/>
              <w:szCs w:val="21"/>
              <w:highlight w:val="none"/>
            </w:rPr>
            <w:fldChar w:fldCharType="separate"/>
          </w:r>
          <w:r>
            <w:rPr>
              <w:sz w:val="22"/>
              <w:szCs w:val="21"/>
              <w:highlight w:val="none"/>
            </w:rPr>
            <w:t>18</w:t>
          </w:r>
          <w:r>
            <w:rPr>
              <w:sz w:val="22"/>
              <w:szCs w:val="21"/>
              <w:highlight w:val="none"/>
            </w:rPr>
            <w:fldChar w:fldCharType="end"/>
          </w:r>
          <w:r>
            <w:rPr>
              <w:sz w:val="22"/>
              <w:szCs w:val="21"/>
              <w:highlight w:val="none"/>
            </w:rPr>
            <w:fldChar w:fldCharType="end"/>
          </w:r>
        </w:p>
        <w:p w14:paraId="427C859F">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"_Toc5975" </w:instrText>
          </w:r>
          <w:r>
            <w:rPr>
              <w:highlight w:val="none"/>
            </w:rPr>
            <w:fldChar w:fldCharType="separate"/>
          </w:r>
          <w:r>
            <w:rPr>
              <w:rFonts w:ascii="Arial" w:hAnsi="Arial" w:cs="宋体"/>
              <w:sz w:val="22"/>
              <w:szCs w:val="21"/>
              <w:highlight w:val="none"/>
            </w:rPr>
            <w:t xml:space="preserve">16. </w:t>
          </w:r>
          <w:r>
            <w:rPr>
              <w:rFonts w:ascii="宋体" w:hAnsi="宋体" w:cs="宋体"/>
              <w:sz w:val="22"/>
              <w:szCs w:val="22"/>
              <w:highlight w:val="none"/>
            </w:rPr>
            <w:t>磋商报价</w:t>
          </w:r>
          <w:r>
            <w:rPr>
              <w:sz w:val="22"/>
              <w:szCs w:val="21"/>
              <w:highlight w:val="none"/>
            </w:rPr>
            <w:tab/>
          </w:r>
          <w:r>
            <w:rPr>
              <w:sz w:val="22"/>
              <w:szCs w:val="21"/>
              <w:highlight w:val="none"/>
            </w:rPr>
            <w:fldChar w:fldCharType="begin"/>
          </w:r>
          <w:r>
            <w:rPr>
              <w:sz w:val="22"/>
              <w:szCs w:val="21"/>
              <w:highlight w:val="none"/>
            </w:rPr>
            <w:instrText xml:space="preserve"> PAGEREF _Toc5975 \h </w:instrText>
          </w:r>
          <w:r>
            <w:rPr>
              <w:sz w:val="22"/>
              <w:szCs w:val="21"/>
              <w:highlight w:val="none"/>
            </w:rPr>
            <w:fldChar w:fldCharType="separate"/>
          </w:r>
          <w:r>
            <w:rPr>
              <w:sz w:val="22"/>
              <w:szCs w:val="21"/>
              <w:highlight w:val="none"/>
            </w:rPr>
            <w:t>18</w:t>
          </w:r>
          <w:r>
            <w:rPr>
              <w:sz w:val="22"/>
              <w:szCs w:val="21"/>
              <w:highlight w:val="none"/>
            </w:rPr>
            <w:fldChar w:fldCharType="end"/>
          </w:r>
          <w:r>
            <w:rPr>
              <w:sz w:val="22"/>
              <w:szCs w:val="21"/>
              <w:highlight w:val="none"/>
            </w:rPr>
            <w:fldChar w:fldCharType="end"/>
          </w:r>
        </w:p>
        <w:p w14:paraId="170D207A">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"_Toc13949" </w:instrText>
          </w:r>
          <w:r>
            <w:rPr>
              <w:highlight w:val="none"/>
            </w:rPr>
            <w:fldChar w:fldCharType="separate"/>
          </w:r>
          <w:r>
            <w:rPr>
              <w:rFonts w:ascii="Arial" w:hAnsi="Arial" w:cs="宋体"/>
              <w:sz w:val="22"/>
              <w:szCs w:val="21"/>
              <w:highlight w:val="none"/>
            </w:rPr>
            <w:t xml:space="preserve">17. </w:t>
          </w:r>
          <w:r>
            <w:rPr>
              <w:rFonts w:ascii="宋体" w:hAnsi="宋体" w:cs="宋体"/>
              <w:sz w:val="22"/>
              <w:szCs w:val="22"/>
              <w:highlight w:val="none"/>
            </w:rPr>
            <w:t>磋商响应文件的式样和签署</w:t>
          </w:r>
          <w:r>
            <w:rPr>
              <w:sz w:val="22"/>
              <w:szCs w:val="21"/>
              <w:highlight w:val="none"/>
            </w:rPr>
            <w:tab/>
          </w:r>
          <w:r>
            <w:rPr>
              <w:sz w:val="22"/>
              <w:szCs w:val="21"/>
              <w:highlight w:val="none"/>
            </w:rPr>
            <w:fldChar w:fldCharType="begin"/>
          </w:r>
          <w:r>
            <w:rPr>
              <w:sz w:val="22"/>
              <w:szCs w:val="21"/>
              <w:highlight w:val="none"/>
            </w:rPr>
            <w:instrText xml:space="preserve"> PAGEREF _Toc13949 \h </w:instrText>
          </w:r>
          <w:r>
            <w:rPr>
              <w:sz w:val="22"/>
              <w:szCs w:val="21"/>
              <w:highlight w:val="none"/>
            </w:rPr>
            <w:fldChar w:fldCharType="separate"/>
          </w:r>
          <w:r>
            <w:rPr>
              <w:sz w:val="22"/>
              <w:szCs w:val="21"/>
              <w:highlight w:val="none"/>
            </w:rPr>
            <w:t>18</w:t>
          </w:r>
          <w:r>
            <w:rPr>
              <w:sz w:val="22"/>
              <w:szCs w:val="21"/>
              <w:highlight w:val="none"/>
            </w:rPr>
            <w:fldChar w:fldCharType="end"/>
          </w:r>
          <w:r>
            <w:rPr>
              <w:sz w:val="22"/>
              <w:szCs w:val="21"/>
              <w:highlight w:val="none"/>
            </w:rPr>
            <w:fldChar w:fldCharType="end"/>
          </w:r>
        </w:p>
        <w:p w14:paraId="0A22DAA5">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"_Toc12844" </w:instrText>
          </w:r>
          <w:r>
            <w:rPr>
              <w:highlight w:val="none"/>
            </w:rPr>
            <w:fldChar w:fldCharType="separate"/>
          </w:r>
          <w:r>
            <w:rPr>
              <w:rFonts w:ascii="Arial" w:hAnsi="Arial" w:cs="宋体"/>
              <w:bCs/>
              <w:sz w:val="22"/>
              <w:szCs w:val="21"/>
              <w:highlight w:val="none"/>
            </w:rPr>
            <w:t xml:space="preserve">18. </w:t>
          </w:r>
          <w:r>
            <w:rPr>
              <w:rFonts w:ascii="宋体" w:hAnsi="宋体" w:cs="宋体"/>
              <w:bCs/>
              <w:sz w:val="22"/>
              <w:szCs w:val="22"/>
              <w:highlight w:val="none"/>
            </w:rPr>
            <w:t>知识产权</w:t>
          </w:r>
          <w:r>
            <w:rPr>
              <w:sz w:val="22"/>
              <w:szCs w:val="21"/>
              <w:highlight w:val="none"/>
            </w:rPr>
            <w:tab/>
          </w:r>
          <w:r>
            <w:rPr>
              <w:sz w:val="22"/>
              <w:szCs w:val="21"/>
              <w:highlight w:val="none"/>
            </w:rPr>
            <w:fldChar w:fldCharType="begin"/>
          </w:r>
          <w:r>
            <w:rPr>
              <w:sz w:val="22"/>
              <w:szCs w:val="21"/>
              <w:highlight w:val="none"/>
            </w:rPr>
            <w:instrText xml:space="preserve"> PAGEREF _Toc12844 \h </w:instrText>
          </w:r>
          <w:r>
            <w:rPr>
              <w:sz w:val="22"/>
              <w:szCs w:val="21"/>
              <w:highlight w:val="none"/>
            </w:rPr>
            <w:fldChar w:fldCharType="separate"/>
          </w:r>
          <w:r>
            <w:rPr>
              <w:sz w:val="22"/>
              <w:szCs w:val="21"/>
              <w:highlight w:val="none"/>
            </w:rPr>
            <w:t>18</w:t>
          </w:r>
          <w:r>
            <w:rPr>
              <w:sz w:val="22"/>
              <w:szCs w:val="21"/>
              <w:highlight w:val="none"/>
            </w:rPr>
            <w:fldChar w:fldCharType="end"/>
          </w:r>
          <w:r>
            <w:rPr>
              <w:sz w:val="22"/>
              <w:szCs w:val="21"/>
              <w:highlight w:val="none"/>
            </w:rPr>
            <w:fldChar w:fldCharType="end"/>
          </w:r>
        </w:p>
        <w:p w14:paraId="6EA0FE4D">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"_Toc28008" </w:instrText>
          </w:r>
          <w:r>
            <w:rPr>
              <w:highlight w:val="none"/>
            </w:rPr>
            <w:fldChar w:fldCharType="separate"/>
          </w:r>
          <w:r>
            <w:rPr>
              <w:rFonts w:ascii="Arial" w:hAnsi="Arial" w:cs="宋体"/>
              <w:bCs/>
              <w:sz w:val="22"/>
              <w:szCs w:val="21"/>
              <w:highlight w:val="none"/>
            </w:rPr>
            <w:t xml:space="preserve">19. </w:t>
          </w:r>
          <w:r>
            <w:rPr>
              <w:rFonts w:ascii="宋体" w:hAnsi="宋体" w:cs="宋体"/>
              <w:bCs/>
              <w:sz w:val="22"/>
              <w:szCs w:val="21"/>
              <w:highlight w:val="none"/>
            </w:rPr>
            <w:t>串通行为认定</w:t>
          </w:r>
          <w:r>
            <w:rPr>
              <w:sz w:val="22"/>
              <w:szCs w:val="21"/>
              <w:highlight w:val="none"/>
            </w:rPr>
            <w:tab/>
          </w:r>
          <w:r>
            <w:rPr>
              <w:sz w:val="22"/>
              <w:szCs w:val="21"/>
              <w:highlight w:val="none"/>
            </w:rPr>
            <w:fldChar w:fldCharType="begin"/>
          </w:r>
          <w:r>
            <w:rPr>
              <w:sz w:val="22"/>
              <w:szCs w:val="21"/>
              <w:highlight w:val="none"/>
            </w:rPr>
            <w:instrText xml:space="preserve"> PAGEREF _Toc28008 \h </w:instrText>
          </w:r>
          <w:r>
            <w:rPr>
              <w:sz w:val="22"/>
              <w:szCs w:val="21"/>
              <w:highlight w:val="none"/>
            </w:rPr>
            <w:fldChar w:fldCharType="separate"/>
          </w:r>
          <w:r>
            <w:rPr>
              <w:sz w:val="22"/>
              <w:szCs w:val="21"/>
              <w:highlight w:val="none"/>
            </w:rPr>
            <w:t>19</w:t>
          </w:r>
          <w:r>
            <w:rPr>
              <w:sz w:val="22"/>
              <w:szCs w:val="21"/>
              <w:highlight w:val="none"/>
            </w:rPr>
            <w:fldChar w:fldCharType="end"/>
          </w:r>
          <w:r>
            <w:rPr>
              <w:sz w:val="22"/>
              <w:szCs w:val="21"/>
              <w:highlight w:val="none"/>
            </w:rPr>
            <w:fldChar w:fldCharType="end"/>
          </w:r>
        </w:p>
        <w:p w14:paraId="676C9EC8">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"_Toc17356" </w:instrText>
          </w:r>
          <w:r>
            <w:rPr>
              <w:highlight w:val="none"/>
            </w:rPr>
            <w:fldChar w:fldCharType="separate"/>
          </w:r>
          <w:r>
            <w:rPr>
              <w:rFonts w:ascii="Arial" w:hAnsi="Arial" w:cs="宋体"/>
              <w:bCs/>
              <w:sz w:val="22"/>
              <w:szCs w:val="21"/>
              <w:highlight w:val="none"/>
            </w:rPr>
            <w:t xml:space="preserve">20. </w:t>
          </w:r>
          <w:r>
            <w:rPr>
              <w:rFonts w:ascii="宋体" w:hAnsi="宋体" w:cs="宋体"/>
              <w:bCs/>
              <w:sz w:val="22"/>
              <w:szCs w:val="21"/>
              <w:highlight w:val="none"/>
            </w:rPr>
            <w:t>出现以下情形，中止电子交易活动：</w:t>
          </w:r>
          <w:r>
            <w:rPr>
              <w:sz w:val="22"/>
              <w:szCs w:val="21"/>
              <w:highlight w:val="none"/>
            </w:rPr>
            <w:tab/>
          </w:r>
          <w:r>
            <w:rPr>
              <w:sz w:val="22"/>
              <w:szCs w:val="21"/>
              <w:highlight w:val="none"/>
            </w:rPr>
            <w:fldChar w:fldCharType="begin"/>
          </w:r>
          <w:r>
            <w:rPr>
              <w:sz w:val="22"/>
              <w:szCs w:val="21"/>
              <w:highlight w:val="none"/>
            </w:rPr>
            <w:instrText xml:space="preserve"> PAGEREF _Toc17356 \h </w:instrText>
          </w:r>
          <w:r>
            <w:rPr>
              <w:sz w:val="22"/>
              <w:szCs w:val="21"/>
              <w:highlight w:val="none"/>
            </w:rPr>
            <w:fldChar w:fldCharType="separate"/>
          </w:r>
          <w:r>
            <w:rPr>
              <w:sz w:val="22"/>
              <w:szCs w:val="21"/>
              <w:highlight w:val="none"/>
            </w:rPr>
            <w:t>19</w:t>
          </w:r>
          <w:r>
            <w:rPr>
              <w:sz w:val="22"/>
              <w:szCs w:val="21"/>
              <w:highlight w:val="none"/>
            </w:rPr>
            <w:fldChar w:fldCharType="end"/>
          </w:r>
          <w:r>
            <w:rPr>
              <w:sz w:val="22"/>
              <w:szCs w:val="21"/>
              <w:highlight w:val="none"/>
            </w:rPr>
            <w:fldChar w:fldCharType="end"/>
          </w:r>
        </w:p>
        <w:p w14:paraId="1880F4DA">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"_Toc18953" </w:instrText>
          </w:r>
          <w:r>
            <w:rPr>
              <w:highlight w:val="none"/>
            </w:rPr>
            <w:fldChar w:fldCharType="separate"/>
          </w:r>
          <w:r>
            <w:rPr>
              <w:rFonts w:ascii="宋体" w:hAnsi="宋体" w:cs="宋体"/>
              <w:sz w:val="22"/>
              <w:szCs w:val="28"/>
              <w:highlight w:val="none"/>
            </w:rPr>
            <w:t>（五）磋商响应文件的递交</w:t>
          </w:r>
          <w:r>
            <w:rPr>
              <w:sz w:val="22"/>
              <w:szCs w:val="21"/>
              <w:highlight w:val="none"/>
            </w:rPr>
            <w:tab/>
          </w:r>
          <w:r>
            <w:rPr>
              <w:sz w:val="22"/>
              <w:szCs w:val="21"/>
              <w:highlight w:val="none"/>
            </w:rPr>
            <w:fldChar w:fldCharType="begin"/>
          </w:r>
          <w:r>
            <w:rPr>
              <w:sz w:val="22"/>
              <w:szCs w:val="21"/>
              <w:highlight w:val="none"/>
            </w:rPr>
            <w:instrText xml:space="preserve"> PAGEREF _Toc18953 \h </w:instrText>
          </w:r>
          <w:r>
            <w:rPr>
              <w:sz w:val="22"/>
              <w:szCs w:val="21"/>
              <w:highlight w:val="none"/>
            </w:rPr>
            <w:fldChar w:fldCharType="separate"/>
          </w:r>
          <w:r>
            <w:rPr>
              <w:sz w:val="22"/>
              <w:szCs w:val="21"/>
              <w:highlight w:val="none"/>
            </w:rPr>
            <w:t>20</w:t>
          </w:r>
          <w:r>
            <w:rPr>
              <w:sz w:val="22"/>
              <w:szCs w:val="21"/>
              <w:highlight w:val="none"/>
            </w:rPr>
            <w:fldChar w:fldCharType="end"/>
          </w:r>
          <w:r>
            <w:rPr>
              <w:sz w:val="22"/>
              <w:szCs w:val="21"/>
              <w:highlight w:val="none"/>
            </w:rPr>
            <w:fldChar w:fldCharType="end"/>
          </w:r>
        </w:p>
        <w:p w14:paraId="289648BC">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"_Toc8719" </w:instrText>
          </w:r>
          <w:r>
            <w:rPr>
              <w:highlight w:val="none"/>
            </w:rPr>
            <w:fldChar w:fldCharType="separate"/>
          </w:r>
          <w:r>
            <w:rPr>
              <w:rFonts w:ascii="Arial" w:hAnsi="Arial" w:cs="宋体"/>
              <w:bCs/>
              <w:sz w:val="22"/>
              <w:szCs w:val="24"/>
              <w:highlight w:val="none"/>
            </w:rPr>
            <w:t xml:space="preserve">21. </w:t>
          </w:r>
          <w:r>
            <w:rPr>
              <w:rFonts w:ascii="宋体" w:hAnsi="宋体" w:cs="宋体"/>
              <w:bCs/>
              <w:sz w:val="22"/>
              <w:szCs w:val="21"/>
              <w:highlight w:val="none"/>
            </w:rPr>
            <w:t>响应文件的修改（补充）和撤回</w:t>
          </w:r>
          <w:r>
            <w:rPr>
              <w:sz w:val="22"/>
              <w:szCs w:val="21"/>
              <w:highlight w:val="none"/>
            </w:rPr>
            <w:tab/>
          </w:r>
          <w:r>
            <w:rPr>
              <w:sz w:val="22"/>
              <w:szCs w:val="21"/>
              <w:highlight w:val="none"/>
            </w:rPr>
            <w:fldChar w:fldCharType="begin"/>
          </w:r>
          <w:r>
            <w:rPr>
              <w:sz w:val="22"/>
              <w:szCs w:val="21"/>
              <w:highlight w:val="none"/>
            </w:rPr>
            <w:instrText xml:space="preserve"> PAGEREF _Toc8719 \h </w:instrText>
          </w:r>
          <w:r>
            <w:rPr>
              <w:sz w:val="22"/>
              <w:szCs w:val="21"/>
              <w:highlight w:val="none"/>
            </w:rPr>
            <w:fldChar w:fldCharType="separate"/>
          </w:r>
          <w:r>
            <w:rPr>
              <w:sz w:val="22"/>
              <w:szCs w:val="21"/>
              <w:highlight w:val="none"/>
            </w:rPr>
            <w:t>20</w:t>
          </w:r>
          <w:r>
            <w:rPr>
              <w:sz w:val="22"/>
              <w:szCs w:val="21"/>
              <w:highlight w:val="none"/>
            </w:rPr>
            <w:fldChar w:fldCharType="end"/>
          </w:r>
          <w:r>
            <w:rPr>
              <w:sz w:val="22"/>
              <w:szCs w:val="21"/>
              <w:highlight w:val="none"/>
            </w:rPr>
            <w:fldChar w:fldCharType="end"/>
          </w:r>
        </w:p>
        <w:p w14:paraId="53399FEB">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"_Toc8538" </w:instrText>
          </w:r>
          <w:r>
            <w:rPr>
              <w:highlight w:val="none"/>
            </w:rPr>
            <w:fldChar w:fldCharType="separate"/>
          </w:r>
          <w:r>
            <w:rPr>
              <w:rFonts w:ascii="Arial" w:hAnsi="Arial" w:cs="宋体"/>
              <w:sz w:val="22"/>
              <w:szCs w:val="21"/>
              <w:highlight w:val="none"/>
            </w:rPr>
            <w:t xml:space="preserve">22. </w:t>
          </w:r>
          <w:r>
            <w:rPr>
              <w:rFonts w:ascii="宋体" w:hAnsi="宋体" w:cs="宋体"/>
              <w:sz w:val="22"/>
              <w:szCs w:val="22"/>
              <w:highlight w:val="none"/>
            </w:rPr>
            <w:t>磋商截止时间</w:t>
          </w:r>
          <w:r>
            <w:rPr>
              <w:sz w:val="22"/>
              <w:szCs w:val="21"/>
              <w:highlight w:val="none"/>
            </w:rPr>
            <w:tab/>
          </w:r>
          <w:r>
            <w:rPr>
              <w:sz w:val="22"/>
              <w:szCs w:val="21"/>
              <w:highlight w:val="none"/>
            </w:rPr>
            <w:fldChar w:fldCharType="begin"/>
          </w:r>
          <w:r>
            <w:rPr>
              <w:sz w:val="22"/>
              <w:szCs w:val="21"/>
              <w:highlight w:val="none"/>
            </w:rPr>
            <w:instrText xml:space="preserve"> PAGEREF _Toc8538 \h </w:instrText>
          </w:r>
          <w:r>
            <w:rPr>
              <w:sz w:val="22"/>
              <w:szCs w:val="21"/>
              <w:highlight w:val="none"/>
            </w:rPr>
            <w:fldChar w:fldCharType="separate"/>
          </w:r>
          <w:r>
            <w:rPr>
              <w:sz w:val="22"/>
              <w:szCs w:val="21"/>
              <w:highlight w:val="none"/>
            </w:rPr>
            <w:t>20</w:t>
          </w:r>
          <w:r>
            <w:rPr>
              <w:sz w:val="22"/>
              <w:szCs w:val="21"/>
              <w:highlight w:val="none"/>
            </w:rPr>
            <w:fldChar w:fldCharType="end"/>
          </w:r>
          <w:r>
            <w:rPr>
              <w:sz w:val="22"/>
              <w:szCs w:val="21"/>
              <w:highlight w:val="none"/>
            </w:rPr>
            <w:fldChar w:fldCharType="end"/>
          </w:r>
        </w:p>
        <w:p w14:paraId="0591EDA1">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"_Toc21398" </w:instrText>
          </w:r>
          <w:r>
            <w:rPr>
              <w:highlight w:val="none"/>
            </w:rPr>
            <w:fldChar w:fldCharType="separate"/>
          </w:r>
          <w:r>
            <w:rPr>
              <w:rFonts w:ascii="宋体" w:hAnsi="宋体" w:cs="宋体"/>
              <w:sz w:val="22"/>
              <w:szCs w:val="28"/>
              <w:highlight w:val="none"/>
            </w:rPr>
            <w:t>（六）磋商与评审</w:t>
          </w:r>
          <w:r>
            <w:rPr>
              <w:sz w:val="22"/>
              <w:szCs w:val="21"/>
              <w:highlight w:val="none"/>
            </w:rPr>
            <w:tab/>
          </w:r>
          <w:r>
            <w:rPr>
              <w:sz w:val="22"/>
              <w:szCs w:val="21"/>
              <w:highlight w:val="none"/>
            </w:rPr>
            <w:fldChar w:fldCharType="begin"/>
          </w:r>
          <w:r>
            <w:rPr>
              <w:sz w:val="22"/>
              <w:szCs w:val="21"/>
              <w:highlight w:val="none"/>
            </w:rPr>
            <w:instrText xml:space="preserve"> PAGEREF _Toc21398 \h </w:instrText>
          </w:r>
          <w:r>
            <w:rPr>
              <w:sz w:val="22"/>
              <w:szCs w:val="21"/>
              <w:highlight w:val="none"/>
            </w:rPr>
            <w:fldChar w:fldCharType="separate"/>
          </w:r>
          <w:r>
            <w:rPr>
              <w:sz w:val="22"/>
              <w:szCs w:val="21"/>
              <w:highlight w:val="none"/>
            </w:rPr>
            <w:t>21</w:t>
          </w:r>
          <w:r>
            <w:rPr>
              <w:sz w:val="22"/>
              <w:szCs w:val="21"/>
              <w:highlight w:val="none"/>
            </w:rPr>
            <w:fldChar w:fldCharType="end"/>
          </w:r>
          <w:r>
            <w:rPr>
              <w:sz w:val="22"/>
              <w:szCs w:val="21"/>
              <w:highlight w:val="none"/>
            </w:rPr>
            <w:fldChar w:fldCharType="end"/>
          </w:r>
        </w:p>
        <w:p w14:paraId="20F0C12E">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"_Toc6651" </w:instrText>
          </w:r>
          <w:r>
            <w:rPr>
              <w:highlight w:val="none"/>
            </w:rPr>
            <w:fldChar w:fldCharType="separate"/>
          </w:r>
          <w:r>
            <w:rPr>
              <w:rFonts w:ascii="Arial" w:hAnsi="Arial" w:cs="宋体"/>
              <w:sz w:val="22"/>
              <w:szCs w:val="22"/>
              <w:highlight w:val="none"/>
            </w:rPr>
            <w:t xml:space="preserve">23. </w:t>
          </w:r>
          <w:r>
            <w:rPr>
              <w:rFonts w:ascii="宋体" w:hAnsi="宋体" w:cs="宋体"/>
              <w:sz w:val="22"/>
              <w:szCs w:val="22"/>
              <w:highlight w:val="none"/>
            </w:rPr>
            <w:t>磋商</w:t>
          </w:r>
          <w:r>
            <w:rPr>
              <w:sz w:val="22"/>
              <w:szCs w:val="21"/>
              <w:highlight w:val="none"/>
            </w:rPr>
            <w:tab/>
          </w:r>
          <w:r>
            <w:rPr>
              <w:sz w:val="22"/>
              <w:szCs w:val="21"/>
              <w:highlight w:val="none"/>
            </w:rPr>
            <w:fldChar w:fldCharType="begin"/>
          </w:r>
          <w:r>
            <w:rPr>
              <w:sz w:val="22"/>
              <w:szCs w:val="21"/>
              <w:highlight w:val="none"/>
            </w:rPr>
            <w:instrText xml:space="preserve"> PAGEREF _Toc6651 \h </w:instrText>
          </w:r>
          <w:r>
            <w:rPr>
              <w:sz w:val="22"/>
              <w:szCs w:val="21"/>
              <w:highlight w:val="none"/>
            </w:rPr>
            <w:fldChar w:fldCharType="separate"/>
          </w:r>
          <w:r>
            <w:rPr>
              <w:sz w:val="22"/>
              <w:szCs w:val="21"/>
              <w:highlight w:val="none"/>
            </w:rPr>
            <w:t>21</w:t>
          </w:r>
          <w:r>
            <w:rPr>
              <w:sz w:val="22"/>
              <w:szCs w:val="21"/>
              <w:highlight w:val="none"/>
            </w:rPr>
            <w:fldChar w:fldCharType="end"/>
          </w:r>
          <w:r>
            <w:rPr>
              <w:sz w:val="22"/>
              <w:szCs w:val="21"/>
              <w:highlight w:val="none"/>
            </w:rPr>
            <w:fldChar w:fldCharType="end"/>
          </w:r>
        </w:p>
        <w:p w14:paraId="65CCE2FB">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"_Toc10029" </w:instrText>
          </w:r>
          <w:r>
            <w:rPr>
              <w:highlight w:val="none"/>
            </w:rPr>
            <w:fldChar w:fldCharType="separate"/>
          </w:r>
          <w:r>
            <w:rPr>
              <w:rFonts w:ascii="Arial" w:hAnsi="Arial" w:cs="宋体"/>
              <w:sz w:val="22"/>
              <w:szCs w:val="21"/>
              <w:highlight w:val="none"/>
            </w:rPr>
            <w:t xml:space="preserve">24. </w:t>
          </w:r>
          <w:r>
            <w:rPr>
              <w:rFonts w:ascii="宋体" w:hAnsi="宋体" w:cs="宋体"/>
              <w:sz w:val="22"/>
              <w:szCs w:val="21"/>
              <w:highlight w:val="none"/>
            </w:rPr>
            <w:t>开标程序</w:t>
          </w:r>
          <w:r>
            <w:rPr>
              <w:sz w:val="22"/>
              <w:szCs w:val="21"/>
              <w:highlight w:val="none"/>
            </w:rPr>
            <w:tab/>
          </w:r>
          <w:r>
            <w:rPr>
              <w:sz w:val="22"/>
              <w:szCs w:val="21"/>
              <w:highlight w:val="none"/>
            </w:rPr>
            <w:fldChar w:fldCharType="begin"/>
          </w:r>
          <w:r>
            <w:rPr>
              <w:sz w:val="22"/>
              <w:szCs w:val="21"/>
              <w:highlight w:val="none"/>
            </w:rPr>
            <w:instrText xml:space="preserve"> PAGEREF _Toc10029 \h </w:instrText>
          </w:r>
          <w:r>
            <w:rPr>
              <w:sz w:val="22"/>
              <w:szCs w:val="21"/>
              <w:highlight w:val="none"/>
            </w:rPr>
            <w:fldChar w:fldCharType="separate"/>
          </w:r>
          <w:r>
            <w:rPr>
              <w:sz w:val="22"/>
              <w:szCs w:val="21"/>
              <w:highlight w:val="none"/>
            </w:rPr>
            <w:t>21</w:t>
          </w:r>
          <w:r>
            <w:rPr>
              <w:sz w:val="22"/>
              <w:szCs w:val="21"/>
              <w:highlight w:val="none"/>
            </w:rPr>
            <w:fldChar w:fldCharType="end"/>
          </w:r>
          <w:r>
            <w:rPr>
              <w:sz w:val="22"/>
              <w:szCs w:val="21"/>
              <w:highlight w:val="none"/>
            </w:rPr>
            <w:fldChar w:fldCharType="end"/>
          </w:r>
        </w:p>
        <w:p w14:paraId="0FF04500">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"_Toc14180" </w:instrText>
          </w:r>
          <w:r>
            <w:rPr>
              <w:highlight w:val="none"/>
            </w:rPr>
            <w:fldChar w:fldCharType="separate"/>
          </w:r>
          <w:r>
            <w:rPr>
              <w:rFonts w:ascii="Arial" w:hAnsi="Arial" w:cs="宋体"/>
              <w:sz w:val="22"/>
              <w:szCs w:val="22"/>
              <w:highlight w:val="none"/>
            </w:rPr>
            <w:t xml:space="preserve">25. </w:t>
          </w:r>
          <w:r>
            <w:rPr>
              <w:rFonts w:ascii="宋体" w:hAnsi="宋体" w:cs="宋体"/>
              <w:sz w:val="22"/>
              <w:szCs w:val="22"/>
              <w:highlight w:val="none"/>
            </w:rPr>
            <w:t>磋商小组</w:t>
          </w:r>
          <w:r>
            <w:rPr>
              <w:sz w:val="22"/>
              <w:szCs w:val="21"/>
              <w:highlight w:val="none"/>
            </w:rPr>
            <w:tab/>
          </w:r>
          <w:r>
            <w:rPr>
              <w:sz w:val="22"/>
              <w:szCs w:val="21"/>
              <w:highlight w:val="none"/>
            </w:rPr>
            <w:fldChar w:fldCharType="begin"/>
          </w:r>
          <w:r>
            <w:rPr>
              <w:sz w:val="22"/>
              <w:szCs w:val="21"/>
              <w:highlight w:val="none"/>
            </w:rPr>
            <w:instrText xml:space="preserve"> PAGEREF _Toc14180 \h </w:instrText>
          </w:r>
          <w:r>
            <w:rPr>
              <w:sz w:val="22"/>
              <w:szCs w:val="21"/>
              <w:highlight w:val="none"/>
            </w:rPr>
            <w:fldChar w:fldCharType="separate"/>
          </w:r>
          <w:r>
            <w:rPr>
              <w:sz w:val="22"/>
              <w:szCs w:val="21"/>
              <w:highlight w:val="none"/>
            </w:rPr>
            <w:t>21</w:t>
          </w:r>
          <w:r>
            <w:rPr>
              <w:sz w:val="22"/>
              <w:szCs w:val="21"/>
              <w:highlight w:val="none"/>
            </w:rPr>
            <w:fldChar w:fldCharType="end"/>
          </w:r>
          <w:r>
            <w:rPr>
              <w:sz w:val="22"/>
              <w:szCs w:val="21"/>
              <w:highlight w:val="none"/>
            </w:rPr>
            <w:fldChar w:fldCharType="end"/>
          </w:r>
        </w:p>
        <w:p w14:paraId="375D127B">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"_Toc5260" </w:instrText>
          </w:r>
          <w:r>
            <w:rPr>
              <w:highlight w:val="none"/>
            </w:rPr>
            <w:fldChar w:fldCharType="separate"/>
          </w:r>
          <w:r>
            <w:rPr>
              <w:rFonts w:ascii="Arial" w:hAnsi="Arial" w:cs="宋体"/>
              <w:sz w:val="22"/>
              <w:szCs w:val="22"/>
              <w:highlight w:val="none"/>
            </w:rPr>
            <w:t xml:space="preserve">26. </w:t>
          </w:r>
          <w:r>
            <w:rPr>
              <w:rFonts w:ascii="宋体" w:hAnsi="宋体" w:cs="宋体"/>
              <w:sz w:val="22"/>
              <w:szCs w:val="22"/>
              <w:highlight w:val="none"/>
            </w:rPr>
            <w:t>磋商工作程序</w:t>
          </w:r>
          <w:r>
            <w:rPr>
              <w:sz w:val="22"/>
              <w:szCs w:val="21"/>
              <w:highlight w:val="none"/>
            </w:rPr>
            <w:tab/>
          </w:r>
          <w:r>
            <w:rPr>
              <w:sz w:val="22"/>
              <w:szCs w:val="21"/>
              <w:highlight w:val="none"/>
            </w:rPr>
            <w:fldChar w:fldCharType="begin"/>
          </w:r>
          <w:r>
            <w:rPr>
              <w:sz w:val="22"/>
              <w:szCs w:val="21"/>
              <w:highlight w:val="none"/>
            </w:rPr>
            <w:instrText xml:space="preserve"> PAGEREF _Toc5260 \h </w:instrText>
          </w:r>
          <w:r>
            <w:rPr>
              <w:sz w:val="22"/>
              <w:szCs w:val="21"/>
              <w:highlight w:val="none"/>
            </w:rPr>
            <w:fldChar w:fldCharType="separate"/>
          </w:r>
          <w:r>
            <w:rPr>
              <w:sz w:val="22"/>
              <w:szCs w:val="21"/>
              <w:highlight w:val="none"/>
            </w:rPr>
            <w:t>21</w:t>
          </w:r>
          <w:r>
            <w:rPr>
              <w:sz w:val="22"/>
              <w:szCs w:val="21"/>
              <w:highlight w:val="none"/>
            </w:rPr>
            <w:fldChar w:fldCharType="end"/>
          </w:r>
          <w:r>
            <w:rPr>
              <w:sz w:val="22"/>
              <w:szCs w:val="21"/>
              <w:highlight w:val="none"/>
            </w:rPr>
            <w:fldChar w:fldCharType="end"/>
          </w:r>
        </w:p>
        <w:p w14:paraId="0282BD2D">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"_Toc29723" </w:instrText>
          </w:r>
          <w:r>
            <w:rPr>
              <w:highlight w:val="none"/>
            </w:rPr>
            <w:fldChar w:fldCharType="separate"/>
          </w:r>
          <w:r>
            <w:rPr>
              <w:rFonts w:ascii="Arial" w:hAnsi="Arial" w:cs="宋体"/>
              <w:sz w:val="22"/>
              <w:szCs w:val="24"/>
              <w:highlight w:val="none"/>
            </w:rPr>
            <w:t xml:space="preserve">27. </w:t>
          </w:r>
          <w:r>
            <w:rPr>
              <w:rFonts w:ascii="宋体" w:hAnsi="宋体" w:cs="宋体"/>
              <w:sz w:val="22"/>
              <w:szCs w:val="21"/>
              <w:highlight w:val="none"/>
            </w:rPr>
            <w:t>评审</w:t>
          </w:r>
          <w:r>
            <w:rPr>
              <w:sz w:val="22"/>
              <w:szCs w:val="21"/>
              <w:highlight w:val="none"/>
            </w:rPr>
            <w:tab/>
          </w:r>
          <w:r>
            <w:rPr>
              <w:sz w:val="22"/>
              <w:szCs w:val="21"/>
              <w:highlight w:val="none"/>
            </w:rPr>
            <w:fldChar w:fldCharType="begin"/>
          </w:r>
          <w:r>
            <w:rPr>
              <w:sz w:val="22"/>
              <w:szCs w:val="21"/>
              <w:highlight w:val="none"/>
            </w:rPr>
            <w:instrText xml:space="preserve"> PAGEREF _Toc29723 \h </w:instrText>
          </w:r>
          <w:r>
            <w:rPr>
              <w:sz w:val="22"/>
              <w:szCs w:val="21"/>
              <w:highlight w:val="none"/>
            </w:rPr>
            <w:fldChar w:fldCharType="separate"/>
          </w:r>
          <w:r>
            <w:rPr>
              <w:sz w:val="22"/>
              <w:szCs w:val="21"/>
              <w:highlight w:val="none"/>
            </w:rPr>
            <w:t>22</w:t>
          </w:r>
          <w:r>
            <w:rPr>
              <w:sz w:val="22"/>
              <w:szCs w:val="21"/>
              <w:highlight w:val="none"/>
            </w:rPr>
            <w:fldChar w:fldCharType="end"/>
          </w:r>
          <w:r>
            <w:rPr>
              <w:sz w:val="22"/>
              <w:szCs w:val="21"/>
              <w:highlight w:val="none"/>
            </w:rPr>
            <w:fldChar w:fldCharType="end"/>
          </w:r>
        </w:p>
        <w:p w14:paraId="29C4FBB8">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"_Toc20231" </w:instrText>
          </w:r>
          <w:r>
            <w:rPr>
              <w:highlight w:val="none"/>
            </w:rPr>
            <w:fldChar w:fldCharType="separate"/>
          </w:r>
          <w:r>
            <w:rPr>
              <w:rFonts w:ascii="Arial" w:hAnsi="Arial" w:cs="宋体"/>
              <w:sz w:val="22"/>
              <w:szCs w:val="21"/>
              <w:highlight w:val="none"/>
            </w:rPr>
            <w:t xml:space="preserve">28. </w:t>
          </w:r>
          <w:r>
            <w:rPr>
              <w:rFonts w:ascii="宋体" w:hAnsi="宋体" w:cs="宋体"/>
              <w:sz w:val="22"/>
              <w:szCs w:val="21"/>
              <w:highlight w:val="none"/>
            </w:rPr>
            <w:t>成交供应商的确定</w:t>
          </w:r>
          <w:r>
            <w:rPr>
              <w:sz w:val="22"/>
              <w:szCs w:val="21"/>
              <w:highlight w:val="none"/>
            </w:rPr>
            <w:tab/>
          </w:r>
          <w:r>
            <w:rPr>
              <w:sz w:val="22"/>
              <w:szCs w:val="21"/>
              <w:highlight w:val="none"/>
            </w:rPr>
            <w:fldChar w:fldCharType="begin"/>
          </w:r>
          <w:r>
            <w:rPr>
              <w:sz w:val="22"/>
              <w:szCs w:val="21"/>
              <w:highlight w:val="none"/>
            </w:rPr>
            <w:instrText xml:space="preserve"> PAGEREF _Toc20231 \h </w:instrText>
          </w:r>
          <w:r>
            <w:rPr>
              <w:sz w:val="22"/>
              <w:szCs w:val="21"/>
              <w:highlight w:val="none"/>
            </w:rPr>
            <w:fldChar w:fldCharType="separate"/>
          </w:r>
          <w:r>
            <w:rPr>
              <w:sz w:val="22"/>
              <w:szCs w:val="21"/>
              <w:highlight w:val="none"/>
            </w:rPr>
            <w:t>24</w:t>
          </w:r>
          <w:r>
            <w:rPr>
              <w:sz w:val="22"/>
              <w:szCs w:val="21"/>
              <w:highlight w:val="none"/>
            </w:rPr>
            <w:fldChar w:fldCharType="end"/>
          </w:r>
          <w:r>
            <w:rPr>
              <w:sz w:val="22"/>
              <w:szCs w:val="21"/>
              <w:highlight w:val="none"/>
            </w:rPr>
            <w:fldChar w:fldCharType="end"/>
          </w:r>
        </w:p>
        <w:p w14:paraId="62D7CA42">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"_Toc30058" </w:instrText>
          </w:r>
          <w:r>
            <w:rPr>
              <w:highlight w:val="none"/>
            </w:rPr>
            <w:fldChar w:fldCharType="separate"/>
          </w:r>
          <w:r>
            <w:rPr>
              <w:rFonts w:ascii="Arial" w:hAnsi="Arial" w:cs="宋体"/>
              <w:sz w:val="22"/>
              <w:szCs w:val="21"/>
              <w:highlight w:val="none"/>
            </w:rPr>
            <w:t xml:space="preserve">29. </w:t>
          </w:r>
          <w:r>
            <w:rPr>
              <w:rFonts w:ascii="宋体" w:hAnsi="宋体" w:cs="宋体"/>
              <w:sz w:val="22"/>
              <w:szCs w:val="21"/>
              <w:highlight w:val="none"/>
            </w:rPr>
            <w:t>评标过程保密</w:t>
          </w:r>
          <w:r>
            <w:rPr>
              <w:sz w:val="22"/>
              <w:szCs w:val="21"/>
              <w:highlight w:val="none"/>
            </w:rPr>
            <w:tab/>
          </w:r>
          <w:r>
            <w:rPr>
              <w:sz w:val="22"/>
              <w:szCs w:val="21"/>
              <w:highlight w:val="none"/>
            </w:rPr>
            <w:fldChar w:fldCharType="begin"/>
          </w:r>
          <w:r>
            <w:rPr>
              <w:sz w:val="22"/>
              <w:szCs w:val="21"/>
              <w:highlight w:val="none"/>
            </w:rPr>
            <w:instrText xml:space="preserve"> PAGEREF _Toc30058 \h </w:instrText>
          </w:r>
          <w:r>
            <w:rPr>
              <w:sz w:val="22"/>
              <w:szCs w:val="21"/>
              <w:highlight w:val="none"/>
            </w:rPr>
            <w:fldChar w:fldCharType="separate"/>
          </w:r>
          <w:r>
            <w:rPr>
              <w:sz w:val="22"/>
              <w:szCs w:val="21"/>
              <w:highlight w:val="none"/>
            </w:rPr>
            <w:t>24</w:t>
          </w:r>
          <w:r>
            <w:rPr>
              <w:sz w:val="22"/>
              <w:szCs w:val="21"/>
              <w:highlight w:val="none"/>
            </w:rPr>
            <w:fldChar w:fldCharType="end"/>
          </w:r>
          <w:r>
            <w:rPr>
              <w:sz w:val="22"/>
              <w:szCs w:val="21"/>
              <w:highlight w:val="none"/>
            </w:rPr>
            <w:fldChar w:fldCharType="end"/>
          </w:r>
        </w:p>
        <w:p w14:paraId="299EA615">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"_Toc12540" </w:instrText>
          </w:r>
          <w:r>
            <w:rPr>
              <w:highlight w:val="none"/>
            </w:rPr>
            <w:fldChar w:fldCharType="separate"/>
          </w:r>
          <w:r>
            <w:rPr>
              <w:rFonts w:ascii="Arial" w:hAnsi="Arial" w:cs="宋体"/>
              <w:sz w:val="22"/>
              <w:szCs w:val="21"/>
              <w:highlight w:val="none"/>
            </w:rPr>
            <w:t xml:space="preserve">30. </w:t>
          </w:r>
          <w:r>
            <w:rPr>
              <w:rFonts w:ascii="宋体" w:hAnsi="宋体" w:cs="宋体"/>
              <w:sz w:val="22"/>
              <w:szCs w:val="21"/>
              <w:highlight w:val="none"/>
            </w:rPr>
            <w:t>否决任何或所有磋商的权利</w:t>
          </w:r>
          <w:r>
            <w:rPr>
              <w:sz w:val="22"/>
              <w:szCs w:val="21"/>
              <w:highlight w:val="none"/>
            </w:rPr>
            <w:tab/>
          </w:r>
          <w:r>
            <w:rPr>
              <w:sz w:val="22"/>
              <w:szCs w:val="21"/>
              <w:highlight w:val="none"/>
            </w:rPr>
            <w:fldChar w:fldCharType="begin"/>
          </w:r>
          <w:r>
            <w:rPr>
              <w:sz w:val="22"/>
              <w:szCs w:val="21"/>
              <w:highlight w:val="none"/>
            </w:rPr>
            <w:instrText xml:space="preserve"> PAGEREF _Toc12540 \h </w:instrText>
          </w:r>
          <w:r>
            <w:rPr>
              <w:sz w:val="22"/>
              <w:szCs w:val="21"/>
              <w:highlight w:val="none"/>
            </w:rPr>
            <w:fldChar w:fldCharType="separate"/>
          </w:r>
          <w:r>
            <w:rPr>
              <w:sz w:val="22"/>
              <w:szCs w:val="21"/>
              <w:highlight w:val="none"/>
            </w:rPr>
            <w:t>25</w:t>
          </w:r>
          <w:r>
            <w:rPr>
              <w:sz w:val="22"/>
              <w:szCs w:val="21"/>
              <w:highlight w:val="none"/>
            </w:rPr>
            <w:fldChar w:fldCharType="end"/>
          </w:r>
          <w:r>
            <w:rPr>
              <w:sz w:val="22"/>
              <w:szCs w:val="21"/>
              <w:highlight w:val="none"/>
            </w:rPr>
            <w:fldChar w:fldCharType="end"/>
          </w:r>
        </w:p>
        <w:p w14:paraId="453F20AF">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"_Toc13704" </w:instrText>
          </w:r>
          <w:r>
            <w:rPr>
              <w:highlight w:val="none"/>
            </w:rPr>
            <w:fldChar w:fldCharType="separate"/>
          </w:r>
          <w:r>
            <w:rPr>
              <w:rFonts w:ascii="Arial" w:hAnsi="Arial" w:cs="宋体"/>
              <w:sz w:val="22"/>
              <w:szCs w:val="21"/>
              <w:highlight w:val="none"/>
            </w:rPr>
            <w:t xml:space="preserve">31. </w:t>
          </w:r>
          <w:r>
            <w:rPr>
              <w:rFonts w:ascii="宋体" w:hAnsi="宋体" w:cs="宋体"/>
              <w:sz w:val="22"/>
              <w:szCs w:val="21"/>
              <w:highlight w:val="none"/>
            </w:rPr>
            <w:t>质疑与投诉</w:t>
          </w:r>
          <w:r>
            <w:rPr>
              <w:sz w:val="22"/>
              <w:szCs w:val="21"/>
              <w:highlight w:val="none"/>
            </w:rPr>
            <w:tab/>
          </w:r>
          <w:r>
            <w:rPr>
              <w:sz w:val="22"/>
              <w:szCs w:val="21"/>
              <w:highlight w:val="none"/>
            </w:rPr>
            <w:fldChar w:fldCharType="begin"/>
          </w:r>
          <w:r>
            <w:rPr>
              <w:sz w:val="22"/>
              <w:szCs w:val="21"/>
              <w:highlight w:val="none"/>
            </w:rPr>
            <w:instrText xml:space="preserve"> PAGEREF _Toc13704 \h </w:instrText>
          </w:r>
          <w:r>
            <w:rPr>
              <w:sz w:val="22"/>
              <w:szCs w:val="21"/>
              <w:highlight w:val="none"/>
            </w:rPr>
            <w:fldChar w:fldCharType="separate"/>
          </w:r>
          <w:r>
            <w:rPr>
              <w:sz w:val="22"/>
              <w:szCs w:val="21"/>
              <w:highlight w:val="none"/>
            </w:rPr>
            <w:t>25</w:t>
          </w:r>
          <w:r>
            <w:rPr>
              <w:sz w:val="22"/>
              <w:szCs w:val="21"/>
              <w:highlight w:val="none"/>
            </w:rPr>
            <w:fldChar w:fldCharType="end"/>
          </w:r>
          <w:r>
            <w:rPr>
              <w:sz w:val="22"/>
              <w:szCs w:val="21"/>
              <w:highlight w:val="none"/>
            </w:rPr>
            <w:fldChar w:fldCharType="end"/>
          </w:r>
        </w:p>
        <w:p w14:paraId="464921A6">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"_Toc30669" </w:instrText>
          </w:r>
          <w:r>
            <w:rPr>
              <w:highlight w:val="none"/>
            </w:rPr>
            <w:fldChar w:fldCharType="separate"/>
          </w:r>
          <w:r>
            <w:rPr>
              <w:rFonts w:ascii="宋体" w:hAnsi="宋体" w:cs="宋体"/>
              <w:sz w:val="22"/>
              <w:szCs w:val="28"/>
              <w:highlight w:val="none"/>
            </w:rPr>
            <w:t>（七）授予合同</w:t>
          </w:r>
          <w:r>
            <w:rPr>
              <w:sz w:val="22"/>
              <w:szCs w:val="21"/>
              <w:highlight w:val="none"/>
            </w:rPr>
            <w:tab/>
          </w:r>
          <w:r>
            <w:rPr>
              <w:sz w:val="22"/>
              <w:szCs w:val="21"/>
              <w:highlight w:val="none"/>
            </w:rPr>
            <w:fldChar w:fldCharType="begin"/>
          </w:r>
          <w:r>
            <w:rPr>
              <w:sz w:val="22"/>
              <w:szCs w:val="21"/>
              <w:highlight w:val="none"/>
            </w:rPr>
            <w:instrText xml:space="preserve"> PAGEREF _Toc30669 \h </w:instrText>
          </w:r>
          <w:r>
            <w:rPr>
              <w:sz w:val="22"/>
              <w:szCs w:val="21"/>
              <w:highlight w:val="none"/>
            </w:rPr>
            <w:fldChar w:fldCharType="separate"/>
          </w:r>
          <w:r>
            <w:rPr>
              <w:sz w:val="22"/>
              <w:szCs w:val="21"/>
              <w:highlight w:val="none"/>
            </w:rPr>
            <w:t>26</w:t>
          </w:r>
          <w:r>
            <w:rPr>
              <w:sz w:val="22"/>
              <w:szCs w:val="21"/>
              <w:highlight w:val="none"/>
            </w:rPr>
            <w:fldChar w:fldCharType="end"/>
          </w:r>
          <w:r>
            <w:rPr>
              <w:sz w:val="22"/>
              <w:szCs w:val="21"/>
              <w:highlight w:val="none"/>
            </w:rPr>
            <w:fldChar w:fldCharType="end"/>
          </w:r>
        </w:p>
        <w:p w14:paraId="27CCD500">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"_Toc8237" </w:instrText>
          </w:r>
          <w:r>
            <w:rPr>
              <w:highlight w:val="none"/>
            </w:rPr>
            <w:fldChar w:fldCharType="separate"/>
          </w:r>
          <w:r>
            <w:rPr>
              <w:rFonts w:ascii="Arial" w:hAnsi="Arial" w:cs="宋体"/>
              <w:sz w:val="22"/>
              <w:szCs w:val="21"/>
              <w:highlight w:val="none"/>
            </w:rPr>
            <w:t xml:space="preserve">32. </w:t>
          </w:r>
          <w:r>
            <w:rPr>
              <w:rFonts w:ascii="宋体" w:hAnsi="宋体" w:cs="宋体"/>
              <w:sz w:val="22"/>
              <w:szCs w:val="21"/>
              <w:highlight w:val="none"/>
            </w:rPr>
            <w:t>成交通知</w:t>
          </w:r>
          <w:r>
            <w:rPr>
              <w:sz w:val="22"/>
              <w:szCs w:val="21"/>
              <w:highlight w:val="none"/>
            </w:rPr>
            <w:tab/>
          </w:r>
          <w:r>
            <w:rPr>
              <w:sz w:val="22"/>
              <w:szCs w:val="21"/>
              <w:highlight w:val="none"/>
            </w:rPr>
            <w:fldChar w:fldCharType="begin"/>
          </w:r>
          <w:r>
            <w:rPr>
              <w:sz w:val="22"/>
              <w:szCs w:val="21"/>
              <w:highlight w:val="none"/>
            </w:rPr>
            <w:instrText xml:space="preserve"> PAGEREF _Toc8237 \h </w:instrText>
          </w:r>
          <w:r>
            <w:rPr>
              <w:sz w:val="22"/>
              <w:szCs w:val="21"/>
              <w:highlight w:val="none"/>
            </w:rPr>
            <w:fldChar w:fldCharType="separate"/>
          </w:r>
          <w:r>
            <w:rPr>
              <w:sz w:val="22"/>
              <w:szCs w:val="21"/>
              <w:highlight w:val="none"/>
            </w:rPr>
            <w:t>26</w:t>
          </w:r>
          <w:r>
            <w:rPr>
              <w:sz w:val="22"/>
              <w:szCs w:val="21"/>
              <w:highlight w:val="none"/>
            </w:rPr>
            <w:fldChar w:fldCharType="end"/>
          </w:r>
          <w:r>
            <w:rPr>
              <w:sz w:val="22"/>
              <w:szCs w:val="21"/>
              <w:highlight w:val="none"/>
            </w:rPr>
            <w:fldChar w:fldCharType="end"/>
          </w:r>
        </w:p>
        <w:p w14:paraId="3110658F">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"_Toc31920" </w:instrText>
          </w:r>
          <w:r>
            <w:rPr>
              <w:highlight w:val="none"/>
            </w:rPr>
            <w:fldChar w:fldCharType="separate"/>
          </w:r>
          <w:r>
            <w:rPr>
              <w:rFonts w:ascii="Arial" w:hAnsi="Arial" w:cs="宋体"/>
              <w:sz w:val="22"/>
              <w:szCs w:val="21"/>
              <w:highlight w:val="none"/>
            </w:rPr>
            <w:t xml:space="preserve">33. </w:t>
          </w:r>
          <w:r>
            <w:rPr>
              <w:rFonts w:ascii="宋体" w:hAnsi="宋体" w:cs="宋体"/>
              <w:sz w:val="22"/>
              <w:szCs w:val="21"/>
              <w:highlight w:val="none"/>
            </w:rPr>
            <w:t>签订合同</w:t>
          </w:r>
          <w:r>
            <w:rPr>
              <w:sz w:val="22"/>
              <w:szCs w:val="21"/>
              <w:highlight w:val="none"/>
            </w:rPr>
            <w:tab/>
          </w:r>
          <w:r>
            <w:rPr>
              <w:sz w:val="22"/>
              <w:szCs w:val="21"/>
              <w:highlight w:val="none"/>
            </w:rPr>
            <w:fldChar w:fldCharType="begin"/>
          </w:r>
          <w:r>
            <w:rPr>
              <w:sz w:val="22"/>
              <w:szCs w:val="21"/>
              <w:highlight w:val="none"/>
            </w:rPr>
            <w:instrText xml:space="preserve"> PAGEREF _Toc31920 \h </w:instrText>
          </w:r>
          <w:r>
            <w:rPr>
              <w:sz w:val="22"/>
              <w:szCs w:val="21"/>
              <w:highlight w:val="none"/>
            </w:rPr>
            <w:fldChar w:fldCharType="separate"/>
          </w:r>
          <w:r>
            <w:rPr>
              <w:sz w:val="22"/>
              <w:szCs w:val="21"/>
              <w:highlight w:val="none"/>
            </w:rPr>
            <w:t>26</w:t>
          </w:r>
          <w:r>
            <w:rPr>
              <w:sz w:val="22"/>
              <w:szCs w:val="21"/>
              <w:highlight w:val="none"/>
            </w:rPr>
            <w:fldChar w:fldCharType="end"/>
          </w:r>
          <w:r>
            <w:rPr>
              <w:sz w:val="22"/>
              <w:szCs w:val="21"/>
              <w:highlight w:val="none"/>
            </w:rPr>
            <w:fldChar w:fldCharType="end"/>
          </w:r>
        </w:p>
        <w:p w14:paraId="0683FD26">
          <w:pPr>
            <w:pStyle w:val="16"/>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"_Toc15535" </w:instrText>
          </w:r>
          <w:r>
            <w:rPr>
              <w:highlight w:val="none"/>
            </w:rPr>
            <w:fldChar w:fldCharType="separate"/>
          </w:r>
          <w:r>
            <w:rPr>
              <w:rFonts w:ascii="Arial" w:hAnsi="Arial" w:cs="宋体"/>
              <w:sz w:val="22"/>
              <w:szCs w:val="21"/>
              <w:highlight w:val="none"/>
            </w:rPr>
            <w:t xml:space="preserve">34. </w:t>
          </w:r>
          <w:r>
            <w:rPr>
              <w:rFonts w:ascii="宋体" w:hAnsi="宋体" w:cs="宋体"/>
              <w:sz w:val="22"/>
              <w:szCs w:val="21"/>
              <w:highlight w:val="none"/>
            </w:rPr>
            <w:t>代理服务费</w:t>
          </w:r>
          <w:r>
            <w:rPr>
              <w:sz w:val="22"/>
              <w:szCs w:val="21"/>
              <w:highlight w:val="none"/>
            </w:rPr>
            <w:tab/>
          </w:r>
          <w:r>
            <w:rPr>
              <w:sz w:val="22"/>
              <w:szCs w:val="21"/>
              <w:highlight w:val="none"/>
            </w:rPr>
            <w:fldChar w:fldCharType="begin"/>
          </w:r>
          <w:r>
            <w:rPr>
              <w:sz w:val="22"/>
              <w:szCs w:val="21"/>
              <w:highlight w:val="none"/>
            </w:rPr>
            <w:instrText xml:space="preserve"> PAGEREF _Toc15535 \h </w:instrText>
          </w:r>
          <w:r>
            <w:rPr>
              <w:sz w:val="22"/>
              <w:szCs w:val="21"/>
              <w:highlight w:val="none"/>
            </w:rPr>
            <w:fldChar w:fldCharType="separate"/>
          </w:r>
          <w:r>
            <w:rPr>
              <w:sz w:val="22"/>
              <w:szCs w:val="21"/>
              <w:highlight w:val="none"/>
            </w:rPr>
            <w:t>26</w:t>
          </w:r>
          <w:r>
            <w:rPr>
              <w:sz w:val="22"/>
              <w:szCs w:val="21"/>
              <w:highlight w:val="none"/>
            </w:rPr>
            <w:fldChar w:fldCharType="end"/>
          </w:r>
          <w:r>
            <w:rPr>
              <w:sz w:val="22"/>
              <w:szCs w:val="21"/>
              <w:highlight w:val="none"/>
            </w:rPr>
            <w:fldChar w:fldCharType="end"/>
          </w:r>
        </w:p>
        <w:p w14:paraId="3ACAAAD7">
          <w:pPr>
            <w:pStyle w:val="21"/>
            <w:tabs>
              <w:tab w:val="right" w:leader="dot" w:pos="8306"/>
              <w:tab w:val="clear" w:pos="8948"/>
            </w:tabs>
            <w:spacing w:line="360" w:lineRule="auto"/>
            <w:rPr>
              <w:sz w:val="22"/>
              <w:szCs w:val="22"/>
              <w:highlight w:val="none"/>
            </w:rPr>
          </w:pPr>
          <w:r>
            <w:rPr>
              <w:highlight w:val="none"/>
            </w:rPr>
            <w:fldChar w:fldCharType="begin"/>
          </w:r>
          <w:r>
            <w:rPr>
              <w:highlight w:val="none"/>
            </w:rPr>
            <w:instrText xml:space="preserve"> HYPERLINK \l "_Toc14541" </w:instrText>
          </w:r>
          <w:r>
            <w:rPr>
              <w:highlight w:val="none"/>
            </w:rPr>
            <w:fldChar w:fldCharType="separate"/>
          </w:r>
          <w:r>
            <w:rPr>
              <w:rFonts w:cs="宋体"/>
              <w:sz w:val="22"/>
              <w:szCs w:val="40"/>
              <w:highlight w:val="none"/>
            </w:rPr>
            <w:t>第三部分  竞争性磋商内容及要求</w:t>
          </w:r>
          <w:r>
            <w:rPr>
              <w:sz w:val="22"/>
              <w:szCs w:val="22"/>
              <w:highlight w:val="none"/>
            </w:rPr>
            <w:tab/>
          </w:r>
          <w:r>
            <w:rPr>
              <w:sz w:val="22"/>
              <w:szCs w:val="22"/>
              <w:highlight w:val="none"/>
            </w:rPr>
            <w:fldChar w:fldCharType="begin"/>
          </w:r>
          <w:r>
            <w:rPr>
              <w:sz w:val="22"/>
              <w:szCs w:val="22"/>
              <w:highlight w:val="none"/>
            </w:rPr>
            <w:instrText xml:space="preserve"> PAGEREF _Toc14541 \h </w:instrText>
          </w:r>
          <w:r>
            <w:rPr>
              <w:sz w:val="22"/>
              <w:szCs w:val="22"/>
              <w:highlight w:val="none"/>
            </w:rPr>
            <w:fldChar w:fldCharType="separate"/>
          </w:r>
          <w:r>
            <w:rPr>
              <w:sz w:val="22"/>
              <w:szCs w:val="22"/>
              <w:highlight w:val="none"/>
            </w:rPr>
            <w:t>28</w:t>
          </w:r>
          <w:r>
            <w:rPr>
              <w:sz w:val="22"/>
              <w:szCs w:val="22"/>
              <w:highlight w:val="none"/>
            </w:rPr>
            <w:fldChar w:fldCharType="end"/>
          </w:r>
          <w:r>
            <w:rPr>
              <w:sz w:val="22"/>
              <w:szCs w:val="22"/>
              <w:highlight w:val="none"/>
            </w:rPr>
            <w:fldChar w:fldCharType="end"/>
          </w:r>
        </w:p>
        <w:p w14:paraId="06867D80">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"_Toc6676" </w:instrText>
          </w:r>
          <w:r>
            <w:rPr>
              <w:highlight w:val="none"/>
            </w:rPr>
            <w:fldChar w:fldCharType="separate"/>
          </w:r>
          <w:r>
            <w:rPr>
              <w:rFonts w:ascii="宋体" w:hAnsi="宋体" w:cs="宋体"/>
              <w:bCs/>
              <w:sz w:val="22"/>
              <w:szCs w:val="21"/>
              <w:highlight w:val="none"/>
            </w:rPr>
            <w:t>（一）概述</w:t>
          </w:r>
          <w:r>
            <w:rPr>
              <w:sz w:val="22"/>
              <w:szCs w:val="21"/>
              <w:highlight w:val="none"/>
            </w:rPr>
            <w:tab/>
          </w:r>
          <w:r>
            <w:rPr>
              <w:sz w:val="22"/>
              <w:szCs w:val="21"/>
              <w:highlight w:val="none"/>
            </w:rPr>
            <w:fldChar w:fldCharType="begin"/>
          </w:r>
          <w:r>
            <w:rPr>
              <w:sz w:val="22"/>
              <w:szCs w:val="21"/>
              <w:highlight w:val="none"/>
            </w:rPr>
            <w:instrText xml:space="preserve"> PAGEREF _Toc6676 \h </w:instrText>
          </w:r>
          <w:r>
            <w:rPr>
              <w:sz w:val="22"/>
              <w:szCs w:val="21"/>
              <w:highlight w:val="none"/>
            </w:rPr>
            <w:fldChar w:fldCharType="separate"/>
          </w:r>
          <w:r>
            <w:rPr>
              <w:sz w:val="22"/>
              <w:szCs w:val="21"/>
              <w:highlight w:val="none"/>
            </w:rPr>
            <w:t>28</w:t>
          </w:r>
          <w:r>
            <w:rPr>
              <w:sz w:val="22"/>
              <w:szCs w:val="21"/>
              <w:highlight w:val="none"/>
            </w:rPr>
            <w:fldChar w:fldCharType="end"/>
          </w:r>
          <w:r>
            <w:rPr>
              <w:sz w:val="22"/>
              <w:szCs w:val="21"/>
              <w:highlight w:val="none"/>
            </w:rPr>
            <w:fldChar w:fldCharType="end"/>
          </w:r>
        </w:p>
        <w:p w14:paraId="4075C758">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"_Toc6023" </w:instrText>
          </w:r>
          <w:r>
            <w:rPr>
              <w:highlight w:val="none"/>
            </w:rPr>
            <w:fldChar w:fldCharType="separate"/>
          </w:r>
          <w:r>
            <w:rPr>
              <w:rFonts w:ascii="宋体"/>
              <w:bCs/>
              <w:sz w:val="22"/>
              <w:szCs w:val="28"/>
              <w:highlight w:val="none"/>
            </w:rPr>
            <w:t>（二）</w:t>
          </w:r>
          <w:r>
            <w:rPr>
              <w:bCs/>
              <w:sz w:val="22"/>
              <w:szCs w:val="28"/>
              <w:highlight w:val="none"/>
            </w:rPr>
            <w:t>采购内容及要求</w:t>
          </w:r>
          <w:r>
            <w:rPr>
              <w:sz w:val="22"/>
              <w:szCs w:val="21"/>
              <w:highlight w:val="none"/>
            </w:rPr>
            <w:tab/>
          </w:r>
          <w:r>
            <w:rPr>
              <w:sz w:val="22"/>
              <w:szCs w:val="21"/>
              <w:highlight w:val="none"/>
            </w:rPr>
            <w:fldChar w:fldCharType="begin"/>
          </w:r>
          <w:r>
            <w:rPr>
              <w:sz w:val="22"/>
              <w:szCs w:val="21"/>
              <w:highlight w:val="none"/>
            </w:rPr>
            <w:instrText xml:space="preserve"> PAGEREF _Toc6023 \h </w:instrText>
          </w:r>
          <w:r>
            <w:rPr>
              <w:sz w:val="22"/>
              <w:szCs w:val="21"/>
              <w:highlight w:val="none"/>
            </w:rPr>
            <w:fldChar w:fldCharType="separate"/>
          </w:r>
          <w:r>
            <w:rPr>
              <w:sz w:val="22"/>
              <w:szCs w:val="21"/>
              <w:highlight w:val="none"/>
            </w:rPr>
            <w:t>29</w:t>
          </w:r>
          <w:r>
            <w:rPr>
              <w:sz w:val="22"/>
              <w:szCs w:val="21"/>
              <w:highlight w:val="none"/>
            </w:rPr>
            <w:fldChar w:fldCharType="end"/>
          </w:r>
          <w:r>
            <w:rPr>
              <w:sz w:val="22"/>
              <w:szCs w:val="21"/>
              <w:highlight w:val="none"/>
            </w:rPr>
            <w:fldChar w:fldCharType="end"/>
          </w:r>
        </w:p>
        <w:p w14:paraId="44DBEFBE">
          <w:pPr>
            <w:pStyle w:val="21"/>
            <w:tabs>
              <w:tab w:val="right" w:leader="dot" w:pos="8306"/>
              <w:tab w:val="clear" w:pos="8948"/>
            </w:tabs>
            <w:spacing w:line="360" w:lineRule="auto"/>
            <w:rPr>
              <w:sz w:val="22"/>
              <w:szCs w:val="22"/>
              <w:highlight w:val="none"/>
            </w:rPr>
          </w:pPr>
          <w:r>
            <w:rPr>
              <w:highlight w:val="none"/>
            </w:rPr>
            <w:fldChar w:fldCharType="begin"/>
          </w:r>
          <w:r>
            <w:rPr>
              <w:highlight w:val="none"/>
            </w:rPr>
            <w:instrText xml:space="preserve"> HYPERLINK \l "_Toc5321" </w:instrText>
          </w:r>
          <w:r>
            <w:rPr>
              <w:highlight w:val="none"/>
            </w:rPr>
            <w:fldChar w:fldCharType="separate"/>
          </w:r>
          <w:r>
            <w:rPr>
              <w:rFonts w:cs="宋体"/>
              <w:sz w:val="22"/>
              <w:szCs w:val="40"/>
              <w:highlight w:val="none"/>
            </w:rPr>
            <w:t>第四部分  合同条款</w:t>
          </w:r>
          <w:r>
            <w:rPr>
              <w:sz w:val="22"/>
              <w:szCs w:val="22"/>
              <w:highlight w:val="none"/>
            </w:rPr>
            <w:tab/>
          </w:r>
          <w:r>
            <w:rPr>
              <w:sz w:val="22"/>
              <w:szCs w:val="22"/>
              <w:highlight w:val="none"/>
            </w:rPr>
            <w:fldChar w:fldCharType="begin"/>
          </w:r>
          <w:r>
            <w:rPr>
              <w:sz w:val="22"/>
              <w:szCs w:val="22"/>
              <w:highlight w:val="none"/>
            </w:rPr>
            <w:instrText xml:space="preserve"> PAGEREF _Toc5321 \h </w:instrText>
          </w:r>
          <w:r>
            <w:rPr>
              <w:sz w:val="22"/>
              <w:szCs w:val="22"/>
              <w:highlight w:val="none"/>
            </w:rPr>
            <w:fldChar w:fldCharType="separate"/>
          </w:r>
          <w:r>
            <w:rPr>
              <w:sz w:val="22"/>
              <w:szCs w:val="22"/>
              <w:highlight w:val="none"/>
            </w:rPr>
            <w:t>46</w:t>
          </w:r>
          <w:r>
            <w:rPr>
              <w:sz w:val="22"/>
              <w:szCs w:val="22"/>
              <w:highlight w:val="none"/>
            </w:rPr>
            <w:fldChar w:fldCharType="end"/>
          </w:r>
          <w:r>
            <w:rPr>
              <w:sz w:val="22"/>
              <w:szCs w:val="22"/>
              <w:highlight w:val="none"/>
            </w:rPr>
            <w:fldChar w:fldCharType="end"/>
          </w:r>
        </w:p>
        <w:p w14:paraId="30263A1E">
          <w:pPr>
            <w:pStyle w:val="21"/>
            <w:tabs>
              <w:tab w:val="right" w:leader="dot" w:pos="8306"/>
              <w:tab w:val="clear" w:pos="8948"/>
            </w:tabs>
            <w:spacing w:line="360" w:lineRule="auto"/>
            <w:rPr>
              <w:sz w:val="22"/>
              <w:szCs w:val="21"/>
              <w:highlight w:val="none"/>
            </w:rPr>
          </w:pPr>
          <w:r>
            <w:rPr>
              <w:highlight w:val="none"/>
            </w:rPr>
            <w:fldChar w:fldCharType="begin"/>
          </w:r>
          <w:r>
            <w:rPr>
              <w:highlight w:val="none"/>
            </w:rPr>
            <w:instrText xml:space="preserve"> HYPERLINK \l "_Toc28647" </w:instrText>
          </w:r>
          <w:r>
            <w:rPr>
              <w:highlight w:val="none"/>
            </w:rPr>
            <w:fldChar w:fldCharType="separate"/>
          </w:r>
          <w:r>
            <w:rPr>
              <w:rFonts w:cs="宋体"/>
              <w:sz w:val="22"/>
              <w:szCs w:val="40"/>
              <w:highlight w:val="none"/>
            </w:rPr>
            <w:t>第五部分  磋商响应文件格式</w:t>
          </w:r>
          <w:r>
            <w:rPr>
              <w:sz w:val="22"/>
              <w:szCs w:val="22"/>
              <w:highlight w:val="none"/>
            </w:rPr>
            <w:tab/>
          </w:r>
          <w:r>
            <w:rPr>
              <w:sz w:val="22"/>
              <w:szCs w:val="22"/>
              <w:highlight w:val="none"/>
            </w:rPr>
            <w:fldChar w:fldCharType="begin"/>
          </w:r>
          <w:r>
            <w:rPr>
              <w:sz w:val="22"/>
              <w:szCs w:val="22"/>
              <w:highlight w:val="none"/>
            </w:rPr>
            <w:instrText xml:space="preserve"> PAGEREF _Toc28647 \h </w:instrText>
          </w:r>
          <w:r>
            <w:rPr>
              <w:sz w:val="22"/>
              <w:szCs w:val="22"/>
              <w:highlight w:val="none"/>
            </w:rPr>
            <w:fldChar w:fldCharType="separate"/>
          </w:r>
          <w:r>
            <w:rPr>
              <w:sz w:val="22"/>
              <w:szCs w:val="22"/>
              <w:highlight w:val="none"/>
            </w:rPr>
            <w:t>50</w:t>
          </w:r>
          <w:r>
            <w:rPr>
              <w:sz w:val="22"/>
              <w:szCs w:val="22"/>
              <w:highlight w:val="none"/>
            </w:rPr>
            <w:fldChar w:fldCharType="end"/>
          </w:r>
          <w:r>
            <w:rPr>
              <w:sz w:val="22"/>
              <w:szCs w:val="22"/>
              <w:highlight w:val="none"/>
            </w:rPr>
            <w:fldChar w:fldCharType="end"/>
          </w:r>
        </w:p>
        <w:p w14:paraId="7B125B56">
          <w:pPr>
            <w:pStyle w:val="21"/>
            <w:tabs>
              <w:tab w:val="right" w:leader="dot" w:pos="8306"/>
              <w:tab w:val="clear" w:pos="8948"/>
            </w:tabs>
            <w:spacing w:line="360" w:lineRule="auto"/>
            <w:rPr>
              <w:sz w:val="22"/>
              <w:szCs w:val="22"/>
              <w:highlight w:val="none"/>
            </w:rPr>
          </w:pPr>
          <w:r>
            <w:rPr>
              <w:highlight w:val="none"/>
            </w:rPr>
            <w:fldChar w:fldCharType="begin"/>
          </w:r>
          <w:r>
            <w:rPr>
              <w:highlight w:val="none"/>
            </w:rPr>
            <w:instrText xml:space="preserve"> HYPERLINK \l "_Toc4507" </w:instrText>
          </w:r>
          <w:r>
            <w:rPr>
              <w:highlight w:val="none"/>
            </w:rPr>
            <w:fldChar w:fldCharType="separate"/>
          </w:r>
          <w:r>
            <w:rPr>
              <w:rFonts w:cs="宋体"/>
              <w:sz w:val="22"/>
              <w:szCs w:val="40"/>
              <w:highlight w:val="none"/>
            </w:rPr>
            <w:t>第六部分  评定办法</w:t>
          </w:r>
          <w:r>
            <w:rPr>
              <w:sz w:val="22"/>
              <w:szCs w:val="22"/>
              <w:highlight w:val="none"/>
            </w:rPr>
            <w:tab/>
          </w:r>
          <w:r>
            <w:rPr>
              <w:sz w:val="22"/>
              <w:szCs w:val="22"/>
              <w:highlight w:val="none"/>
            </w:rPr>
            <w:fldChar w:fldCharType="begin"/>
          </w:r>
          <w:r>
            <w:rPr>
              <w:sz w:val="22"/>
              <w:szCs w:val="22"/>
              <w:highlight w:val="none"/>
            </w:rPr>
            <w:instrText xml:space="preserve"> PAGEREF _Toc4507 \h </w:instrText>
          </w:r>
          <w:r>
            <w:rPr>
              <w:sz w:val="22"/>
              <w:szCs w:val="22"/>
              <w:highlight w:val="none"/>
            </w:rPr>
            <w:fldChar w:fldCharType="separate"/>
          </w:r>
          <w:r>
            <w:rPr>
              <w:sz w:val="22"/>
              <w:szCs w:val="22"/>
              <w:highlight w:val="none"/>
            </w:rPr>
            <w:t>65</w:t>
          </w:r>
          <w:r>
            <w:rPr>
              <w:sz w:val="22"/>
              <w:szCs w:val="22"/>
              <w:highlight w:val="none"/>
            </w:rPr>
            <w:fldChar w:fldCharType="end"/>
          </w:r>
          <w:r>
            <w:rPr>
              <w:sz w:val="22"/>
              <w:szCs w:val="22"/>
              <w:highlight w:val="none"/>
            </w:rPr>
            <w:fldChar w:fldCharType="end"/>
          </w:r>
        </w:p>
        <w:p w14:paraId="010D4549">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"_Toc7454" </w:instrText>
          </w:r>
          <w:r>
            <w:rPr>
              <w:highlight w:val="none"/>
            </w:rPr>
            <w:fldChar w:fldCharType="separate"/>
          </w:r>
          <w:r>
            <w:rPr>
              <w:rFonts w:ascii="宋体" w:hAnsi="宋体" w:cs="宋体"/>
              <w:bCs/>
              <w:kern w:val="28"/>
              <w:sz w:val="22"/>
              <w:szCs w:val="21"/>
              <w:highlight w:val="none"/>
            </w:rPr>
            <w:t>一、评定原则</w:t>
          </w:r>
          <w:r>
            <w:rPr>
              <w:sz w:val="22"/>
              <w:szCs w:val="21"/>
              <w:highlight w:val="none"/>
            </w:rPr>
            <w:tab/>
          </w:r>
          <w:r>
            <w:rPr>
              <w:sz w:val="22"/>
              <w:szCs w:val="21"/>
              <w:highlight w:val="none"/>
            </w:rPr>
            <w:fldChar w:fldCharType="begin"/>
          </w:r>
          <w:r>
            <w:rPr>
              <w:sz w:val="22"/>
              <w:szCs w:val="21"/>
              <w:highlight w:val="none"/>
            </w:rPr>
            <w:instrText xml:space="preserve"> PAGEREF _Toc7454 \h </w:instrText>
          </w:r>
          <w:r>
            <w:rPr>
              <w:sz w:val="22"/>
              <w:szCs w:val="21"/>
              <w:highlight w:val="none"/>
            </w:rPr>
            <w:fldChar w:fldCharType="separate"/>
          </w:r>
          <w:r>
            <w:rPr>
              <w:sz w:val="22"/>
              <w:szCs w:val="21"/>
              <w:highlight w:val="none"/>
            </w:rPr>
            <w:t>65</w:t>
          </w:r>
          <w:r>
            <w:rPr>
              <w:sz w:val="22"/>
              <w:szCs w:val="21"/>
              <w:highlight w:val="none"/>
            </w:rPr>
            <w:fldChar w:fldCharType="end"/>
          </w:r>
          <w:r>
            <w:rPr>
              <w:sz w:val="22"/>
              <w:szCs w:val="21"/>
              <w:highlight w:val="none"/>
            </w:rPr>
            <w:fldChar w:fldCharType="end"/>
          </w:r>
        </w:p>
        <w:p w14:paraId="17C3C20E">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"_Toc5819" </w:instrText>
          </w:r>
          <w:r>
            <w:rPr>
              <w:highlight w:val="none"/>
            </w:rPr>
            <w:fldChar w:fldCharType="separate"/>
          </w:r>
          <w:r>
            <w:rPr>
              <w:rFonts w:ascii="宋体" w:hAnsi="宋体" w:cs="宋体"/>
              <w:bCs/>
              <w:kern w:val="28"/>
              <w:sz w:val="22"/>
              <w:szCs w:val="21"/>
              <w:highlight w:val="none"/>
            </w:rPr>
            <w:t>二、评标组织</w:t>
          </w:r>
          <w:r>
            <w:rPr>
              <w:sz w:val="22"/>
              <w:szCs w:val="21"/>
              <w:highlight w:val="none"/>
            </w:rPr>
            <w:tab/>
          </w:r>
          <w:r>
            <w:rPr>
              <w:sz w:val="22"/>
              <w:szCs w:val="21"/>
              <w:highlight w:val="none"/>
            </w:rPr>
            <w:fldChar w:fldCharType="begin"/>
          </w:r>
          <w:r>
            <w:rPr>
              <w:sz w:val="22"/>
              <w:szCs w:val="21"/>
              <w:highlight w:val="none"/>
            </w:rPr>
            <w:instrText xml:space="preserve"> PAGEREF _Toc5819 \h </w:instrText>
          </w:r>
          <w:r>
            <w:rPr>
              <w:sz w:val="22"/>
              <w:szCs w:val="21"/>
              <w:highlight w:val="none"/>
            </w:rPr>
            <w:fldChar w:fldCharType="separate"/>
          </w:r>
          <w:r>
            <w:rPr>
              <w:sz w:val="22"/>
              <w:szCs w:val="21"/>
              <w:highlight w:val="none"/>
            </w:rPr>
            <w:t>65</w:t>
          </w:r>
          <w:r>
            <w:rPr>
              <w:sz w:val="22"/>
              <w:szCs w:val="21"/>
              <w:highlight w:val="none"/>
            </w:rPr>
            <w:fldChar w:fldCharType="end"/>
          </w:r>
          <w:r>
            <w:rPr>
              <w:sz w:val="22"/>
              <w:szCs w:val="21"/>
              <w:highlight w:val="none"/>
            </w:rPr>
            <w:fldChar w:fldCharType="end"/>
          </w:r>
        </w:p>
        <w:p w14:paraId="7AF78F70">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"_Toc11299" </w:instrText>
          </w:r>
          <w:r>
            <w:rPr>
              <w:highlight w:val="none"/>
            </w:rPr>
            <w:fldChar w:fldCharType="separate"/>
          </w:r>
          <w:r>
            <w:rPr>
              <w:rFonts w:ascii="宋体" w:hAnsi="宋体" w:cs="宋体"/>
              <w:bCs/>
              <w:kern w:val="28"/>
              <w:sz w:val="22"/>
              <w:szCs w:val="21"/>
              <w:highlight w:val="none"/>
            </w:rPr>
            <w:t>三、评定办法</w:t>
          </w:r>
          <w:r>
            <w:rPr>
              <w:sz w:val="22"/>
              <w:szCs w:val="21"/>
              <w:highlight w:val="none"/>
            </w:rPr>
            <w:tab/>
          </w:r>
          <w:r>
            <w:rPr>
              <w:sz w:val="22"/>
              <w:szCs w:val="21"/>
              <w:highlight w:val="none"/>
            </w:rPr>
            <w:fldChar w:fldCharType="begin"/>
          </w:r>
          <w:r>
            <w:rPr>
              <w:sz w:val="22"/>
              <w:szCs w:val="21"/>
              <w:highlight w:val="none"/>
            </w:rPr>
            <w:instrText xml:space="preserve"> PAGEREF _Toc11299 \h </w:instrText>
          </w:r>
          <w:r>
            <w:rPr>
              <w:sz w:val="22"/>
              <w:szCs w:val="21"/>
              <w:highlight w:val="none"/>
            </w:rPr>
            <w:fldChar w:fldCharType="separate"/>
          </w:r>
          <w:r>
            <w:rPr>
              <w:sz w:val="22"/>
              <w:szCs w:val="21"/>
              <w:highlight w:val="none"/>
            </w:rPr>
            <w:t>65</w:t>
          </w:r>
          <w:r>
            <w:rPr>
              <w:sz w:val="22"/>
              <w:szCs w:val="21"/>
              <w:highlight w:val="none"/>
            </w:rPr>
            <w:fldChar w:fldCharType="end"/>
          </w:r>
          <w:r>
            <w:rPr>
              <w:sz w:val="22"/>
              <w:szCs w:val="21"/>
              <w:highlight w:val="none"/>
            </w:rPr>
            <w:fldChar w:fldCharType="end"/>
          </w:r>
        </w:p>
        <w:p w14:paraId="2FB68760">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"_Toc11963" </w:instrText>
          </w:r>
          <w:r>
            <w:rPr>
              <w:highlight w:val="none"/>
            </w:rPr>
            <w:fldChar w:fldCharType="separate"/>
          </w:r>
          <w:r>
            <w:rPr>
              <w:rFonts w:ascii="宋体" w:hAnsi="宋体" w:cs="宋体"/>
              <w:bCs/>
              <w:kern w:val="28"/>
              <w:sz w:val="22"/>
              <w:szCs w:val="21"/>
              <w:highlight w:val="none"/>
            </w:rPr>
            <w:t>四、评定结果</w:t>
          </w:r>
          <w:r>
            <w:rPr>
              <w:sz w:val="22"/>
              <w:szCs w:val="21"/>
              <w:highlight w:val="none"/>
            </w:rPr>
            <w:tab/>
          </w:r>
          <w:r>
            <w:rPr>
              <w:sz w:val="22"/>
              <w:szCs w:val="21"/>
              <w:highlight w:val="none"/>
            </w:rPr>
            <w:fldChar w:fldCharType="begin"/>
          </w:r>
          <w:r>
            <w:rPr>
              <w:sz w:val="22"/>
              <w:szCs w:val="21"/>
              <w:highlight w:val="none"/>
            </w:rPr>
            <w:instrText xml:space="preserve"> PAGEREF _Toc11963 \h </w:instrText>
          </w:r>
          <w:r>
            <w:rPr>
              <w:sz w:val="22"/>
              <w:szCs w:val="21"/>
              <w:highlight w:val="none"/>
            </w:rPr>
            <w:fldChar w:fldCharType="separate"/>
          </w:r>
          <w:r>
            <w:rPr>
              <w:sz w:val="22"/>
              <w:szCs w:val="21"/>
              <w:highlight w:val="none"/>
            </w:rPr>
            <w:t>71</w:t>
          </w:r>
          <w:r>
            <w:rPr>
              <w:sz w:val="22"/>
              <w:szCs w:val="21"/>
              <w:highlight w:val="none"/>
            </w:rPr>
            <w:fldChar w:fldCharType="end"/>
          </w:r>
          <w:r>
            <w:rPr>
              <w:sz w:val="22"/>
              <w:szCs w:val="21"/>
              <w:highlight w:val="none"/>
            </w:rPr>
            <w:fldChar w:fldCharType="end"/>
          </w:r>
        </w:p>
        <w:p w14:paraId="22229188">
          <w:pPr>
            <w:pStyle w:val="4"/>
            <w:tabs>
              <w:tab w:val="right" w:leader="dot" w:pos="8306"/>
            </w:tabs>
            <w:spacing w:line="360" w:lineRule="auto"/>
            <w:rPr>
              <w:sz w:val="22"/>
              <w:szCs w:val="21"/>
              <w:highlight w:val="none"/>
            </w:rPr>
          </w:pPr>
          <w:r>
            <w:rPr>
              <w:highlight w:val="none"/>
            </w:rPr>
            <w:fldChar w:fldCharType="begin"/>
          </w:r>
          <w:r>
            <w:rPr>
              <w:highlight w:val="none"/>
            </w:rPr>
            <w:instrText xml:space="preserve"> HYPERLINK \l "_Toc23465" </w:instrText>
          </w:r>
          <w:r>
            <w:rPr>
              <w:highlight w:val="none"/>
            </w:rPr>
            <w:fldChar w:fldCharType="separate"/>
          </w:r>
          <w:r>
            <w:rPr>
              <w:rFonts w:ascii="宋体" w:hAnsi="宋体" w:cs="宋体"/>
              <w:bCs/>
              <w:kern w:val="28"/>
              <w:sz w:val="22"/>
              <w:szCs w:val="21"/>
              <w:highlight w:val="none"/>
            </w:rPr>
            <w:t>五、磋商供应商的义务</w:t>
          </w:r>
          <w:r>
            <w:rPr>
              <w:sz w:val="22"/>
              <w:szCs w:val="21"/>
              <w:highlight w:val="none"/>
            </w:rPr>
            <w:tab/>
          </w:r>
          <w:r>
            <w:rPr>
              <w:sz w:val="22"/>
              <w:szCs w:val="21"/>
              <w:highlight w:val="none"/>
            </w:rPr>
            <w:fldChar w:fldCharType="begin"/>
          </w:r>
          <w:r>
            <w:rPr>
              <w:sz w:val="22"/>
              <w:szCs w:val="21"/>
              <w:highlight w:val="none"/>
            </w:rPr>
            <w:instrText xml:space="preserve"> PAGEREF _Toc23465 \h </w:instrText>
          </w:r>
          <w:r>
            <w:rPr>
              <w:sz w:val="22"/>
              <w:szCs w:val="21"/>
              <w:highlight w:val="none"/>
            </w:rPr>
            <w:fldChar w:fldCharType="separate"/>
          </w:r>
          <w:r>
            <w:rPr>
              <w:sz w:val="22"/>
              <w:szCs w:val="21"/>
              <w:highlight w:val="none"/>
            </w:rPr>
            <w:t>71</w:t>
          </w:r>
          <w:r>
            <w:rPr>
              <w:sz w:val="22"/>
              <w:szCs w:val="21"/>
              <w:highlight w:val="none"/>
            </w:rPr>
            <w:fldChar w:fldCharType="end"/>
          </w:r>
          <w:r>
            <w:rPr>
              <w:sz w:val="22"/>
              <w:szCs w:val="21"/>
              <w:highlight w:val="none"/>
            </w:rPr>
            <w:fldChar w:fldCharType="end"/>
          </w:r>
        </w:p>
        <w:p w14:paraId="32202DF7">
          <w:pPr>
            <w:pStyle w:val="21"/>
            <w:tabs>
              <w:tab w:val="right" w:leader="dot" w:pos="8306"/>
              <w:tab w:val="clear" w:pos="8948"/>
            </w:tabs>
            <w:spacing w:line="360" w:lineRule="auto"/>
            <w:rPr>
              <w:sz w:val="22"/>
              <w:szCs w:val="22"/>
              <w:highlight w:val="none"/>
            </w:rPr>
          </w:pPr>
          <w:r>
            <w:rPr>
              <w:highlight w:val="none"/>
            </w:rPr>
            <w:fldChar w:fldCharType="begin"/>
          </w:r>
          <w:r>
            <w:rPr>
              <w:highlight w:val="none"/>
            </w:rPr>
            <w:instrText xml:space="preserve"> HYPERLINK \l "_Toc16720" </w:instrText>
          </w:r>
          <w:r>
            <w:rPr>
              <w:highlight w:val="none"/>
            </w:rPr>
            <w:fldChar w:fldCharType="separate"/>
          </w:r>
          <w:r>
            <w:rPr>
              <w:sz w:val="22"/>
              <w:szCs w:val="40"/>
              <w:highlight w:val="none"/>
            </w:rPr>
            <w:t>第七部分  信贷政策</w:t>
          </w:r>
          <w:r>
            <w:rPr>
              <w:sz w:val="22"/>
              <w:szCs w:val="22"/>
              <w:highlight w:val="none"/>
            </w:rPr>
            <w:tab/>
          </w:r>
          <w:r>
            <w:rPr>
              <w:sz w:val="22"/>
              <w:szCs w:val="22"/>
              <w:highlight w:val="none"/>
            </w:rPr>
            <w:fldChar w:fldCharType="begin"/>
          </w:r>
          <w:r>
            <w:rPr>
              <w:sz w:val="22"/>
              <w:szCs w:val="22"/>
              <w:highlight w:val="none"/>
            </w:rPr>
            <w:instrText xml:space="preserve"> PAGEREF _Toc16720 \h </w:instrText>
          </w:r>
          <w:r>
            <w:rPr>
              <w:sz w:val="22"/>
              <w:szCs w:val="22"/>
              <w:highlight w:val="none"/>
            </w:rPr>
            <w:fldChar w:fldCharType="separate"/>
          </w:r>
          <w:r>
            <w:rPr>
              <w:sz w:val="22"/>
              <w:szCs w:val="22"/>
              <w:highlight w:val="none"/>
            </w:rPr>
            <w:t>72</w:t>
          </w:r>
          <w:r>
            <w:rPr>
              <w:sz w:val="22"/>
              <w:szCs w:val="22"/>
              <w:highlight w:val="none"/>
            </w:rPr>
            <w:fldChar w:fldCharType="end"/>
          </w:r>
          <w:r>
            <w:rPr>
              <w:sz w:val="22"/>
              <w:szCs w:val="22"/>
              <w:highlight w:val="none"/>
            </w:rPr>
            <w:fldChar w:fldCharType="end"/>
          </w:r>
        </w:p>
        <w:p w14:paraId="2B6FB6F0">
          <w:pPr>
            <w:jc w:val="center"/>
            <w:rPr>
              <w:rFonts w:ascii="宋体" w:hAnsi="宋体"/>
              <w:b/>
              <w:bCs/>
              <w:sz w:val="36"/>
              <w:szCs w:val="44"/>
              <w:highlight w:val="none"/>
            </w:rPr>
            <w:sectPr>
              <w:headerReference r:id="rId3" w:type="default"/>
              <w:pgSz w:w="11906" w:h="16838"/>
              <w:pgMar w:top="1440" w:right="1800" w:bottom="1440" w:left="1800" w:header="851" w:footer="992" w:gutter="0"/>
              <w:cols w:space="425" w:num="1"/>
              <w:docGrid w:type="lines" w:linePitch="312" w:charSpace="0"/>
            </w:sectPr>
          </w:pPr>
          <w:r>
            <w:rPr>
              <w:highlight w:val="none"/>
            </w:rPr>
            <w:fldChar w:fldCharType="end"/>
          </w:r>
        </w:p>
      </w:sdtContent>
    </w:sdt>
    <w:p w14:paraId="31EC26E7">
      <w:pPr>
        <w:pStyle w:val="7"/>
        <w:keepNext w:val="0"/>
        <w:keepLines w:val="0"/>
        <w:spacing w:before="240" w:beforeLines="100" w:after="120" w:afterLines="50" w:line="400" w:lineRule="exact"/>
        <w:jc w:val="center"/>
        <w:rPr>
          <w:rFonts w:hAnsi="宋体" w:cs="宋体"/>
          <w:color w:val="000000"/>
          <w:sz w:val="28"/>
          <w:szCs w:val="36"/>
          <w:highlight w:val="none"/>
        </w:rPr>
      </w:pPr>
      <w:bookmarkStart w:id="2" w:name="_Toc22661"/>
      <w:bookmarkStart w:id="3" w:name="_Toc11008"/>
      <w:bookmarkStart w:id="4" w:name="_Toc30735"/>
      <w:r>
        <w:rPr>
          <w:rFonts w:hAnsi="宋体" w:cs="宋体"/>
          <w:sz w:val="28"/>
          <w:szCs w:val="36"/>
          <w:highlight w:val="none"/>
        </w:rPr>
        <w:t>第一部分  竞</w:t>
      </w:r>
      <w:r>
        <w:rPr>
          <w:rFonts w:hAnsi="宋体" w:cs="宋体"/>
          <w:color w:val="000000"/>
          <w:sz w:val="28"/>
          <w:szCs w:val="36"/>
          <w:highlight w:val="none"/>
        </w:rPr>
        <w:t>争性磋商公告</w:t>
      </w:r>
      <w:bookmarkEnd w:id="2"/>
      <w:bookmarkEnd w:id="3"/>
      <w:bookmarkEnd w:id="4"/>
    </w:p>
    <w:tbl>
      <w:tblPr>
        <w:tblStyle w:val="25"/>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3A9DE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22" w:type="dxa"/>
          </w:tcPr>
          <w:p w14:paraId="5402BBD7">
            <w:pPr>
              <w:pStyle w:val="23"/>
              <w:spacing w:before="0" w:beforeAutospacing="0" w:after="0" w:afterAutospacing="0" w:line="360" w:lineRule="auto"/>
              <w:ind w:firstLine="422" w:firstLineChars="200"/>
              <w:rPr>
                <w:rFonts w:ascii="宋体" w:hAnsi="宋体" w:eastAsia="宋体" w:cs="宋体"/>
                <w:b/>
                <w:bCs/>
                <w:color w:val="auto"/>
                <w:sz w:val="21"/>
                <w:szCs w:val="21"/>
                <w:highlight w:val="none"/>
              </w:rPr>
            </w:pPr>
            <w:r>
              <w:rPr>
                <w:rFonts w:ascii="宋体" w:hAnsi="宋体" w:eastAsia="宋体" w:cs="宋体"/>
                <w:b/>
                <w:bCs/>
                <w:color w:val="auto"/>
                <w:sz w:val="21"/>
                <w:szCs w:val="21"/>
                <w:highlight w:val="none"/>
              </w:rPr>
              <w:t>项目概况</w:t>
            </w:r>
          </w:p>
          <w:p w14:paraId="6A4D19B1">
            <w:pPr>
              <w:pStyle w:val="23"/>
              <w:spacing w:beforeAutospacing="0" w:afterAutospacing="0"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eastAsia="zh-CN"/>
              </w:rPr>
              <w:t>瑞安市2025年度农村公益电影放映</w:t>
            </w:r>
            <w:r>
              <w:rPr>
                <w:rFonts w:ascii="宋体" w:hAnsi="宋体" w:eastAsia="宋体" w:cs="宋体"/>
                <w:color w:val="auto"/>
                <w:sz w:val="21"/>
                <w:szCs w:val="21"/>
                <w:highlight w:val="none"/>
              </w:rPr>
              <w:t>的潜在供应商应在政采云平台</w:t>
            </w:r>
            <w:r>
              <w:rPr>
                <w:rFonts w:ascii="宋体" w:hAnsi="宋体" w:eastAsia="宋体" w:cs="宋体"/>
                <w:color w:val="auto"/>
                <w:sz w:val="21"/>
                <w:szCs w:val="21"/>
                <w:highlight w:val="none"/>
                <w:u w:val="single"/>
              </w:rPr>
              <w:t>https://www.zcygov.cn/</w:t>
            </w:r>
            <w:r>
              <w:rPr>
                <w:rFonts w:ascii="宋体" w:hAnsi="宋体" w:eastAsia="宋体" w:cs="宋体"/>
                <w:color w:val="auto"/>
                <w:sz w:val="21"/>
                <w:szCs w:val="21"/>
                <w:highlight w:val="none"/>
              </w:rPr>
              <w:t>获取（下载）采购文件，并于</w:t>
            </w:r>
            <w:r>
              <w:rPr>
                <w:rFonts w:hint="eastAsia" w:ascii="宋体" w:hAnsi="宋体" w:eastAsia="宋体" w:cs="宋体"/>
                <w:color w:val="auto"/>
                <w:sz w:val="21"/>
                <w:szCs w:val="21"/>
                <w:highlight w:val="none"/>
                <w:u w:val="single"/>
                <w:lang w:eastAsia="zh-CN"/>
              </w:rPr>
              <w:t>2025年05月06日14:30</w:t>
            </w:r>
            <w:r>
              <w:rPr>
                <w:rFonts w:ascii="宋体" w:hAnsi="宋体" w:eastAsia="宋体" w:cs="宋体"/>
                <w:color w:val="auto"/>
                <w:sz w:val="21"/>
                <w:szCs w:val="21"/>
                <w:highlight w:val="none"/>
              </w:rPr>
              <w:t>（北京时间）前提交（上传）响应文件。</w:t>
            </w:r>
          </w:p>
        </w:tc>
      </w:tr>
    </w:tbl>
    <w:p w14:paraId="48119AFA">
      <w:pPr>
        <w:pStyle w:val="23"/>
        <w:spacing w:before="0" w:beforeAutospacing="0" w:after="0" w:afterAutospacing="0" w:line="360" w:lineRule="auto"/>
        <w:outlineLvl w:val="1"/>
        <w:rPr>
          <w:rFonts w:ascii="宋体" w:hAnsi="宋体" w:eastAsia="宋体" w:cs="宋体"/>
          <w:color w:val="auto"/>
          <w:sz w:val="21"/>
          <w:szCs w:val="21"/>
          <w:highlight w:val="none"/>
        </w:rPr>
      </w:pPr>
      <w:bookmarkStart w:id="5" w:name="_Toc17513"/>
      <w:bookmarkStart w:id="6" w:name="_Toc11858"/>
      <w:bookmarkStart w:id="7" w:name="_Toc3715"/>
      <w:r>
        <w:rPr>
          <w:rStyle w:val="27"/>
          <w:rFonts w:ascii="宋体" w:hAnsi="宋体" w:eastAsia="宋体" w:cs="宋体"/>
          <w:color w:val="auto"/>
          <w:sz w:val="21"/>
          <w:szCs w:val="21"/>
          <w:highlight w:val="none"/>
        </w:rPr>
        <w:t>一、项目基本情况</w:t>
      </w:r>
      <w:bookmarkEnd w:id="5"/>
      <w:bookmarkEnd w:id="6"/>
      <w:bookmarkEnd w:id="7"/>
    </w:p>
    <w:p w14:paraId="7CECAF69">
      <w:pPr>
        <w:pStyle w:val="23"/>
        <w:spacing w:before="0" w:beforeAutospacing="0" w:after="0" w:afterAutospacing="0" w:line="360" w:lineRule="auto"/>
        <w:ind w:firstLine="420" w:firstLineChars="200"/>
        <w:rPr>
          <w:rFonts w:ascii="宋体" w:hAnsi="宋体" w:eastAsia="宋体" w:cs="宋体"/>
          <w:color w:val="auto"/>
          <w:sz w:val="21"/>
          <w:szCs w:val="21"/>
          <w:highlight w:val="none"/>
        </w:rPr>
      </w:pPr>
      <w:r>
        <w:rPr>
          <w:rFonts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lang w:eastAsia="zh-CN"/>
        </w:rPr>
        <w:t>zjzs202502019</w:t>
      </w:r>
      <w:r>
        <w:rPr>
          <w:rFonts w:ascii="宋体" w:hAnsi="宋体" w:eastAsia="宋体" w:cs="宋体"/>
          <w:color w:val="auto"/>
          <w:sz w:val="21"/>
          <w:szCs w:val="21"/>
          <w:highlight w:val="none"/>
        </w:rPr>
        <w:t> </w:t>
      </w:r>
    </w:p>
    <w:p w14:paraId="7BA4C058">
      <w:pPr>
        <w:pStyle w:val="23"/>
        <w:spacing w:before="0" w:beforeAutospacing="0" w:after="0" w:afterAutospacing="0" w:line="360" w:lineRule="auto"/>
        <w:rPr>
          <w:rFonts w:ascii="宋体" w:hAnsi="宋体" w:eastAsia="宋体" w:cs="宋体"/>
          <w:color w:val="auto"/>
          <w:sz w:val="21"/>
          <w:szCs w:val="21"/>
          <w:highlight w:val="none"/>
        </w:rPr>
      </w:pPr>
      <w:r>
        <w:rPr>
          <w:rFonts w:ascii="宋体" w:hAnsi="宋体" w:eastAsia="宋体" w:cs="宋体"/>
          <w:color w:val="auto"/>
          <w:sz w:val="21"/>
          <w:szCs w:val="21"/>
          <w:highlight w:val="none"/>
        </w:rPr>
        <w:t>   项目名称：</w:t>
      </w:r>
      <w:r>
        <w:rPr>
          <w:rFonts w:hint="eastAsia" w:ascii="宋体" w:hAnsi="宋体" w:eastAsia="宋体" w:cs="宋体"/>
          <w:color w:val="auto"/>
          <w:sz w:val="21"/>
          <w:szCs w:val="21"/>
          <w:highlight w:val="none"/>
          <w:lang w:eastAsia="zh-CN"/>
        </w:rPr>
        <w:t>瑞安市2025年度农村公益电影放映</w:t>
      </w:r>
      <w:r>
        <w:rPr>
          <w:rFonts w:ascii="宋体" w:hAnsi="宋体" w:eastAsia="宋体" w:cs="宋体"/>
          <w:color w:val="auto"/>
          <w:sz w:val="21"/>
          <w:szCs w:val="21"/>
          <w:highlight w:val="none"/>
        </w:rPr>
        <w:t> </w:t>
      </w:r>
    </w:p>
    <w:p w14:paraId="5254F2E2">
      <w:pPr>
        <w:pStyle w:val="23"/>
        <w:spacing w:before="0" w:beforeAutospacing="0" w:after="0" w:afterAutospacing="0" w:line="360" w:lineRule="auto"/>
        <w:rPr>
          <w:rFonts w:ascii="宋体" w:hAnsi="宋体" w:eastAsia="宋体" w:cs="宋体"/>
          <w:color w:val="auto"/>
          <w:sz w:val="21"/>
          <w:szCs w:val="21"/>
          <w:highlight w:val="none"/>
        </w:rPr>
      </w:pPr>
      <w:r>
        <w:rPr>
          <w:rFonts w:ascii="宋体" w:hAnsi="宋体" w:eastAsia="宋体" w:cs="宋体"/>
          <w:color w:val="auto"/>
          <w:sz w:val="21"/>
          <w:szCs w:val="21"/>
          <w:highlight w:val="none"/>
        </w:rPr>
        <w:t>   采购方式：竞争性磋商</w:t>
      </w:r>
    </w:p>
    <w:p w14:paraId="582FA046">
      <w:pPr>
        <w:pStyle w:val="23"/>
        <w:spacing w:before="0" w:beforeAutospacing="0" w:after="0" w:afterAutospacing="0" w:line="360" w:lineRule="auto"/>
        <w:rPr>
          <w:rFonts w:hint="eastAsia" w:ascii="宋体" w:hAnsi="宋体" w:eastAsia="宋体" w:cs="宋体"/>
          <w:sz w:val="21"/>
          <w:szCs w:val="21"/>
          <w:highlight w:val="none"/>
          <w:lang w:eastAsia="zh-CN"/>
        </w:rPr>
      </w:pPr>
      <w:r>
        <w:rPr>
          <w:rFonts w:ascii="宋体" w:hAnsi="宋体" w:eastAsia="宋体" w:cs="宋体"/>
          <w:sz w:val="21"/>
          <w:szCs w:val="21"/>
          <w:highlight w:val="none"/>
        </w:rPr>
        <w:t>   预算金额（元）：</w:t>
      </w:r>
      <w:r>
        <w:rPr>
          <w:rFonts w:hint="eastAsia" w:ascii="宋体" w:hAnsi="宋体" w:eastAsia="宋体" w:cs="宋体"/>
          <w:sz w:val="21"/>
          <w:szCs w:val="21"/>
          <w:highlight w:val="none"/>
          <w:lang w:eastAsia="zh-CN"/>
        </w:rPr>
        <w:t>1295280</w:t>
      </w:r>
    </w:p>
    <w:p w14:paraId="66106B65">
      <w:pPr>
        <w:pStyle w:val="23"/>
        <w:spacing w:before="0" w:beforeAutospacing="0" w:after="0" w:afterAutospacing="0" w:line="360" w:lineRule="auto"/>
        <w:rPr>
          <w:rFonts w:hint="eastAsia" w:ascii="宋体" w:hAnsi="宋体" w:eastAsia="宋体" w:cs="宋体"/>
          <w:color w:val="FF0000"/>
          <w:sz w:val="21"/>
          <w:szCs w:val="21"/>
          <w:highlight w:val="none"/>
          <w:lang w:eastAsia="zh-CN"/>
        </w:rPr>
      </w:pPr>
      <w:r>
        <w:rPr>
          <w:rFonts w:ascii="宋体" w:hAnsi="宋体" w:eastAsia="宋体" w:cs="宋体"/>
          <w:sz w:val="21"/>
          <w:szCs w:val="21"/>
          <w:highlight w:val="none"/>
        </w:rPr>
        <w:t>   最高限价（元）：</w:t>
      </w:r>
      <w:r>
        <w:rPr>
          <w:rFonts w:hint="eastAsia" w:ascii="宋体" w:hAnsi="宋体" w:eastAsia="宋体" w:cs="宋体"/>
          <w:sz w:val="21"/>
          <w:szCs w:val="21"/>
          <w:highlight w:val="none"/>
          <w:lang w:eastAsia="zh-CN"/>
        </w:rPr>
        <w:t>1295280</w:t>
      </w:r>
    </w:p>
    <w:p w14:paraId="61B1BA01">
      <w:pPr>
        <w:pStyle w:val="23"/>
        <w:spacing w:before="0" w:beforeAutospacing="0" w:after="0" w:afterAutospacing="0" w:line="360" w:lineRule="auto"/>
        <w:rPr>
          <w:rFonts w:ascii="宋体" w:hAnsi="宋体" w:eastAsia="宋体" w:cs="宋体"/>
          <w:color w:val="auto"/>
          <w:sz w:val="21"/>
          <w:szCs w:val="21"/>
          <w:highlight w:val="none"/>
        </w:rPr>
      </w:pPr>
      <w:r>
        <w:rPr>
          <w:rFonts w:ascii="宋体" w:hAnsi="宋体" w:eastAsia="宋体" w:cs="宋体"/>
          <w:color w:val="auto"/>
          <w:sz w:val="21"/>
          <w:szCs w:val="21"/>
          <w:highlight w:val="none"/>
        </w:rPr>
        <w:t>   采购需求：</w:t>
      </w:r>
    </w:p>
    <w:p w14:paraId="4173587A">
      <w:pPr>
        <w:pStyle w:val="23"/>
        <w:spacing w:before="0" w:beforeAutospacing="0" w:after="0" w:afterAutospacing="0" w:line="360" w:lineRule="auto"/>
        <w:rPr>
          <w:rFonts w:ascii="宋体" w:hAnsi="宋体" w:eastAsia="宋体" w:cs="宋体"/>
          <w:color w:val="auto"/>
          <w:sz w:val="21"/>
          <w:szCs w:val="21"/>
          <w:highlight w:val="none"/>
        </w:rPr>
      </w:pPr>
      <w:r>
        <w:rPr>
          <w:rFonts w:ascii="宋体" w:hAnsi="宋体" w:eastAsia="宋体" w:cs="宋体"/>
          <w:color w:val="auto"/>
          <w:sz w:val="21"/>
          <w:szCs w:val="21"/>
          <w:highlight w:val="none"/>
        </w:rPr>
        <w:t xml:space="preserve">    </w:t>
      </w:r>
    </w:p>
    <w:p w14:paraId="22958370">
      <w:pPr>
        <w:pStyle w:val="23"/>
        <w:spacing w:before="0" w:beforeAutospacing="0" w:after="0" w:afterAutospacing="0" w:line="360" w:lineRule="auto"/>
        <w:ind w:firstLine="420" w:firstLineChars="200"/>
        <w:rPr>
          <w:rFonts w:ascii="宋体" w:hAnsi="宋体" w:eastAsia="宋体" w:cs="宋体"/>
          <w:color w:val="auto"/>
          <w:sz w:val="21"/>
          <w:szCs w:val="21"/>
          <w:highlight w:val="none"/>
        </w:rPr>
      </w:pPr>
      <w:r>
        <w:rPr>
          <w:rFonts w:ascii="宋体" w:hAnsi="宋体" w:eastAsia="宋体" w:cs="宋体"/>
          <w:color w:val="auto"/>
          <w:sz w:val="21"/>
          <w:szCs w:val="21"/>
          <w:highlight w:val="none"/>
        </w:rPr>
        <w:t xml:space="preserve">数量：1 </w:t>
      </w:r>
    </w:p>
    <w:p w14:paraId="38FD4EDA">
      <w:pPr>
        <w:pStyle w:val="23"/>
        <w:spacing w:before="0" w:beforeAutospacing="0" w:after="0" w:afterAutospacing="0" w:line="360" w:lineRule="auto"/>
        <w:rPr>
          <w:rFonts w:hint="eastAsia" w:ascii="宋体" w:hAnsi="宋体" w:eastAsia="宋体" w:cs="宋体"/>
          <w:color w:val="auto"/>
          <w:sz w:val="21"/>
          <w:szCs w:val="21"/>
          <w:highlight w:val="none"/>
          <w:lang w:eastAsia="zh-CN"/>
        </w:rPr>
      </w:pPr>
      <w:r>
        <w:rPr>
          <w:rFonts w:ascii="宋体" w:hAnsi="宋体" w:eastAsia="宋体" w:cs="宋体"/>
          <w:color w:val="auto"/>
          <w:sz w:val="21"/>
          <w:szCs w:val="21"/>
          <w:highlight w:val="none"/>
        </w:rPr>
        <w:t xml:space="preserve">    预算金额（元）：</w:t>
      </w:r>
      <w:r>
        <w:rPr>
          <w:rFonts w:hint="eastAsia" w:ascii="宋体" w:hAnsi="宋体" w:eastAsia="宋体" w:cs="宋体"/>
          <w:sz w:val="21"/>
          <w:szCs w:val="21"/>
          <w:highlight w:val="none"/>
          <w:lang w:eastAsia="zh-CN"/>
        </w:rPr>
        <w:t>1295280</w:t>
      </w:r>
    </w:p>
    <w:p w14:paraId="1C599316">
      <w:pPr>
        <w:pStyle w:val="23"/>
        <w:spacing w:before="0" w:beforeAutospacing="0" w:after="0" w:afterAutospacing="0" w:line="360" w:lineRule="auto"/>
        <w:rPr>
          <w:rFonts w:ascii="宋体" w:hAnsi="宋体" w:eastAsia="宋体" w:cs="宋体"/>
          <w:color w:val="auto"/>
          <w:sz w:val="21"/>
          <w:szCs w:val="21"/>
          <w:highlight w:val="none"/>
        </w:rPr>
      </w:pPr>
      <w:r>
        <w:rPr>
          <w:rFonts w:ascii="宋体" w:hAnsi="宋体" w:eastAsia="宋体" w:cs="宋体"/>
          <w:color w:val="auto"/>
          <w:sz w:val="21"/>
          <w:szCs w:val="21"/>
          <w:highlight w:val="none"/>
        </w:rPr>
        <w:t xml:space="preserve">    单位：项</w:t>
      </w:r>
    </w:p>
    <w:p w14:paraId="23EAFFAC">
      <w:pPr>
        <w:pStyle w:val="23"/>
        <w:spacing w:before="0" w:beforeAutospacing="0" w:after="0" w:afterAutospacing="0" w:line="360" w:lineRule="auto"/>
        <w:ind w:firstLine="420" w:firstLineChars="200"/>
        <w:rPr>
          <w:rFonts w:ascii="宋体" w:hAnsi="宋体" w:eastAsia="宋体" w:cs="宋体"/>
          <w:color w:val="auto"/>
          <w:sz w:val="21"/>
          <w:szCs w:val="21"/>
          <w:highlight w:val="none"/>
        </w:rPr>
      </w:pPr>
      <w:r>
        <w:rPr>
          <w:rFonts w:ascii="宋体" w:hAnsi="宋体" w:eastAsia="宋体" w:cs="宋体"/>
          <w:color w:val="auto"/>
          <w:sz w:val="21"/>
          <w:szCs w:val="21"/>
          <w:highlight w:val="none"/>
        </w:rPr>
        <w:t>简要规格描述：详见磋商文件相关部分。</w:t>
      </w:r>
    </w:p>
    <w:p w14:paraId="522AA04F">
      <w:pPr>
        <w:pStyle w:val="23"/>
        <w:spacing w:before="0" w:beforeAutospacing="0" w:after="0" w:afterAutospacing="0" w:line="360" w:lineRule="auto"/>
        <w:ind w:firstLine="420" w:firstLineChars="200"/>
        <w:rPr>
          <w:rFonts w:ascii="宋体" w:hAnsi="宋体" w:eastAsia="宋体" w:cs="宋体"/>
          <w:color w:val="auto"/>
          <w:sz w:val="21"/>
          <w:szCs w:val="21"/>
          <w:highlight w:val="none"/>
        </w:rPr>
      </w:pPr>
      <w:r>
        <w:rPr>
          <w:rFonts w:ascii="宋体" w:hAnsi="宋体" w:eastAsia="宋体" w:cs="宋体"/>
          <w:color w:val="auto"/>
          <w:sz w:val="21"/>
          <w:szCs w:val="21"/>
          <w:highlight w:val="none"/>
        </w:rPr>
        <w:t>备注：无</w:t>
      </w:r>
    </w:p>
    <w:p w14:paraId="400AA6EA">
      <w:pPr>
        <w:pStyle w:val="23"/>
        <w:spacing w:before="0" w:beforeAutospacing="0" w:after="0" w:afterAutospacing="0" w:line="360" w:lineRule="auto"/>
        <w:ind w:firstLine="420" w:firstLineChars="200"/>
        <w:rPr>
          <w:rFonts w:ascii="宋体" w:hAnsi="宋体" w:eastAsia="宋体" w:cs="宋体"/>
          <w:color w:val="auto"/>
          <w:sz w:val="21"/>
          <w:szCs w:val="21"/>
          <w:highlight w:val="none"/>
        </w:rPr>
      </w:pPr>
      <w:r>
        <w:rPr>
          <w:rFonts w:ascii="宋体" w:hAnsi="宋体" w:eastAsia="宋体" w:cs="宋体"/>
          <w:color w:val="auto"/>
          <w:sz w:val="21"/>
          <w:szCs w:val="21"/>
          <w:highlight w:val="none"/>
        </w:rPr>
        <w:t>合同履约期限：详见磋商文件相关部分。</w:t>
      </w:r>
    </w:p>
    <w:p w14:paraId="7C8E5055">
      <w:pPr>
        <w:pStyle w:val="23"/>
        <w:spacing w:before="0" w:beforeAutospacing="0" w:after="0" w:afterAutospacing="0" w:line="360" w:lineRule="auto"/>
        <w:ind w:firstLine="420" w:firstLineChars="200"/>
        <w:rPr>
          <w:rFonts w:ascii="宋体" w:hAnsi="宋体" w:eastAsia="宋体" w:cs="宋体"/>
          <w:color w:val="auto"/>
          <w:sz w:val="21"/>
          <w:szCs w:val="21"/>
          <w:highlight w:val="none"/>
        </w:rPr>
      </w:pPr>
      <w:r>
        <w:rPr>
          <w:rFonts w:ascii="宋体" w:hAnsi="宋体" w:eastAsia="宋体" w:cs="宋体"/>
          <w:color w:val="auto"/>
          <w:sz w:val="21"/>
          <w:szCs w:val="21"/>
          <w:highlight w:val="none"/>
        </w:rPr>
        <w:t>本项目（否）接受联合体投标。</w:t>
      </w:r>
    </w:p>
    <w:p w14:paraId="753DE024">
      <w:pPr>
        <w:pStyle w:val="23"/>
        <w:spacing w:before="0" w:beforeAutospacing="0" w:after="0" w:afterAutospacing="0" w:line="360" w:lineRule="auto"/>
        <w:outlineLvl w:val="1"/>
        <w:rPr>
          <w:rFonts w:ascii="宋体" w:hAnsi="宋体" w:eastAsia="宋体" w:cs="宋体"/>
          <w:sz w:val="21"/>
          <w:szCs w:val="21"/>
          <w:highlight w:val="none"/>
        </w:rPr>
      </w:pPr>
      <w:bookmarkStart w:id="8" w:name="_Toc9129"/>
      <w:bookmarkStart w:id="9" w:name="_Toc24601"/>
      <w:bookmarkStart w:id="10" w:name="_Toc16698"/>
      <w:r>
        <w:rPr>
          <w:rStyle w:val="27"/>
          <w:rFonts w:ascii="宋体" w:hAnsi="宋体" w:eastAsia="宋体" w:cs="宋体"/>
          <w:sz w:val="21"/>
          <w:szCs w:val="21"/>
          <w:highlight w:val="none"/>
        </w:rPr>
        <w:t>二、申请人的资格要求：</w:t>
      </w:r>
      <w:bookmarkEnd w:id="8"/>
      <w:bookmarkEnd w:id="9"/>
      <w:bookmarkEnd w:id="10"/>
    </w:p>
    <w:p w14:paraId="6BD66783">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1.</w:t>
      </w:r>
      <w:r>
        <w:rPr>
          <w:rFonts w:ascii="宋体" w:hAnsi="宋体" w:eastAsia="宋体" w:cs="宋体"/>
          <w:color w:val="auto"/>
          <w:sz w:val="21"/>
          <w:szCs w:val="21"/>
          <w:highlight w:val="none"/>
        </w:rPr>
        <w:t>满足《中华人民共和国政府采购法》第二十二条规定；未被“信用中国”（www.creditchina.gov.cn）、中国政府采购网（www.ccgp.gov.cn）、浙江政府采购网（http://zfcg.czt.zj.gov.cn//）、国家企业信用信息公示系统（www.gsxt.gov.cn）列入失信被执行人、重大税收违法案件当事人名单、政府采购严重违法失信行为记录名单。</w:t>
      </w:r>
    </w:p>
    <w:p w14:paraId="4FB7EF42">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2.</w:t>
      </w:r>
      <w:r>
        <w:rPr>
          <w:rFonts w:hint="eastAsia" w:ascii="宋体" w:hAnsi="宋体" w:eastAsia="宋体" w:cs="宋体"/>
          <w:sz w:val="21"/>
          <w:szCs w:val="21"/>
          <w:highlight w:val="none"/>
          <w:lang w:eastAsia="zh-CN"/>
        </w:rPr>
        <w:t>落实政府采购政策需满足的资格要求：本项目整体专门面向中小企业采购（残疾人福利性单位和监狱企业视同小微企业）</w:t>
      </w:r>
      <w:r>
        <w:rPr>
          <w:rFonts w:ascii="宋体" w:hAnsi="宋体" w:eastAsia="宋体" w:cs="宋体"/>
          <w:sz w:val="21"/>
          <w:szCs w:val="21"/>
          <w:highlight w:val="none"/>
        </w:rPr>
        <w:t>。</w:t>
      </w:r>
    </w:p>
    <w:p w14:paraId="0D7A987C">
      <w:pPr>
        <w:pStyle w:val="23"/>
        <w:spacing w:before="0" w:beforeAutospacing="0" w:after="0" w:afterAutospacing="0" w:line="360" w:lineRule="auto"/>
        <w:ind w:firstLine="420" w:firstLineChars="200"/>
        <w:rPr>
          <w:rFonts w:ascii="宋体" w:hAnsi="宋体" w:eastAsia="宋体" w:cs="宋体"/>
          <w:sz w:val="21"/>
          <w:szCs w:val="21"/>
          <w:highlight w:val="none"/>
        </w:rPr>
      </w:pPr>
      <w:bookmarkStart w:id="11" w:name="_Toc6595"/>
      <w:bookmarkStart w:id="12" w:name="_Toc10129"/>
      <w:bookmarkStart w:id="13" w:name="_Toc21691"/>
      <w:bookmarkStart w:id="14" w:name="_Toc17581"/>
      <w:r>
        <w:rPr>
          <w:rFonts w:ascii="宋体" w:hAnsi="宋体" w:eastAsia="宋体" w:cs="宋体"/>
          <w:sz w:val="21"/>
          <w:szCs w:val="21"/>
          <w:highlight w:val="none"/>
        </w:rPr>
        <w:t>3.</w:t>
      </w:r>
      <w:bookmarkEnd w:id="11"/>
      <w:bookmarkEnd w:id="12"/>
      <w:bookmarkEnd w:id="13"/>
      <w:bookmarkEnd w:id="14"/>
      <w:r>
        <w:rPr>
          <w:rFonts w:hint="eastAsia" w:ascii="宋体" w:hAnsi="宋体" w:eastAsia="宋体" w:cs="宋体"/>
          <w:sz w:val="21"/>
          <w:szCs w:val="21"/>
          <w:highlight w:val="none"/>
          <w:lang w:eastAsia="zh-CN"/>
        </w:rPr>
        <w:t>特定资格要求：须已在所属电影行政主管部门完成备案</w:t>
      </w:r>
      <w:r>
        <w:rPr>
          <w:rFonts w:ascii="宋体" w:hAnsi="宋体" w:eastAsia="宋体" w:cs="宋体"/>
          <w:sz w:val="21"/>
          <w:szCs w:val="21"/>
          <w:highlight w:val="none"/>
        </w:rPr>
        <w:t>。</w:t>
      </w:r>
    </w:p>
    <w:p w14:paraId="32A04795">
      <w:pPr>
        <w:pStyle w:val="23"/>
        <w:spacing w:before="0" w:beforeAutospacing="0" w:after="0" w:afterAutospacing="0" w:line="360" w:lineRule="auto"/>
        <w:outlineLvl w:val="1"/>
        <w:rPr>
          <w:rFonts w:ascii="宋体" w:hAnsi="宋体" w:eastAsia="宋体" w:cs="宋体"/>
          <w:sz w:val="21"/>
          <w:szCs w:val="21"/>
          <w:highlight w:val="none"/>
        </w:rPr>
      </w:pPr>
      <w:bookmarkStart w:id="15" w:name="_Toc32112"/>
      <w:bookmarkStart w:id="16" w:name="_Toc4871"/>
      <w:bookmarkStart w:id="17" w:name="_Toc21587"/>
      <w:r>
        <w:rPr>
          <w:rStyle w:val="27"/>
          <w:rFonts w:ascii="宋体" w:hAnsi="宋体" w:eastAsia="宋体" w:cs="宋体"/>
          <w:sz w:val="21"/>
          <w:szCs w:val="21"/>
          <w:highlight w:val="none"/>
        </w:rPr>
        <w:t>三、获取（下载）采购文件</w:t>
      </w:r>
      <w:bookmarkEnd w:id="15"/>
      <w:bookmarkEnd w:id="16"/>
      <w:bookmarkEnd w:id="17"/>
    </w:p>
    <w:p w14:paraId="5DCE8D17">
      <w:pPr>
        <w:pStyle w:val="34"/>
        <w:spacing w:line="360" w:lineRule="auto"/>
        <w:ind w:firstLine="0" w:firstLineChars="0"/>
        <w:rPr>
          <w:rFonts w:ascii="宋体" w:hAnsi="宋体" w:cs="宋体"/>
          <w:szCs w:val="21"/>
          <w:highlight w:val="none"/>
        </w:rPr>
      </w:pPr>
      <w:r>
        <w:rPr>
          <w:rFonts w:ascii="宋体" w:hAnsi="宋体" w:cs="宋体"/>
          <w:color w:val="000000"/>
          <w:szCs w:val="21"/>
          <w:highlight w:val="none"/>
        </w:rPr>
        <w:t> </w:t>
      </w:r>
      <w:r>
        <w:rPr>
          <w:rFonts w:ascii="宋体" w:hAnsi="宋体" w:cs="宋体"/>
          <w:szCs w:val="21"/>
          <w:highlight w:val="none"/>
        </w:rPr>
        <w:t xml:space="preserve">  时间：/至</w:t>
      </w:r>
      <w:r>
        <w:rPr>
          <w:rFonts w:hint="eastAsia" w:ascii="宋体" w:hAnsi="宋体" w:cs="宋体"/>
          <w:szCs w:val="21"/>
          <w:highlight w:val="none"/>
          <w:lang w:eastAsia="zh-CN"/>
        </w:rPr>
        <w:t>2025年05月06日14:30</w:t>
      </w:r>
      <w:r>
        <w:rPr>
          <w:rFonts w:ascii="宋体" w:hAnsi="宋体" w:cs="宋体"/>
          <w:szCs w:val="21"/>
          <w:highlight w:val="none"/>
        </w:rPr>
        <w:t>（北京时间），每天上午00:00至12:00，下午12:00至23:59（北京时间，线上获取法定节假日均可，线下获取文件法定节假日除外）</w:t>
      </w:r>
      <w:r>
        <w:rPr>
          <w:rFonts w:ascii="宋体" w:hAnsi="宋体" w:cs="宋体"/>
          <w:color w:val="000000"/>
          <w:szCs w:val="21"/>
          <w:highlight w:val="none"/>
        </w:rPr>
        <w:t>。</w:t>
      </w:r>
    </w:p>
    <w:p w14:paraId="6AA6B2A1">
      <w:pPr>
        <w:pStyle w:val="23"/>
        <w:spacing w:before="0" w:beforeAutospacing="0" w:after="0" w:afterAutospacing="0" w:line="360" w:lineRule="auto"/>
        <w:ind w:firstLine="420" w:firstLineChars="200"/>
        <w:rPr>
          <w:rFonts w:ascii="宋体" w:hAnsi="宋体" w:eastAsia="宋体" w:cs="宋体"/>
          <w:sz w:val="21"/>
          <w:szCs w:val="21"/>
          <w:highlight w:val="none"/>
          <w:u w:val="single"/>
        </w:rPr>
      </w:pPr>
      <w:r>
        <w:rPr>
          <w:rFonts w:ascii="宋体" w:hAnsi="宋体" w:eastAsia="宋体" w:cs="宋体"/>
          <w:sz w:val="21"/>
          <w:szCs w:val="21"/>
          <w:highlight w:val="none"/>
        </w:rPr>
        <w:t>地点（网址）：</w:t>
      </w:r>
      <w:r>
        <w:rPr>
          <w:rFonts w:ascii="宋体" w:hAnsi="宋体" w:eastAsia="宋体" w:cs="宋体"/>
          <w:color w:val="auto"/>
          <w:sz w:val="21"/>
          <w:szCs w:val="21"/>
          <w:highlight w:val="none"/>
        </w:rPr>
        <w:t>政采云平台https://www.zcygov.cn/</w:t>
      </w:r>
    </w:p>
    <w:p w14:paraId="58BDA22A">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方式：供应商登录政采云平台https://www.zcygov.cn/在线申请获取采购文件（进入“项目采购”应用，在获取采购文件菜单中选择项目，申请获取采购文件）  </w:t>
      </w:r>
    </w:p>
    <w:p w14:paraId="32164A9B">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售价（元）：0  </w:t>
      </w:r>
    </w:p>
    <w:p w14:paraId="3299B0B3">
      <w:pPr>
        <w:pStyle w:val="23"/>
        <w:spacing w:before="0" w:beforeAutospacing="0" w:after="0" w:afterAutospacing="0" w:line="360" w:lineRule="auto"/>
        <w:outlineLvl w:val="1"/>
        <w:rPr>
          <w:rFonts w:ascii="宋体" w:hAnsi="宋体" w:eastAsia="宋体" w:cs="宋体"/>
          <w:sz w:val="21"/>
          <w:szCs w:val="21"/>
          <w:highlight w:val="none"/>
        </w:rPr>
      </w:pPr>
      <w:bookmarkStart w:id="18" w:name="_Toc5229"/>
      <w:bookmarkStart w:id="19" w:name="_Toc21190"/>
      <w:bookmarkStart w:id="20" w:name="_Toc14658"/>
      <w:r>
        <w:rPr>
          <w:rStyle w:val="27"/>
          <w:rFonts w:ascii="宋体" w:hAnsi="宋体" w:eastAsia="宋体" w:cs="宋体"/>
          <w:sz w:val="21"/>
          <w:szCs w:val="21"/>
          <w:highlight w:val="none"/>
        </w:rPr>
        <w:t>四、响应文件提交（上传）</w:t>
      </w:r>
      <w:bookmarkEnd w:id="18"/>
      <w:bookmarkEnd w:id="19"/>
      <w:bookmarkEnd w:id="20"/>
    </w:p>
    <w:p w14:paraId="7DAFCCFD">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截止时间：</w:t>
      </w:r>
      <w:r>
        <w:rPr>
          <w:rFonts w:hint="eastAsia" w:ascii="宋体" w:hAnsi="宋体" w:eastAsia="宋体" w:cs="宋体"/>
          <w:color w:val="auto"/>
          <w:sz w:val="21"/>
          <w:szCs w:val="21"/>
          <w:highlight w:val="none"/>
          <w:u w:val="single"/>
          <w:lang w:eastAsia="zh-CN"/>
        </w:rPr>
        <w:t>2025年05月06日14:30</w:t>
      </w:r>
      <w:r>
        <w:rPr>
          <w:rFonts w:ascii="宋体" w:hAnsi="宋体" w:eastAsia="宋体" w:cs="宋体"/>
          <w:color w:val="auto"/>
          <w:sz w:val="21"/>
          <w:szCs w:val="21"/>
          <w:highlight w:val="none"/>
          <w:u w:val="single"/>
        </w:rPr>
        <w:t>止</w:t>
      </w:r>
      <w:r>
        <w:rPr>
          <w:rFonts w:ascii="宋体" w:hAnsi="宋体" w:eastAsia="宋体" w:cs="宋体"/>
          <w:sz w:val="21"/>
          <w:szCs w:val="21"/>
          <w:highlight w:val="none"/>
        </w:rPr>
        <w:t>（北京时间）</w:t>
      </w:r>
    </w:p>
    <w:p w14:paraId="79AB5902">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地点（网址）：</w:t>
      </w:r>
      <w:r>
        <w:rPr>
          <w:rFonts w:ascii="宋体" w:hAnsi="宋体" w:eastAsia="宋体" w:cs="宋体"/>
          <w:sz w:val="21"/>
          <w:szCs w:val="21"/>
          <w:highlight w:val="none"/>
          <w:u w:val="single"/>
        </w:rPr>
        <w:t>（1）电子加密响应文件：应按政采云平台项目采购-电子交易操作指南及本招磋商文件要求进行编制、加密并递交，供应商应于投标截止时间前将电子加密响应文件上传到政采云系统中（不准时上传视为不参加）。（2）备份响应文件：</w:t>
      </w:r>
      <w:r>
        <w:rPr>
          <w:rFonts w:ascii="宋体" w:hAnsi="宋体" w:eastAsia="宋体" w:cs="宋体"/>
          <w:sz w:val="21"/>
          <w:szCs w:val="21"/>
          <w:highlight w:val="none"/>
          <w:u w:val="single"/>
        </w:rPr>
        <w:fldChar w:fldCharType="begin"/>
      </w:r>
      <w:r>
        <w:rPr>
          <w:highlight w:val="none"/>
        </w:rPr>
        <w:instrText xml:space="preserve">HYPERLINK "mailto:按政采云平台项目采购-电子招投标操作指南制作备份投标文件（后缀名为.bfbs），在开标时间后15分钟内以电子邮件形式递交至采购代理机构邮箱（103874679@qq.com）。"</w:instrText>
      </w:r>
      <w:r>
        <w:rPr>
          <w:rFonts w:ascii="宋体" w:hAnsi="宋体" w:eastAsia="宋体" w:cs="宋体"/>
          <w:sz w:val="21"/>
          <w:szCs w:val="21"/>
          <w:highlight w:val="none"/>
          <w:u w:val="single"/>
        </w:rPr>
        <w:fldChar w:fldCharType="separate"/>
      </w:r>
      <w:r>
        <w:rPr>
          <w:rFonts w:ascii="宋体" w:hAnsi="宋体" w:eastAsia="宋体" w:cs="宋体"/>
          <w:sz w:val="21"/>
          <w:szCs w:val="21"/>
          <w:highlight w:val="none"/>
          <w:u w:val="single"/>
        </w:rPr>
        <w:t>投标截止时间前以压缩文件形式加密发送至采购代理机构邮箱</w:t>
      </w:r>
      <w:r>
        <w:rPr>
          <w:rFonts w:ascii="宋体" w:hAnsi="宋体" w:eastAsia="宋体" w:cs="宋体"/>
          <w:sz w:val="21"/>
          <w:szCs w:val="21"/>
          <w:highlight w:val="none"/>
          <w:u w:val="single"/>
        </w:rPr>
        <w:fldChar w:fldCharType="end"/>
      </w:r>
      <w:r>
        <w:rPr>
          <w:rFonts w:ascii="宋体" w:hAnsi="宋体" w:eastAsia="宋体" w:cs="宋体"/>
          <w:sz w:val="21"/>
          <w:szCs w:val="21"/>
          <w:highlight w:val="none"/>
          <w:u w:val="single"/>
        </w:rPr>
        <w:t>，并在接到在线解密通知后30分钟内发送压缩文件密码至采购代理机构邮箱。（邮箱号码：</w:t>
      </w:r>
      <w:r>
        <w:rPr>
          <w:rFonts w:ascii="宋体" w:hAnsi="宋体" w:eastAsia="宋体" w:cs="宋体"/>
          <w:sz w:val="21"/>
          <w:szCs w:val="21"/>
          <w:highlight w:val="none"/>
          <w:u w:val="single"/>
        </w:rPr>
        <w:fldChar w:fldCharType="begin"/>
      </w:r>
      <w:r>
        <w:rPr>
          <w:highlight w:val="none"/>
        </w:rPr>
        <w:instrText xml:space="preserve">HYPERLINK "mailto:103874679@qq.com）。"</w:instrText>
      </w:r>
      <w:r>
        <w:rPr>
          <w:rFonts w:ascii="宋体" w:hAnsi="宋体" w:eastAsia="宋体" w:cs="宋体"/>
          <w:sz w:val="21"/>
          <w:szCs w:val="21"/>
          <w:highlight w:val="none"/>
          <w:u w:val="single"/>
        </w:rPr>
        <w:fldChar w:fldCharType="separate"/>
      </w:r>
      <w:r>
        <w:rPr>
          <w:rFonts w:ascii="宋体" w:hAnsi="宋体" w:eastAsia="宋体" w:cs="宋体"/>
          <w:sz w:val="21"/>
          <w:szCs w:val="21"/>
          <w:highlight w:val="none"/>
          <w:u w:val="single"/>
        </w:rPr>
        <w:t>984865308@qq.com）</w:t>
      </w:r>
      <w:r>
        <w:rPr>
          <w:rFonts w:ascii="宋体" w:hAnsi="宋体" w:eastAsia="宋体" w:cs="宋体"/>
          <w:sz w:val="21"/>
          <w:szCs w:val="21"/>
          <w:highlight w:val="none"/>
          <w:u w:val="single"/>
        </w:rPr>
        <w:fldChar w:fldCharType="end"/>
      </w:r>
    </w:p>
    <w:p w14:paraId="193F062F">
      <w:pPr>
        <w:pStyle w:val="23"/>
        <w:spacing w:before="0" w:beforeAutospacing="0" w:after="0" w:afterAutospacing="0" w:line="360" w:lineRule="auto"/>
        <w:outlineLvl w:val="1"/>
        <w:rPr>
          <w:rFonts w:ascii="宋体" w:hAnsi="宋体" w:eastAsia="宋体" w:cs="宋体"/>
          <w:sz w:val="21"/>
          <w:szCs w:val="21"/>
          <w:highlight w:val="none"/>
        </w:rPr>
      </w:pPr>
      <w:bookmarkStart w:id="21" w:name="_Toc21124"/>
      <w:bookmarkStart w:id="22" w:name="_Toc4691"/>
      <w:bookmarkStart w:id="23" w:name="_Toc10271"/>
      <w:r>
        <w:rPr>
          <w:rStyle w:val="27"/>
          <w:rFonts w:ascii="宋体" w:hAnsi="宋体" w:eastAsia="宋体" w:cs="宋体"/>
          <w:sz w:val="21"/>
          <w:szCs w:val="21"/>
          <w:highlight w:val="none"/>
        </w:rPr>
        <w:t>五、响应文件开启</w:t>
      </w:r>
      <w:bookmarkEnd w:id="21"/>
      <w:bookmarkEnd w:id="22"/>
      <w:bookmarkEnd w:id="23"/>
    </w:p>
    <w:p w14:paraId="687AADA9">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开启时间：</w:t>
      </w:r>
      <w:r>
        <w:rPr>
          <w:rFonts w:hint="eastAsia" w:ascii="宋体" w:hAnsi="宋体" w:eastAsia="宋体" w:cs="宋体"/>
          <w:color w:val="auto"/>
          <w:sz w:val="21"/>
          <w:szCs w:val="21"/>
          <w:highlight w:val="none"/>
          <w:u w:val="single"/>
          <w:lang w:eastAsia="zh-CN"/>
        </w:rPr>
        <w:t>2025年05月06日14:30</w:t>
      </w:r>
      <w:r>
        <w:rPr>
          <w:rFonts w:ascii="宋体" w:hAnsi="宋体" w:eastAsia="宋体" w:cs="宋体"/>
          <w:sz w:val="21"/>
          <w:szCs w:val="21"/>
          <w:highlight w:val="none"/>
        </w:rPr>
        <w:t>（北京时间）</w:t>
      </w:r>
    </w:p>
    <w:p w14:paraId="42147E20">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地点（网址）：</w:t>
      </w:r>
      <w:r>
        <w:rPr>
          <w:rFonts w:ascii="宋体" w:hAnsi="宋体" w:eastAsia="宋体" w:cs="宋体"/>
          <w:sz w:val="21"/>
          <w:szCs w:val="21"/>
          <w:highlight w:val="none"/>
          <w:u w:val="single"/>
        </w:rPr>
        <w:t>政府采购云平台（www.zcygov.cn）</w:t>
      </w:r>
    </w:p>
    <w:p w14:paraId="5EE09F64">
      <w:pPr>
        <w:pStyle w:val="23"/>
        <w:spacing w:before="0" w:beforeAutospacing="0" w:after="0" w:afterAutospacing="0" w:line="360" w:lineRule="auto"/>
        <w:outlineLvl w:val="1"/>
        <w:rPr>
          <w:rFonts w:ascii="宋体" w:hAnsi="宋体" w:eastAsia="宋体" w:cs="宋体"/>
          <w:sz w:val="21"/>
          <w:szCs w:val="21"/>
          <w:highlight w:val="none"/>
        </w:rPr>
      </w:pPr>
      <w:bookmarkStart w:id="24" w:name="_Toc16450"/>
      <w:bookmarkStart w:id="25" w:name="_Toc29068"/>
      <w:bookmarkStart w:id="26" w:name="_Toc7494"/>
      <w:r>
        <w:rPr>
          <w:rStyle w:val="27"/>
          <w:rFonts w:ascii="宋体" w:hAnsi="宋体" w:eastAsia="宋体" w:cs="宋体"/>
          <w:sz w:val="21"/>
          <w:szCs w:val="21"/>
          <w:highlight w:val="none"/>
        </w:rPr>
        <w:t>六、公告期限</w:t>
      </w:r>
      <w:bookmarkEnd w:id="24"/>
      <w:bookmarkEnd w:id="25"/>
      <w:bookmarkEnd w:id="26"/>
    </w:p>
    <w:p w14:paraId="2B779BBE">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自本公告发布之日起3个工作日。</w:t>
      </w:r>
    </w:p>
    <w:p w14:paraId="49C226B7">
      <w:pPr>
        <w:pStyle w:val="23"/>
        <w:spacing w:before="0" w:beforeAutospacing="0" w:after="0" w:afterAutospacing="0" w:line="360" w:lineRule="auto"/>
        <w:outlineLvl w:val="1"/>
        <w:rPr>
          <w:rFonts w:ascii="宋体" w:hAnsi="宋体" w:eastAsia="宋体" w:cs="宋体"/>
          <w:sz w:val="21"/>
          <w:szCs w:val="21"/>
          <w:highlight w:val="none"/>
        </w:rPr>
      </w:pPr>
      <w:bookmarkStart w:id="27" w:name="_Toc17245"/>
      <w:bookmarkStart w:id="28" w:name="_Toc25388"/>
      <w:bookmarkStart w:id="29" w:name="_Toc9013"/>
      <w:r>
        <w:rPr>
          <w:rStyle w:val="27"/>
          <w:rFonts w:ascii="宋体" w:hAnsi="宋体" w:eastAsia="宋体" w:cs="宋体"/>
          <w:sz w:val="21"/>
          <w:szCs w:val="21"/>
          <w:highlight w:val="none"/>
        </w:rPr>
        <w:t>七、其他补充事宜</w:t>
      </w:r>
      <w:bookmarkEnd w:id="27"/>
      <w:bookmarkEnd w:id="28"/>
      <w:bookmarkEnd w:id="29"/>
    </w:p>
    <w:p w14:paraId="1D838578">
      <w:pPr>
        <w:pStyle w:val="23"/>
        <w:widowControl/>
        <w:numPr>
          <w:ilvl w:val="0"/>
          <w:numId w:val="2"/>
        </w:numPr>
        <w:spacing w:before="0" w:beforeAutospacing="0" w:after="0" w:afterAutospacing="0" w:line="360" w:lineRule="auto"/>
        <w:rPr>
          <w:rFonts w:ascii="宋体" w:hAnsi="宋体" w:eastAsia="宋体" w:cs="宋体"/>
          <w:color w:val="auto"/>
          <w:sz w:val="21"/>
          <w:szCs w:val="21"/>
          <w:highlight w:val="none"/>
        </w:rPr>
      </w:pPr>
      <w:r>
        <w:rPr>
          <w:rFonts w:ascii="宋体" w:hAnsi="宋体" w:eastAsia="宋体" w:cs="宋体"/>
          <w:color w:val="auto"/>
          <w:sz w:val="21"/>
          <w:szCs w:val="21"/>
          <w:highlight w:val="none"/>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6A8E99D4">
      <w:pPr>
        <w:pStyle w:val="23"/>
        <w:widowControl/>
        <w:numPr>
          <w:ilvl w:val="0"/>
          <w:numId w:val="2"/>
        </w:numPr>
        <w:spacing w:before="0" w:beforeAutospacing="0" w:after="0" w:afterAutospacing="0" w:line="360" w:lineRule="auto"/>
        <w:rPr>
          <w:rFonts w:ascii="宋体" w:hAnsi="宋体" w:eastAsia="宋体" w:cs="宋体"/>
          <w:color w:val="auto"/>
          <w:sz w:val="21"/>
          <w:szCs w:val="21"/>
          <w:highlight w:val="none"/>
        </w:rPr>
      </w:pPr>
      <w:r>
        <w:rPr>
          <w:rFonts w:ascii="宋体" w:hAnsi="宋体" w:eastAsia="宋体" w:cs="宋体"/>
          <w:color w:val="auto"/>
          <w:sz w:val="21"/>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6308A5B5">
      <w:pPr>
        <w:numPr>
          <w:ilvl w:val="0"/>
          <w:numId w:val="2"/>
        </w:numPr>
        <w:spacing w:line="360" w:lineRule="auto"/>
        <w:rPr>
          <w:highlight w:val="none"/>
        </w:rPr>
      </w:pPr>
      <w:r>
        <w:rPr>
          <w:rFonts w:ascii="宋体" w:hAnsi="宋体" w:cs="宋体"/>
          <w:szCs w:val="21"/>
          <w:highlight w:val="none"/>
        </w:rPr>
        <w:t>其他事项：</w:t>
      </w:r>
    </w:p>
    <w:p w14:paraId="5AB3D8E7">
      <w:pPr>
        <w:numPr>
          <w:ilvl w:val="0"/>
          <w:numId w:val="3"/>
        </w:numPr>
        <w:spacing w:line="360" w:lineRule="auto"/>
        <w:ind w:left="420" w:leftChars="200"/>
        <w:rPr>
          <w:rFonts w:ascii="宋体" w:hAnsi="宋体" w:cs="宋体"/>
          <w:szCs w:val="21"/>
          <w:highlight w:val="none"/>
        </w:rPr>
      </w:pPr>
      <w:r>
        <w:rPr>
          <w:rFonts w:ascii="宋体" w:hAnsi="宋体" w:cs="宋体"/>
          <w:b/>
          <w:bCs/>
          <w:szCs w:val="21"/>
          <w:highlight w:val="none"/>
        </w:rPr>
        <w:t>本项目为专门面向中小企业采购项目</w:t>
      </w:r>
      <w:r>
        <w:rPr>
          <w:rFonts w:ascii="宋体" w:hAnsi="宋体" w:cs="宋体"/>
          <w:szCs w:val="21"/>
          <w:highlight w:val="none"/>
        </w:rPr>
        <w:t>。根据《政府采购促进中小企业发展管理办法》（财库〔2020〕46号）（以下简称《管理办法》）规定的要求并符合国家统计局印发的《统计上大中小微型企业划分办法（2017）规定条件的，在参加本项目投标活动时可享受《管理办法》规定的优惠政策。</w:t>
      </w:r>
    </w:p>
    <w:p w14:paraId="123E7F4E">
      <w:pPr>
        <w:numPr>
          <w:ilvl w:val="0"/>
          <w:numId w:val="3"/>
        </w:numPr>
        <w:spacing w:line="360" w:lineRule="auto"/>
        <w:ind w:left="420" w:leftChars="200"/>
        <w:rPr>
          <w:rFonts w:ascii="宋体" w:hAnsi="宋体" w:cs="宋体"/>
          <w:szCs w:val="21"/>
          <w:highlight w:val="none"/>
        </w:rPr>
      </w:pPr>
      <w:r>
        <w:rPr>
          <w:rFonts w:ascii="宋体" w:hAnsi="宋体" w:cs="宋体"/>
          <w:szCs w:val="21"/>
          <w:highlight w:val="none"/>
        </w:rPr>
        <w:t>潜在供应商应当按照规定方式获取磋商文件，未按照规定方式获取磋商文件的，不得对磋商文件提起质疑投诉。</w:t>
      </w:r>
    </w:p>
    <w:p w14:paraId="66556698">
      <w:pPr>
        <w:numPr>
          <w:ilvl w:val="0"/>
          <w:numId w:val="3"/>
        </w:numPr>
        <w:spacing w:line="360" w:lineRule="auto"/>
        <w:ind w:left="420" w:leftChars="200"/>
        <w:rPr>
          <w:rFonts w:ascii="宋体" w:hAnsi="宋体" w:cs="宋体"/>
          <w:szCs w:val="21"/>
          <w:highlight w:val="none"/>
        </w:rPr>
      </w:pPr>
      <w:r>
        <w:rPr>
          <w:rFonts w:ascii="宋体" w:hAnsi="宋体" w:cs="宋体"/>
          <w:szCs w:val="21"/>
          <w:highlight w:val="none"/>
        </w:rPr>
        <w:t>本项目优先采购本国货物和服务，必须进行的技术引进和转让需符合国家政策和有利于国内行业的发展。项目中涉及到的设备、材料属于政府采购节能产品、环境标志产品的，要求符合相关规定。</w:t>
      </w:r>
    </w:p>
    <w:p w14:paraId="5F03FDEF">
      <w:pPr>
        <w:numPr>
          <w:ilvl w:val="0"/>
          <w:numId w:val="3"/>
        </w:numPr>
        <w:spacing w:line="360" w:lineRule="auto"/>
        <w:ind w:left="420" w:leftChars="200"/>
        <w:rPr>
          <w:rFonts w:ascii="宋体" w:hAnsi="宋体" w:cs="宋体"/>
          <w:szCs w:val="21"/>
          <w:highlight w:val="none"/>
        </w:rPr>
      </w:pPr>
      <w:r>
        <w:rPr>
          <w:rFonts w:ascii="宋体" w:hAnsi="宋体" w:cs="宋体"/>
          <w:szCs w:val="21"/>
          <w:highlight w:val="none"/>
        </w:rPr>
        <w:t>投标说明：</w:t>
      </w:r>
    </w:p>
    <w:p w14:paraId="6EAC2C88">
      <w:pPr>
        <w:numPr>
          <w:ilvl w:val="0"/>
          <w:numId w:val="4"/>
        </w:numPr>
        <w:spacing w:line="360" w:lineRule="auto"/>
        <w:ind w:left="840" w:leftChars="400"/>
        <w:rPr>
          <w:rFonts w:ascii="宋体" w:hAnsi="宋体" w:cs="宋体"/>
          <w:szCs w:val="21"/>
          <w:highlight w:val="none"/>
        </w:rPr>
      </w:pPr>
      <w:r>
        <w:rPr>
          <w:rFonts w:ascii="宋体" w:hAnsi="宋体" w:cs="宋体"/>
          <w:szCs w:val="21"/>
          <w:highlight w:val="none"/>
        </w:rPr>
        <w:t xml:space="preserve">本项目通过“政府采购云平台（www.zcygov.cn）”实行在线投标响应（电子投标），供应商应先安装“政采云电子交易客户端”，并按照本磋商文件和“政府采购云平台”的要求，通过“政采云电子交易客户端”编制并加密响应文件。供应商未按规定加密的响应文件，“政府采购云平台”将予以拒收。 </w:t>
      </w:r>
    </w:p>
    <w:p w14:paraId="1A2900AE">
      <w:pPr>
        <w:numPr>
          <w:ilvl w:val="0"/>
          <w:numId w:val="4"/>
        </w:numPr>
        <w:spacing w:line="360" w:lineRule="auto"/>
        <w:ind w:left="840" w:leftChars="400"/>
        <w:rPr>
          <w:rFonts w:ascii="宋体" w:hAnsi="宋体" w:cs="宋体"/>
          <w:szCs w:val="21"/>
          <w:highlight w:val="none"/>
        </w:rPr>
      </w:pPr>
      <w:r>
        <w:rPr>
          <w:rFonts w:ascii="宋体" w:hAnsi="宋体" w:cs="宋体"/>
          <w:szCs w:val="21"/>
          <w:highlight w:val="none"/>
        </w:rPr>
        <w:t xml:space="preserve">“政采云电子交易客户端”请自行前往“浙江政府采购网-下载专区-电子交易客户端”进行下载；通过“政府采购云平台”参与在线投标时如遇平台技术问题详询400-881-7190。 </w:t>
      </w:r>
    </w:p>
    <w:p w14:paraId="731BD314">
      <w:pPr>
        <w:numPr>
          <w:ilvl w:val="0"/>
          <w:numId w:val="4"/>
        </w:numPr>
        <w:spacing w:line="360" w:lineRule="auto"/>
        <w:ind w:left="840" w:leftChars="400"/>
        <w:rPr>
          <w:rFonts w:ascii="宋体" w:hAnsi="宋体" w:cs="宋体"/>
          <w:szCs w:val="21"/>
          <w:highlight w:val="none"/>
        </w:rPr>
      </w:pPr>
      <w:r>
        <w:rPr>
          <w:rFonts w:ascii="宋体" w:hAnsi="宋体" w:cs="宋体"/>
          <w:szCs w:val="21"/>
          <w:highlight w:val="none"/>
        </w:rPr>
        <w:t>为确保网上操作合法、有效和安全，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因未注册入库、未办理CA数字证书等原因造成无法投标或投标失败等后果由供应商自行承担。</w:t>
      </w:r>
    </w:p>
    <w:p w14:paraId="7009A5D8">
      <w:pPr>
        <w:numPr>
          <w:ilvl w:val="0"/>
          <w:numId w:val="4"/>
        </w:numPr>
        <w:spacing w:line="360" w:lineRule="auto"/>
        <w:ind w:left="840" w:leftChars="400"/>
        <w:rPr>
          <w:rFonts w:ascii="宋体" w:hAnsi="宋体" w:cs="宋体"/>
          <w:szCs w:val="21"/>
          <w:highlight w:val="none"/>
        </w:rPr>
      </w:pPr>
      <w:r>
        <w:rPr>
          <w:rFonts w:ascii="宋体" w:hAnsi="宋体" w:cs="宋体"/>
          <w:szCs w:val="21"/>
          <w:highlight w:val="none"/>
        </w:rPr>
        <w:t xml:space="preserve">供应商应当在投标截止时间前，将生成的“电子加密响应文件”上传递交至“政府采购云平台”。投标截止时间后上传递交的响应文件将被“政府采购云平台”拒收。 </w:t>
      </w:r>
    </w:p>
    <w:p w14:paraId="07168053">
      <w:pPr>
        <w:spacing w:line="360" w:lineRule="auto"/>
        <w:ind w:left="840" w:leftChars="400"/>
        <w:rPr>
          <w:highlight w:val="none"/>
        </w:rPr>
      </w:pPr>
      <w:r>
        <w:rPr>
          <w:rFonts w:ascii="宋体" w:hAnsi="宋体" w:cs="宋体"/>
          <w:szCs w:val="21"/>
          <w:highlight w:val="none"/>
        </w:rPr>
        <w:t>5)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供应商仅递交备份响应文件的，投标无效。</w:t>
      </w:r>
    </w:p>
    <w:p w14:paraId="16159CA8">
      <w:pPr>
        <w:pStyle w:val="23"/>
        <w:spacing w:before="0" w:beforeAutospacing="0" w:after="0" w:afterAutospacing="0" w:line="360" w:lineRule="auto"/>
        <w:outlineLvl w:val="1"/>
        <w:rPr>
          <w:rFonts w:ascii="宋体" w:hAnsi="宋体" w:eastAsia="宋体" w:cs="宋体"/>
          <w:sz w:val="21"/>
          <w:szCs w:val="21"/>
          <w:highlight w:val="none"/>
        </w:rPr>
      </w:pPr>
      <w:bookmarkStart w:id="30" w:name="_Toc15795"/>
      <w:r>
        <w:rPr>
          <w:rStyle w:val="27"/>
          <w:rFonts w:ascii="宋体" w:hAnsi="宋体" w:eastAsia="宋体" w:cs="宋体"/>
          <w:sz w:val="21"/>
          <w:szCs w:val="21"/>
          <w:highlight w:val="none"/>
        </w:rPr>
        <w:t>八、对本次采购提出询问、质疑、投诉，请按以下方式联系。</w:t>
      </w:r>
      <w:bookmarkEnd w:id="30"/>
      <w:r>
        <w:rPr>
          <w:rFonts w:ascii="宋体" w:hAnsi="宋体" w:eastAsia="宋体" w:cs="宋体"/>
          <w:sz w:val="21"/>
          <w:szCs w:val="21"/>
          <w:highlight w:val="none"/>
        </w:rPr>
        <w:t>　　　　　　　　　　　　</w:t>
      </w:r>
    </w:p>
    <w:p w14:paraId="69C3AC50">
      <w:pPr>
        <w:pStyle w:val="23"/>
        <w:widowControl/>
        <w:spacing w:before="0" w:beforeAutospacing="0" w:after="0" w:afterAutospacing="0" w:line="360" w:lineRule="auto"/>
        <w:rPr>
          <w:rFonts w:ascii="宋体" w:hAnsi="宋体" w:eastAsia="宋体" w:cs="宋体"/>
          <w:sz w:val="21"/>
          <w:szCs w:val="21"/>
          <w:highlight w:val="none"/>
        </w:rPr>
      </w:pPr>
      <w:bookmarkStart w:id="31" w:name="_Toc13993"/>
      <w:bookmarkStart w:id="32" w:name="_Toc13513"/>
      <w:bookmarkStart w:id="33" w:name="_Toc20220"/>
      <w:bookmarkStart w:id="34" w:name="_Toc31328"/>
      <w:r>
        <w:rPr>
          <w:rFonts w:ascii="宋体" w:hAnsi="宋体" w:eastAsia="宋体" w:cs="宋体"/>
          <w:sz w:val="21"/>
          <w:szCs w:val="21"/>
          <w:highlight w:val="none"/>
        </w:rPr>
        <w:t>1.采购人信息</w:t>
      </w:r>
      <w:bookmarkEnd w:id="31"/>
      <w:bookmarkEnd w:id="32"/>
      <w:bookmarkEnd w:id="33"/>
      <w:bookmarkEnd w:id="34"/>
    </w:p>
    <w:p w14:paraId="2039CF40">
      <w:pPr>
        <w:pStyle w:val="23"/>
        <w:widowControl/>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名    称：</w:t>
      </w:r>
      <w:r>
        <w:rPr>
          <w:rFonts w:hint="eastAsia" w:ascii="宋体" w:hAnsi="宋体" w:eastAsia="宋体" w:cs="宋体"/>
          <w:sz w:val="21"/>
          <w:szCs w:val="21"/>
          <w:highlight w:val="none"/>
          <w:u w:val="single"/>
          <w:lang w:eastAsia="zh-CN"/>
        </w:rPr>
        <w:t>中共瑞安市委宣传部</w:t>
      </w:r>
      <w:r>
        <w:rPr>
          <w:rFonts w:ascii="宋体" w:hAnsi="宋体" w:eastAsia="宋体" w:cs="宋体"/>
          <w:sz w:val="21"/>
          <w:szCs w:val="21"/>
          <w:highlight w:val="none"/>
        </w:rPr>
        <w:t>　　　　　　　　</w:t>
      </w:r>
    </w:p>
    <w:p w14:paraId="1EBD9590">
      <w:pPr>
        <w:pStyle w:val="23"/>
        <w:widowControl/>
        <w:spacing w:before="0" w:beforeAutospacing="0" w:after="0" w:afterAutospacing="0" w:line="360" w:lineRule="auto"/>
        <w:rPr>
          <w:rFonts w:hint="eastAsia" w:ascii="宋体" w:hAnsi="宋体" w:eastAsia="宋体" w:cs="宋体"/>
          <w:sz w:val="21"/>
          <w:szCs w:val="21"/>
          <w:highlight w:val="none"/>
          <w:lang w:eastAsia="zh-CN"/>
        </w:rPr>
      </w:pPr>
      <w:r>
        <w:rPr>
          <w:rFonts w:ascii="宋体" w:hAnsi="宋体" w:eastAsia="宋体" w:cs="宋体"/>
          <w:sz w:val="21"/>
          <w:szCs w:val="21"/>
          <w:highlight w:val="none"/>
        </w:rPr>
        <w:t>   地    址：</w:t>
      </w:r>
      <w:r>
        <w:rPr>
          <w:rFonts w:hint="eastAsia" w:ascii="宋体" w:hAnsi="宋体" w:eastAsia="宋体" w:cs="宋体"/>
          <w:sz w:val="21"/>
          <w:szCs w:val="21"/>
          <w:highlight w:val="none"/>
          <w:u w:val="single"/>
          <w:lang w:eastAsia="zh-CN"/>
        </w:rPr>
        <w:t>瑞安市人民政府综合楼市委宣传部（新闻出版局）310室</w:t>
      </w:r>
    </w:p>
    <w:p w14:paraId="0C30DD87">
      <w:pPr>
        <w:pStyle w:val="23"/>
        <w:widowControl/>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项目联系人（询问）：</w:t>
      </w:r>
      <w:r>
        <w:rPr>
          <w:rFonts w:hint="eastAsia" w:ascii="宋体" w:hAnsi="宋体" w:eastAsia="宋体" w:cs="宋体"/>
          <w:sz w:val="21"/>
          <w:szCs w:val="21"/>
          <w:highlight w:val="none"/>
          <w:u w:val="single"/>
          <w:lang w:val="en-US" w:eastAsia="zh-CN"/>
        </w:rPr>
        <w:t>孙女士</w:t>
      </w:r>
      <w:r>
        <w:rPr>
          <w:rFonts w:ascii="宋体" w:hAnsi="宋体" w:eastAsia="宋体" w:cs="宋体"/>
          <w:sz w:val="21"/>
          <w:szCs w:val="21"/>
          <w:highlight w:val="none"/>
        </w:rPr>
        <w:t>　　　　　　　　　</w:t>
      </w:r>
    </w:p>
    <w:p w14:paraId="042A4E5B">
      <w:pPr>
        <w:pStyle w:val="23"/>
        <w:widowControl/>
        <w:spacing w:before="0" w:beforeAutospacing="0" w:after="0" w:afterAutospacing="0" w:line="360" w:lineRule="auto"/>
        <w:rPr>
          <w:rFonts w:ascii="宋体" w:hAnsi="宋体" w:eastAsia="宋体" w:cs="宋体"/>
          <w:sz w:val="21"/>
          <w:szCs w:val="21"/>
          <w:highlight w:val="none"/>
          <w:lang w:val="en-US" w:eastAsia="zh-CN"/>
        </w:rPr>
      </w:pPr>
      <w:r>
        <w:rPr>
          <w:rFonts w:ascii="宋体" w:hAnsi="宋体" w:eastAsia="宋体" w:cs="宋体"/>
          <w:sz w:val="21"/>
          <w:szCs w:val="21"/>
          <w:highlight w:val="none"/>
        </w:rPr>
        <w:t>   项目联系方式（询问）：</w:t>
      </w:r>
      <w:r>
        <w:rPr>
          <w:rFonts w:hint="eastAsia" w:ascii="宋体" w:hAnsi="宋体" w:eastAsia="宋体" w:cs="宋体"/>
          <w:color w:val="auto"/>
          <w:sz w:val="21"/>
          <w:szCs w:val="21"/>
          <w:highlight w:val="none"/>
          <w:u w:val="single"/>
          <w:lang w:val="en-US" w:eastAsia="zh-CN"/>
        </w:rPr>
        <w:t>0577-65812717</w:t>
      </w:r>
    </w:p>
    <w:p w14:paraId="677DF3B8">
      <w:pPr>
        <w:pStyle w:val="23"/>
        <w:widowControl/>
        <w:spacing w:before="0" w:beforeAutospacing="0" w:after="0" w:afterAutospacing="0" w:line="360" w:lineRule="auto"/>
        <w:rPr>
          <w:rFonts w:ascii="宋体" w:hAnsi="宋体" w:eastAsia="宋体" w:cs="宋体"/>
          <w:color w:val="auto"/>
          <w:sz w:val="21"/>
          <w:szCs w:val="21"/>
          <w:highlight w:val="none"/>
          <w:u w:val="single"/>
        </w:rPr>
      </w:pPr>
      <w:r>
        <w:rPr>
          <w:rFonts w:ascii="宋体" w:hAnsi="宋体" w:eastAsia="宋体" w:cs="宋体"/>
          <w:color w:val="FF0000"/>
          <w:sz w:val="21"/>
          <w:szCs w:val="21"/>
          <w:highlight w:val="none"/>
        </w:rPr>
        <w:t xml:space="preserve">  </w:t>
      </w:r>
      <w:r>
        <w:rPr>
          <w:rFonts w:ascii="宋体" w:hAnsi="宋体" w:eastAsia="宋体" w:cs="宋体"/>
          <w:color w:val="auto"/>
          <w:sz w:val="21"/>
          <w:szCs w:val="21"/>
          <w:highlight w:val="none"/>
        </w:rPr>
        <w:t> 质疑联系人：</w:t>
      </w:r>
      <w:r>
        <w:rPr>
          <w:rFonts w:hint="eastAsia" w:ascii="宋体" w:hAnsi="宋体" w:eastAsia="宋体" w:cs="宋体"/>
          <w:sz w:val="21"/>
          <w:szCs w:val="21"/>
          <w:highlight w:val="none"/>
          <w:u w:val="single"/>
          <w:lang w:val="en-US" w:eastAsia="zh-CN"/>
        </w:rPr>
        <w:t>钱先生</w:t>
      </w:r>
    </w:p>
    <w:p w14:paraId="3A7BCB4E">
      <w:pPr>
        <w:pStyle w:val="23"/>
        <w:widowControl/>
        <w:spacing w:before="0" w:beforeAutospacing="0" w:after="0" w:afterAutospacing="0" w:line="360" w:lineRule="auto"/>
        <w:ind w:left="315" w:hanging="315" w:hangingChars="150"/>
        <w:rPr>
          <w:rFonts w:ascii="宋体" w:hAnsi="宋体" w:eastAsia="宋体" w:cs="宋体"/>
          <w:sz w:val="21"/>
          <w:szCs w:val="21"/>
          <w:highlight w:val="none"/>
        </w:rPr>
      </w:pPr>
      <w:r>
        <w:rPr>
          <w:rFonts w:ascii="宋体" w:hAnsi="宋体" w:eastAsia="宋体" w:cs="宋体"/>
          <w:color w:val="auto"/>
          <w:sz w:val="21"/>
          <w:szCs w:val="21"/>
          <w:highlight w:val="none"/>
        </w:rPr>
        <w:t>   质疑联系方式：</w:t>
      </w:r>
      <w:r>
        <w:rPr>
          <w:rFonts w:hint="eastAsia" w:ascii="宋体" w:hAnsi="宋体" w:eastAsia="宋体" w:cs="宋体"/>
          <w:color w:val="auto"/>
          <w:sz w:val="21"/>
          <w:szCs w:val="21"/>
          <w:highlight w:val="none"/>
          <w:u w:val="single"/>
          <w:lang w:val="en-US" w:eastAsia="zh-CN"/>
        </w:rPr>
        <w:t>0577-65812717</w:t>
      </w:r>
      <w:r>
        <w:rPr>
          <w:rFonts w:ascii="宋体" w:hAnsi="宋体" w:eastAsia="宋体" w:cs="宋体"/>
          <w:color w:val="auto"/>
          <w:sz w:val="21"/>
          <w:szCs w:val="21"/>
          <w:highlight w:val="none"/>
        </w:rPr>
        <w:t>　</w:t>
      </w:r>
      <w:r>
        <w:rPr>
          <w:rFonts w:ascii="宋体" w:hAnsi="宋体" w:eastAsia="宋体" w:cs="宋体"/>
          <w:color w:val="FF0000"/>
          <w:sz w:val="21"/>
          <w:szCs w:val="21"/>
          <w:highlight w:val="none"/>
        </w:rPr>
        <w:t>　</w:t>
      </w:r>
      <w:r>
        <w:rPr>
          <w:rFonts w:ascii="宋体" w:hAnsi="宋体" w:eastAsia="宋体" w:cs="宋体"/>
          <w:sz w:val="21"/>
          <w:szCs w:val="21"/>
          <w:highlight w:val="none"/>
        </w:rPr>
        <w:t>　　　</w:t>
      </w:r>
    </w:p>
    <w:p w14:paraId="53AAF856">
      <w:pPr>
        <w:pStyle w:val="23"/>
        <w:widowControl/>
        <w:spacing w:before="0" w:beforeAutospacing="0" w:after="0" w:afterAutospacing="0" w:line="360" w:lineRule="auto"/>
        <w:rPr>
          <w:rFonts w:ascii="宋体" w:hAnsi="宋体" w:eastAsia="宋体" w:cs="宋体"/>
          <w:sz w:val="21"/>
          <w:szCs w:val="21"/>
          <w:highlight w:val="none"/>
        </w:rPr>
      </w:pPr>
      <w:bookmarkStart w:id="35" w:name="_Toc14922"/>
      <w:bookmarkStart w:id="36" w:name="_Toc23529"/>
      <w:bookmarkStart w:id="37" w:name="_Toc20487"/>
      <w:bookmarkStart w:id="38" w:name="_Toc18646"/>
      <w:r>
        <w:rPr>
          <w:rFonts w:ascii="宋体" w:hAnsi="宋体" w:eastAsia="宋体" w:cs="宋体"/>
          <w:sz w:val="21"/>
          <w:szCs w:val="21"/>
          <w:highlight w:val="none"/>
        </w:rPr>
        <w:t>2.采购代理机构信息</w:t>
      </w:r>
      <w:bookmarkEnd w:id="35"/>
      <w:bookmarkEnd w:id="36"/>
      <w:bookmarkEnd w:id="37"/>
      <w:bookmarkEnd w:id="38"/>
    </w:p>
    <w:p w14:paraId="5B57B46F">
      <w:pPr>
        <w:pStyle w:val="23"/>
        <w:widowControl/>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名    称：</w:t>
      </w:r>
      <w:r>
        <w:rPr>
          <w:rFonts w:ascii="宋体" w:hAnsi="宋体" w:eastAsia="宋体" w:cs="宋体"/>
          <w:sz w:val="21"/>
          <w:szCs w:val="21"/>
          <w:highlight w:val="none"/>
          <w:u w:val="single"/>
        </w:rPr>
        <w:t>浙江综盛项目管理有限公司</w:t>
      </w:r>
      <w:r>
        <w:rPr>
          <w:rFonts w:ascii="宋体" w:hAnsi="宋体" w:eastAsia="宋体" w:cs="宋体"/>
          <w:sz w:val="21"/>
          <w:szCs w:val="21"/>
          <w:highlight w:val="none"/>
        </w:rPr>
        <w:t>　　　　　　　　　　　</w:t>
      </w:r>
    </w:p>
    <w:p w14:paraId="0F38D306">
      <w:pPr>
        <w:pStyle w:val="23"/>
        <w:widowControl/>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地    址：</w:t>
      </w:r>
      <w:r>
        <w:rPr>
          <w:rFonts w:ascii="宋体" w:hAnsi="宋体" w:eastAsia="宋体" w:cs="宋体"/>
          <w:sz w:val="21"/>
          <w:szCs w:val="21"/>
          <w:highlight w:val="none"/>
          <w:u w:val="single"/>
        </w:rPr>
        <w:t>瑞安经济开发区朝阳路555号</w:t>
      </w:r>
    </w:p>
    <w:p w14:paraId="16066CB2">
      <w:pPr>
        <w:pStyle w:val="23"/>
        <w:widowControl/>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项目联系人（询问）：</w:t>
      </w:r>
      <w:r>
        <w:rPr>
          <w:rFonts w:ascii="宋体" w:hAnsi="宋体" w:eastAsia="宋体" w:cs="宋体"/>
          <w:sz w:val="21"/>
          <w:szCs w:val="21"/>
          <w:highlight w:val="none"/>
          <w:u w:val="single"/>
        </w:rPr>
        <w:t>赵女士</w:t>
      </w:r>
      <w:r>
        <w:rPr>
          <w:rFonts w:ascii="宋体" w:hAnsi="宋体" w:eastAsia="宋体" w:cs="宋体"/>
          <w:sz w:val="21"/>
          <w:szCs w:val="21"/>
          <w:highlight w:val="none"/>
        </w:rPr>
        <w:t>  　　　　　　　　　　　</w:t>
      </w:r>
    </w:p>
    <w:p w14:paraId="345E9B83">
      <w:pPr>
        <w:pStyle w:val="23"/>
        <w:widowControl/>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项目联系方式（询问）：</w:t>
      </w:r>
      <w:r>
        <w:rPr>
          <w:rFonts w:ascii="宋体" w:hAnsi="宋体" w:eastAsia="宋体" w:cs="宋体"/>
          <w:sz w:val="21"/>
          <w:szCs w:val="21"/>
          <w:highlight w:val="none"/>
          <w:u w:val="single"/>
        </w:rPr>
        <w:t>17826851140</w:t>
      </w:r>
    </w:p>
    <w:p w14:paraId="0A445EC4">
      <w:pPr>
        <w:pStyle w:val="23"/>
        <w:widowControl/>
        <w:spacing w:before="0" w:beforeAutospacing="0" w:after="0" w:afterAutospacing="0" w:line="360" w:lineRule="auto"/>
        <w:rPr>
          <w:rFonts w:hint="eastAsia" w:ascii="宋体" w:hAnsi="宋体" w:eastAsia="宋体" w:cs="宋体"/>
          <w:sz w:val="21"/>
          <w:szCs w:val="21"/>
          <w:highlight w:val="none"/>
          <w:lang w:eastAsia="zh-CN"/>
        </w:rPr>
      </w:pPr>
      <w:r>
        <w:rPr>
          <w:rFonts w:ascii="宋体" w:hAnsi="宋体" w:eastAsia="宋体" w:cs="宋体"/>
          <w:sz w:val="21"/>
          <w:szCs w:val="21"/>
          <w:highlight w:val="none"/>
        </w:rPr>
        <w:t>   质疑联系人：</w:t>
      </w:r>
      <w:r>
        <w:rPr>
          <w:rFonts w:hint="eastAsia" w:ascii="宋体" w:hAnsi="宋体" w:eastAsia="宋体" w:cs="宋体"/>
          <w:sz w:val="21"/>
          <w:szCs w:val="21"/>
          <w:highlight w:val="none"/>
          <w:u w:val="single"/>
          <w:lang w:val="en-US" w:eastAsia="zh-CN"/>
        </w:rPr>
        <w:t>杨云雷</w:t>
      </w:r>
    </w:p>
    <w:p w14:paraId="530335C2">
      <w:pPr>
        <w:pStyle w:val="23"/>
        <w:widowControl/>
        <w:spacing w:before="0" w:beforeAutospacing="0" w:after="0" w:afterAutospacing="0" w:line="360" w:lineRule="auto"/>
        <w:ind w:left="420" w:hanging="420" w:hangingChars="200"/>
        <w:rPr>
          <w:rFonts w:ascii="宋体" w:hAnsi="宋体" w:eastAsia="宋体" w:cs="宋体"/>
          <w:sz w:val="21"/>
          <w:szCs w:val="21"/>
          <w:highlight w:val="none"/>
        </w:rPr>
      </w:pPr>
      <w:r>
        <w:rPr>
          <w:rFonts w:ascii="宋体" w:hAnsi="宋体" w:eastAsia="宋体" w:cs="宋体"/>
          <w:sz w:val="21"/>
          <w:szCs w:val="21"/>
          <w:highlight w:val="none"/>
        </w:rPr>
        <w:t>   质疑联系方式：</w:t>
      </w:r>
      <w:r>
        <w:rPr>
          <w:rFonts w:hint="eastAsia" w:ascii="宋体" w:hAnsi="宋体" w:eastAsia="宋体" w:cs="宋体"/>
          <w:sz w:val="21"/>
          <w:szCs w:val="21"/>
          <w:highlight w:val="none"/>
          <w:u w:val="single"/>
          <w:lang w:eastAsia="zh-CN"/>
        </w:rPr>
        <w:t>15867759709</w:t>
      </w:r>
      <w:r>
        <w:rPr>
          <w:rFonts w:ascii="宋体" w:hAnsi="宋体" w:eastAsia="宋体" w:cs="宋体"/>
          <w:sz w:val="21"/>
          <w:szCs w:val="21"/>
          <w:highlight w:val="none"/>
        </w:rPr>
        <w:t>　　　　　　　　　　　　　　　　　　　　</w:t>
      </w:r>
    </w:p>
    <w:p w14:paraId="0646BAE9">
      <w:pPr>
        <w:pStyle w:val="23"/>
        <w:widowControl/>
        <w:spacing w:before="0" w:beforeAutospacing="0" w:after="0" w:afterAutospacing="0" w:line="360" w:lineRule="auto"/>
        <w:rPr>
          <w:rFonts w:ascii="宋体" w:hAnsi="宋体" w:eastAsia="宋体" w:cs="宋体"/>
          <w:sz w:val="21"/>
          <w:szCs w:val="21"/>
          <w:highlight w:val="none"/>
        </w:rPr>
      </w:pPr>
      <w:bookmarkStart w:id="39" w:name="_Toc5751"/>
      <w:bookmarkStart w:id="40" w:name="_Toc9294"/>
      <w:bookmarkStart w:id="41" w:name="_Toc32544"/>
      <w:bookmarkStart w:id="42" w:name="_Toc15097"/>
      <w:r>
        <w:rPr>
          <w:rFonts w:ascii="宋体" w:hAnsi="宋体" w:eastAsia="宋体" w:cs="宋体"/>
          <w:sz w:val="21"/>
          <w:szCs w:val="21"/>
          <w:highlight w:val="none"/>
        </w:rPr>
        <w:t>3.政府采购监督管理部门</w:t>
      </w:r>
      <w:bookmarkEnd w:id="39"/>
      <w:bookmarkEnd w:id="40"/>
      <w:bookmarkEnd w:id="41"/>
      <w:bookmarkEnd w:id="42"/>
    </w:p>
    <w:p w14:paraId="637920C2">
      <w:pPr>
        <w:pStyle w:val="23"/>
        <w:widowControl/>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名     称：</w:t>
      </w:r>
      <w:r>
        <w:rPr>
          <w:rFonts w:hint="eastAsia" w:ascii="宋体" w:hAnsi="宋体" w:eastAsia="宋体" w:cs="宋体"/>
          <w:sz w:val="21"/>
          <w:szCs w:val="21"/>
          <w:highlight w:val="none"/>
          <w:u w:val="single"/>
          <w:lang w:eastAsia="zh-CN"/>
        </w:rPr>
        <w:t>瑞安市财政局（浙江省政府采购行政裁决服务中心（温州））</w:t>
      </w:r>
      <w:r>
        <w:rPr>
          <w:rFonts w:ascii="宋体" w:hAnsi="宋体" w:eastAsia="宋体" w:cs="宋体"/>
          <w:sz w:val="21"/>
          <w:szCs w:val="21"/>
          <w:highlight w:val="none"/>
        </w:rPr>
        <w:t>　　　　　　　　</w:t>
      </w:r>
    </w:p>
    <w:p w14:paraId="7B030662">
      <w:pPr>
        <w:pStyle w:val="23"/>
        <w:widowControl/>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   地     址：</w:t>
      </w:r>
      <w:r>
        <w:rPr>
          <w:rFonts w:hint="eastAsia" w:ascii="宋体" w:hAnsi="宋体" w:eastAsia="宋体" w:cs="宋体"/>
          <w:sz w:val="21"/>
          <w:szCs w:val="21"/>
          <w:highlight w:val="none"/>
          <w:u w:val="single"/>
          <w:lang w:eastAsia="zh-CN"/>
        </w:rPr>
        <w:t>温州市鹿城区滨江街道瓯江路展银大厦1606室</w:t>
      </w:r>
      <w:r>
        <w:rPr>
          <w:rFonts w:ascii="宋体" w:hAnsi="宋体" w:eastAsia="宋体" w:cs="宋体"/>
          <w:sz w:val="21"/>
          <w:szCs w:val="21"/>
          <w:highlight w:val="none"/>
        </w:rPr>
        <w:t>　　　　　　　　　</w:t>
      </w:r>
    </w:p>
    <w:p w14:paraId="04EAE7A1">
      <w:pPr>
        <w:pStyle w:val="23"/>
        <w:widowControl/>
        <w:spacing w:before="0" w:beforeAutospacing="0" w:after="0" w:afterAutospacing="0" w:line="360" w:lineRule="auto"/>
        <w:rPr>
          <w:rFonts w:hint="default" w:ascii="宋体" w:hAnsi="宋体" w:eastAsia="宋体" w:cs="宋体"/>
          <w:sz w:val="21"/>
          <w:szCs w:val="21"/>
          <w:highlight w:val="none"/>
          <w:lang w:val="en-US" w:eastAsia="zh-CN"/>
        </w:rPr>
      </w:pPr>
      <w:r>
        <w:rPr>
          <w:rFonts w:ascii="宋体" w:hAnsi="宋体" w:eastAsia="宋体" w:cs="宋体"/>
          <w:sz w:val="21"/>
          <w:szCs w:val="21"/>
          <w:highlight w:val="none"/>
        </w:rPr>
        <w:t>   传      真：</w:t>
      </w:r>
      <w:r>
        <w:rPr>
          <w:rFonts w:hint="eastAsia" w:ascii="宋体" w:hAnsi="宋体" w:eastAsia="宋体" w:cs="宋体"/>
          <w:sz w:val="21"/>
          <w:szCs w:val="21"/>
          <w:highlight w:val="none"/>
          <w:u w:val="single"/>
          <w:lang w:val="en-US" w:eastAsia="zh-CN"/>
        </w:rPr>
        <w:t xml:space="preserve">  /  </w:t>
      </w:r>
    </w:p>
    <w:p w14:paraId="0ABCA412">
      <w:pPr>
        <w:widowControl/>
        <w:spacing w:line="360" w:lineRule="auto"/>
        <w:ind w:firstLine="315" w:firstLineChars="150"/>
        <w:rPr>
          <w:rFonts w:hint="eastAsia" w:ascii="宋体" w:hAnsi="宋体" w:eastAsia="宋体" w:cs="宋体"/>
          <w:color w:val="000000"/>
          <w:szCs w:val="21"/>
          <w:highlight w:val="none"/>
          <w:u w:val="single"/>
          <w:lang w:eastAsia="zh-CN"/>
        </w:rPr>
      </w:pPr>
      <w:r>
        <w:rPr>
          <w:rFonts w:ascii="宋体" w:hAnsi="宋体" w:cs="宋体"/>
          <w:color w:val="000000"/>
          <w:szCs w:val="21"/>
          <w:highlight w:val="none"/>
        </w:rPr>
        <w:t> 联   系   人：</w:t>
      </w:r>
      <w:r>
        <w:rPr>
          <w:rFonts w:hint="eastAsia" w:ascii="宋体" w:hAnsi="宋体" w:cs="宋体"/>
          <w:color w:val="000000"/>
          <w:szCs w:val="21"/>
          <w:highlight w:val="none"/>
          <w:u w:val="single"/>
          <w:lang w:eastAsia="zh-CN"/>
        </w:rPr>
        <w:t>李老师、王老师</w:t>
      </w:r>
    </w:p>
    <w:p w14:paraId="3939036B">
      <w:pPr>
        <w:widowControl/>
        <w:spacing w:line="360" w:lineRule="auto"/>
        <w:ind w:firstLine="315" w:firstLineChars="150"/>
        <w:rPr>
          <w:rFonts w:ascii="宋体" w:hAnsi="宋体" w:cs="宋体"/>
          <w:color w:val="000000"/>
          <w:szCs w:val="21"/>
          <w:highlight w:val="none"/>
          <w:u w:val="single"/>
        </w:rPr>
      </w:pPr>
      <w:r>
        <w:rPr>
          <w:rFonts w:ascii="宋体" w:hAnsi="宋体" w:cs="宋体"/>
          <w:color w:val="000000"/>
          <w:szCs w:val="21"/>
          <w:highlight w:val="none"/>
        </w:rPr>
        <w:t xml:space="preserve">  </w:t>
      </w:r>
      <w:bookmarkStart w:id="43" w:name="_Toc6406"/>
      <w:r>
        <w:rPr>
          <w:rFonts w:ascii="宋体" w:hAnsi="宋体" w:cs="宋体"/>
          <w:szCs w:val="21"/>
          <w:highlight w:val="none"/>
        </w:rPr>
        <w:t>监督投诉电话：</w:t>
      </w:r>
      <w:r>
        <w:rPr>
          <w:rFonts w:hint="eastAsia" w:ascii="宋体" w:hAnsi="宋体" w:cs="宋体"/>
          <w:szCs w:val="21"/>
          <w:highlight w:val="none"/>
          <w:u w:val="single"/>
          <w:lang w:eastAsia="zh-CN"/>
        </w:rPr>
        <w:t>0577-85501561，0577-85501562</w:t>
      </w:r>
      <w:r>
        <w:rPr>
          <w:rFonts w:ascii="宋体" w:hAnsi="宋体" w:cs="宋体"/>
          <w:szCs w:val="21"/>
          <w:highlight w:val="none"/>
          <w:u w:val="single"/>
        </w:rPr>
        <w:t>7</w:t>
      </w:r>
      <w:bookmarkEnd w:id="43"/>
    </w:p>
    <w:p w14:paraId="314CFA9F">
      <w:pPr>
        <w:spacing w:line="360" w:lineRule="auto"/>
        <w:rPr>
          <w:highlight w:val="none"/>
        </w:rPr>
      </w:pPr>
    </w:p>
    <w:p w14:paraId="21A373AE">
      <w:pPr>
        <w:spacing w:line="360" w:lineRule="auto"/>
        <w:rPr>
          <w:highlight w:val="none"/>
        </w:rPr>
      </w:pPr>
    </w:p>
    <w:p w14:paraId="7825F7D1">
      <w:pPr>
        <w:spacing w:line="360" w:lineRule="auto"/>
        <w:rPr>
          <w:highlight w:val="none"/>
        </w:rPr>
      </w:pPr>
    </w:p>
    <w:p w14:paraId="1EAF1D09">
      <w:pPr>
        <w:spacing w:line="360" w:lineRule="auto"/>
        <w:rPr>
          <w:highlight w:val="none"/>
        </w:rPr>
      </w:pPr>
    </w:p>
    <w:p w14:paraId="09DE08F9">
      <w:pPr>
        <w:spacing w:line="360" w:lineRule="auto"/>
        <w:rPr>
          <w:highlight w:val="none"/>
        </w:rPr>
      </w:pPr>
    </w:p>
    <w:p w14:paraId="2189DF4C">
      <w:pPr>
        <w:spacing w:line="360" w:lineRule="auto"/>
        <w:rPr>
          <w:highlight w:val="none"/>
        </w:rPr>
      </w:pPr>
    </w:p>
    <w:p w14:paraId="69638828">
      <w:pPr>
        <w:spacing w:line="360" w:lineRule="auto"/>
        <w:ind w:firstLine="422" w:firstLineChars="200"/>
        <w:rPr>
          <w:highlight w:val="none"/>
        </w:rPr>
      </w:pPr>
      <w:r>
        <w:rPr>
          <w:b/>
          <w:bCs/>
          <w:highlight w:val="none"/>
        </w:rPr>
        <w:t>若对项目采购电子交易系统操作有疑问，可登录政采云（https://www.zcygov.cn/），点击右侧咨询小采，获取采小蜜智能服务管家帮助，或拨打政采云服务热线400-881-7190获取热线服务帮助。CA问题联系电话（人工）：汇信CA 400-888-4636；天谷CA 400-087-8198。</w:t>
      </w:r>
    </w:p>
    <w:p w14:paraId="128BF61D">
      <w:pPr>
        <w:rPr>
          <w:highlight w:val="none"/>
        </w:rPr>
      </w:pPr>
    </w:p>
    <w:p w14:paraId="35139A46">
      <w:pPr>
        <w:rPr>
          <w:highlight w:val="none"/>
        </w:rPr>
      </w:pPr>
    </w:p>
    <w:p w14:paraId="5E864CD3">
      <w:pPr>
        <w:rPr>
          <w:highlight w:val="none"/>
        </w:rPr>
      </w:pPr>
    </w:p>
    <w:p w14:paraId="1F5945F8">
      <w:pPr>
        <w:rPr>
          <w:highlight w:val="none"/>
        </w:rPr>
      </w:pPr>
    </w:p>
    <w:p w14:paraId="7FA20327">
      <w:pPr>
        <w:rPr>
          <w:highlight w:val="none"/>
        </w:rPr>
      </w:pPr>
    </w:p>
    <w:p w14:paraId="2B27C968">
      <w:pPr>
        <w:rPr>
          <w:highlight w:val="none"/>
        </w:rPr>
      </w:pPr>
    </w:p>
    <w:p w14:paraId="6FD21F37">
      <w:pPr>
        <w:rPr>
          <w:highlight w:val="none"/>
        </w:rPr>
      </w:pPr>
    </w:p>
    <w:p w14:paraId="344E2EF1">
      <w:pPr>
        <w:rPr>
          <w:highlight w:val="none"/>
        </w:rPr>
      </w:pPr>
    </w:p>
    <w:p w14:paraId="65CA0355">
      <w:pPr>
        <w:rPr>
          <w:highlight w:val="none"/>
        </w:rPr>
      </w:pPr>
    </w:p>
    <w:p w14:paraId="5F783ED1">
      <w:pPr>
        <w:rPr>
          <w:highlight w:val="none"/>
        </w:rPr>
      </w:pPr>
    </w:p>
    <w:p w14:paraId="04AA61CE">
      <w:pPr>
        <w:rPr>
          <w:highlight w:val="none"/>
        </w:rPr>
      </w:pPr>
    </w:p>
    <w:p w14:paraId="741A18B9">
      <w:pPr>
        <w:rPr>
          <w:highlight w:val="none"/>
        </w:rPr>
      </w:pPr>
    </w:p>
    <w:p w14:paraId="7CD37DBE">
      <w:pPr>
        <w:rPr>
          <w:highlight w:val="none"/>
        </w:rPr>
      </w:pPr>
    </w:p>
    <w:p w14:paraId="64BFF35F">
      <w:pPr>
        <w:rPr>
          <w:highlight w:val="none"/>
        </w:rPr>
      </w:pPr>
    </w:p>
    <w:p w14:paraId="12C2BB68">
      <w:pPr>
        <w:rPr>
          <w:highlight w:val="none"/>
        </w:rPr>
      </w:pPr>
    </w:p>
    <w:p w14:paraId="7689AB32">
      <w:pPr>
        <w:rPr>
          <w:highlight w:val="none"/>
        </w:rPr>
      </w:pPr>
    </w:p>
    <w:p w14:paraId="6F1E6A2D">
      <w:pPr>
        <w:tabs>
          <w:tab w:val="left" w:pos="840"/>
        </w:tabs>
        <w:spacing w:after="120" w:afterLines="50" w:line="400" w:lineRule="exact"/>
        <w:jc w:val="center"/>
        <w:rPr>
          <w:rFonts w:hAnsi="宋体" w:cs="宋体"/>
          <w:sz w:val="28"/>
          <w:szCs w:val="36"/>
          <w:highlight w:val="none"/>
        </w:rPr>
      </w:pPr>
      <w:bookmarkStart w:id="44" w:name="_Toc32150"/>
      <w:bookmarkStart w:id="45" w:name="_Toc12804"/>
      <w:bookmarkStart w:id="46" w:name="_Toc7358"/>
      <w:bookmarkStart w:id="47" w:name="_Toc1436"/>
      <w:bookmarkStart w:id="48" w:name="_Toc27837"/>
    </w:p>
    <w:p w14:paraId="1D747580">
      <w:pPr>
        <w:tabs>
          <w:tab w:val="left" w:pos="840"/>
        </w:tabs>
        <w:spacing w:after="120" w:afterLines="50" w:line="400" w:lineRule="exact"/>
        <w:jc w:val="center"/>
        <w:rPr>
          <w:rFonts w:hAnsi="宋体" w:cs="宋体"/>
          <w:sz w:val="28"/>
          <w:szCs w:val="36"/>
          <w:highlight w:val="none"/>
        </w:rPr>
      </w:pPr>
    </w:p>
    <w:p w14:paraId="72EFEF63">
      <w:pPr>
        <w:tabs>
          <w:tab w:val="left" w:pos="840"/>
        </w:tabs>
        <w:spacing w:after="120" w:afterLines="50" w:line="400" w:lineRule="exact"/>
        <w:jc w:val="center"/>
        <w:rPr>
          <w:rFonts w:hAnsi="宋体" w:cs="宋体"/>
          <w:sz w:val="28"/>
          <w:szCs w:val="36"/>
          <w:highlight w:val="none"/>
        </w:rPr>
      </w:pPr>
    </w:p>
    <w:p w14:paraId="76A71AC4">
      <w:pPr>
        <w:pStyle w:val="5"/>
        <w:rPr>
          <w:highlight w:val="none"/>
        </w:rPr>
      </w:pPr>
    </w:p>
    <w:p w14:paraId="0B9EF4A6">
      <w:pPr>
        <w:pStyle w:val="7"/>
        <w:keepNext w:val="0"/>
        <w:keepLines w:val="0"/>
        <w:spacing w:after="120" w:afterLines="50" w:line="400" w:lineRule="exact"/>
        <w:jc w:val="center"/>
        <w:rPr>
          <w:rFonts w:hAnsi="宋体" w:cs="宋体"/>
          <w:sz w:val="28"/>
          <w:szCs w:val="36"/>
          <w:highlight w:val="none"/>
        </w:rPr>
      </w:pPr>
      <w:bookmarkStart w:id="49" w:name="_Toc18894"/>
      <w:r>
        <w:rPr>
          <w:rFonts w:hAnsi="宋体" w:cs="宋体"/>
          <w:sz w:val="28"/>
          <w:szCs w:val="36"/>
          <w:highlight w:val="none"/>
        </w:rPr>
        <w:t>第二部分  磋商供应商须知</w:t>
      </w:r>
      <w:bookmarkEnd w:id="44"/>
      <w:bookmarkEnd w:id="45"/>
      <w:bookmarkEnd w:id="46"/>
      <w:bookmarkEnd w:id="47"/>
      <w:bookmarkEnd w:id="48"/>
      <w:bookmarkEnd w:id="49"/>
    </w:p>
    <w:p w14:paraId="03227C15">
      <w:pPr>
        <w:pStyle w:val="8"/>
        <w:spacing w:before="120" w:beforeLines="50" w:after="120" w:afterLines="50" w:line="380" w:lineRule="exact"/>
        <w:jc w:val="center"/>
        <w:rPr>
          <w:rFonts w:ascii="宋体" w:hAnsi="宋体" w:cs="宋体"/>
          <w:bCs w:val="0"/>
          <w:sz w:val="24"/>
          <w:szCs w:val="24"/>
          <w:highlight w:val="none"/>
        </w:rPr>
      </w:pPr>
      <w:bookmarkStart w:id="50" w:name="_Toc18225"/>
      <w:bookmarkStart w:id="51" w:name="_Toc24005"/>
      <w:bookmarkStart w:id="52" w:name="_Toc12629"/>
      <w:bookmarkStart w:id="53" w:name="_Toc19423"/>
      <w:bookmarkStart w:id="54" w:name="_Toc3844"/>
      <w:bookmarkStart w:id="55" w:name="_Toc19616"/>
      <w:bookmarkStart w:id="56" w:name="_Toc21971"/>
      <w:bookmarkStart w:id="57" w:name="_Toc32711"/>
      <w:r>
        <w:rPr>
          <w:rFonts w:ascii="宋体" w:hAnsi="宋体" w:cs="宋体"/>
          <w:sz w:val="24"/>
          <w:szCs w:val="24"/>
          <w:highlight w:val="none"/>
        </w:rPr>
        <w:t>（一）</w:t>
      </w:r>
      <w:r>
        <w:rPr>
          <w:rFonts w:ascii="宋体" w:hAnsi="宋体" w:cs="宋体"/>
          <w:bCs w:val="0"/>
          <w:sz w:val="24"/>
          <w:szCs w:val="24"/>
          <w:highlight w:val="none"/>
        </w:rPr>
        <w:t>磋商须知前附表</w:t>
      </w:r>
      <w:bookmarkEnd w:id="50"/>
      <w:bookmarkEnd w:id="51"/>
      <w:bookmarkEnd w:id="52"/>
      <w:bookmarkEnd w:id="53"/>
      <w:bookmarkEnd w:id="54"/>
      <w:bookmarkEnd w:id="55"/>
      <w:bookmarkEnd w:id="56"/>
      <w:bookmarkEnd w:id="57"/>
    </w:p>
    <w:tbl>
      <w:tblPr>
        <w:tblStyle w:val="25"/>
        <w:tblW w:w="984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645"/>
        <w:gridCol w:w="1834"/>
        <w:gridCol w:w="7365"/>
      </w:tblGrid>
      <w:tr w14:paraId="514680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36" w:hRule="atLeast"/>
          <w:jc w:val="center"/>
        </w:trPr>
        <w:tc>
          <w:tcPr>
            <w:tcW w:w="645" w:type="dxa"/>
            <w:vAlign w:val="center"/>
          </w:tcPr>
          <w:p w14:paraId="3BCC632B">
            <w:pPr>
              <w:spacing w:line="276" w:lineRule="auto"/>
              <w:jc w:val="center"/>
              <w:rPr>
                <w:rFonts w:ascii="宋体" w:hAnsi="宋体" w:cs="宋体"/>
                <w:b/>
                <w:szCs w:val="21"/>
                <w:highlight w:val="none"/>
              </w:rPr>
            </w:pPr>
            <w:r>
              <w:rPr>
                <w:rFonts w:ascii="宋体" w:hAnsi="宋体" w:cs="宋体"/>
                <w:b/>
                <w:szCs w:val="21"/>
                <w:highlight w:val="none"/>
              </w:rPr>
              <w:t>项号</w:t>
            </w:r>
          </w:p>
        </w:tc>
        <w:tc>
          <w:tcPr>
            <w:tcW w:w="1834" w:type="dxa"/>
            <w:vAlign w:val="center"/>
          </w:tcPr>
          <w:p w14:paraId="5523FA5A">
            <w:pPr>
              <w:spacing w:line="276" w:lineRule="auto"/>
              <w:jc w:val="center"/>
              <w:rPr>
                <w:rFonts w:ascii="宋体" w:hAnsi="宋体" w:cs="宋体"/>
                <w:b/>
                <w:szCs w:val="21"/>
                <w:highlight w:val="none"/>
              </w:rPr>
            </w:pPr>
            <w:r>
              <w:rPr>
                <w:rFonts w:ascii="宋体" w:hAnsi="宋体" w:cs="宋体"/>
                <w:b/>
                <w:szCs w:val="21"/>
                <w:highlight w:val="none"/>
              </w:rPr>
              <w:t>内容</w:t>
            </w:r>
          </w:p>
        </w:tc>
        <w:tc>
          <w:tcPr>
            <w:tcW w:w="7365" w:type="dxa"/>
            <w:vAlign w:val="center"/>
          </w:tcPr>
          <w:p w14:paraId="4A7873D7">
            <w:pPr>
              <w:spacing w:line="276" w:lineRule="auto"/>
              <w:jc w:val="center"/>
              <w:rPr>
                <w:rFonts w:ascii="宋体" w:hAnsi="宋体" w:cs="宋体"/>
                <w:b/>
                <w:szCs w:val="21"/>
                <w:highlight w:val="none"/>
              </w:rPr>
            </w:pPr>
            <w:r>
              <w:rPr>
                <w:rFonts w:ascii="宋体" w:hAnsi="宋体" w:cs="宋体"/>
                <w:b/>
                <w:szCs w:val="21"/>
                <w:highlight w:val="none"/>
              </w:rPr>
              <w:t>说明与要求</w:t>
            </w:r>
          </w:p>
        </w:tc>
      </w:tr>
      <w:tr w14:paraId="7E5DA5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49" w:hRule="atLeast"/>
          <w:jc w:val="center"/>
        </w:trPr>
        <w:tc>
          <w:tcPr>
            <w:tcW w:w="645" w:type="dxa"/>
            <w:vAlign w:val="center"/>
          </w:tcPr>
          <w:p w14:paraId="5B8010BB">
            <w:pPr>
              <w:spacing w:line="360" w:lineRule="auto"/>
              <w:jc w:val="center"/>
              <w:rPr>
                <w:rFonts w:ascii="宋体" w:hAnsi="宋体" w:cs="宋体"/>
                <w:szCs w:val="21"/>
                <w:highlight w:val="none"/>
              </w:rPr>
            </w:pPr>
            <w:r>
              <w:rPr>
                <w:rFonts w:ascii="宋体" w:hAnsi="宋体" w:cs="宋体"/>
                <w:szCs w:val="21"/>
                <w:highlight w:val="none"/>
              </w:rPr>
              <w:t>1</w:t>
            </w:r>
          </w:p>
        </w:tc>
        <w:tc>
          <w:tcPr>
            <w:tcW w:w="1834" w:type="dxa"/>
            <w:tcBorders>
              <w:left w:val="single" w:color="auto" w:sz="4" w:space="0"/>
            </w:tcBorders>
            <w:vAlign w:val="center"/>
          </w:tcPr>
          <w:p w14:paraId="0F1E689B">
            <w:pPr>
              <w:spacing w:line="360" w:lineRule="auto"/>
              <w:jc w:val="center"/>
              <w:rPr>
                <w:rFonts w:ascii="宋体" w:hAnsi="宋体" w:cs="宋体"/>
                <w:szCs w:val="21"/>
                <w:highlight w:val="none"/>
              </w:rPr>
            </w:pPr>
            <w:r>
              <w:rPr>
                <w:rFonts w:ascii="宋体" w:hAnsi="宋体" w:cs="宋体"/>
                <w:szCs w:val="21"/>
                <w:highlight w:val="none"/>
              </w:rPr>
              <w:t>项目名称</w:t>
            </w:r>
          </w:p>
        </w:tc>
        <w:tc>
          <w:tcPr>
            <w:tcW w:w="7365" w:type="dxa"/>
            <w:tcBorders>
              <w:left w:val="single" w:color="auto" w:sz="4" w:space="0"/>
            </w:tcBorders>
            <w:vAlign w:val="center"/>
          </w:tcPr>
          <w:p w14:paraId="0CF53530">
            <w:pPr>
              <w:spacing w:line="360" w:lineRule="auto"/>
              <w:jc w:val="left"/>
              <w:rPr>
                <w:rFonts w:hint="eastAsia" w:ascii="宋体" w:hAnsi="宋体" w:eastAsia="宋体" w:cs="宋体"/>
                <w:szCs w:val="21"/>
                <w:highlight w:val="none"/>
                <w:lang w:eastAsia="zh-CN"/>
              </w:rPr>
            </w:pPr>
            <w:r>
              <w:rPr>
                <w:rFonts w:hint="eastAsia" w:ascii="宋体" w:hAnsi="宋体" w:cs="宋体"/>
                <w:szCs w:val="21"/>
                <w:highlight w:val="none"/>
                <w:lang w:eastAsia="zh-CN"/>
              </w:rPr>
              <w:t>瑞安市2025年度农村公益电影放映</w:t>
            </w:r>
          </w:p>
        </w:tc>
      </w:tr>
      <w:tr w14:paraId="14FA91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62" w:hRule="atLeast"/>
          <w:jc w:val="center"/>
        </w:trPr>
        <w:tc>
          <w:tcPr>
            <w:tcW w:w="645" w:type="dxa"/>
            <w:vAlign w:val="center"/>
          </w:tcPr>
          <w:p w14:paraId="5E4F8533">
            <w:pPr>
              <w:spacing w:line="360" w:lineRule="auto"/>
              <w:jc w:val="center"/>
              <w:rPr>
                <w:rFonts w:ascii="宋体" w:hAnsi="宋体" w:cs="宋体"/>
                <w:szCs w:val="21"/>
                <w:highlight w:val="none"/>
              </w:rPr>
            </w:pPr>
            <w:r>
              <w:rPr>
                <w:rFonts w:ascii="宋体" w:hAnsi="宋体" w:cs="宋体"/>
                <w:szCs w:val="21"/>
                <w:highlight w:val="none"/>
              </w:rPr>
              <w:t>2</w:t>
            </w:r>
          </w:p>
        </w:tc>
        <w:tc>
          <w:tcPr>
            <w:tcW w:w="1834" w:type="dxa"/>
            <w:tcBorders>
              <w:left w:val="single" w:color="auto" w:sz="4" w:space="0"/>
            </w:tcBorders>
            <w:vAlign w:val="center"/>
          </w:tcPr>
          <w:p w14:paraId="55AD8B80">
            <w:pPr>
              <w:spacing w:line="360" w:lineRule="auto"/>
              <w:jc w:val="center"/>
              <w:rPr>
                <w:rFonts w:ascii="宋体" w:hAnsi="宋体" w:cs="宋体"/>
                <w:color w:val="000000"/>
                <w:szCs w:val="21"/>
                <w:highlight w:val="none"/>
              </w:rPr>
            </w:pPr>
            <w:r>
              <w:rPr>
                <w:rFonts w:ascii="宋体" w:hAnsi="宋体" w:cs="宋体"/>
                <w:color w:val="000000"/>
                <w:szCs w:val="21"/>
                <w:highlight w:val="none"/>
              </w:rPr>
              <w:t>项目编号</w:t>
            </w:r>
          </w:p>
        </w:tc>
        <w:tc>
          <w:tcPr>
            <w:tcW w:w="7365" w:type="dxa"/>
            <w:tcBorders>
              <w:left w:val="single" w:color="auto" w:sz="4" w:space="0"/>
            </w:tcBorders>
            <w:vAlign w:val="center"/>
          </w:tcPr>
          <w:p w14:paraId="418243A1">
            <w:pPr>
              <w:spacing w:line="360" w:lineRule="auto"/>
              <w:jc w:val="left"/>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eastAsia="zh-CN"/>
              </w:rPr>
              <w:t>zjzs202502019</w:t>
            </w:r>
          </w:p>
        </w:tc>
      </w:tr>
      <w:tr w14:paraId="279559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37" w:hRule="atLeast"/>
          <w:jc w:val="center"/>
        </w:trPr>
        <w:tc>
          <w:tcPr>
            <w:tcW w:w="645" w:type="dxa"/>
            <w:vAlign w:val="center"/>
          </w:tcPr>
          <w:p w14:paraId="19FBAFF2">
            <w:pPr>
              <w:spacing w:line="360" w:lineRule="auto"/>
              <w:jc w:val="center"/>
              <w:rPr>
                <w:rFonts w:ascii="宋体" w:hAnsi="宋体" w:cs="宋体"/>
                <w:szCs w:val="21"/>
                <w:highlight w:val="none"/>
              </w:rPr>
            </w:pPr>
            <w:r>
              <w:rPr>
                <w:rFonts w:ascii="宋体" w:hAnsi="宋体" w:cs="宋体"/>
                <w:szCs w:val="21"/>
                <w:highlight w:val="none"/>
              </w:rPr>
              <w:t>3</w:t>
            </w:r>
          </w:p>
        </w:tc>
        <w:tc>
          <w:tcPr>
            <w:tcW w:w="1834" w:type="dxa"/>
            <w:tcBorders>
              <w:left w:val="single" w:color="auto" w:sz="4" w:space="0"/>
            </w:tcBorders>
            <w:vAlign w:val="center"/>
          </w:tcPr>
          <w:p w14:paraId="71EB1A5A">
            <w:pPr>
              <w:spacing w:line="360" w:lineRule="auto"/>
              <w:jc w:val="center"/>
              <w:rPr>
                <w:rFonts w:ascii="宋体" w:hAnsi="宋体" w:cs="宋体"/>
                <w:szCs w:val="21"/>
                <w:highlight w:val="none"/>
              </w:rPr>
            </w:pPr>
            <w:r>
              <w:rPr>
                <w:rFonts w:ascii="宋体" w:hAnsi="宋体" w:cs="宋体"/>
                <w:szCs w:val="21"/>
                <w:highlight w:val="none"/>
              </w:rPr>
              <w:t>资金来源</w:t>
            </w:r>
          </w:p>
        </w:tc>
        <w:tc>
          <w:tcPr>
            <w:tcW w:w="7365" w:type="dxa"/>
            <w:tcBorders>
              <w:left w:val="single" w:color="auto" w:sz="4" w:space="0"/>
            </w:tcBorders>
            <w:vAlign w:val="center"/>
          </w:tcPr>
          <w:p w14:paraId="3A08B9F8">
            <w:pPr>
              <w:spacing w:line="360" w:lineRule="auto"/>
              <w:jc w:val="left"/>
              <w:rPr>
                <w:rFonts w:ascii="宋体" w:hAnsi="宋体" w:cs="宋体"/>
                <w:szCs w:val="21"/>
                <w:highlight w:val="none"/>
              </w:rPr>
            </w:pPr>
            <w:r>
              <w:rPr>
                <w:rFonts w:hint="eastAsia" w:ascii="宋体" w:hAnsi="宋体" w:cs="宋体"/>
                <w:szCs w:val="21"/>
                <w:highlight w:val="none"/>
                <w:lang w:val="en-US" w:eastAsia="zh-CN"/>
              </w:rPr>
              <w:t>财政资金</w:t>
            </w:r>
          </w:p>
        </w:tc>
      </w:tr>
      <w:tr w14:paraId="07A247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645" w:type="dxa"/>
            <w:vAlign w:val="center"/>
          </w:tcPr>
          <w:p w14:paraId="099C08A8">
            <w:pPr>
              <w:spacing w:line="360" w:lineRule="auto"/>
              <w:jc w:val="center"/>
              <w:rPr>
                <w:rFonts w:ascii="宋体" w:hAnsi="宋体" w:cs="宋体"/>
                <w:szCs w:val="21"/>
                <w:highlight w:val="none"/>
              </w:rPr>
            </w:pPr>
            <w:r>
              <w:rPr>
                <w:rFonts w:ascii="宋体" w:hAnsi="宋体" w:cs="宋体"/>
                <w:szCs w:val="21"/>
                <w:highlight w:val="none"/>
              </w:rPr>
              <w:t>4</w:t>
            </w:r>
          </w:p>
        </w:tc>
        <w:tc>
          <w:tcPr>
            <w:tcW w:w="1834" w:type="dxa"/>
            <w:tcBorders>
              <w:left w:val="single" w:color="auto" w:sz="4" w:space="0"/>
            </w:tcBorders>
            <w:vAlign w:val="center"/>
          </w:tcPr>
          <w:p w14:paraId="77F62160">
            <w:pPr>
              <w:adjustRightInd w:val="0"/>
              <w:spacing w:line="360" w:lineRule="auto"/>
              <w:jc w:val="center"/>
              <w:rPr>
                <w:rFonts w:ascii="宋体" w:hAnsi="宋体" w:cs="宋体"/>
                <w:szCs w:val="21"/>
                <w:highlight w:val="none"/>
              </w:rPr>
            </w:pPr>
            <w:r>
              <w:rPr>
                <w:rFonts w:ascii="宋体" w:hAnsi="宋体" w:cs="宋体"/>
                <w:szCs w:val="21"/>
                <w:highlight w:val="none"/>
              </w:rPr>
              <w:t>采购人</w:t>
            </w:r>
          </w:p>
        </w:tc>
        <w:tc>
          <w:tcPr>
            <w:tcW w:w="7365" w:type="dxa"/>
            <w:tcBorders>
              <w:left w:val="single" w:color="auto" w:sz="4" w:space="0"/>
            </w:tcBorders>
            <w:vAlign w:val="center"/>
          </w:tcPr>
          <w:p w14:paraId="727C8C24">
            <w:pPr>
              <w:spacing w:line="360" w:lineRule="auto"/>
              <w:jc w:val="left"/>
              <w:rPr>
                <w:rFonts w:hint="eastAsia" w:ascii="宋体" w:hAnsi="宋体" w:eastAsia="宋体" w:cs="宋体"/>
                <w:color w:val="000000"/>
                <w:szCs w:val="21"/>
                <w:highlight w:val="none"/>
                <w:lang w:eastAsia="zh-CN"/>
              </w:rPr>
            </w:pPr>
            <w:r>
              <w:rPr>
                <w:rFonts w:ascii="宋体" w:hAnsi="宋体" w:cs="宋体"/>
                <w:szCs w:val="21"/>
                <w:highlight w:val="none"/>
              </w:rPr>
              <w:t>名      称</w:t>
            </w:r>
            <w:r>
              <w:rPr>
                <w:rFonts w:ascii="宋体" w:hAnsi="宋体" w:cs="宋体"/>
                <w:color w:val="000000"/>
                <w:szCs w:val="21"/>
                <w:highlight w:val="none"/>
              </w:rPr>
              <w:t>：</w:t>
            </w:r>
            <w:r>
              <w:rPr>
                <w:rFonts w:hint="eastAsia" w:ascii="宋体" w:hAnsi="宋体" w:cs="宋体"/>
                <w:color w:val="000000"/>
                <w:szCs w:val="21"/>
                <w:highlight w:val="none"/>
                <w:lang w:eastAsia="zh-CN"/>
              </w:rPr>
              <w:t>中共瑞安市委宣传部</w:t>
            </w:r>
          </w:p>
          <w:p w14:paraId="48153193">
            <w:pPr>
              <w:spacing w:line="360" w:lineRule="auto"/>
              <w:jc w:val="left"/>
              <w:rPr>
                <w:rFonts w:hint="eastAsia" w:ascii="宋体" w:hAnsi="宋体" w:eastAsia="宋体" w:cs="宋体"/>
                <w:color w:val="000000"/>
                <w:szCs w:val="21"/>
                <w:highlight w:val="none"/>
                <w:lang w:eastAsia="zh-CN"/>
              </w:rPr>
            </w:pPr>
            <w:r>
              <w:rPr>
                <w:rFonts w:ascii="宋体" w:hAnsi="宋体" w:cs="宋体"/>
                <w:color w:val="000000"/>
                <w:szCs w:val="21"/>
                <w:highlight w:val="none"/>
              </w:rPr>
              <w:t>地      址：</w:t>
            </w:r>
            <w:r>
              <w:rPr>
                <w:rFonts w:hint="eastAsia" w:ascii="宋体" w:hAnsi="宋体" w:cs="宋体"/>
                <w:color w:val="000000"/>
                <w:szCs w:val="21"/>
                <w:highlight w:val="none"/>
                <w:lang w:eastAsia="zh-CN"/>
              </w:rPr>
              <w:t>瑞安市人民政府综合楼市委宣传部（新闻出版局）310室</w:t>
            </w:r>
          </w:p>
          <w:p w14:paraId="1AD3FBA1">
            <w:pPr>
              <w:spacing w:line="360" w:lineRule="auto"/>
              <w:jc w:val="left"/>
              <w:rPr>
                <w:rFonts w:ascii="宋体" w:hAnsi="宋体" w:cs="宋体"/>
                <w:color w:val="000000"/>
                <w:szCs w:val="21"/>
                <w:highlight w:val="none"/>
              </w:rPr>
            </w:pPr>
            <w:r>
              <w:rPr>
                <w:rFonts w:ascii="宋体" w:hAnsi="宋体" w:cs="宋体"/>
                <w:color w:val="000000"/>
                <w:szCs w:val="21"/>
                <w:highlight w:val="none"/>
              </w:rPr>
              <w:t>项目联系人：</w:t>
            </w:r>
            <w:r>
              <w:rPr>
                <w:rFonts w:hint="eastAsia" w:ascii="宋体" w:hAnsi="宋体" w:cs="宋体"/>
                <w:szCs w:val="21"/>
                <w:highlight w:val="none"/>
                <w:lang w:val="en-US" w:eastAsia="zh-CN"/>
              </w:rPr>
              <w:t>孙女士</w:t>
            </w:r>
          </w:p>
          <w:p w14:paraId="2950C1CC">
            <w:pPr>
              <w:spacing w:line="360" w:lineRule="auto"/>
              <w:jc w:val="left"/>
              <w:rPr>
                <w:rFonts w:hint="eastAsia" w:ascii="宋体" w:hAnsi="宋体" w:eastAsia="宋体" w:cs="宋体"/>
                <w:szCs w:val="21"/>
                <w:highlight w:val="none"/>
                <w:lang w:eastAsia="zh-CN"/>
              </w:rPr>
            </w:pPr>
            <w:r>
              <w:rPr>
                <w:rFonts w:ascii="宋体" w:hAnsi="宋体" w:cs="宋体"/>
                <w:color w:val="000000"/>
                <w:szCs w:val="21"/>
                <w:highlight w:val="none"/>
              </w:rPr>
              <w:t>联系  电话：</w:t>
            </w:r>
            <w:r>
              <w:rPr>
                <w:rFonts w:hint="eastAsia" w:ascii="宋体" w:hAnsi="宋体" w:cs="宋体"/>
                <w:color w:val="000000"/>
                <w:szCs w:val="21"/>
                <w:highlight w:val="none"/>
                <w:lang w:eastAsia="zh-CN"/>
              </w:rPr>
              <w:t>0577-65812717</w:t>
            </w:r>
          </w:p>
        </w:tc>
      </w:tr>
      <w:tr w14:paraId="07087C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369" w:hRule="atLeast"/>
          <w:jc w:val="center"/>
        </w:trPr>
        <w:tc>
          <w:tcPr>
            <w:tcW w:w="645" w:type="dxa"/>
            <w:vAlign w:val="center"/>
          </w:tcPr>
          <w:p w14:paraId="13254C0A">
            <w:pPr>
              <w:spacing w:line="360" w:lineRule="auto"/>
              <w:jc w:val="center"/>
              <w:rPr>
                <w:rFonts w:ascii="宋体" w:hAnsi="宋体" w:cs="宋体"/>
                <w:szCs w:val="21"/>
                <w:highlight w:val="none"/>
              </w:rPr>
            </w:pPr>
            <w:r>
              <w:rPr>
                <w:rFonts w:ascii="宋体" w:hAnsi="宋体" w:cs="宋体"/>
                <w:szCs w:val="21"/>
                <w:highlight w:val="none"/>
              </w:rPr>
              <w:t>5</w:t>
            </w:r>
          </w:p>
        </w:tc>
        <w:tc>
          <w:tcPr>
            <w:tcW w:w="1834" w:type="dxa"/>
            <w:tcBorders>
              <w:left w:val="single" w:color="auto" w:sz="4" w:space="0"/>
            </w:tcBorders>
            <w:vAlign w:val="center"/>
          </w:tcPr>
          <w:p w14:paraId="2C97581E">
            <w:pPr>
              <w:adjustRightInd w:val="0"/>
              <w:spacing w:line="360" w:lineRule="auto"/>
              <w:jc w:val="center"/>
              <w:rPr>
                <w:rFonts w:ascii="宋体" w:hAnsi="宋体" w:cs="宋体"/>
                <w:szCs w:val="21"/>
                <w:highlight w:val="none"/>
              </w:rPr>
            </w:pPr>
            <w:r>
              <w:rPr>
                <w:rFonts w:ascii="宋体" w:hAnsi="宋体" w:cs="宋体"/>
                <w:szCs w:val="21"/>
                <w:highlight w:val="none"/>
              </w:rPr>
              <w:t>采购代理机构</w:t>
            </w:r>
          </w:p>
        </w:tc>
        <w:tc>
          <w:tcPr>
            <w:tcW w:w="7365" w:type="dxa"/>
            <w:tcBorders>
              <w:left w:val="single" w:color="auto" w:sz="4" w:space="0"/>
            </w:tcBorders>
            <w:vAlign w:val="center"/>
          </w:tcPr>
          <w:p w14:paraId="6C5078EE">
            <w:pPr>
              <w:adjustRightInd w:val="0"/>
              <w:spacing w:line="360" w:lineRule="auto"/>
              <w:rPr>
                <w:rFonts w:ascii="宋体" w:hAnsi="宋体" w:cs="宋体"/>
                <w:color w:val="000000"/>
                <w:szCs w:val="21"/>
                <w:highlight w:val="none"/>
              </w:rPr>
            </w:pPr>
            <w:r>
              <w:rPr>
                <w:rFonts w:ascii="宋体" w:hAnsi="宋体" w:cs="宋体"/>
                <w:color w:val="000000"/>
                <w:szCs w:val="21"/>
                <w:highlight w:val="none"/>
              </w:rPr>
              <w:t>名      称：浙江综盛项目管理有限公司</w:t>
            </w:r>
          </w:p>
          <w:p w14:paraId="0BB15056">
            <w:pPr>
              <w:adjustRightInd w:val="0"/>
              <w:spacing w:line="360" w:lineRule="auto"/>
              <w:rPr>
                <w:rFonts w:ascii="宋体" w:hAnsi="宋体" w:cs="宋体"/>
                <w:color w:val="000000"/>
                <w:szCs w:val="21"/>
                <w:highlight w:val="none"/>
              </w:rPr>
            </w:pPr>
            <w:r>
              <w:rPr>
                <w:rFonts w:ascii="宋体" w:hAnsi="宋体" w:cs="宋体"/>
                <w:color w:val="000000"/>
                <w:szCs w:val="21"/>
                <w:highlight w:val="none"/>
              </w:rPr>
              <w:t>地      址：</w:t>
            </w:r>
            <w:r>
              <w:rPr>
                <w:rFonts w:ascii="宋体" w:hAnsi="宋体" w:cs="宋体"/>
                <w:bCs/>
                <w:color w:val="000000"/>
                <w:szCs w:val="21"/>
                <w:highlight w:val="none"/>
              </w:rPr>
              <w:t>瑞安经济开发区朝阳路555号</w:t>
            </w:r>
          </w:p>
          <w:p w14:paraId="46195D2E">
            <w:pPr>
              <w:adjustRightInd w:val="0"/>
              <w:spacing w:line="360" w:lineRule="auto"/>
              <w:rPr>
                <w:rFonts w:ascii="宋体" w:hAnsi="宋体" w:cs="宋体"/>
                <w:color w:val="000000"/>
                <w:szCs w:val="21"/>
                <w:highlight w:val="none"/>
              </w:rPr>
            </w:pPr>
            <w:r>
              <w:rPr>
                <w:rFonts w:ascii="宋体" w:hAnsi="宋体" w:cs="宋体"/>
                <w:color w:val="000000"/>
                <w:szCs w:val="21"/>
                <w:highlight w:val="none"/>
              </w:rPr>
              <w:t xml:space="preserve">项目负责人：赵女士 </w:t>
            </w:r>
          </w:p>
          <w:p w14:paraId="680E2EAD">
            <w:pPr>
              <w:spacing w:line="360" w:lineRule="auto"/>
              <w:rPr>
                <w:rFonts w:ascii="宋体" w:hAnsi="宋体" w:cs="宋体"/>
                <w:color w:val="000000"/>
                <w:szCs w:val="21"/>
                <w:highlight w:val="none"/>
              </w:rPr>
            </w:pPr>
            <w:r>
              <w:rPr>
                <w:rFonts w:ascii="宋体" w:hAnsi="宋体" w:cs="宋体"/>
                <w:color w:val="000000"/>
                <w:szCs w:val="21"/>
                <w:highlight w:val="none"/>
              </w:rPr>
              <w:t>联系  电话：17826851140</w:t>
            </w:r>
          </w:p>
        </w:tc>
      </w:tr>
      <w:tr w14:paraId="24F834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54" w:hRule="atLeast"/>
          <w:jc w:val="center"/>
        </w:trPr>
        <w:tc>
          <w:tcPr>
            <w:tcW w:w="645" w:type="dxa"/>
            <w:vAlign w:val="center"/>
          </w:tcPr>
          <w:p w14:paraId="4C651C32">
            <w:pPr>
              <w:spacing w:line="360" w:lineRule="auto"/>
              <w:jc w:val="center"/>
              <w:rPr>
                <w:rFonts w:ascii="宋体" w:hAnsi="宋体" w:cs="宋体"/>
                <w:szCs w:val="21"/>
                <w:highlight w:val="none"/>
              </w:rPr>
            </w:pPr>
            <w:r>
              <w:rPr>
                <w:rFonts w:ascii="宋体" w:hAnsi="宋体" w:cs="宋体"/>
                <w:szCs w:val="21"/>
                <w:highlight w:val="none"/>
              </w:rPr>
              <w:t>6</w:t>
            </w:r>
          </w:p>
        </w:tc>
        <w:tc>
          <w:tcPr>
            <w:tcW w:w="1834" w:type="dxa"/>
            <w:tcBorders>
              <w:left w:val="single" w:color="auto" w:sz="4" w:space="0"/>
            </w:tcBorders>
            <w:vAlign w:val="center"/>
          </w:tcPr>
          <w:p w14:paraId="1EA598B5">
            <w:pPr>
              <w:spacing w:line="360" w:lineRule="auto"/>
              <w:jc w:val="center"/>
              <w:rPr>
                <w:rFonts w:ascii="宋体" w:hAnsi="宋体" w:cs="宋体"/>
                <w:szCs w:val="21"/>
                <w:highlight w:val="none"/>
              </w:rPr>
            </w:pPr>
            <w:r>
              <w:rPr>
                <w:rFonts w:ascii="宋体" w:hAnsi="宋体" w:cs="宋体"/>
                <w:szCs w:val="21"/>
                <w:highlight w:val="none"/>
              </w:rPr>
              <w:t>采购内容</w:t>
            </w:r>
          </w:p>
        </w:tc>
        <w:tc>
          <w:tcPr>
            <w:tcW w:w="7365" w:type="dxa"/>
            <w:tcBorders>
              <w:left w:val="single" w:color="auto" w:sz="4" w:space="0"/>
            </w:tcBorders>
            <w:vAlign w:val="center"/>
          </w:tcPr>
          <w:p w14:paraId="2B4D18F7">
            <w:pPr>
              <w:widowControl/>
              <w:spacing w:line="360" w:lineRule="auto"/>
              <w:rPr>
                <w:rFonts w:ascii="宋体" w:hAnsi="宋体" w:cs="宋体"/>
                <w:color w:val="000000"/>
                <w:szCs w:val="21"/>
                <w:highlight w:val="none"/>
              </w:rPr>
            </w:pPr>
            <w:r>
              <w:rPr>
                <w:rFonts w:ascii="宋体" w:hAnsi="宋体" w:cs="宋体"/>
                <w:bCs/>
                <w:color w:val="000000"/>
                <w:szCs w:val="21"/>
                <w:highlight w:val="none"/>
              </w:rPr>
              <w:t>详见磋商文件相关部分</w:t>
            </w:r>
            <w:r>
              <w:rPr>
                <w:rFonts w:ascii="宋体" w:hAnsi="宋体" w:cs="宋体"/>
                <w:color w:val="000000"/>
                <w:szCs w:val="21"/>
                <w:highlight w:val="none"/>
              </w:rPr>
              <w:t>。</w:t>
            </w:r>
          </w:p>
        </w:tc>
      </w:tr>
      <w:tr w14:paraId="58BCDCA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17" w:hRule="atLeast"/>
          <w:jc w:val="center"/>
        </w:trPr>
        <w:tc>
          <w:tcPr>
            <w:tcW w:w="645" w:type="dxa"/>
            <w:vAlign w:val="center"/>
          </w:tcPr>
          <w:p w14:paraId="617D8115">
            <w:pPr>
              <w:spacing w:line="360" w:lineRule="auto"/>
              <w:jc w:val="center"/>
              <w:rPr>
                <w:rFonts w:ascii="宋体" w:hAnsi="宋体" w:cs="宋体"/>
                <w:szCs w:val="21"/>
                <w:highlight w:val="none"/>
              </w:rPr>
            </w:pPr>
            <w:r>
              <w:rPr>
                <w:rFonts w:ascii="宋体" w:hAnsi="宋体" w:cs="宋体"/>
                <w:szCs w:val="21"/>
                <w:highlight w:val="none"/>
              </w:rPr>
              <w:t>7</w:t>
            </w:r>
          </w:p>
        </w:tc>
        <w:tc>
          <w:tcPr>
            <w:tcW w:w="1834" w:type="dxa"/>
            <w:tcBorders>
              <w:left w:val="single" w:color="auto" w:sz="4" w:space="0"/>
            </w:tcBorders>
            <w:vAlign w:val="center"/>
          </w:tcPr>
          <w:p w14:paraId="6BF03F61">
            <w:pPr>
              <w:spacing w:line="360" w:lineRule="auto"/>
              <w:jc w:val="center"/>
              <w:rPr>
                <w:rFonts w:ascii="宋体" w:hAnsi="宋体" w:cs="宋体"/>
                <w:szCs w:val="21"/>
                <w:highlight w:val="none"/>
              </w:rPr>
            </w:pPr>
            <w:r>
              <w:rPr>
                <w:rFonts w:ascii="宋体" w:hAnsi="宋体" w:cs="宋体"/>
                <w:szCs w:val="21"/>
                <w:highlight w:val="none"/>
              </w:rPr>
              <w:t>磋商供应商</w:t>
            </w:r>
          </w:p>
          <w:p w14:paraId="51DE707F">
            <w:pPr>
              <w:spacing w:line="360" w:lineRule="auto"/>
              <w:jc w:val="center"/>
              <w:rPr>
                <w:rFonts w:ascii="宋体" w:hAnsi="宋体" w:cs="宋体"/>
                <w:szCs w:val="21"/>
                <w:highlight w:val="none"/>
              </w:rPr>
            </w:pPr>
            <w:r>
              <w:rPr>
                <w:rFonts w:ascii="宋体" w:hAnsi="宋体" w:cs="宋体"/>
                <w:szCs w:val="21"/>
                <w:highlight w:val="none"/>
              </w:rPr>
              <w:t>资格要求</w:t>
            </w:r>
          </w:p>
        </w:tc>
        <w:tc>
          <w:tcPr>
            <w:tcW w:w="7365" w:type="dxa"/>
            <w:tcBorders>
              <w:left w:val="single" w:color="auto" w:sz="4" w:space="0"/>
            </w:tcBorders>
            <w:vAlign w:val="center"/>
          </w:tcPr>
          <w:p w14:paraId="2A8E18AA">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1.满足《中华人民共和国政府采购法》第二十二条规定；未被“信用中国”（www.creditchina.gov.cn）、中国政府采购网（www.ccgp.gov.cn）、浙江政府采购网（http://zfcg.czt.zj.gov.cn//）、国家企业信用信息公示系统（www.gsxt.gov.cn）列入失信被执行人、重大税收违法案件当事人名单、政府采购严重违法失信行为记录名单。</w:t>
            </w:r>
          </w:p>
          <w:p w14:paraId="002F8407">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2.</w:t>
            </w:r>
            <w:r>
              <w:rPr>
                <w:rFonts w:hint="eastAsia" w:ascii="宋体" w:hAnsi="宋体" w:eastAsia="宋体" w:cs="宋体"/>
                <w:sz w:val="21"/>
                <w:szCs w:val="21"/>
                <w:highlight w:val="none"/>
                <w:lang w:eastAsia="zh-CN"/>
              </w:rPr>
              <w:t>落实政府采购政策需满足的资格要求：本项目整体专门面向中小企业采购（残疾人福利性单位和监狱企业视同小微企业）</w:t>
            </w:r>
            <w:r>
              <w:rPr>
                <w:rFonts w:ascii="宋体" w:hAnsi="宋体" w:eastAsia="宋体" w:cs="宋体"/>
                <w:sz w:val="21"/>
                <w:szCs w:val="21"/>
                <w:highlight w:val="none"/>
              </w:rPr>
              <w:t>。</w:t>
            </w:r>
          </w:p>
          <w:p w14:paraId="5F02575A">
            <w:pPr>
              <w:pStyle w:val="23"/>
              <w:spacing w:before="0" w:beforeAutospacing="0" w:after="0" w:afterAutospacing="0" w:line="360" w:lineRule="auto"/>
              <w:rPr>
                <w:rFonts w:ascii="宋体" w:hAnsi="宋体" w:eastAsia="宋体" w:cs="宋体"/>
                <w:sz w:val="21"/>
                <w:szCs w:val="21"/>
                <w:highlight w:val="none"/>
              </w:rPr>
            </w:pPr>
            <w:r>
              <w:rPr>
                <w:rFonts w:ascii="宋体" w:hAnsi="宋体" w:eastAsia="宋体" w:cs="宋体"/>
                <w:sz w:val="21"/>
                <w:szCs w:val="21"/>
                <w:highlight w:val="none"/>
              </w:rPr>
              <w:t>3.</w:t>
            </w:r>
            <w:r>
              <w:rPr>
                <w:rFonts w:hint="eastAsia" w:ascii="宋体" w:hAnsi="宋体" w:eastAsia="宋体" w:cs="宋体"/>
                <w:sz w:val="21"/>
                <w:szCs w:val="21"/>
                <w:highlight w:val="none"/>
                <w:lang w:eastAsia="zh-CN"/>
              </w:rPr>
              <w:t>特定资格要求：须已在所属电影行政主管部门完成备案。</w:t>
            </w:r>
          </w:p>
        </w:tc>
      </w:tr>
      <w:tr w14:paraId="354F39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0A649285">
            <w:pPr>
              <w:spacing w:line="360" w:lineRule="auto"/>
              <w:jc w:val="center"/>
              <w:rPr>
                <w:rFonts w:ascii="宋体" w:hAnsi="宋体" w:cs="宋体"/>
                <w:szCs w:val="21"/>
                <w:highlight w:val="none"/>
              </w:rPr>
            </w:pPr>
            <w:r>
              <w:rPr>
                <w:rFonts w:ascii="宋体" w:hAnsi="宋体" w:cs="宋体"/>
                <w:szCs w:val="21"/>
                <w:highlight w:val="none"/>
              </w:rPr>
              <w:t>8</w:t>
            </w:r>
          </w:p>
        </w:tc>
        <w:tc>
          <w:tcPr>
            <w:tcW w:w="1834" w:type="dxa"/>
            <w:tcBorders>
              <w:left w:val="single" w:color="auto" w:sz="4" w:space="0"/>
            </w:tcBorders>
            <w:vAlign w:val="center"/>
          </w:tcPr>
          <w:p w14:paraId="14331F79">
            <w:pPr>
              <w:adjustRightInd w:val="0"/>
              <w:spacing w:line="360" w:lineRule="auto"/>
              <w:jc w:val="center"/>
              <w:rPr>
                <w:rFonts w:ascii="宋体" w:hAnsi="宋体" w:cs="宋体"/>
                <w:szCs w:val="21"/>
                <w:highlight w:val="none"/>
              </w:rPr>
            </w:pPr>
            <w:r>
              <w:rPr>
                <w:rFonts w:ascii="宋体" w:hAnsi="宋体" w:cs="宋体"/>
                <w:szCs w:val="21"/>
                <w:highlight w:val="none"/>
              </w:rPr>
              <w:t>是否接受联合体</w:t>
            </w:r>
          </w:p>
          <w:p w14:paraId="3E3C2651">
            <w:pPr>
              <w:adjustRightInd w:val="0"/>
              <w:spacing w:line="360" w:lineRule="auto"/>
              <w:jc w:val="center"/>
              <w:rPr>
                <w:rFonts w:ascii="宋体" w:hAnsi="宋体" w:cs="宋体"/>
                <w:szCs w:val="21"/>
                <w:highlight w:val="none"/>
              </w:rPr>
            </w:pPr>
            <w:r>
              <w:rPr>
                <w:rFonts w:ascii="宋体" w:hAnsi="宋体" w:cs="宋体"/>
                <w:szCs w:val="21"/>
                <w:highlight w:val="none"/>
              </w:rPr>
              <w:t>投标</w:t>
            </w:r>
          </w:p>
        </w:tc>
        <w:tc>
          <w:tcPr>
            <w:tcW w:w="7365" w:type="dxa"/>
            <w:tcBorders>
              <w:left w:val="single" w:color="auto" w:sz="4" w:space="0"/>
            </w:tcBorders>
            <w:vAlign w:val="center"/>
          </w:tcPr>
          <w:p w14:paraId="5569E21C">
            <w:pPr>
              <w:adjustRightInd w:val="0"/>
              <w:spacing w:line="360" w:lineRule="auto"/>
              <w:rPr>
                <w:rFonts w:ascii="宋体" w:hAnsi="宋体" w:cs="宋体"/>
                <w:szCs w:val="21"/>
                <w:highlight w:val="none"/>
              </w:rPr>
            </w:pPr>
            <w:r>
              <w:rPr>
                <w:rFonts w:ascii="宋体" w:hAnsi="宋体" w:cs="宋体"/>
                <w:szCs w:val="21"/>
                <w:highlight w:val="none"/>
              </w:rPr>
              <w:t>☑ 不接受</w:t>
            </w:r>
          </w:p>
          <w:p w14:paraId="1AC4E145">
            <w:pPr>
              <w:adjustRightInd w:val="0"/>
              <w:spacing w:line="360" w:lineRule="auto"/>
              <w:rPr>
                <w:rFonts w:ascii="宋体" w:hAnsi="宋体" w:cs="宋体"/>
                <w:i/>
                <w:szCs w:val="21"/>
                <w:highlight w:val="none"/>
              </w:rPr>
            </w:pPr>
            <w:r>
              <w:rPr>
                <w:rFonts w:ascii="宋体" w:hAnsi="宋体" w:cs="宋体"/>
                <w:szCs w:val="21"/>
                <w:highlight w:val="none"/>
              </w:rPr>
              <w:t>□ 接受</w:t>
            </w:r>
          </w:p>
        </w:tc>
      </w:tr>
      <w:tr w14:paraId="1B6A51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1E7B216B">
            <w:pPr>
              <w:spacing w:line="360" w:lineRule="auto"/>
              <w:jc w:val="center"/>
              <w:rPr>
                <w:rFonts w:ascii="宋体" w:hAnsi="宋体" w:cs="宋体"/>
                <w:szCs w:val="21"/>
                <w:highlight w:val="none"/>
              </w:rPr>
            </w:pPr>
            <w:r>
              <w:rPr>
                <w:rFonts w:ascii="宋体" w:hAnsi="宋体" w:cs="宋体"/>
                <w:szCs w:val="21"/>
                <w:highlight w:val="none"/>
              </w:rPr>
              <w:t>9</w:t>
            </w:r>
          </w:p>
        </w:tc>
        <w:tc>
          <w:tcPr>
            <w:tcW w:w="1834" w:type="dxa"/>
            <w:tcBorders>
              <w:left w:val="single" w:color="auto" w:sz="4" w:space="0"/>
            </w:tcBorders>
            <w:vAlign w:val="center"/>
          </w:tcPr>
          <w:p w14:paraId="12CCD21C">
            <w:pPr>
              <w:adjustRightInd w:val="0"/>
              <w:spacing w:line="360" w:lineRule="auto"/>
              <w:jc w:val="center"/>
              <w:rPr>
                <w:rFonts w:ascii="宋体" w:hAnsi="宋体" w:cs="宋体"/>
                <w:szCs w:val="21"/>
                <w:highlight w:val="none"/>
              </w:rPr>
            </w:pPr>
            <w:r>
              <w:rPr>
                <w:rFonts w:ascii="宋体" w:hAnsi="宋体" w:cs="宋体"/>
                <w:szCs w:val="21"/>
                <w:highlight w:val="none"/>
              </w:rPr>
              <w:t>踏勘现场</w:t>
            </w:r>
          </w:p>
        </w:tc>
        <w:tc>
          <w:tcPr>
            <w:tcW w:w="7365" w:type="dxa"/>
            <w:tcBorders>
              <w:left w:val="single" w:color="auto" w:sz="4" w:space="0"/>
            </w:tcBorders>
            <w:vAlign w:val="center"/>
          </w:tcPr>
          <w:p w14:paraId="5578837F">
            <w:pPr>
              <w:adjustRightInd w:val="0"/>
              <w:spacing w:line="360" w:lineRule="auto"/>
              <w:rPr>
                <w:rFonts w:ascii="宋体" w:hAnsi="宋体" w:cs="宋体"/>
                <w:szCs w:val="21"/>
                <w:highlight w:val="none"/>
              </w:rPr>
            </w:pPr>
            <w:r>
              <w:rPr>
                <w:rFonts w:ascii="宋体" w:hAnsi="宋体" w:cs="宋体"/>
                <w:szCs w:val="21"/>
                <w:highlight w:val="none"/>
              </w:rPr>
              <w:t>☑ 不组织</w:t>
            </w:r>
          </w:p>
          <w:p w14:paraId="54E5B936">
            <w:pPr>
              <w:adjustRightInd w:val="0"/>
              <w:spacing w:line="360" w:lineRule="auto"/>
              <w:rPr>
                <w:rFonts w:ascii="宋体" w:hAnsi="宋体" w:cs="宋体"/>
                <w:i/>
                <w:szCs w:val="21"/>
                <w:highlight w:val="none"/>
              </w:rPr>
            </w:pPr>
            <w:r>
              <w:rPr>
                <w:rFonts w:ascii="宋体" w:hAnsi="宋体" w:cs="宋体"/>
                <w:szCs w:val="21"/>
                <w:highlight w:val="none"/>
              </w:rPr>
              <w:t>□ 组织    踏勘时间：</w:t>
            </w:r>
            <w:r>
              <w:rPr>
                <w:rFonts w:ascii="宋体" w:hAnsi="宋体" w:cs="宋体"/>
                <w:i/>
                <w:szCs w:val="21"/>
                <w:highlight w:val="none"/>
              </w:rPr>
              <w:t xml:space="preserve">             </w:t>
            </w:r>
            <w:r>
              <w:rPr>
                <w:rFonts w:ascii="宋体" w:hAnsi="宋体" w:cs="宋体"/>
                <w:szCs w:val="21"/>
                <w:highlight w:val="none"/>
              </w:rPr>
              <w:t xml:space="preserve"> 踏勘集中地点：</w:t>
            </w:r>
          </w:p>
        </w:tc>
      </w:tr>
      <w:tr w14:paraId="3BB08C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484EDFB5">
            <w:pPr>
              <w:spacing w:line="360" w:lineRule="auto"/>
              <w:jc w:val="center"/>
              <w:rPr>
                <w:rFonts w:ascii="宋体" w:hAnsi="宋体" w:cs="宋体"/>
                <w:szCs w:val="21"/>
                <w:highlight w:val="none"/>
              </w:rPr>
            </w:pPr>
            <w:r>
              <w:rPr>
                <w:rFonts w:ascii="宋体" w:hAnsi="宋体" w:cs="宋体"/>
                <w:szCs w:val="21"/>
                <w:highlight w:val="none"/>
              </w:rPr>
              <w:t>10</w:t>
            </w:r>
          </w:p>
        </w:tc>
        <w:tc>
          <w:tcPr>
            <w:tcW w:w="1834" w:type="dxa"/>
            <w:tcBorders>
              <w:left w:val="single" w:color="auto" w:sz="4" w:space="0"/>
            </w:tcBorders>
            <w:vAlign w:val="center"/>
          </w:tcPr>
          <w:p w14:paraId="45EEBBD7">
            <w:pPr>
              <w:adjustRightInd w:val="0"/>
              <w:spacing w:line="360" w:lineRule="auto"/>
              <w:jc w:val="center"/>
              <w:rPr>
                <w:rFonts w:ascii="宋体" w:hAnsi="宋体" w:cs="宋体"/>
                <w:szCs w:val="21"/>
                <w:highlight w:val="none"/>
              </w:rPr>
            </w:pPr>
          </w:p>
          <w:p w14:paraId="6D2ADDBC">
            <w:pPr>
              <w:adjustRightInd w:val="0"/>
              <w:spacing w:line="360" w:lineRule="auto"/>
              <w:jc w:val="center"/>
              <w:rPr>
                <w:rFonts w:ascii="宋体" w:hAnsi="宋体" w:cs="宋体"/>
                <w:szCs w:val="21"/>
                <w:highlight w:val="none"/>
              </w:rPr>
            </w:pPr>
            <w:r>
              <w:rPr>
                <w:rFonts w:ascii="宋体" w:hAnsi="宋体" w:cs="宋体"/>
                <w:szCs w:val="21"/>
                <w:highlight w:val="none"/>
              </w:rPr>
              <w:t>是否允许递交备选投标方案</w:t>
            </w:r>
          </w:p>
        </w:tc>
        <w:tc>
          <w:tcPr>
            <w:tcW w:w="7365" w:type="dxa"/>
            <w:tcBorders>
              <w:left w:val="single" w:color="auto" w:sz="4" w:space="0"/>
            </w:tcBorders>
            <w:vAlign w:val="center"/>
          </w:tcPr>
          <w:p w14:paraId="75DC55C1">
            <w:pPr>
              <w:adjustRightInd w:val="0"/>
              <w:spacing w:line="360" w:lineRule="auto"/>
              <w:rPr>
                <w:rFonts w:ascii="宋体" w:hAnsi="宋体" w:cs="宋体"/>
                <w:szCs w:val="21"/>
                <w:highlight w:val="none"/>
              </w:rPr>
            </w:pPr>
            <w:r>
              <w:rPr>
                <w:rFonts w:ascii="宋体" w:hAnsi="宋体" w:cs="宋体"/>
                <w:szCs w:val="21"/>
                <w:highlight w:val="none"/>
              </w:rPr>
              <w:t>☑ 不允许：磋商供应商不得递交任何的投标备选（替代）方案，否则其磋商响应文件将作无效标处理。与“电子加密磋商响应文件”同时生成的“备份磋商响应文件”不是投标备选（替代）方案。</w:t>
            </w:r>
          </w:p>
          <w:p w14:paraId="43934654">
            <w:pPr>
              <w:adjustRightInd w:val="0"/>
              <w:spacing w:line="360" w:lineRule="auto"/>
              <w:rPr>
                <w:rFonts w:ascii="宋体" w:hAnsi="宋体" w:cs="宋体"/>
                <w:szCs w:val="21"/>
                <w:highlight w:val="none"/>
              </w:rPr>
            </w:pPr>
            <w:r>
              <w:rPr>
                <w:rFonts w:ascii="宋体" w:hAnsi="宋体" w:cs="宋体"/>
                <w:szCs w:val="21"/>
                <w:highlight w:val="none"/>
              </w:rPr>
              <w:t>□ 允许</w:t>
            </w:r>
          </w:p>
        </w:tc>
      </w:tr>
      <w:tr w14:paraId="2F4D29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1368CA46">
            <w:pPr>
              <w:spacing w:line="360" w:lineRule="auto"/>
              <w:jc w:val="center"/>
              <w:rPr>
                <w:rFonts w:ascii="宋体" w:hAnsi="宋体" w:cs="宋体"/>
                <w:szCs w:val="21"/>
                <w:highlight w:val="none"/>
              </w:rPr>
            </w:pPr>
            <w:r>
              <w:rPr>
                <w:rFonts w:ascii="宋体" w:hAnsi="宋体" w:cs="宋体"/>
                <w:szCs w:val="21"/>
                <w:highlight w:val="none"/>
              </w:rPr>
              <w:t>11</w:t>
            </w:r>
          </w:p>
        </w:tc>
        <w:tc>
          <w:tcPr>
            <w:tcW w:w="1834" w:type="dxa"/>
            <w:tcBorders>
              <w:left w:val="single" w:color="auto" w:sz="4" w:space="0"/>
            </w:tcBorders>
            <w:vAlign w:val="center"/>
          </w:tcPr>
          <w:p w14:paraId="392EF05E">
            <w:pPr>
              <w:adjustRightInd w:val="0"/>
              <w:spacing w:line="360" w:lineRule="auto"/>
              <w:jc w:val="center"/>
              <w:rPr>
                <w:rFonts w:ascii="宋体" w:hAnsi="宋体" w:cs="宋体"/>
                <w:szCs w:val="21"/>
                <w:highlight w:val="none"/>
              </w:rPr>
            </w:pPr>
            <w:r>
              <w:rPr>
                <w:rFonts w:ascii="宋体" w:hAnsi="宋体" w:cs="宋体"/>
                <w:szCs w:val="21"/>
                <w:highlight w:val="none"/>
              </w:rPr>
              <w:t>是否允许分包</w:t>
            </w:r>
          </w:p>
        </w:tc>
        <w:tc>
          <w:tcPr>
            <w:tcW w:w="7365" w:type="dxa"/>
            <w:tcBorders>
              <w:left w:val="single" w:color="auto" w:sz="4" w:space="0"/>
            </w:tcBorders>
            <w:vAlign w:val="center"/>
          </w:tcPr>
          <w:p w14:paraId="1DEA1C53">
            <w:pPr>
              <w:adjustRightInd w:val="0"/>
              <w:spacing w:line="360" w:lineRule="auto"/>
              <w:rPr>
                <w:rFonts w:ascii="宋体" w:hAnsi="宋体" w:cs="宋体"/>
                <w:szCs w:val="21"/>
                <w:highlight w:val="none"/>
              </w:rPr>
            </w:pPr>
            <w:r>
              <w:rPr>
                <w:rFonts w:ascii="宋体" w:hAnsi="宋体" w:cs="宋体"/>
                <w:szCs w:val="21"/>
                <w:highlight w:val="none"/>
              </w:rPr>
              <w:t>☑ 不允许</w:t>
            </w:r>
          </w:p>
          <w:p w14:paraId="15ED022D">
            <w:pPr>
              <w:adjustRightInd w:val="0"/>
              <w:spacing w:line="360" w:lineRule="auto"/>
              <w:rPr>
                <w:rFonts w:ascii="宋体" w:hAnsi="宋体" w:cs="宋体"/>
                <w:szCs w:val="21"/>
                <w:highlight w:val="none"/>
              </w:rPr>
            </w:pPr>
            <w:r>
              <w:rPr>
                <w:rFonts w:ascii="宋体" w:hAnsi="宋体" w:cs="宋体"/>
                <w:szCs w:val="21"/>
                <w:highlight w:val="none"/>
              </w:rPr>
              <w:t>□ 允许</w:t>
            </w:r>
          </w:p>
        </w:tc>
      </w:tr>
      <w:tr w14:paraId="638EA9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87" w:hRule="atLeast"/>
          <w:jc w:val="center"/>
        </w:trPr>
        <w:tc>
          <w:tcPr>
            <w:tcW w:w="645" w:type="dxa"/>
            <w:vAlign w:val="center"/>
          </w:tcPr>
          <w:p w14:paraId="7A1C8903">
            <w:pPr>
              <w:spacing w:line="360" w:lineRule="auto"/>
              <w:jc w:val="center"/>
              <w:rPr>
                <w:rFonts w:ascii="宋体" w:hAnsi="宋体" w:cs="宋体"/>
                <w:szCs w:val="21"/>
                <w:highlight w:val="none"/>
              </w:rPr>
            </w:pPr>
            <w:r>
              <w:rPr>
                <w:rFonts w:ascii="宋体" w:hAnsi="宋体" w:cs="宋体"/>
                <w:szCs w:val="21"/>
                <w:highlight w:val="none"/>
              </w:rPr>
              <w:t>12</w:t>
            </w:r>
          </w:p>
        </w:tc>
        <w:tc>
          <w:tcPr>
            <w:tcW w:w="1834" w:type="dxa"/>
            <w:tcBorders>
              <w:left w:val="single" w:color="auto" w:sz="4" w:space="0"/>
            </w:tcBorders>
            <w:vAlign w:val="center"/>
          </w:tcPr>
          <w:p w14:paraId="6FC52A7A">
            <w:pPr>
              <w:adjustRightInd w:val="0"/>
              <w:spacing w:line="360" w:lineRule="auto"/>
              <w:jc w:val="center"/>
              <w:rPr>
                <w:rFonts w:ascii="宋体" w:hAnsi="宋体" w:cs="宋体"/>
                <w:szCs w:val="21"/>
                <w:highlight w:val="none"/>
              </w:rPr>
            </w:pPr>
            <w:r>
              <w:rPr>
                <w:rFonts w:ascii="宋体" w:hAnsi="宋体" w:cs="宋体"/>
                <w:szCs w:val="21"/>
                <w:highlight w:val="none"/>
              </w:rPr>
              <w:t>报价货币</w:t>
            </w:r>
          </w:p>
        </w:tc>
        <w:tc>
          <w:tcPr>
            <w:tcW w:w="7365" w:type="dxa"/>
            <w:tcBorders>
              <w:left w:val="single" w:color="auto" w:sz="4" w:space="0"/>
            </w:tcBorders>
            <w:vAlign w:val="center"/>
          </w:tcPr>
          <w:p w14:paraId="033DB588">
            <w:pPr>
              <w:adjustRightInd w:val="0"/>
              <w:spacing w:line="360" w:lineRule="auto"/>
              <w:rPr>
                <w:rFonts w:ascii="宋体" w:hAnsi="宋体" w:cs="宋体"/>
                <w:szCs w:val="21"/>
                <w:highlight w:val="none"/>
              </w:rPr>
            </w:pPr>
            <w:r>
              <w:rPr>
                <w:rFonts w:ascii="宋体" w:hAnsi="宋体" w:cs="宋体"/>
                <w:szCs w:val="21"/>
                <w:highlight w:val="none"/>
              </w:rPr>
              <w:t>人民币</w:t>
            </w:r>
          </w:p>
        </w:tc>
      </w:tr>
      <w:tr w14:paraId="55EB31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85" w:hRule="atLeast"/>
          <w:jc w:val="center"/>
        </w:trPr>
        <w:tc>
          <w:tcPr>
            <w:tcW w:w="645" w:type="dxa"/>
            <w:vAlign w:val="center"/>
          </w:tcPr>
          <w:p w14:paraId="23FB8607">
            <w:pPr>
              <w:spacing w:line="360" w:lineRule="auto"/>
              <w:jc w:val="center"/>
              <w:rPr>
                <w:rFonts w:ascii="宋体" w:hAnsi="宋体" w:cs="宋体"/>
                <w:szCs w:val="21"/>
                <w:highlight w:val="none"/>
              </w:rPr>
            </w:pPr>
            <w:r>
              <w:rPr>
                <w:rFonts w:ascii="宋体" w:hAnsi="宋体" w:cs="宋体"/>
                <w:szCs w:val="21"/>
                <w:highlight w:val="none"/>
              </w:rPr>
              <w:t>13</w:t>
            </w:r>
          </w:p>
        </w:tc>
        <w:tc>
          <w:tcPr>
            <w:tcW w:w="1834" w:type="dxa"/>
            <w:tcBorders>
              <w:left w:val="single" w:color="auto" w:sz="4" w:space="0"/>
            </w:tcBorders>
            <w:vAlign w:val="center"/>
          </w:tcPr>
          <w:p w14:paraId="760F7B93">
            <w:pPr>
              <w:adjustRightInd w:val="0"/>
              <w:spacing w:line="360" w:lineRule="auto"/>
              <w:jc w:val="center"/>
              <w:rPr>
                <w:rFonts w:ascii="宋体" w:hAnsi="宋体" w:cs="宋体"/>
                <w:szCs w:val="21"/>
                <w:highlight w:val="none"/>
              </w:rPr>
            </w:pPr>
            <w:r>
              <w:rPr>
                <w:rFonts w:ascii="宋体" w:hAnsi="宋体" w:cs="宋体"/>
                <w:szCs w:val="21"/>
                <w:highlight w:val="none"/>
              </w:rPr>
              <w:t>报价语言</w:t>
            </w:r>
          </w:p>
        </w:tc>
        <w:tc>
          <w:tcPr>
            <w:tcW w:w="7365" w:type="dxa"/>
            <w:tcBorders>
              <w:left w:val="single" w:color="auto" w:sz="4" w:space="0"/>
            </w:tcBorders>
            <w:vAlign w:val="center"/>
          </w:tcPr>
          <w:p w14:paraId="3DE3E742">
            <w:pPr>
              <w:adjustRightInd w:val="0"/>
              <w:spacing w:line="360" w:lineRule="auto"/>
              <w:rPr>
                <w:rFonts w:ascii="宋体" w:hAnsi="宋体" w:cs="宋体"/>
                <w:szCs w:val="21"/>
                <w:highlight w:val="none"/>
              </w:rPr>
            </w:pPr>
            <w:r>
              <w:rPr>
                <w:rFonts w:ascii="宋体" w:hAnsi="宋体" w:cs="宋体"/>
                <w:szCs w:val="21"/>
                <w:highlight w:val="none"/>
              </w:rPr>
              <w:t>中文</w:t>
            </w:r>
          </w:p>
        </w:tc>
      </w:tr>
      <w:tr w14:paraId="745C08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63" w:hRule="atLeast"/>
          <w:jc w:val="center"/>
        </w:trPr>
        <w:tc>
          <w:tcPr>
            <w:tcW w:w="645" w:type="dxa"/>
            <w:vAlign w:val="center"/>
          </w:tcPr>
          <w:p w14:paraId="39B0772C">
            <w:pPr>
              <w:spacing w:line="360" w:lineRule="auto"/>
              <w:jc w:val="center"/>
              <w:rPr>
                <w:rFonts w:ascii="宋体" w:hAnsi="宋体" w:cs="宋体"/>
                <w:szCs w:val="21"/>
                <w:highlight w:val="none"/>
              </w:rPr>
            </w:pPr>
            <w:r>
              <w:rPr>
                <w:rFonts w:ascii="宋体" w:hAnsi="宋体" w:cs="宋体"/>
                <w:szCs w:val="21"/>
                <w:highlight w:val="none"/>
              </w:rPr>
              <w:t>14</w:t>
            </w:r>
          </w:p>
        </w:tc>
        <w:tc>
          <w:tcPr>
            <w:tcW w:w="1834" w:type="dxa"/>
            <w:tcBorders>
              <w:left w:val="single" w:color="auto" w:sz="4" w:space="0"/>
            </w:tcBorders>
            <w:vAlign w:val="center"/>
          </w:tcPr>
          <w:p w14:paraId="2A82B714">
            <w:pPr>
              <w:spacing w:line="360" w:lineRule="auto"/>
              <w:jc w:val="center"/>
              <w:rPr>
                <w:rFonts w:ascii="宋体" w:hAnsi="宋体" w:cs="宋体"/>
                <w:szCs w:val="21"/>
                <w:highlight w:val="none"/>
              </w:rPr>
            </w:pPr>
          </w:p>
          <w:p w14:paraId="6CA210D3">
            <w:pPr>
              <w:spacing w:line="360" w:lineRule="auto"/>
              <w:jc w:val="center"/>
              <w:rPr>
                <w:rFonts w:ascii="宋体" w:hAnsi="宋体" w:cs="宋体"/>
                <w:szCs w:val="21"/>
                <w:highlight w:val="none"/>
              </w:rPr>
            </w:pPr>
          </w:p>
          <w:p w14:paraId="6B8C071C">
            <w:pPr>
              <w:spacing w:line="360" w:lineRule="auto"/>
              <w:jc w:val="center"/>
              <w:rPr>
                <w:rFonts w:ascii="宋体" w:hAnsi="宋体" w:cs="宋体"/>
                <w:szCs w:val="21"/>
                <w:highlight w:val="none"/>
              </w:rPr>
            </w:pPr>
            <w:r>
              <w:rPr>
                <w:rFonts w:ascii="宋体" w:hAnsi="宋体" w:cs="宋体"/>
                <w:szCs w:val="21"/>
                <w:highlight w:val="none"/>
              </w:rPr>
              <w:t>磋商响应文件形式、组成及制作</w:t>
            </w:r>
          </w:p>
        </w:tc>
        <w:tc>
          <w:tcPr>
            <w:tcW w:w="7365" w:type="dxa"/>
            <w:tcBorders>
              <w:left w:val="single" w:color="auto" w:sz="4" w:space="0"/>
            </w:tcBorders>
            <w:vAlign w:val="center"/>
          </w:tcPr>
          <w:p w14:paraId="0E3FFE67">
            <w:pPr>
              <w:pStyle w:val="23"/>
              <w:numPr>
                <w:ilvl w:val="0"/>
                <w:numId w:val="5"/>
              </w:numPr>
              <w:tabs>
                <w:tab w:val="left" w:pos="6930"/>
              </w:tabs>
              <w:spacing w:before="0" w:beforeAutospacing="0" w:after="0" w:afterAutospacing="0" w:line="360" w:lineRule="auto"/>
              <w:rPr>
                <w:rFonts w:ascii="宋体" w:hAnsi="宋体" w:eastAsia="宋体" w:cs="宋体"/>
                <w:color w:val="auto"/>
                <w:sz w:val="21"/>
                <w:szCs w:val="21"/>
                <w:highlight w:val="none"/>
                <w:lang w:val="zh-CN"/>
              </w:rPr>
            </w:pP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的形式：电子</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（包括“电子加密</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”和“备份</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”以及“演示视频文件（如有），在</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编制完成后同时生成）；</w:t>
            </w:r>
          </w:p>
          <w:p w14:paraId="5562F06E">
            <w:pPr>
              <w:pStyle w:val="23"/>
              <w:numPr>
                <w:ilvl w:val="0"/>
                <w:numId w:val="5"/>
              </w:numPr>
              <w:tabs>
                <w:tab w:val="left" w:pos="6930"/>
              </w:tabs>
              <w:spacing w:before="0" w:beforeAutospacing="0" w:after="0" w:afterAutospacing="0" w:line="360" w:lineRule="auto"/>
              <w:rPr>
                <w:rFonts w:ascii="宋体" w:hAnsi="宋体" w:eastAsia="宋体" w:cs="宋体"/>
                <w:color w:val="auto"/>
                <w:sz w:val="21"/>
                <w:szCs w:val="21"/>
                <w:highlight w:val="none"/>
                <w:lang w:val="zh-CN"/>
              </w:rPr>
            </w:pPr>
            <w:r>
              <w:rPr>
                <w:rFonts w:ascii="宋体" w:hAnsi="宋体" w:eastAsia="宋体" w:cs="宋体"/>
                <w:color w:val="auto"/>
                <w:sz w:val="21"/>
                <w:szCs w:val="21"/>
                <w:highlight w:val="none"/>
                <w:lang w:val="zh-CN"/>
              </w:rPr>
              <w:t>本项目实行在线投标响应（电子投标）。</w:t>
            </w:r>
          </w:p>
          <w:p w14:paraId="0CDDC89A">
            <w:pPr>
              <w:pStyle w:val="23"/>
              <w:tabs>
                <w:tab w:val="left" w:pos="6930"/>
              </w:tabs>
              <w:spacing w:before="0" w:beforeAutospacing="0" w:after="0" w:afterAutospacing="0" w:line="360" w:lineRule="auto"/>
              <w:rPr>
                <w:rFonts w:ascii="宋体" w:hAnsi="宋体" w:eastAsia="宋体" w:cs="宋体"/>
                <w:b/>
                <w:bCs/>
                <w:color w:val="auto"/>
                <w:sz w:val="21"/>
                <w:szCs w:val="21"/>
                <w:highlight w:val="none"/>
                <w:u w:val="wave"/>
                <w:lang w:val="zh-CN"/>
              </w:rPr>
            </w:pPr>
            <w:r>
              <w:rPr>
                <w:rFonts w:ascii="宋体" w:hAnsi="宋体" w:eastAsia="宋体" w:cs="宋体"/>
                <w:color w:val="auto"/>
                <w:sz w:val="21"/>
                <w:szCs w:val="21"/>
                <w:highlight w:val="none"/>
                <w:lang w:val="zh-CN"/>
              </w:rPr>
              <w:t>（1）“电子加密</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”是指通过“政采云电子交易客户端”完成</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编制后生成并加密的数据电文形式的</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w:t>
            </w:r>
            <w:r>
              <w:rPr>
                <w:rFonts w:ascii="宋体" w:hAnsi="宋体" w:eastAsia="宋体" w:cs="宋体"/>
                <w:b/>
                <w:bCs/>
                <w:color w:val="auto"/>
                <w:sz w:val="21"/>
                <w:szCs w:val="21"/>
                <w:highlight w:val="none"/>
                <w:u w:val="wave"/>
                <w:lang w:val="zh-CN"/>
              </w:rPr>
              <w:t>“电子加密</w:t>
            </w:r>
            <w:r>
              <w:rPr>
                <w:rFonts w:ascii="宋体" w:hAnsi="宋体" w:eastAsia="宋体" w:cs="宋体"/>
                <w:b/>
                <w:bCs/>
                <w:color w:val="auto"/>
                <w:sz w:val="21"/>
                <w:szCs w:val="21"/>
                <w:highlight w:val="none"/>
                <w:u w:val="wave"/>
              </w:rPr>
              <w:t>响应文件</w:t>
            </w:r>
            <w:r>
              <w:rPr>
                <w:rFonts w:ascii="宋体" w:hAnsi="宋体" w:eastAsia="宋体" w:cs="宋体"/>
                <w:b/>
                <w:bCs/>
                <w:color w:val="auto"/>
                <w:sz w:val="21"/>
                <w:szCs w:val="21"/>
                <w:highlight w:val="none"/>
                <w:u w:val="wave"/>
                <w:lang w:val="zh-CN"/>
              </w:rPr>
              <w:t>”</w:t>
            </w:r>
            <w:r>
              <w:rPr>
                <w:rFonts w:ascii="宋体" w:hAnsi="宋体" w:eastAsia="宋体" w:cs="宋体"/>
                <w:b/>
                <w:bCs/>
                <w:color w:val="auto"/>
                <w:sz w:val="21"/>
                <w:szCs w:val="21"/>
                <w:highlight w:val="none"/>
                <w:u w:val="wave"/>
              </w:rPr>
              <w:t>文件格式为（.jmbs）。</w:t>
            </w:r>
          </w:p>
          <w:p w14:paraId="4BB5531A">
            <w:pPr>
              <w:pStyle w:val="23"/>
              <w:tabs>
                <w:tab w:val="left" w:pos="6930"/>
              </w:tabs>
              <w:spacing w:before="0" w:beforeAutospacing="0" w:after="0" w:afterAutospacing="0" w:line="360" w:lineRule="auto"/>
              <w:rPr>
                <w:rFonts w:ascii="宋体" w:hAnsi="宋体" w:eastAsia="宋体" w:cs="宋体"/>
                <w:b/>
                <w:bCs/>
                <w:color w:val="auto"/>
                <w:sz w:val="21"/>
                <w:szCs w:val="21"/>
                <w:highlight w:val="none"/>
                <w:u w:val="wave"/>
              </w:rPr>
            </w:pPr>
            <w:r>
              <w:rPr>
                <w:rFonts w:ascii="宋体" w:hAnsi="宋体" w:eastAsia="宋体" w:cs="宋体"/>
                <w:color w:val="auto"/>
                <w:sz w:val="21"/>
                <w:szCs w:val="21"/>
                <w:highlight w:val="none"/>
                <w:lang w:val="zh-CN"/>
              </w:rPr>
              <w:t>（2）“备份</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”是指与“电子加密</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”同时生成的数据电文形式的电子文件（备份标书），其他方式编制的备份</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视为无效备份</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w:t>
            </w:r>
            <w:r>
              <w:rPr>
                <w:rFonts w:ascii="宋体" w:hAnsi="宋体" w:eastAsia="宋体" w:cs="宋体"/>
                <w:b/>
                <w:bCs/>
                <w:color w:val="auto"/>
                <w:sz w:val="21"/>
                <w:szCs w:val="21"/>
                <w:highlight w:val="none"/>
                <w:u w:val="wave"/>
                <w:lang w:val="zh-CN"/>
              </w:rPr>
              <w:t>“备份</w:t>
            </w:r>
            <w:r>
              <w:rPr>
                <w:rFonts w:ascii="宋体" w:hAnsi="宋体" w:eastAsia="宋体" w:cs="宋体"/>
                <w:b/>
                <w:bCs/>
                <w:color w:val="auto"/>
                <w:sz w:val="21"/>
                <w:szCs w:val="21"/>
                <w:highlight w:val="none"/>
                <w:u w:val="wave"/>
              </w:rPr>
              <w:t>响应文件</w:t>
            </w:r>
            <w:r>
              <w:rPr>
                <w:rFonts w:ascii="宋体" w:hAnsi="宋体" w:eastAsia="宋体" w:cs="宋体"/>
                <w:b/>
                <w:bCs/>
                <w:color w:val="auto"/>
                <w:sz w:val="21"/>
                <w:szCs w:val="21"/>
                <w:highlight w:val="none"/>
                <w:u w:val="wave"/>
                <w:lang w:val="zh-CN"/>
              </w:rPr>
              <w:t>”</w:t>
            </w:r>
            <w:r>
              <w:rPr>
                <w:rFonts w:ascii="宋体" w:hAnsi="宋体" w:eastAsia="宋体" w:cs="宋体"/>
                <w:b/>
                <w:bCs/>
                <w:color w:val="auto"/>
                <w:sz w:val="21"/>
                <w:szCs w:val="21"/>
                <w:highlight w:val="none"/>
                <w:u w:val="wave"/>
              </w:rPr>
              <w:t>文件格式为（.bfbs）。</w:t>
            </w:r>
          </w:p>
          <w:p w14:paraId="4DCBB281">
            <w:pPr>
              <w:pStyle w:val="23"/>
              <w:tabs>
                <w:tab w:val="left" w:pos="6930"/>
              </w:tabs>
              <w:spacing w:before="0" w:beforeAutospacing="0" w:after="0" w:afterAutospacing="0" w:line="360" w:lineRule="auto"/>
              <w:rPr>
                <w:rFonts w:ascii="宋体" w:hAnsi="宋体" w:eastAsia="宋体" w:cs="宋体"/>
                <w:b/>
                <w:bCs/>
                <w:color w:val="auto"/>
                <w:sz w:val="21"/>
                <w:szCs w:val="21"/>
                <w:highlight w:val="none"/>
              </w:rPr>
            </w:pPr>
            <w:r>
              <w:rPr>
                <w:rFonts w:ascii="宋体" w:hAnsi="宋体" w:eastAsia="宋体" w:cs="宋体"/>
                <w:b/>
                <w:bCs/>
                <w:color w:val="auto"/>
                <w:sz w:val="21"/>
                <w:szCs w:val="21"/>
                <w:highlight w:val="none"/>
              </w:rPr>
              <w:t>以上两类投标文件均由资格审查资料、商务技术文件、报价文件三部分组成。</w:t>
            </w:r>
          </w:p>
          <w:p w14:paraId="0618A401">
            <w:pPr>
              <w:pStyle w:val="23"/>
              <w:tabs>
                <w:tab w:val="left" w:pos="6930"/>
              </w:tabs>
              <w:spacing w:before="0" w:beforeAutospacing="0" w:after="0" w:afterAutospacing="0" w:line="360" w:lineRule="auto"/>
              <w:rPr>
                <w:rFonts w:ascii="宋体" w:hAnsi="宋体" w:eastAsia="宋体" w:cs="宋体"/>
                <w:color w:val="auto"/>
                <w:sz w:val="21"/>
                <w:szCs w:val="21"/>
                <w:highlight w:val="none"/>
              </w:rPr>
            </w:pPr>
            <w:r>
              <w:rPr>
                <w:rFonts w:ascii="宋体" w:hAnsi="宋体" w:eastAsia="宋体" w:cs="宋体"/>
                <w:color w:val="auto"/>
                <w:sz w:val="21"/>
                <w:szCs w:val="21"/>
                <w:highlight w:val="none"/>
              </w:rPr>
              <w:t>（3）投标人根据本项目采购内容和需求以及商务技术文件评审细则制作的演示视频文件（如有）。</w:t>
            </w:r>
          </w:p>
          <w:p w14:paraId="42024F86">
            <w:pPr>
              <w:pStyle w:val="23"/>
              <w:tabs>
                <w:tab w:val="left" w:pos="6930"/>
              </w:tabs>
              <w:spacing w:before="0" w:beforeAutospacing="0" w:after="0" w:afterAutospacing="0" w:line="360" w:lineRule="auto"/>
              <w:rPr>
                <w:rFonts w:ascii="宋体" w:hAnsi="宋体" w:eastAsia="宋体" w:cs="宋体"/>
                <w:b/>
                <w:bCs/>
                <w:color w:val="auto"/>
                <w:sz w:val="21"/>
                <w:szCs w:val="21"/>
                <w:highlight w:val="none"/>
              </w:rPr>
            </w:pPr>
            <w:r>
              <w:rPr>
                <w:rFonts w:ascii="宋体" w:hAnsi="宋体" w:eastAsia="宋体" w:cs="宋体"/>
                <w:b/>
                <w:bCs/>
                <w:color w:val="auto"/>
                <w:sz w:val="21"/>
                <w:szCs w:val="21"/>
                <w:highlight w:val="none"/>
              </w:rPr>
              <w:t>3. 电子加密响应文件制作：应按政采云平台供应商项目采购-电子招投标操作指南、加密并递交。</w:t>
            </w:r>
          </w:p>
        </w:tc>
      </w:tr>
      <w:tr w14:paraId="34F779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6" w:hRule="atLeast"/>
          <w:jc w:val="center"/>
        </w:trPr>
        <w:tc>
          <w:tcPr>
            <w:tcW w:w="645" w:type="dxa"/>
            <w:vAlign w:val="center"/>
          </w:tcPr>
          <w:p w14:paraId="4AD12E67">
            <w:pPr>
              <w:spacing w:line="276" w:lineRule="auto"/>
              <w:jc w:val="center"/>
              <w:rPr>
                <w:rFonts w:ascii="宋体" w:hAnsi="宋体" w:cs="宋体"/>
                <w:szCs w:val="21"/>
                <w:highlight w:val="none"/>
              </w:rPr>
            </w:pPr>
            <w:r>
              <w:rPr>
                <w:rFonts w:ascii="宋体" w:hAnsi="宋体" w:cs="宋体"/>
                <w:szCs w:val="21"/>
                <w:highlight w:val="none"/>
              </w:rPr>
              <w:t>15</w:t>
            </w:r>
          </w:p>
        </w:tc>
        <w:tc>
          <w:tcPr>
            <w:tcW w:w="1834" w:type="dxa"/>
            <w:tcBorders>
              <w:left w:val="single" w:color="auto" w:sz="4" w:space="0"/>
            </w:tcBorders>
            <w:vAlign w:val="center"/>
          </w:tcPr>
          <w:p w14:paraId="3A36F64F">
            <w:pPr>
              <w:spacing w:line="360" w:lineRule="auto"/>
              <w:jc w:val="center"/>
              <w:rPr>
                <w:rFonts w:ascii="宋体" w:hAnsi="宋体" w:cs="宋体"/>
                <w:szCs w:val="21"/>
                <w:highlight w:val="none"/>
              </w:rPr>
            </w:pPr>
            <w:r>
              <w:rPr>
                <w:rFonts w:ascii="宋体" w:hAnsi="宋体" w:cs="宋体"/>
                <w:szCs w:val="21"/>
                <w:highlight w:val="none"/>
              </w:rPr>
              <w:t>响应文件有效期</w:t>
            </w:r>
          </w:p>
        </w:tc>
        <w:tc>
          <w:tcPr>
            <w:tcW w:w="7365" w:type="dxa"/>
            <w:tcBorders>
              <w:left w:val="single" w:color="auto" w:sz="4" w:space="0"/>
            </w:tcBorders>
            <w:vAlign w:val="center"/>
          </w:tcPr>
          <w:p w14:paraId="68292C50">
            <w:pPr>
              <w:spacing w:line="360" w:lineRule="auto"/>
              <w:rPr>
                <w:rFonts w:ascii="宋体" w:hAnsi="宋体" w:cs="宋体"/>
                <w:szCs w:val="21"/>
                <w:highlight w:val="none"/>
              </w:rPr>
            </w:pPr>
            <w:r>
              <w:rPr>
                <w:rFonts w:ascii="宋体" w:hAnsi="宋体" w:cs="宋体"/>
                <w:szCs w:val="21"/>
                <w:highlight w:val="none"/>
              </w:rPr>
              <w:t>磋商响应文件截止时间起90日历天</w:t>
            </w:r>
          </w:p>
        </w:tc>
      </w:tr>
      <w:tr w14:paraId="2866140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645" w:type="dxa"/>
            <w:vAlign w:val="center"/>
          </w:tcPr>
          <w:p w14:paraId="7D34BC5D">
            <w:pPr>
              <w:spacing w:line="276" w:lineRule="auto"/>
              <w:jc w:val="center"/>
              <w:rPr>
                <w:rFonts w:ascii="宋体" w:hAnsi="宋体" w:cs="宋体"/>
                <w:szCs w:val="21"/>
                <w:highlight w:val="none"/>
              </w:rPr>
            </w:pPr>
            <w:r>
              <w:rPr>
                <w:rFonts w:ascii="宋体" w:hAnsi="宋体" w:cs="宋体"/>
                <w:szCs w:val="21"/>
                <w:highlight w:val="none"/>
              </w:rPr>
              <w:t>16</w:t>
            </w:r>
          </w:p>
        </w:tc>
        <w:tc>
          <w:tcPr>
            <w:tcW w:w="1834" w:type="dxa"/>
            <w:tcBorders>
              <w:left w:val="single" w:color="auto" w:sz="4" w:space="0"/>
            </w:tcBorders>
            <w:vAlign w:val="center"/>
          </w:tcPr>
          <w:p w14:paraId="219F10A3">
            <w:pPr>
              <w:spacing w:line="360" w:lineRule="auto"/>
              <w:jc w:val="center"/>
              <w:rPr>
                <w:rFonts w:ascii="宋体" w:hAnsi="宋体" w:cs="宋体"/>
                <w:szCs w:val="21"/>
                <w:highlight w:val="none"/>
              </w:rPr>
            </w:pPr>
            <w:r>
              <w:rPr>
                <w:rFonts w:ascii="宋体" w:hAnsi="宋体" w:cs="宋体"/>
                <w:szCs w:val="21"/>
                <w:highlight w:val="none"/>
              </w:rPr>
              <w:t>签字或盖章要求</w:t>
            </w:r>
          </w:p>
        </w:tc>
        <w:tc>
          <w:tcPr>
            <w:tcW w:w="7365" w:type="dxa"/>
            <w:tcBorders>
              <w:left w:val="single" w:color="auto" w:sz="4" w:space="0"/>
            </w:tcBorders>
            <w:vAlign w:val="center"/>
          </w:tcPr>
          <w:p w14:paraId="5236D368">
            <w:pPr>
              <w:numPr>
                <w:ilvl w:val="0"/>
                <w:numId w:val="6"/>
              </w:numPr>
              <w:spacing w:line="360" w:lineRule="auto"/>
              <w:rPr>
                <w:rStyle w:val="36"/>
                <w:rFonts w:ascii="宋体" w:hAnsi="宋体" w:cs="宋体"/>
                <w:szCs w:val="21"/>
                <w:highlight w:val="none"/>
              </w:rPr>
            </w:pPr>
            <w:r>
              <w:rPr>
                <w:rStyle w:val="36"/>
                <w:rFonts w:ascii="宋体" w:hAnsi="宋体" w:cs="宋体"/>
                <w:szCs w:val="21"/>
                <w:highlight w:val="none"/>
              </w:rPr>
              <w:t>响应文件中所须加盖供应商公章部分均采用CA电子签章，法定代表人和授权代表签字或盖章可书面签字或盖章后扫描至电子加密响应文件中上传。</w:t>
            </w:r>
          </w:p>
          <w:p w14:paraId="05936493">
            <w:pPr>
              <w:numPr>
                <w:ilvl w:val="0"/>
                <w:numId w:val="6"/>
              </w:numPr>
              <w:spacing w:line="360" w:lineRule="auto"/>
              <w:rPr>
                <w:rStyle w:val="36"/>
                <w:rFonts w:ascii="宋体" w:hAnsi="宋体" w:cs="宋体"/>
                <w:szCs w:val="21"/>
                <w:highlight w:val="none"/>
              </w:rPr>
            </w:pPr>
            <w:r>
              <w:rPr>
                <w:rStyle w:val="36"/>
                <w:rFonts w:ascii="宋体" w:hAnsi="宋体" w:cs="宋体"/>
                <w:szCs w:val="21"/>
                <w:highlight w:val="none"/>
              </w:rPr>
              <w:t>政采云系统平台有新的操作流程的，按其规定进行。</w:t>
            </w:r>
          </w:p>
          <w:p w14:paraId="7A327BD8">
            <w:pPr>
              <w:numPr>
                <w:ilvl w:val="0"/>
                <w:numId w:val="6"/>
              </w:numPr>
              <w:spacing w:line="360" w:lineRule="auto"/>
              <w:rPr>
                <w:rStyle w:val="36"/>
                <w:rFonts w:ascii="宋体" w:hAnsi="宋体" w:cs="宋体"/>
                <w:szCs w:val="21"/>
                <w:highlight w:val="none"/>
              </w:rPr>
            </w:pPr>
            <w:r>
              <w:rPr>
                <w:rStyle w:val="36"/>
                <w:rFonts w:ascii="宋体" w:hAnsi="宋体" w:cs="宋体"/>
                <w:szCs w:val="21"/>
                <w:highlight w:val="none"/>
              </w:rPr>
              <w:t>中标后的纸质磋商响应文件中所涉及的公章必须是磋商供应商全称的公章，不得使用投标专用章、合同章等类似图章代替，所涉及法定代表人或授权代表的签字由法定代表人或授权代表本人签字或盖章。</w:t>
            </w:r>
          </w:p>
        </w:tc>
      </w:tr>
      <w:tr w14:paraId="21DBF4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659" w:hRule="atLeast"/>
          <w:jc w:val="center"/>
        </w:trPr>
        <w:tc>
          <w:tcPr>
            <w:tcW w:w="645" w:type="dxa"/>
            <w:vAlign w:val="center"/>
          </w:tcPr>
          <w:p w14:paraId="0DB78542">
            <w:pPr>
              <w:jc w:val="center"/>
              <w:rPr>
                <w:rFonts w:hint="eastAsia" w:ascii="宋体" w:hAnsi="宋体" w:eastAsia="宋体" w:cs="宋体"/>
                <w:szCs w:val="21"/>
                <w:highlight w:val="none"/>
                <w:lang w:eastAsia="zh-CN"/>
              </w:rPr>
            </w:pPr>
            <w:r>
              <w:rPr>
                <w:rFonts w:ascii="宋体" w:hAnsi="宋体" w:cs="宋体"/>
                <w:szCs w:val="21"/>
                <w:highlight w:val="none"/>
              </w:rPr>
              <w:t>1</w:t>
            </w:r>
            <w:r>
              <w:rPr>
                <w:rFonts w:hint="eastAsia" w:ascii="宋体" w:hAnsi="宋体" w:cs="宋体"/>
                <w:szCs w:val="21"/>
                <w:highlight w:val="none"/>
                <w:lang w:val="en-US" w:eastAsia="zh-CN"/>
              </w:rPr>
              <w:t>7</w:t>
            </w:r>
          </w:p>
        </w:tc>
        <w:tc>
          <w:tcPr>
            <w:tcW w:w="1834" w:type="dxa"/>
            <w:tcBorders>
              <w:left w:val="single" w:color="auto" w:sz="4" w:space="0"/>
            </w:tcBorders>
            <w:vAlign w:val="center"/>
          </w:tcPr>
          <w:p w14:paraId="104E9BD1">
            <w:pPr>
              <w:spacing w:line="360" w:lineRule="auto"/>
              <w:jc w:val="center"/>
              <w:rPr>
                <w:rFonts w:ascii="宋体" w:hAnsi="宋体" w:cs="宋体"/>
                <w:szCs w:val="21"/>
                <w:highlight w:val="none"/>
              </w:rPr>
            </w:pPr>
            <w:r>
              <w:rPr>
                <w:rFonts w:ascii="宋体" w:hAnsi="宋体" w:cs="宋体"/>
                <w:szCs w:val="21"/>
                <w:highlight w:val="none"/>
              </w:rPr>
              <w:t>磋商保证金</w:t>
            </w:r>
          </w:p>
        </w:tc>
        <w:tc>
          <w:tcPr>
            <w:tcW w:w="7365" w:type="dxa"/>
            <w:tcBorders>
              <w:left w:val="single" w:color="auto" w:sz="4" w:space="0"/>
            </w:tcBorders>
            <w:vAlign w:val="center"/>
          </w:tcPr>
          <w:p w14:paraId="063EB735">
            <w:pPr>
              <w:bidi w:val="0"/>
              <w:spacing w:line="360" w:lineRule="auto"/>
              <w:rPr>
                <w:highlight w:val="none"/>
              </w:rPr>
            </w:pPr>
            <w:r>
              <w:rPr>
                <w:highlight w:val="none"/>
              </w:rPr>
              <w:t xml:space="preserve">□ 需要  </w:t>
            </w:r>
          </w:p>
          <w:p w14:paraId="41FA4D4C">
            <w:pPr>
              <w:bidi w:val="0"/>
              <w:spacing w:line="360" w:lineRule="auto"/>
              <w:rPr>
                <w:rFonts w:ascii="宋体" w:hAnsi="宋体" w:cs="宋体"/>
                <w:szCs w:val="21"/>
                <w:highlight w:val="none"/>
              </w:rPr>
            </w:pPr>
            <w:r>
              <w:rPr>
                <w:highlight w:val="none"/>
              </w:rPr>
              <w:t>☑ 不需要</w:t>
            </w:r>
          </w:p>
        </w:tc>
      </w:tr>
      <w:tr w14:paraId="027226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9" w:hRule="atLeast"/>
          <w:jc w:val="center"/>
        </w:trPr>
        <w:tc>
          <w:tcPr>
            <w:tcW w:w="645" w:type="dxa"/>
            <w:vAlign w:val="center"/>
          </w:tcPr>
          <w:p w14:paraId="2F40A2D6">
            <w:pPr>
              <w:spacing w:line="360" w:lineRule="exact"/>
              <w:jc w:val="center"/>
              <w:rPr>
                <w:rFonts w:hint="eastAsia" w:ascii="宋体" w:hAnsi="宋体" w:eastAsia="宋体" w:cs="宋体"/>
                <w:szCs w:val="21"/>
                <w:highlight w:val="none"/>
                <w:lang w:eastAsia="zh-CN"/>
              </w:rPr>
            </w:pPr>
            <w:r>
              <w:rPr>
                <w:rFonts w:ascii="宋体" w:hAnsi="宋体" w:cs="宋体"/>
                <w:szCs w:val="21"/>
                <w:highlight w:val="none"/>
              </w:rPr>
              <w:t>1</w:t>
            </w:r>
            <w:r>
              <w:rPr>
                <w:rFonts w:hint="eastAsia" w:ascii="宋体" w:hAnsi="宋体" w:cs="宋体"/>
                <w:szCs w:val="21"/>
                <w:highlight w:val="none"/>
                <w:lang w:val="en-US" w:eastAsia="zh-CN"/>
              </w:rPr>
              <w:t>8</w:t>
            </w:r>
          </w:p>
        </w:tc>
        <w:tc>
          <w:tcPr>
            <w:tcW w:w="1834" w:type="dxa"/>
            <w:tcBorders>
              <w:left w:val="single" w:color="auto" w:sz="4" w:space="0"/>
            </w:tcBorders>
            <w:vAlign w:val="center"/>
          </w:tcPr>
          <w:p w14:paraId="011A378F">
            <w:pPr>
              <w:adjustRightInd w:val="0"/>
              <w:spacing w:line="360" w:lineRule="auto"/>
              <w:jc w:val="center"/>
              <w:rPr>
                <w:rFonts w:ascii="宋体" w:hAnsi="宋体" w:cs="宋体"/>
                <w:szCs w:val="21"/>
                <w:highlight w:val="none"/>
              </w:rPr>
            </w:pPr>
            <w:r>
              <w:rPr>
                <w:rFonts w:ascii="宋体" w:hAnsi="宋体" w:cs="宋体"/>
                <w:szCs w:val="21"/>
                <w:highlight w:val="none"/>
              </w:rPr>
              <w:t>履约担保</w:t>
            </w:r>
          </w:p>
        </w:tc>
        <w:tc>
          <w:tcPr>
            <w:tcW w:w="7365" w:type="dxa"/>
            <w:tcBorders>
              <w:left w:val="single" w:color="auto" w:sz="4" w:space="0"/>
            </w:tcBorders>
            <w:vAlign w:val="center"/>
          </w:tcPr>
          <w:p w14:paraId="0F561C41">
            <w:pPr>
              <w:spacing w:line="360" w:lineRule="auto"/>
              <w:ind w:left="1058" w:hanging="1058" w:hangingChars="504"/>
              <w:rPr>
                <w:rFonts w:ascii="宋体" w:hAnsi="宋体" w:cs="宋体"/>
                <w:szCs w:val="21"/>
                <w:highlight w:val="none"/>
              </w:rPr>
            </w:pPr>
            <w:r>
              <w:rPr>
                <w:rFonts w:hint="eastAsia" w:ascii="宋体" w:hAnsi="宋体" w:cs="宋体"/>
                <w:szCs w:val="21"/>
                <w:highlight w:val="none"/>
                <w:lang w:eastAsia="zh-CN"/>
              </w:rPr>
              <w:t>□</w:t>
            </w:r>
            <w:r>
              <w:rPr>
                <w:rFonts w:ascii="宋体" w:hAnsi="宋体" w:cs="宋体"/>
                <w:szCs w:val="21"/>
                <w:highlight w:val="none"/>
              </w:rPr>
              <w:t xml:space="preserve"> 不需要</w:t>
            </w:r>
          </w:p>
          <w:p w14:paraId="36EC5357">
            <w:pPr>
              <w:spacing w:line="360" w:lineRule="auto"/>
              <w:ind w:left="1058" w:hanging="1058" w:hangingChars="504"/>
              <w:rPr>
                <w:rFonts w:ascii="宋体" w:hAnsi="宋体" w:cs="宋体"/>
                <w:b/>
                <w:bCs/>
                <w:szCs w:val="21"/>
                <w:highlight w:val="none"/>
                <w:u w:val="single"/>
              </w:rPr>
            </w:pPr>
            <w:r>
              <w:rPr>
                <w:rFonts w:hint="eastAsia" w:ascii="宋体" w:hAnsi="宋体" w:cs="宋体"/>
                <w:szCs w:val="21"/>
                <w:highlight w:val="none"/>
                <w:lang w:eastAsia="zh-CN"/>
              </w:rPr>
              <w:t>☑</w:t>
            </w:r>
            <w:r>
              <w:rPr>
                <w:rFonts w:ascii="宋体" w:hAnsi="宋体" w:cs="宋体"/>
                <w:szCs w:val="21"/>
                <w:highlight w:val="none"/>
              </w:rPr>
              <w:t xml:space="preserve"> 需要：</w:t>
            </w:r>
            <w:r>
              <w:rPr>
                <w:rFonts w:ascii="宋体" w:hAnsi="宋体" w:cs="宋体"/>
                <w:b/>
                <w:bCs/>
                <w:szCs w:val="21"/>
                <w:highlight w:val="none"/>
                <w:u w:val="single"/>
              </w:rPr>
              <w:t>成交供应商需向采购人缴纳合同价款的1%的履约保证金。</w:t>
            </w:r>
          </w:p>
          <w:p w14:paraId="2F0DA9E4">
            <w:pPr>
              <w:spacing w:line="360" w:lineRule="auto"/>
              <w:ind w:left="988" w:leftChars="179" w:hanging="612" w:hangingChars="303"/>
              <w:rPr>
                <w:rFonts w:ascii="宋体" w:hAnsi="宋体" w:cs="宋体"/>
                <w:szCs w:val="21"/>
                <w:highlight w:val="none"/>
              </w:rPr>
            </w:pPr>
            <w:r>
              <w:rPr>
                <w:rFonts w:ascii="宋体" w:hAnsi="宋体" w:cs="宋体"/>
                <w:spacing w:val="-4"/>
                <w:szCs w:val="21"/>
                <w:highlight w:val="none"/>
              </w:rPr>
              <w:t>(</w:t>
            </w:r>
            <w:r>
              <w:rPr>
                <w:rFonts w:ascii="宋体" w:hAnsi="宋体" w:cs="宋体"/>
                <w:highlight w:val="none"/>
              </w:rPr>
              <w:t>银行转账、转帐支票、银行汇票、保险或金融机构出具的保函等</w:t>
            </w:r>
            <w:r>
              <w:rPr>
                <w:rFonts w:ascii="宋体" w:hAnsi="宋体" w:cs="宋体"/>
                <w:spacing w:val="-4"/>
                <w:szCs w:val="21"/>
                <w:highlight w:val="none"/>
              </w:rPr>
              <w:t>)</w:t>
            </w:r>
          </w:p>
        </w:tc>
      </w:tr>
      <w:tr w14:paraId="7DA42C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49" w:hRule="atLeast"/>
          <w:jc w:val="center"/>
        </w:trPr>
        <w:tc>
          <w:tcPr>
            <w:tcW w:w="645" w:type="dxa"/>
            <w:vAlign w:val="center"/>
          </w:tcPr>
          <w:p w14:paraId="688160C7">
            <w:pPr>
              <w:spacing w:line="360" w:lineRule="exact"/>
              <w:jc w:val="center"/>
              <w:rPr>
                <w:rFonts w:ascii="宋体" w:hAnsi="宋体" w:eastAsia="宋体" w:cs="宋体"/>
                <w:szCs w:val="21"/>
                <w:highlight w:val="none"/>
                <w:lang w:val="en-US" w:eastAsia="zh-CN"/>
              </w:rPr>
            </w:pPr>
            <w:r>
              <w:rPr>
                <w:rFonts w:hint="eastAsia" w:ascii="宋体" w:hAnsi="宋体" w:cs="宋体"/>
                <w:szCs w:val="21"/>
                <w:highlight w:val="none"/>
                <w:lang w:val="en-US" w:eastAsia="zh-CN"/>
              </w:rPr>
              <w:t>19</w:t>
            </w:r>
          </w:p>
        </w:tc>
        <w:tc>
          <w:tcPr>
            <w:tcW w:w="1834" w:type="dxa"/>
            <w:tcBorders>
              <w:left w:val="single" w:color="auto" w:sz="4" w:space="0"/>
            </w:tcBorders>
            <w:vAlign w:val="center"/>
          </w:tcPr>
          <w:p w14:paraId="5A86393C">
            <w:pPr>
              <w:spacing w:line="360" w:lineRule="auto"/>
              <w:jc w:val="center"/>
              <w:rPr>
                <w:rFonts w:ascii="宋体" w:hAnsi="宋体" w:cs="宋体"/>
                <w:szCs w:val="21"/>
                <w:highlight w:val="none"/>
              </w:rPr>
            </w:pPr>
            <w:r>
              <w:rPr>
                <w:rFonts w:ascii="宋体" w:hAnsi="宋体" w:cs="宋体"/>
                <w:szCs w:val="21"/>
                <w:highlight w:val="none"/>
              </w:rPr>
              <w:t>磋商文件发售时间及获取方式</w:t>
            </w:r>
          </w:p>
        </w:tc>
        <w:tc>
          <w:tcPr>
            <w:tcW w:w="7365" w:type="dxa"/>
            <w:tcBorders>
              <w:left w:val="single" w:color="auto" w:sz="4" w:space="0"/>
            </w:tcBorders>
            <w:vAlign w:val="center"/>
          </w:tcPr>
          <w:p w14:paraId="325CB6BD">
            <w:pPr>
              <w:pStyle w:val="8"/>
              <w:spacing w:before="0" w:after="0" w:line="360" w:lineRule="auto"/>
              <w:rPr>
                <w:rFonts w:ascii="宋体" w:hAnsi="宋体" w:cs="宋体"/>
                <w:b w:val="0"/>
                <w:sz w:val="21"/>
                <w:szCs w:val="21"/>
                <w:highlight w:val="none"/>
              </w:rPr>
            </w:pPr>
            <w:bookmarkStart w:id="58" w:name="_Toc15475"/>
            <w:bookmarkStart w:id="59" w:name="_Toc11736"/>
            <w:bookmarkStart w:id="60" w:name="_Toc8107"/>
            <w:bookmarkStart w:id="61" w:name="_Toc29775"/>
            <w:bookmarkStart w:id="62" w:name="_Toc12411"/>
            <w:bookmarkStart w:id="63" w:name="_Toc32286"/>
            <w:bookmarkStart w:id="64" w:name="_Toc21050"/>
            <w:bookmarkStart w:id="65" w:name="_Toc30382"/>
            <w:bookmarkStart w:id="66" w:name="_Toc3692"/>
            <w:bookmarkStart w:id="67" w:name="_Toc12557"/>
            <w:bookmarkStart w:id="68" w:name="_Toc13087"/>
            <w:bookmarkStart w:id="69" w:name="_Toc19437"/>
            <w:bookmarkStart w:id="70" w:name="_Toc18019"/>
            <w:bookmarkStart w:id="71" w:name="_Toc6189"/>
            <w:bookmarkStart w:id="72" w:name="_Toc31756"/>
            <w:r>
              <w:rPr>
                <w:rFonts w:ascii="宋体" w:hAnsi="宋体" w:cs="宋体"/>
                <w:b w:val="0"/>
                <w:sz w:val="21"/>
                <w:szCs w:val="21"/>
                <w:highlight w:val="none"/>
              </w:rPr>
              <w:t>时间：/</w:t>
            </w:r>
            <w:r>
              <w:rPr>
                <w:rFonts w:hint="eastAsia" w:ascii="宋体" w:hAnsi="宋体" w:cs="宋体"/>
                <w:b w:val="0"/>
                <w:bCs w:val="0"/>
                <w:sz w:val="21"/>
                <w:szCs w:val="21"/>
                <w:highlight w:val="none"/>
                <w:lang w:eastAsia="zh-CN"/>
              </w:rPr>
              <w:t>2025年05月06日14:30</w:t>
            </w:r>
            <w:r>
              <w:rPr>
                <w:rFonts w:ascii="宋体" w:hAnsi="宋体" w:cs="宋体"/>
                <w:b w:val="0"/>
                <w:sz w:val="21"/>
                <w:szCs w:val="21"/>
                <w:highlight w:val="none"/>
              </w:rPr>
              <w:t>，每天上午00:00至12:00，下午12:00至23:59（北京时间，线上获取法定节假日均可，线下获取文件法定节假日除外）</w:t>
            </w:r>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p>
          <w:p w14:paraId="311FB359">
            <w:pPr>
              <w:pStyle w:val="8"/>
              <w:spacing w:before="0" w:after="0" w:line="360" w:lineRule="auto"/>
              <w:rPr>
                <w:rFonts w:ascii="宋体" w:hAnsi="宋体" w:cs="宋体"/>
                <w:b w:val="0"/>
                <w:sz w:val="21"/>
                <w:szCs w:val="21"/>
                <w:highlight w:val="none"/>
              </w:rPr>
            </w:pPr>
            <w:bookmarkStart w:id="73" w:name="_Toc9556"/>
            <w:bookmarkStart w:id="74" w:name="_Toc3482"/>
            <w:bookmarkStart w:id="75" w:name="_Toc12314"/>
            <w:bookmarkStart w:id="76" w:name="_Toc2430"/>
            <w:bookmarkStart w:id="77" w:name="_Toc23947"/>
            <w:bookmarkStart w:id="78" w:name="_Toc28054"/>
            <w:bookmarkStart w:id="79" w:name="_Toc6967"/>
            <w:bookmarkStart w:id="80" w:name="_Toc2937"/>
            <w:bookmarkStart w:id="81" w:name="_Toc28843"/>
            <w:bookmarkStart w:id="82" w:name="_Toc11493"/>
            <w:bookmarkStart w:id="83" w:name="_Toc19610"/>
            <w:bookmarkStart w:id="84" w:name="_Toc28477"/>
            <w:bookmarkStart w:id="85" w:name="_Toc24755"/>
            <w:bookmarkStart w:id="86" w:name="_Toc27784"/>
            <w:bookmarkStart w:id="87" w:name="_Toc2669"/>
            <w:r>
              <w:rPr>
                <w:rFonts w:ascii="宋体" w:hAnsi="宋体" w:cs="宋体"/>
                <w:b w:val="0"/>
                <w:sz w:val="21"/>
                <w:szCs w:val="21"/>
                <w:highlight w:val="none"/>
              </w:rPr>
              <w:t>地点（网址）：</w:t>
            </w:r>
            <w:bookmarkEnd w:id="73"/>
            <w:bookmarkEnd w:id="74"/>
            <w:bookmarkEnd w:id="75"/>
            <w:r>
              <w:rPr>
                <w:rFonts w:ascii="宋体" w:hAnsi="宋体" w:cs="宋体"/>
                <w:b w:val="0"/>
                <w:sz w:val="21"/>
                <w:szCs w:val="21"/>
                <w:highlight w:val="none"/>
              </w:rPr>
              <w:t>政采云平台https://www.zcygov.cn/</w:t>
            </w:r>
            <w:bookmarkEnd w:id="76"/>
            <w:bookmarkEnd w:id="77"/>
            <w:bookmarkEnd w:id="78"/>
            <w:bookmarkEnd w:id="79"/>
            <w:bookmarkEnd w:id="80"/>
            <w:bookmarkEnd w:id="81"/>
            <w:bookmarkEnd w:id="82"/>
            <w:bookmarkEnd w:id="83"/>
            <w:bookmarkEnd w:id="84"/>
            <w:bookmarkEnd w:id="85"/>
            <w:bookmarkEnd w:id="86"/>
            <w:bookmarkEnd w:id="87"/>
          </w:p>
          <w:p w14:paraId="3CA256EA">
            <w:pPr>
              <w:spacing w:line="360" w:lineRule="auto"/>
              <w:rPr>
                <w:rFonts w:ascii="宋体" w:hAnsi="宋体" w:cs="宋体"/>
                <w:szCs w:val="21"/>
                <w:highlight w:val="none"/>
              </w:rPr>
            </w:pPr>
            <w:bookmarkStart w:id="88" w:name="_Toc6088"/>
            <w:bookmarkStart w:id="89" w:name="_Toc6094"/>
            <w:bookmarkStart w:id="90" w:name="_Toc31345"/>
            <w:r>
              <w:rPr>
                <w:rFonts w:ascii="宋体" w:hAnsi="宋体" w:cs="宋体"/>
                <w:szCs w:val="21"/>
                <w:highlight w:val="none"/>
              </w:rPr>
              <w:t>方式：供应商登录政采云平台https://www.zcygov.cn/在线申请获取采购文件（进入“项目采购”应用，在获取采购文件菜单中选择项目，申请获取采购文件）。</w:t>
            </w:r>
            <w:bookmarkEnd w:id="88"/>
            <w:bookmarkEnd w:id="89"/>
            <w:bookmarkEnd w:id="90"/>
            <w:r>
              <w:rPr>
                <w:rFonts w:ascii="宋体" w:hAnsi="宋体" w:cs="宋体"/>
                <w:szCs w:val="21"/>
                <w:highlight w:val="none"/>
              </w:rPr>
              <w:t xml:space="preserve">  </w:t>
            </w:r>
          </w:p>
        </w:tc>
      </w:tr>
      <w:tr w14:paraId="41022B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645" w:type="dxa"/>
            <w:vAlign w:val="center"/>
          </w:tcPr>
          <w:p w14:paraId="2DF8EEE5">
            <w:pPr>
              <w:spacing w:line="36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0</w:t>
            </w:r>
          </w:p>
        </w:tc>
        <w:tc>
          <w:tcPr>
            <w:tcW w:w="1834" w:type="dxa"/>
            <w:tcBorders>
              <w:left w:val="single" w:color="auto" w:sz="4" w:space="0"/>
            </w:tcBorders>
            <w:vAlign w:val="center"/>
          </w:tcPr>
          <w:p w14:paraId="375EC08C">
            <w:pPr>
              <w:spacing w:line="360" w:lineRule="exact"/>
              <w:jc w:val="center"/>
              <w:rPr>
                <w:rFonts w:ascii="宋体" w:hAnsi="宋体" w:cs="宋体"/>
                <w:szCs w:val="21"/>
                <w:highlight w:val="none"/>
              </w:rPr>
            </w:pPr>
            <w:r>
              <w:rPr>
                <w:rFonts w:ascii="宋体" w:hAnsi="宋体" w:cs="宋体"/>
                <w:szCs w:val="21"/>
                <w:highlight w:val="none"/>
              </w:rPr>
              <w:t>磋商截止时间</w:t>
            </w:r>
          </w:p>
        </w:tc>
        <w:tc>
          <w:tcPr>
            <w:tcW w:w="7365" w:type="dxa"/>
            <w:tcBorders>
              <w:left w:val="single" w:color="auto" w:sz="4" w:space="0"/>
            </w:tcBorders>
            <w:vAlign w:val="center"/>
          </w:tcPr>
          <w:p w14:paraId="1F0EAEC9">
            <w:pPr>
              <w:spacing w:line="360" w:lineRule="exact"/>
              <w:rPr>
                <w:rFonts w:ascii="宋体" w:hAnsi="宋体" w:cs="宋体"/>
                <w:szCs w:val="21"/>
                <w:highlight w:val="none"/>
              </w:rPr>
            </w:pPr>
            <w:r>
              <w:rPr>
                <w:rFonts w:hint="eastAsia" w:ascii="宋体" w:hAnsi="宋体" w:cs="宋体"/>
                <w:szCs w:val="21"/>
                <w:highlight w:val="none"/>
                <w:lang w:eastAsia="zh-CN"/>
              </w:rPr>
              <w:t>2025年05月06日14:30</w:t>
            </w:r>
            <w:r>
              <w:rPr>
                <w:rFonts w:ascii="宋体" w:hAnsi="宋体" w:cs="宋体"/>
                <w:szCs w:val="21"/>
                <w:highlight w:val="none"/>
              </w:rPr>
              <w:t>止(北京时间)</w:t>
            </w:r>
          </w:p>
        </w:tc>
      </w:tr>
      <w:tr w14:paraId="4A17AD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645" w:type="dxa"/>
            <w:vAlign w:val="center"/>
          </w:tcPr>
          <w:p w14:paraId="7F7E5FE6">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1</w:t>
            </w:r>
          </w:p>
        </w:tc>
        <w:tc>
          <w:tcPr>
            <w:tcW w:w="1834" w:type="dxa"/>
            <w:tcBorders>
              <w:left w:val="single" w:color="auto" w:sz="4" w:space="0"/>
            </w:tcBorders>
            <w:vAlign w:val="center"/>
          </w:tcPr>
          <w:p w14:paraId="2968CC54">
            <w:pPr>
              <w:spacing w:line="360" w:lineRule="exact"/>
              <w:jc w:val="center"/>
              <w:rPr>
                <w:rFonts w:ascii="宋体" w:hAnsi="宋体" w:cs="宋体"/>
                <w:szCs w:val="21"/>
                <w:highlight w:val="none"/>
              </w:rPr>
            </w:pPr>
            <w:r>
              <w:rPr>
                <w:rFonts w:ascii="宋体" w:hAnsi="宋体" w:cs="宋体"/>
                <w:szCs w:val="21"/>
                <w:highlight w:val="none"/>
              </w:rPr>
              <w:t>响应文件递交方式</w:t>
            </w:r>
          </w:p>
        </w:tc>
        <w:tc>
          <w:tcPr>
            <w:tcW w:w="7365" w:type="dxa"/>
            <w:tcBorders>
              <w:left w:val="single" w:color="auto" w:sz="4" w:space="0"/>
            </w:tcBorders>
            <w:vAlign w:val="center"/>
          </w:tcPr>
          <w:p w14:paraId="29690B38">
            <w:pPr>
              <w:numPr>
                <w:ilvl w:val="0"/>
                <w:numId w:val="7"/>
              </w:numPr>
              <w:spacing w:line="360" w:lineRule="auto"/>
              <w:rPr>
                <w:highlight w:val="none"/>
              </w:rPr>
            </w:pPr>
            <w:r>
              <w:rPr>
                <w:highlight w:val="none"/>
              </w:rPr>
              <w:t>“电子加密响应文件”的上传、递交：</w:t>
            </w:r>
          </w:p>
          <w:p w14:paraId="24BA7751">
            <w:pPr>
              <w:spacing w:line="360" w:lineRule="auto"/>
              <w:rPr>
                <w:highlight w:val="none"/>
              </w:rPr>
            </w:pPr>
            <w:r>
              <w:rPr>
                <w:highlight w:val="none"/>
              </w:rPr>
              <w:t>a.投标人应在投标文件递交截止时间前将“电子加密响应文件”成功上传递交至“政采云平台”，否则投标无效。</w:t>
            </w:r>
          </w:p>
          <w:p w14:paraId="5901A55D">
            <w:pPr>
              <w:spacing w:line="360" w:lineRule="auto"/>
              <w:rPr>
                <w:highlight w:val="none"/>
              </w:rPr>
            </w:pPr>
            <w:r>
              <w:rPr>
                <w:highlight w:val="none"/>
              </w:rPr>
              <w:t>b.“电子加密响应文件”成功上传递交后，供应商可自行打印响应文件接收回执。</w:t>
            </w:r>
          </w:p>
          <w:p w14:paraId="6A264B3A">
            <w:pPr>
              <w:spacing w:line="360" w:lineRule="auto"/>
              <w:rPr>
                <w:highlight w:val="none"/>
              </w:rPr>
            </w:pPr>
            <w:r>
              <w:rPr>
                <w:highlight w:val="none"/>
              </w:rPr>
              <w:t>（2）“备份响应文件”的密封包装、递交：</w:t>
            </w:r>
          </w:p>
          <w:p w14:paraId="589B8860">
            <w:pPr>
              <w:spacing w:line="360" w:lineRule="auto"/>
              <w:ind w:firstLine="420" w:firstLineChars="200"/>
              <w:rPr>
                <w:highlight w:val="none"/>
              </w:rPr>
            </w:pPr>
            <w:r>
              <w:rPr>
                <w:highlight w:val="none"/>
              </w:rPr>
              <w:t>建议供应商在磋商响应文件提交截止时间之前将备份响应文件以电子邮件方式提交至采购代理机构指定邮箱，邮件标题注明项目名称及供应商名称。提交的备份响应文件需打包压缩并加密，加密密码由供应商自行保管。如供应商多次提交文件，以采购代理机构指定邮箱收到的最近时间（磋商响应文件提交截止时间之前）的备份响应文件为准。供应商未在磋商响应文件提交截止时间之前将备份响应文件提交至采购代理机构指定邮箱的，视为无效备份响应文件。</w:t>
            </w:r>
          </w:p>
        </w:tc>
      </w:tr>
      <w:tr w14:paraId="23F00C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87" w:hRule="atLeast"/>
          <w:jc w:val="center"/>
        </w:trPr>
        <w:tc>
          <w:tcPr>
            <w:tcW w:w="645" w:type="dxa"/>
            <w:vAlign w:val="center"/>
          </w:tcPr>
          <w:p w14:paraId="41304921">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2</w:t>
            </w:r>
          </w:p>
        </w:tc>
        <w:tc>
          <w:tcPr>
            <w:tcW w:w="1834" w:type="dxa"/>
            <w:tcBorders>
              <w:left w:val="single" w:color="auto" w:sz="4" w:space="0"/>
            </w:tcBorders>
            <w:vAlign w:val="center"/>
          </w:tcPr>
          <w:p w14:paraId="6BF85909">
            <w:pPr>
              <w:spacing w:line="360" w:lineRule="auto"/>
              <w:jc w:val="center"/>
              <w:rPr>
                <w:rFonts w:ascii="宋体" w:hAnsi="宋体" w:cs="宋体"/>
                <w:szCs w:val="21"/>
                <w:highlight w:val="none"/>
              </w:rPr>
            </w:pPr>
            <w:r>
              <w:rPr>
                <w:rFonts w:ascii="宋体" w:hAnsi="宋体" w:cs="宋体"/>
                <w:szCs w:val="21"/>
                <w:highlight w:val="none"/>
              </w:rPr>
              <w:t>磋商开始时间</w:t>
            </w:r>
          </w:p>
          <w:p w14:paraId="11462190">
            <w:pPr>
              <w:spacing w:line="360" w:lineRule="auto"/>
              <w:jc w:val="center"/>
              <w:rPr>
                <w:rFonts w:ascii="宋体" w:hAnsi="宋体" w:cs="宋体"/>
                <w:szCs w:val="21"/>
                <w:highlight w:val="none"/>
              </w:rPr>
            </w:pPr>
            <w:r>
              <w:rPr>
                <w:rFonts w:ascii="宋体" w:hAnsi="宋体" w:cs="宋体"/>
                <w:szCs w:val="21"/>
                <w:highlight w:val="none"/>
              </w:rPr>
              <w:t>磋商地点</w:t>
            </w:r>
          </w:p>
        </w:tc>
        <w:tc>
          <w:tcPr>
            <w:tcW w:w="7365" w:type="dxa"/>
            <w:tcBorders>
              <w:left w:val="single" w:color="auto" w:sz="4" w:space="0"/>
            </w:tcBorders>
            <w:vAlign w:val="center"/>
          </w:tcPr>
          <w:p w14:paraId="10B20025">
            <w:pPr>
              <w:spacing w:line="360" w:lineRule="auto"/>
              <w:rPr>
                <w:rFonts w:ascii="宋体" w:hAnsi="宋体" w:cs="宋体"/>
                <w:szCs w:val="21"/>
                <w:highlight w:val="none"/>
              </w:rPr>
            </w:pPr>
            <w:r>
              <w:rPr>
                <w:rFonts w:ascii="宋体" w:hAnsi="宋体" w:cs="宋体"/>
                <w:szCs w:val="21"/>
                <w:highlight w:val="none"/>
              </w:rPr>
              <w:t>磋商开始时间：</w:t>
            </w:r>
            <w:r>
              <w:rPr>
                <w:rFonts w:hint="eastAsia" w:ascii="宋体" w:hAnsi="宋体" w:cs="宋体"/>
                <w:szCs w:val="21"/>
                <w:highlight w:val="none"/>
                <w:u w:val="single"/>
                <w:lang w:eastAsia="zh-CN"/>
              </w:rPr>
              <w:t>2025年05月06日14:30</w:t>
            </w:r>
            <w:r>
              <w:rPr>
                <w:rFonts w:ascii="宋体" w:hAnsi="宋体" w:cs="宋体"/>
                <w:szCs w:val="21"/>
                <w:highlight w:val="none"/>
              </w:rPr>
              <w:t>正(北京时间)</w:t>
            </w:r>
          </w:p>
          <w:p w14:paraId="22CFF6F8">
            <w:pPr>
              <w:spacing w:line="360" w:lineRule="auto"/>
              <w:rPr>
                <w:rFonts w:ascii="宋体" w:hAnsi="宋体" w:cs="宋体"/>
                <w:szCs w:val="21"/>
                <w:highlight w:val="none"/>
              </w:rPr>
            </w:pPr>
            <w:r>
              <w:rPr>
                <w:rFonts w:ascii="宋体" w:hAnsi="宋体" w:cs="宋体"/>
                <w:szCs w:val="21"/>
                <w:highlight w:val="none"/>
              </w:rPr>
              <w:t>磋商地点：政府采购云平台（www.zcygov.cn）。</w:t>
            </w:r>
          </w:p>
        </w:tc>
      </w:tr>
      <w:tr w14:paraId="08E3EE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1" w:hRule="atLeast"/>
          <w:jc w:val="center"/>
        </w:trPr>
        <w:tc>
          <w:tcPr>
            <w:tcW w:w="645" w:type="dxa"/>
            <w:vAlign w:val="center"/>
          </w:tcPr>
          <w:p w14:paraId="213433A2">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3</w:t>
            </w:r>
          </w:p>
        </w:tc>
        <w:tc>
          <w:tcPr>
            <w:tcW w:w="1834" w:type="dxa"/>
            <w:tcBorders>
              <w:left w:val="single" w:color="auto" w:sz="4" w:space="0"/>
            </w:tcBorders>
            <w:vAlign w:val="center"/>
          </w:tcPr>
          <w:p w14:paraId="4B9D8FD2">
            <w:pPr>
              <w:spacing w:line="360" w:lineRule="auto"/>
              <w:jc w:val="center"/>
              <w:rPr>
                <w:rFonts w:ascii="宋体" w:hAnsi="宋体" w:cs="宋体"/>
                <w:szCs w:val="21"/>
                <w:highlight w:val="none"/>
              </w:rPr>
            </w:pPr>
            <w:r>
              <w:rPr>
                <w:rFonts w:ascii="宋体" w:hAnsi="宋体" w:cs="宋体"/>
                <w:szCs w:val="21"/>
                <w:highlight w:val="none"/>
              </w:rPr>
              <w:t>电子加密响应文件的解密和异常情况处理</w:t>
            </w:r>
          </w:p>
        </w:tc>
        <w:tc>
          <w:tcPr>
            <w:tcW w:w="7365" w:type="dxa"/>
            <w:tcBorders>
              <w:left w:val="single" w:color="auto" w:sz="4" w:space="0"/>
            </w:tcBorders>
            <w:vAlign w:val="center"/>
          </w:tcPr>
          <w:p w14:paraId="6AC01B60">
            <w:pPr>
              <w:spacing w:line="360" w:lineRule="auto"/>
              <w:rPr>
                <w:rFonts w:ascii="宋体" w:hAnsi="宋体" w:cs="宋体"/>
                <w:szCs w:val="21"/>
                <w:highlight w:val="none"/>
              </w:rPr>
            </w:pPr>
            <w:r>
              <w:rPr>
                <w:rFonts w:ascii="宋体" w:hAnsi="宋体" w:cs="宋体"/>
                <w:szCs w:val="21"/>
                <w:highlight w:val="none"/>
              </w:rPr>
              <w:t>（1）开标后，采购组织机构将向各供应商发出“电子加密响应文件”的解密通知，各供应商代表应当在接到解密通知后</w:t>
            </w:r>
            <w:r>
              <w:rPr>
                <w:rFonts w:ascii="宋体" w:hAnsi="宋体" w:cs="宋体"/>
                <w:szCs w:val="21"/>
                <w:highlight w:val="none"/>
                <w:u w:val="single"/>
              </w:rPr>
              <w:t>30分钟内</w:t>
            </w:r>
            <w:r>
              <w:rPr>
                <w:rFonts w:ascii="宋体" w:hAnsi="宋体" w:cs="宋体"/>
                <w:szCs w:val="21"/>
                <w:highlight w:val="none"/>
              </w:rPr>
              <w:t>自行完成“电子加密响应文件”的在线解密。</w:t>
            </w:r>
          </w:p>
          <w:p w14:paraId="0CD75D0C">
            <w:pPr>
              <w:spacing w:line="360" w:lineRule="auto"/>
              <w:rPr>
                <w:rFonts w:ascii="宋体" w:hAnsi="宋体" w:cs="宋体"/>
                <w:szCs w:val="21"/>
                <w:highlight w:val="none"/>
              </w:rPr>
            </w:pPr>
            <w:r>
              <w:rPr>
                <w:rFonts w:ascii="宋体" w:hAnsi="宋体" w:cs="宋体"/>
                <w:szCs w:val="21"/>
                <w:highlight w:val="none"/>
              </w:rPr>
              <w:t>（2）通过“政府采购云平台”成功上传递交的“电子加密响应文件”无法按时解密，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14:paraId="6B9CA682">
            <w:pPr>
              <w:spacing w:line="360" w:lineRule="auto"/>
              <w:rPr>
                <w:rFonts w:ascii="宋体" w:hAnsi="宋体" w:cs="宋体"/>
                <w:szCs w:val="21"/>
                <w:highlight w:val="none"/>
              </w:rPr>
            </w:pPr>
            <w:r>
              <w:rPr>
                <w:rFonts w:ascii="宋体" w:hAnsi="宋体" w:cs="宋体"/>
                <w:szCs w:val="21"/>
                <w:highlight w:val="none"/>
              </w:rPr>
              <w:t>（3）投标截止时间止，供应商仅递交了“备份响应文件”而未将电子加密响应文件上传至“政府采购云平台”的，投标无效。</w:t>
            </w:r>
          </w:p>
        </w:tc>
      </w:tr>
      <w:tr w14:paraId="623929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620" w:hRule="atLeast"/>
          <w:jc w:val="center"/>
        </w:trPr>
        <w:tc>
          <w:tcPr>
            <w:tcW w:w="645" w:type="dxa"/>
            <w:vAlign w:val="center"/>
          </w:tcPr>
          <w:p w14:paraId="47069A67">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4</w:t>
            </w:r>
          </w:p>
        </w:tc>
        <w:tc>
          <w:tcPr>
            <w:tcW w:w="1834" w:type="dxa"/>
            <w:tcBorders>
              <w:left w:val="single" w:color="auto" w:sz="4" w:space="0"/>
            </w:tcBorders>
            <w:vAlign w:val="center"/>
          </w:tcPr>
          <w:p w14:paraId="501F32FA">
            <w:pPr>
              <w:spacing w:line="360" w:lineRule="auto"/>
              <w:jc w:val="center"/>
              <w:rPr>
                <w:rFonts w:ascii="宋体" w:hAnsi="宋体" w:cs="宋体"/>
                <w:szCs w:val="21"/>
                <w:highlight w:val="none"/>
              </w:rPr>
            </w:pPr>
            <w:r>
              <w:rPr>
                <w:rFonts w:ascii="宋体" w:hAnsi="宋体" w:cs="宋体"/>
                <w:szCs w:val="21"/>
                <w:highlight w:val="none"/>
              </w:rPr>
              <w:t>磋商程序</w:t>
            </w:r>
          </w:p>
        </w:tc>
        <w:tc>
          <w:tcPr>
            <w:tcW w:w="7365" w:type="dxa"/>
            <w:tcBorders>
              <w:left w:val="single" w:color="auto" w:sz="4" w:space="0"/>
            </w:tcBorders>
            <w:vAlign w:val="center"/>
          </w:tcPr>
          <w:p w14:paraId="7267C1D7">
            <w:pPr>
              <w:numPr>
                <w:ilvl w:val="0"/>
                <w:numId w:val="8"/>
              </w:numPr>
              <w:spacing w:line="360" w:lineRule="auto"/>
              <w:ind w:left="0" w:firstLine="0"/>
              <w:rPr>
                <w:highlight w:val="none"/>
              </w:rPr>
            </w:pPr>
            <w:r>
              <w:rPr>
                <w:highlight w:val="none"/>
              </w:rPr>
              <w:t>采购代理机构按照磋商文件规定的时间通过政采云平台组织开标，所有磋商供应商准时在线参加。</w:t>
            </w:r>
          </w:p>
          <w:p w14:paraId="341AAC15">
            <w:pPr>
              <w:numPr>
                <w:ilvl w:val="0"/>
                <w:numId w:val="8"/>
              </w:numPr>
              <w:tabs>
                <w:tab w:val="left" w:pos="-6"/>
              </w:tabs>
              <w:spacing w:line="360" w:lineRule="auto"/>
              <w:ind w:left="0" w:firstLine="0"/>
              <w:rPr>
                <w:highlight w:val="none"/>
              </w:rPr>
            </w:pPr>
            <w:r>
              <w:rPr>
                <w:highlight w:val="none"/>
              </w:rPr>
              <w:t>开标时，政采云平台自动提取所有磋商响应文件，提示采购代理机构和磋商供应商按磋商文件规定的方式和时间在线解密。磋商供应商在线解密的时间为磋商截止时间起30分钟。</w:t>
            </w:r>
          </w:p>
          <w:p w14:paraId="52EE04F0">
            <w:pPr>
              <w:numPr>
                <w:ilvl w:val="0"/>
                <w:numId w:val="8"/>
              </w:numPr>
              <w:tabs>
                <w:tab w:val="left" w:pos="-6"/>
              </w:tabs>
              <w:spacing w:line="360" w:lineRule="auto"/>
              <w:ind w:left="0" w:firstLine="0"/>
              <w:rPr>
                <w:highlight w:val="none"/>
              </w:rPr>
            </w:pPr>
            <w:r>
              <w:rPr>
                <w:highlight w:val="none"/>
              </w:rPr>
              <w:t>磋商供应商的电子磋商响应文件未在规定时间内成功解密的，供应商按要求提交了备份响应文件和解压缩密码的，由采购代理机构按政采云平台操作规范将备份响应文件上传。</w:t>
            </w:r>
          </w:p>
          <w:p w14:paraId="44691D21">
            <w:pPr>
              <w:numPr>
                <w:ilvl w:val="0"/>
                <w:numId w:val="8"/>
              </w:numPr>
              <w:spacing w:line="360" w:lineRule="auto"/>
              <w:ind w:left="0" w:firstLine="0"/>
              <w:rPr>
                <w:highlight w:val="none"/>
              </w:rPr>
            </w:pPr>
            <w:r>
              <w:rPr>
                <w:highlight w:val="none"/>
              </w:rPr>
              <w:t>解密结束后，各供应商授权代表完整填写《政府采购活动现场确认声明书》并签字后扫描，以电子邮件方式传送至采购代理机构指定电子邮箱。</w:t>
            </w:r>
          </w:p>
          <w:p w14:paraId="225F093A">
            <w:pPr>
              <w:numPr>
                <w:ilvl w:val="0"/>
                <w:numId w:val="8"/>
              </w:numPr>
              <w:spacing w:line="360" w:lineRule="auto"/>
              <w:ind w:left="0" w:firstLine="0"/>
              <w:rPr>
                <w:highlight w:val="none"/>
              </w:rPr>
            </w:pPr>
            <w:r>
              <w:rPr>
                <w:highlight w:val="none"/>
              </w:rPr>
              <w:t>磋商小组审阅响应文件。</w:t>
            </w:r>
          </w:p>
          <w:p w14:paraId="2BBF008C">
            <w:pPr>
              <w:numPr>
                <w:ilvl w:val="0"/>
                <w:numId w:val="8"/>
              </w:numPr>
              <w:spacing w:line="360" w:lineRule="auto"/>
              <w:ind w:left="0" w:firstLine="0"/>
              <w:rPr>
                <w:highlight w:val="none"/>
              </w:rPr>
            </w:pPr>
            <w:r>
              <w:rPr>
                <w:highlight w:val="none"/>
              </w:rPr>
              <w:t>磋商小组分别与各供应商在线磋商并确定最终方案。</w:t>
            </w:r>
          </w:p>
          <w:p w14:paraId="76BA07A1">
            <w:pPr>
              <w:numPr>
                <w:ilvl w:val="0"/>
                <w:numId w:val="8"/>
              </w:numPr>
              <w:spacing w:line="360" w:lineRule="auto"/>
              <w:ind w:left="0" w:firstLine="0"/>
              <w:rPr>
                <w:highlight w:val="none"/>
              </w:rPr>
            </w:pPr>
            <w:r>
              <w:rPr>
                <w:highlight w:val="none"/>
              </w:rPr>
              <w:t>供应商按照磋商文件的变动情况和磋商小组的要求重新提交响应文件。</w:t>
            </w:r>
          </w:p>
          <w:p w14:paraId="242CB2FA">
            <w:pPr>
              <w:numPr>
                <w:ilvl w:val="0"/>
                <w:numId w:val="8"/>
              </w:numPr>
              <w:spacing w:line="360" w:lineRule="auto"/>
              <w:ind w:left="0" w:firstLine="0"/>
              <w:rPr>
                <w:highlight w:val="none"/>
              </w:rPr>
            </w:pPr>
            <w:r>
              <w:rPr>
                <w:highlight w:val="none"/>
              </w:rPr>
              <w:t>磋商小组对资格文件进行评审。</w:t>
            </w:r>
          </w:p>
          <w:p w14:paraId="26F5D9FB">
            <w:pPr>
              <w:numPr>
                <w:ilvl w:val="0"/>
                <w:numId w:val="8"/>
              </w:numPr>
              <w:spacing w:line="360" w:lineRule="auto"/>
              <w:ind w:left="0" w:firstLine="0"/>
              <w:rPr>
                <w:highlight w:val="none"/>
              </w:rPr>
            </w:pPr>
            <w:r>
              <w:rPr>
                <w:highlight w:val="none"/>
              </w:rPr>
              <w:t>磋商小组对商务技术响应文件进行评审。</w:t>
            </w:r>
          </w:p>
          <w:p w14:paraId="58AC3735">
            <w:pPr>
              <w:numPr>
                <w:ilvl w:val="0"/>
                <w:numId w:val="8"/>
              </w:numPr>
              <w:spacing w:line="360" w:lineRule="auto"/>
              <w:ind w:left="0" w:firstLine="0"/>
              <w:rPr>
                <w:highlight w:val="none"/>
              </w:rPr>
            </w:pPr>
            <w:r>
              <w:rPr>
                <w:highlight w:val="none"/>
              </w:rPr>
              <w:t>磋商小组在磋商结束后，要求所有继续参加磋商的供应商在规定时间内在线提交最后报价，超过规定时间提交的报价作无效处理。已提交响应文件的供应商，在提交最后报价之前，可以根据磋商情况退出磋商。</w:t>
            </w:r>
          </w:p>
          <w:p w14:paraId="00E6220A">
            <w:pPr>
              <w:numPr>
                <w:ilvl w:val="0"/>
                <w:numId w:val="8"/>
              </w:numPr>
              <w:spacing w:line="360" w:lineRule="auto"/>
              <w:ind w:left="0" w:firstLine="0"/>
              <w:rPr>
                <w:highlight w:val="none"/>
              </w:rPr>
            </w:pPr>
            <w:r>
              <w:rPr>
                <w:highlight w:val="none"/>
              </w:rPr>
              <w:t>由磋商小组采用综合评分法对提交最后报价的供应商的响应文件和最后报价进行综合评分。</w:t>
            </w:r>
          </w:p>
          <w:p w14:paraId="55F93983">
            <w:pPr>
              <w:numPr>
                <w:ilvl w:val="0"/>
                <w:numId w:val="8"/>
              </w:numPr>
              <w:spacing w:line="360" w:lineRule="auto"/>
              <w:ind w:left="0" w:firstLine="0"/>
              <w:rPr>
                <w:highlight w:val="none"/>
              </w:rPr>
            </w:pPr>
            <w:r>
              <w:rPr>
                <w:highlight w:val="none"/>
              </w:rPr>
              <w:t>磋商小组根据综合评分情况，按照评审得分由高到低顺序推荐成交候选供应商。</w:t>
            </w:r>
          </w:p>
          <w:p w14:paraId="64EEAC18">
            <w:pPr>
              <w:numPr>
                <w:ilvl w:val="0"/>
                <w:numId w:val="8"/>
              </w:numPr>
              <w:spacing w:line="360" w:lineRule="auto"/>
              <w:ind w:left="0" w:firstLine="0"/>
              <w:rPr>
                <w:highlight w:val="none"/>
              </w:rPr>
            </w:pPr>
            <w:r>
              <w:rPr>
                <w:highlight w:val="none"/>
              </w:rPr>
              <w:t>在系统上公布评审结果。</w:t>
            </w:r>
          </w:p>
          <w:p w14:paraId="05619E93">
            <w:pPr>
              <w:spacing w:line="360" w:lineRule="auto"/>
              <w:rPr>
                <w:highlight w:val="none"/>
              </w:rPr>
            </w:pPr>
            <w:r>
              <w:rPr>
                <w:b/>
                <w:bCs/>
                <w:highlight w:val="none"/>
              </w:rPr>
              <w:t>特别说明：政采云平台如对电子化开标及评审程序有调整的，按调整后的程序操作。</w:t>
            </w:r>
          </w:p>
        </w:tc>
      </w:tr>
      <w:tr w14:paraId="05F0FEB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03" w:hRule="atLeast"/>
          <w:jc w:val="center"/>
        </w:trPr>
        <w:tc>
          <w:tcPr>
            <w:tcW w:w="645" w:type="dxa"/>
            <w:vAlign w:val="center"/>
          </w:tcPr>
          <w:p w14:paraId="25444E86">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5</w:t>
            </w:r>
          </w:p>
        </w:tc>
        <w:tc>
          <w:tcPr>
            <w:tcW w:w="1834" w:type="dxa"/>
            <w:tcBorders>
              <w:left w:val="single" w:color="auto" w:sz="4" w:space="0"/>
            </w:tcBorders>
            <w:vAlign w:val="center"/>
          </w:tcPr>
          <w:p w14:paraId="65580BD8">
            <w:pPr>
              <w:spacing w:line="360" w:lineRule="auto"/>
              <w:jc w:val="center"/>
              <w:rPr>
                <w:rFonts w:ascii="宋体" w:hAnsi="宋体" w:cs="宋体"/>
                <w:szCs w:val="21"/>
                <w:highlight w:val="none"/>
              </w:rPr>
            </w:pPr>
            <w:r>
              <w:rPr>
                <w:rFonts w:ascii="宋体" w:hAnsi="宋体" w:cs="宋体"/>
                <w:szCs w:val="21"/>
                <w:highlight w:val="none"/>
              </w:rPr>
              <w:t>磋商小组的组建</w:t>
            </w:r>
          </w:p>
        </w:tc>
        <w:tc>
          <w:tcPr>
            <w:tcW w:w="7365" w:type="dxa"/>
            <w:tcBorders>
              <w:left w:val="single" w:color="auto" w:sz="4" w:space="0"/>
            </w:tcBorders>
            <w:vAlign w:val="center"/>
          </w:tcPr>
          <w:p w14:paraId="4821E0AE">
            <w:pPr>
              <w:spacing w:line="360" w:lineRule="auto"/>
              <w:rPr>
                <w:rFonts w:ascii="宋体" w:hAnsi="宋体" w:cs="宋体"/>
                <w:szCs w:val="21"/>
                <w:highlight w:val="none"/>
              </w:rPr>
            </w:pPr>
            <w:r>
              <w:rPr>
                <w:rFonts w:ascii="宋体" w:hAnsi="宋体" w:cs="宋体"/>
                <w:szCs w:val="21"/>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评审专家确定方式：按相关规定从专家库中抽取。</w:t>
            </w:r>
          </w:p>
        </w:tc>
      </w:tr>
      <w:tr w14:paraId="0785654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72" w:hRule="atLeast"/>
          <w:jc w:val="center"/>
        </w:trPr>
        <w:tc>
          <w:tcPr>
            <w:tcW w:w="645" w:type="dxa"/>
            <w:vAlign w:val="center"/>
          </w:tcPr>
          <w:p w14:paraId="295EABEF">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6</w:t>
            </w:r>
          </w:p>
        </w:tc>
        <w:tc>
          <w:tcPr>
            <w:tcW w:w="1834" w:type="dxa"/>
            <w:tcBorders>
              <w:left w:val="single" w:color="auto" w:sz="4" w:space="0"/>
            </w:tcBorders>
            <w:vAlign w:val="center"/>
          </w:tcPr>
          <w:p w14:paraId="0A9E12D6">
            <w:pPr>
              <w:spacing w:line="360" w:lineRule="auto"/>
              <w:jc w:val="center"/>
              <w:rPr>
                <w:rFonts w:ascii="宋体" w:hAnsi="宋体" w:cs="宋体"/>
                <w:szCs w:val="21"/>
                <w:highlight w:val="none"/>
              </w:rPr>
            </w:pPr>
            <w:r>
              <w:rPr>
                <w:rFonts w:ascii="宋体" w:hAnsi="宋体" w:cs="宋体"/>
                <w:szCs w:val="21"/>
                <w:highlight w:val="none"/>
              </w:rPr>
              <w:t>落实政府采购</w:t>
            </w:r>
          </w:p>
          <w:p w14:paraId="06DC7564">
            <w:pPr>
              <w:spacing w:line="360" w:lineRule="auto"/>
              <w:jc w:val="center"/>
              <w:rPr>
                <w:rFonts w:ascii="宋体" w:hAnsi="宋体" w:cs="宋体"/>
                <w:szCs w:val="21"/>
                <w:highlight w:val="none"/>
              </w:rPr>
            </w:pPr>
            <w:r>
              <w:rPr>
                <w:rFonts w:ascii="宋体" w:hAnsi="宋体" w:cs="宋体"/>
                <w:szCs w:val="21"/>
                <w:highlight w:val="none"/>
              </w:rPr>
              <w:t>支持中小企业、</w:t>
            </w:r>
          </w:p>
          <w:p w14:paraId="54AD9F53">
            <w:pPr>
              <w:spacing w:line="360" w:lineRule="auto"/>
              <w:jc w:val="center"/>
              <w:rPr>
                <w:rFonts w:ascii="宋体" w:hAnsi="宋体" w:cs="宋体"/>
                <w:szCs w:val="21"/>
                <w:highlight w:val="none"/>
              </w:rPr>
            </w:pPr>
            <w:r>
              <w:rPr>
                <w:rFonts w:ascii="宋体" w:hAnsi="宋体" w:cs="宋体"/>
                <w:szCs w:val="21"/>
                <w:highlight w:val="none"/>
              </w:rPr>
              <w:t>监狱企业及残疾人福利性单位</w:t>
            </w:r>
          </w:p>
          <w:p w14:paraId="48DF9781">
            <w:pPr>
              <w:spacing w:line="360" w:lineRule="auto"/>
              <w:jc w:val="center"/>
              <w:rPr>
                <w:rFonts w:ascii="宋体" w:hAnsi="宋体" w:cs="宋体"/>
                <w:szCs w:val="21"/>
                <w:highlight w:val="none"/>
              </w:rPr>
            </w:pPr>
            <w:r>
              <w:rPr>
                <w:rFonts w:ascii="宋体" w:hAnsi="宋体" w:cs="宋体"/>
                <w:szCs w:val="21"/>
                <w:highlight w:val="none"/>
              </w:rPr>
              <w:t>发展政策</w:t>
            </w:r>
          </w:p>
        </w:tc>
        <w:tc>
          <w:tcPr>
            <w:tcW w:w="7365" w:type="dxa"/>
            <w:tcBorders>
              <w:left w:val="single" w:color="auto" w:sz="4" w:space="0"/>
            </w:tcBorders>
            <w:vAlign w:val="center"/>
          </w:tcPr>
          <w:p w14:paraId="444E7A6C">
            <w:pPr>
              <w:spacing w:line="360" w:lineRule="auto"/>
              <w:ind w:left="199" w:hanging="199" w:hangingChars="95"/>
              <w:rPr>
                <w:rFonts w:ascii="宋体" w:hAnsi="宋体" w:cs="宋体"/>
                <w:szCs w:val="21"/>
                <w:highlight w:val="none"/>
              </w:rPr>
            </w:pPr>
            <w:r>
              <w:rPr>
                <w:rFonts w:hint="eastAsia" w:ascii="宋体" w:hAnsi="宋体" w:cs="宋体"/>
                <w:szCs w:val="21"/>
                <w:highlight w:val="none"/>
                <w:lang w:eastAsia="zh-CN"/>
              </w:rPr>
              <w:t>☑</w:t>
            </w:r>
            <w:r>
              <w:rPr>
                <w:rFonts w:ascii="宋体" w:hAnsi="宋体" w:cs="宋体"/>
                <w:szCs w:val="21"/>
                <w:highlight w:val="none"/>
              </w:rPr>
              <w:t xml:space="preserve"> 专门面向中小企业采购项目。</w:t>
            </w:r>
          </w:p>
          <w:p w14:paraId="1C168D28">
            <w:pPr>
              <w:numPr>
                <w:ilvl w:val="0"/>
                <w:numId w:val="9"/>
              </w:numPr>
              <w:spacing w:line="360" w:lineRule="auto"/>
              <w:ind w:left="199" w:hanging="200" w:hangingChars="95"/>
              <w:rPr>
                <w:rFonts w:ascii="宋体" w:hAnsi="宋体" w:cs="宋体"/>
                <w:b/>
                <w:bCs/>
                <w:szCs w:val="21"/>
                <w:highlight w:val="none"/>
              </w:rPr>
            </w:pPr>
            <w:r>
              <w:rPr>
                <w:rFonts w:ascii="宋体" w:hAnsi="宋体" w:cs="宋体"/>
                <w:b/>
                <w:bCs/>
                <w:szCs w:val="21"/>
                <w:highlight w:val="none"/>
              </w:rPr>
              <w:t>本项目所属行业：</w:t>
            </w:r>
            <w:r>
              <w:rPr>
                <w:rFonts w:hint="eastAsia" w:ascii="宋体" w:hAnsi="宋体" w:cs="宋体"/>
                <w:b/>
                <w:bCs/>
                <w:szCs w:val="21"/>
                <w:highlight w:val="none"/>
                <w:u w:val="single"/>
                <w:lang w:eastAsia="zh-CN"/>
              </w:rPr>
              <w:t>其他未列明行业</w:t>
            </w:r>
            <w:r>
              <w:rPr>
                <w:rFonts w:ascii="宋体" w:hAnsi="宋体" w:cs="宋体"/>
                <w:b/>
                <w:bCs/>
                <w:szCs w:val="21"/>
                <w:highlight w:val="none"/>
              </w:rPr>
              <w:t>，磋商供应商属于磋商文件中明确的行业所对应的小微企业享受价格优惠折扣。</w:t>
            </w:r>
          </w:p>
          <w:p w14:paraId="77CDF6C4">
            <w:pPr>
              <w:numPr>
                <w:ilvl w:val="0"/>
                <w:numId w:val="9"/>
              </w:numPr>
              <w:spacing w:line="360" w:lineRule="auto"/>
              <w:ind w:left="199" w:hanging="199" w:hangingChars="95"/>
              <w:rPr>
                <w:rFonts w:ascii="宋体" w:hAnsi="宋体" w:cs="宋体"/>
                <w:szCs w:val="21"/>
                <w:highlight w:val="none"/>
              </w:rPr>
            </w:pPr>
            <w:r>
              <w:rPr>
                <w:rFonts w:ascii="宋体" w:hAnsi="宋体" w:cs="宋体"/>
                <w:szCs w:val="21"/>
                <w:highlight w:val="none"/>
              </w:rPr>
              <w:t>中小企业：是指在中华人民共和国境内依法设立，磋商响应文件中提供中</w:t>
            </w:r>
          </w:p>
          <w:p w14:paraId="7D5A6916">
            <w:pPr>
              <w:spacing w:line="360" w:lineRule="auto"/>
              <w:rPr>
                <w:rFonts w:ascii="宋体" w:hAnsi="宋体" w:cs="宋体"/>
                <w:szCs w:val="21"/>
                <w:highlight w:val="none"/>
              </w:rPr>
            </w:pPr>
            <w:r>
              <w:rPr>
                <w:rFonts w:ascii="宋体" w:hAnsi="宋体" w:cs="宋体"/>
                <w:szCs w:val="21"/>
                <w:highlight w:val="none"/>
              </w:rPr>
              <w:t>小企业声明函且符合《政府采购促进中小企业发展管理办法》（财库〔2020〕46号）规定的要求，符合中小企业划分标准的个体工商户，在政府采购活动中视同中小企业.</w:t>
            </w:r>
          </w:p>
          <w:p w14:paraId="5BBEED99">
            <w:pPr>
              <w:numPr>
                <w:ilvl w:val="0"/>
                <w:numId w:val="9"/>
              </w:numPr>
              <w:spacing w:line="360" w:lineRule="auto"/>
              <w:ind w:left="199" w:hanging="199" w:hangingChars="95"/>
              <w:rPr>
                <w:rFonts w:ascii="宋体" w:hAnsi="宋体" w:cs="宋体"/>
                <w:szCs w:val="21"/>
                <w:highlight w:val="none"/>
              </w:rPr>
            </w:pPr>
            <w:r>
              <w:rPr>
                <w:rFonts w:ascii="宋体" w:hAnsi="宋体" w:cs="宋体"/>
                <w:szCs w:val="21"/>
                <w:highlight w:val="none"/>
              </w:rPr>
              <w:t>残疾人福利性单位是指磋商响应文件中提供残疾人福利性单位声明函且</w:t>
            </w:r>
          </w:p>
          <w:p w14:paraId="7741EBF9">
            <w:pPr>
              <w:spacing w:line="360" w:lineRule="auto"/>
              <w:rPr>
                <w:rFonts w:ascii="宋体" w:hAnsi="宋体" w:cs="宋体"/>
                <w:szCs w:val="21"/>
                <w:highlight w:val="none"/>
              </w:rPr>
            </w:pPr>
            <w:r>
              <w:rPr>
                <w:rFonts w:ascii="宋体" w:hAnsi="宋体" w:cs="宋体"/>
                <w:szCs w:val="21"/>
                <w:highlight w:val="none"/>
              </w:rPr>
              <w:t>符合《财政部 民政部 中国残疾人联合会关于促进残疾人就业政府采购政策的通知》（财库〔2017〕141号）的规定。</w:t>
            </w:r>
          </w:p>
          <w:p w14:paraId="09266B49">
            <w:pPr>
              <w:numPr>
                <w:ilvl w:val="0"/>
                <w:numId w:val="9"/>
              </w:numPr>
              <w:spacing w:line="360" w:lineRule="auto"/>
              <w:ind w:left="199" w:hanging="199" w:hangingChars="95"/>
              <w:rPr>
                <w:rFonts w:ascii="宋体" w:hAnsi="宋体" w:cs="宋体"/>
                <w:szCs w:val="21"/>
                <w:highlight w:val="none"/>
              </w:rPr>
            </w:pPr>
            <w:r>
              <w:rPr>
                <w:rFonts w:ascii="宋体" w:hAnsi="宋体" w:cs="宋体"/>
                <w:szCs w:val="21"/>
                <w:highlight w:val="none"/>
              </w:rPr>
              <w:t>监狱企业参加政府采购活动时，应当提供由省级以上监狱管理局、戒毒管</w:t>
            </w:r>
          </w:p>
          <w:p w14:paraId="558C115D">
            <w:pPr>
              <w:spacing w:line="360" w:lineRule="auto"/>
              <w:rPr>
                <w:rFonts w:ascii="宋体" w:hAnsi="宋体" w:cs="宋体"/>
                <w:szCs w:val="21"/>
                <w:highlight w:val="none"/>
              </w:rPr>
            </w:pPr>
            <w:r>
              <w:rPr>
                <w:rFonts w:ascii="宋体" w:hAnsi="宋体" w:cs="宋体"/>
                <w:szCs w:val="21"/>
                <w:highlight w:val="none"/>
              </w:rPr>
              <w:t>理局（含新疆生产建设兵团）出具的属于监狱企业的证明文件。</w:t>
            </w:r>
          </w:p>
          <w:p w14:paraId="6627B9F2">
            <w:pPr>
              <w:spacing w:line="360" w:lineRule="auto"/>
              <w:ind w:left="16" w:hanging="16" w:hangingChars="8"/>
              <w:rPr>
                <w:rFonts w:ascii="宋体" w:hAnsi="宋体" w:cs="宋体"/>
                <w:szCs w:val="21"/>
                <w:highlight w:val="none"/>
              </w:rPr>
            </w:pPr>
            <w:r>
              <w:rPr>
                <w:rFonts w:hint="eastAsia" w:ascii="宋体" w:hAnsi="宋体" w:cs="宋体"/>
                <w:szCs w:val="21"/>
                <w:highlight w:val="none"/>
                <w:lang w:eastAsia="zh-CN"/>
              </w:rPr>
              <w:t>□</w:t>
            </w:r>
            <w:r>
              <w:rPr>
                <w:rFonts w:ascii="宋体" w:hAnsi="宋体" w:cs="宋体"/>
                <w:szCs w:val="21"/>
                <w:highlight w:val="none"/>
              </w:rPr>
              <w:t xml:space="preserve"> 非专门面向中小企业采购项目。</w:t>
            </w:r>
          </w:p>
          <w:p w14:paraId="38654418">
            <w:pPr>
              <w:spacing w:line="360" w:lineRule="auto"/>
              <w:rPr>
                <w:rFonts w:ascii="宋体" w:hAnsi="宋体" w:cs="宋体"/>
                <w:szCs w:val="21"/>
                <w:highlight w:val="none"/>
              </w:rPr>
            </w:pPr>
            <w:r>
              <w:rPr>
                <w:rFonts w:ascii="宋体" w:hAnsi="宋体" w:cs="宋体"/>
                <w:szCs w:val="21"/>
                <w:highlight w:val="none"/>
              </w:rPr>
              <w:t>注：对于未预留份额专门面向中小企业采购的采购项目，以及预留份额项目中的非预留部分采购包，对小微企业报价给予</w:t>
            </w:r>
            <w:r>
              <w:rPr>
                <w:rFonts w:hint="eastAsia" w:ascii="宋体" w:hAnsi="宋体" w:cs="宋体"/>
                <w:szCs w:val="21"/>
                <w:highlight w:val="none"/>
                <w:u w:val="single"/>
                <w:lang w:val="en-US" w:eastAsia="zh-CN"/>
              </w:rPr>
              <w:t>/</w:t>
            </w:r>
            <w:r>
              <w:rPr>
                <w:rFonts w:ascii="宋体" w:hAnsi="宋体" w:cs="宋体"/>
                <w:szCs w:val="21"/>
                <w:highlight w:val="none"/>
              </w:rPr>
              <w:t>的扣除，用扣除后的价格参加评审。</w:t>
            </w:r>
          </w:p>
          <w:p w14:paraId="1C941912">
            <w:pPr>
              <w:spacing w:line="360" w:lineRule="auto"/>
              <w:rPr>
                <w:rFonts w:ascii="宋体" w:hAnsi="宋体" w:cs="宋体"/>
                <w:b/>
                <w:bCs/>
                <w:szCs w:val="21"/>
                <w:highlight w:val="none"/>
              </w:rPr>
            </w:pPr>
            <w:r>
              <w:rPr>
                <w:rFonts w:ascii="宋体" w:hAnsi="宋体" w:cs="宋体"/>
                <w:b/>
                <w:bCs/>
                <w:szCs w:val="21"/>
                <w:highlight w:val="none"/>
              </w:rPr>
              <w:t>监狱企业、残疾人福利性单位视同小型、微型企业，享受价格扣除。</w:t>
            </w:r>
          </w:p>
          <w:p w14:paraId="4E78B293">
            <w:pPr>
              <w:pStyle w:val="2"/>
              <w:spacing w:line="360" w:lineRule="auto"/>
              <w:rPr>
                <w:rFonts w:hAnsi="宋体" w:cs="宋体"/>
                <w:highlight w:val="none"/>
              </w:rPr>
            </w:pPr>
            <w:r>
              <w:rPr>
                <w:rFonts w:hAnsi="宋体" w:cs="宋体"/>
                <w:b/>
                <w:bCs/>
                <w:szCs w:val="21"/>
                <w:highlight w:val="none"/>
              </w:rPr>
              <w:t>残疾人福利性单位属于小型、微型企业的，不重复享受政策。</w:t>
            </w:r>
          </w:p>
        </w:tc>
      </w:tr>
      <w:tr w14:paraId="5D8A894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4" w:hRule="atLeast"/>
          <w:jc w:val="center"/>
        </w:trPr>
        <w:tc>
          <w:tcPr>
            <w:tcW w:w="645" w:type="dxa"/>
            <w:vAlign w:val="center"/>
          </w:tcPr>
          <w:p w14:paraId="0347C455">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7</w:t>
            </w:r>
          </w:p>
        </w:tc>
        <w:tc>
          <w:tcPr>
            <w:tcW w:w="1834" w:type="dxa"/>
            <w:tcBorders>
              <w:left w:val="single" w:color="auto" w:sz="4" w:space="0"/>
            </w:tcBorders>
            <w:vAlign w:val="center"/>
          </w:tcPr>
          <w:p w14:paraId="3ABD5691">
            <w:pPr>
              <w:snapToGrid w:val="0"/>
              <w:spacing w:line="360" w:lineRule="auto"/>
              <w:jc w:val="center"/>
              <w:rPr>
                <w:rFonts w:ascii="宋体" w:hAnsi="宋体" w:cs="宋体"/>
                <w:b/>
                <w:szCs w:val="21"/>
                <w:highlight w:val="none"/>
              </w:rPr>
            </w:pPr>
            <w:r>
              <w:rPr>
                <w:rFonts w:ascii="宋体" w:hAnsi="宋体" w:cs="宋体"/>
                <w:szCs w:val="21"/>
                <w:highlight w:val="none"/>
              </w:rPr>
              <w:t>信用记录</w:t>
            </w:r>
          </w:p>
        </w:tc>
        <w:tc>
          <w:tcPr>
            <w:tcW w:w="7365" w:type="dxa"/>
            <w:tcBorders>
              <w:left w:val="single" w:color="auto" w:sz="4" w:space="0"/>
            </w:tcBorders>
            <w:vAlign w:val="center"/>
          </w:tcPr>
          <w:p w14:paraId="3723C121">
            <w:pPr>
              <w:widowControl/>
              <w:spacing w:line="360" w:lineRule="auto"/>
              <w:rPr>
                <w:rFonts w:ascii="宋体" w:hAnsi="宋体" w:cs="宋体"/>
                <w:szCs w:val="21"/>
                <w:highlight w:val="none"/>
              </w:rPr>
            </w:pPr>
            <w:r>
              <w:rPr>
                <w:rFonts w:ascii="宋体" w:hAnsi="宋体" w:cs="宋体"/>
                <w:szCs w:val="21"/>
                <w:highlight w:val="none"/>
              </w:rPr>
              <w:t>根据《关于在政府采购活动中查询及使用信用记录有关问题的通知》财库[2016]125号的规定：</w:t>
            </w:r>
          </w:p>
          <w:p w14:paraId="7119E5C2">
            <w:pPr>
              <w:widowControl/>
              <w:spacing w:line="360" w:lineRule="auto"/>
              <w:rPr>
                <w:rFonts w:ascii="宋体" w:hAnsi="宋体" w:cs="宋体"/>
                <w:szCs w:val="21"/>
                <w:highlight w:val="none"/>
              </w:rPr>
            </w:pPr>
            <w:r>
              <w:rPr>
                <w:rFonts w:ascii="宋体" w:hAnsi="宋体" w:cs="宋体"/>
                <w:szCs w:val="21"/>
                <w:highlight w:val="none"/>
              </w:rPr>
              <w:t>1）采购人或采购代理机构将对本项目供应商的信用记录进行查询。查询渠道与留存方式：招标采购单位登录“信用中国”（www.creditchina.gov.cn）、中国政府采购网（www.ccgp.gov.cn）、浙江政府采购网（http://zfcg.czt.zj.gov.cn//）、国家企业信用信息公示系统（www.gsxt.gov.cn）网站查询各磋商供应商信用记录，网页截图并打印存档。</w:t>
            </w:r>
          </w:p>
          <w:p w14:paraId="37011199">
            <w:pPr>
              <w:widowControl/>
              <w:spacing w:line="360" w:lineRule="auto"/>
              <w:rPr>
                <w:rFonts w:ascii="宋体" w:hAnsi="宋体" w:cs="宋体"/>
                <w:szCs w:val="21"/>
                <w:highlight w:val="none"/>
              </w:rPr>
            </w:pPr>
            <w:r>
              <w:rPr>
                <w:rFonts w:ascii="宋体" w:hAnsi="宋体" w:cs="宋体"/>
                <w:szCs w:val="21"/>
                <w:highlight w:val="none"/>
              </w:rPr>
              <w:t>2）截止时点：提交响应文件（响应文件）截止时间前3年内；</w:t>
            </w:r>
          </w:p>
          <w:p w14:paraId="0C192B1D">
            <w:pPr>
              <w:widowControl/>
              <w:spacing w:line="360" w:lineRule="auto"/>
              <w:rPr>
                <w:rFonts w:ascii="宋体" w:hAnsi="宋体" w:cs="宋体"/>
                <w:szCs w:val="21"/>
                <w:highlight w:val="none"/>
              </w:rPr>
            </w:pPr>
            <w:r>
              <w:rPr>
                <w:rFonts w:ascii="宋体" w:hAnsi="宋体" w:cs="宋体"/>
                <w:szCs w:val="21"/>
                <w:highlight w:val="none"/>
              </w:rPr>
              <w:t>3）查询记录和证据的留存：信用信息查询记录和证据以网页截图等方式留存。</w:t>
            </w:r>
          </w:p>
          <w:p w14:paraId="3B3A62D9">
            <w:pPr>
              <w:widowControl/>
              <w:spacing w:line="360" w:lineRule="auto"/>
              <w:rPr>
                <w:rFonts w:ascii="宋体" w:hAnsi="宋体" w:cs="宋体"/>
                <w:szCs w:val="21"/>
                <w:highlight w:val="none"/>
              </w:rPr>
            </w:pPr>
            <w:r>
              <w:rPr>
                <w:rFonts w:ascii="宋体" w:hAnsi="宋体" w:cs="宋体"/>
                <w:szCs w:val="21"/>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28E19ED9">
            <w:pPr>
              <w:widowControl/>
              <w:spacing w:line="360" w:lineRule="auto"/>
              <w:rPr>
                <w:rFonts w:ascii="宋体" w:hAnsi="宋体" w:cs="宋体"/>
                <w:szCs w:val="21"/>
                <w:highlight w:val="none"/>
              </w:rPr>
            </w:pPr>
            <w:r>
              <w:rPr>
                <w:rFonts w:ascii="宋体" w:hAnsi="宋体" w:cs="宋体"/>
                <w:szCs w:val="21"/>
                <w:highlight w:val="none"/>
              </w:rPr>
              <w:t>5）联合体成员任意一方存在不良信用记录的，视同联合体存在不良信用记录。</w:t>
            </w:r>
          </w:p>
        </w:tc>
      </w:tr>
      <w:tr w14:paraId="4E0B963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2" w:hRule="atLeast"/>
          <w:jc w:val="center"/>
        </w:trPr>
        <w:tc>
          <w:tcPr>
            <w:tcW w:w="645" w:type="dxa"/>
            <w:vAlign w:val="center"/>
          </w:tcPr>
          <w:p w14:paraId="478BF95C">
            <w:pPr>
              <w:spacing w:line="276" w:lineRule="auto"/>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8</w:t>
            </w:r>
          </w:p>
        </w:tc>
        <w:tc>
          <w:tcPr>
            <w:tcW w:w="1834" w:type="dxa"/>
            <w:tcBorders>
              <w:left w:val="single" w:color="auto" w:sz="4" w:space="0"/>
            </w:tcBorders>
            <w:vAlign w:val="center"/>
          </w:tcPr>
          <w:p w14:paraId="430AF763">
            <w:pPr>
              <w:spacing w:line="360" w:lineRule="auto"/>
              <w:jc w:val="center"/>
              <w:rPr>
                <w:rFonts w:ascii="宋体" w:hAnsi="宋体" w:cs="宋体"/>
                <w:szCs w:val="21"/>
                <w:highlight w:val="none"/>
              </w:rPr>
            </w:pPr>
            <w:r>
              <w:rPr>
                <w:rFonts w:ascii="宋体" w:hAnsi="宋体" w:cs="宋体"/>
                <w:szCs w:val="21"/>
                <w:highlight w:val="none"/>
              </w:rPr>
              <w:t>诚信履约管理</w:t>
            </w:r>
          </w:p>
        </w:tc>
        <w:tc>
          <w:tcPr>
            <w:tcW w:w="7365" w:type="dxa"/>
            <w:tcBorders>
              <w:left w:val="single" w:color="auto" w:sz="4" w:space="0"/>
            </w:tcBorders>
            <w:vAlign w:val="center"/>
          </w:tcPr>
          <w:p w14:paraId="240E2A85">
            <w:pPr>
              <w:widowControl/>
              <w:spacing w:line="360" w:lineRule="auto"/>
              <w:rPr>
                <w:rFonts w:ascii="宋体" w:hAnsi="宋体" w:cs="宋体"/>
                <w:szCs w:val="21"/>
                <w:highlight w:val="none"/>
              </w:rPr>
            </w:pPr>
            <w:r>
              <w:rPr>
                <w:rFonts w:ascii="宋体" w:hAnsi="宋体" w:cs="宋体"/>
                <w:szCs w:val="21"/>
                <w:highlight w:val="none"/>
              </w:rPr>
              <w:t>合同签订后，采购人依法加强对合同履约进行管理。</w:t>
            </w:r>
          </w:p>
        </w:tc>
      </w:tr>
      <w:tr w14:paraId="64DD45D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88" w:hRule="atLeast"/>
          <w:jc w:val="center"/>
        </w:trPr>
        <w:tc>
          <w:tcPr>
            <w:tcW w:w="645" w:type="dxa"/>
            <w:vAlign w:val="center"/>
          </w:tcPr>
          <w:p w14:paraId="4654FB4B">
            <w:pPr>
              <w:spacing w:line="276" w:lineRule="auto"/>
              <w:jc w:val="center"/>
              <w:rPr>
                <w:rFonts w:ascii="宋体" w:hAnsi="宋体" w:eastAsia="宋体" w:cs="宋体"/>
                <w:szCs w:val="21"/>
                <w:highlight w:val="none"/>
                <w:lang w:val="en-US" w:eastAsia="zh-CN"/>
              </w:rPr>
            </w:pPr>
            <w:r>
              <w:rPr>
                <w:rFonts w:hint="eastAsia" w:ascii="宋体" w:hAnsi="宋体" w:cs="宋体"/>
                <w:szCs w:val="21"/>
                <w:highlight w:val="none"/>
                <w:lang w:val="en-US" w:eastAsia="zh-CN"/>
              </w:rPr>
              <w:t>29</w:t>
            </w:r>
          </w:p>
        </w:tc>
        <w:tc>
          <w:tcPr>
            <w:tcW w:w="1834" w:type="dxa"/>
            <w:tcBorders>
              <w:left w:val="single" w:color="auto" w:sz="4" w:space="0"/>
            </w:tcBorders>
            <w:vAlign w:val="center"/>
          </w:tcPr>
          <w:p w14:paraId="3E5E0A98">
            <w:pPr>
              <w:spacing w:line="360" w:lineRule="auto"/>
              <w:jc w:val="center"/>
              <w:rPr>
                <w:rFonts w:ascii="宋体" w:hAnsi="宋体" w:cs="宋体"/>
                <w:szCs w:val="21"/>
                <w:highlight w:val="none"/>
              </w:rPr>
            </w:pPr>
            <w:r>
              <w:rPr>
                <w:rFonts w:ascii="宋体" w:hAnsi="宋体" w:cs="宋体"/>
                <w:szCs w:val="21"/>
                <w:highlight w:val="none"/>
              </w:rPr>
              <w:t>解释权</w:t>
            </w:r>
          </w:p>
        </w:tc>
        <w:tc>
          <w:tcPr>
            <w:tcW w:w="7365" w:type="dxa"/>
            <w:tcBorders>
              <w:left w:val="single" w:color="auto" w:sz="4" w:space="0"/>
            </w:tcBorders>
            <w:vAlign w:val="center"/>
          </w:tcPr>
          <w:p w14:paraId="1A8ACD27">
            <w:pPr>
              <w:spacing w:line="360" w:lineRule="auto"/>
              <w:rPr>
                <w:rFonts w:ascii="宋体" w:hAnsi="宋体" w:cs="宋体"/>
                <w:szCs w:val="21"/>
                <w:highlight w:val="none"/>
              </w:rPr>
            </w:pPr>
            <w:r>
              <w:rPr>
                <w:rFonts w:ascii="宋体" w:hAnsi="宋体" w:cs="宋体"/>
                <w:szCs w:val="21"/>
                <w:highlight w:val="none"/>
              </w:rPr>
              <w:t>构成本磋商文件的各个组成文件应互为解释，互为说明；如有不明确或不一致，构成合同文件组成内容的，以合同文件约定内容为准；仅适用于磋商阶段的约定，按竞争性磋商公告、磋商供应商须知、评定办法、磋商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47E3CC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59" w:hRule="atLeast"/>
          <w:jc w:val="center"/>
        </w:trPr>
        <w:tc>
          <w:tcPr>
            <w:tcW w:w="645" w:type="dxa"/>
            <w:vAlign w:val="center"/>
          </w:tcPr>
          <w:p w14:paraId="6DE50DE7">
            <w:pPr>
              <w:spacing w:line="276" w:lineRule="auto"/>
              <w:jc w:val="center"/>
              <w:rPr>
                <w:rFonts w:hint="eastAsia" w:ascii="宋体" w:hAnsi="宋体" w:eastAsia="宋体" w:cs="宋体"/>
                <w:szCs w:val="21"/>
                <w:highlight w:val="none"/>
                <w:lang w:eastAsia="zh-CN"/>
              </w:rPr>
            </w:pPr>
            <w:r>
              <w:rPr>
                <w:rFonts w:ascii="宋体" w:hAnsi="宋体" w:cs="宋体"/>
                <w:szCs w:val="21"/>
                <w:highlight w:val="none"/>
              </w:rPr>
              <w:t>3</w:t>
            </w:r>
            <w:r>
              <w:rPr>
                <w:rFonts w:hint="eastAsia" w:ascii="宋体" w:hAnsi="宋体" w:cs="宋体"/>
                <w:szCs w:val="21"/>
                <w:highlight w:val="none"/>
                <w:lang w:val="en-US" w:eastAsia="zh-CN"/>
              </w:rPr>
              <w:t>0</w:t>
            </w:r>
          </w:p>
        </w:tc>
        <w:tc>
          <w:tcPr>
            <w:tcW w:w="1834" w:type="dxa"/>
            <w:tcBorders>
              <w:left w:val="single" w:color="auto" w:sz="4" w:space="0"/>
            </w:tcBorders>
            <w:vAlign w:val="center"/>
          </w:tcPr>
          <w:p w14:paraId="4191BA7F">
            <w:pPr>
              <w:spacing w:line="360" w:lineRule="auto"/>
              <w:jc w:val="center"/>
              <w:rPr>
                <w:rFonts w:ascii="宋体" w:hAnsi="宋体" w:cs="宋体"/>
                <w:szCs w:val="21"/>
                <w:highlight w:val="none"/>
              </w:rPr>
            </w:pPr>
            <w:r>
              <w:rPr>
                <w:rFonts w:ascii="宋体" w:hAnsi="宋体" w:cs="宋体"/>
                <w:szCs w:val="21"/>
                <w:highlight w:val="none"/>
              </w:rPr>
              <w:t xml:space="preserve">合同管理                                                                                                                                                                                                                                                                                                                                                                                                                                                                                                                                                                                                                                                                                                                                                                                                                                                                                                                                                                                                                                                                                                                                                                                                                                                                                                                                                                                                                                                                                                                                                                                                                                                                                                                                                                                                                                                                                                                                                                                                                                                                                                                                                                                                                                                                                                                                                                                                                                                                                                                                                                                                                                      </w:t>
            </w:r>
          </w:p>
        </w:tc>
        <w:tc>
          <w:tcPr>
            <w:tcW w:w="7365" w:type="dxa"/>
            <w:tcBorders>
              <w:left w:val="single" w:color="auto" w:sz="4" w:space="0"/>
            </w:tcBorders>
            <w:vAlign w:val="center"/>
          </w:tcPr>
          <w:p w14:paraId="55450FC0">
            <w:pPr>
              <w:spacing w:line="360" w:lineRule="auto"/>
              <w:rPr>
                <w:rFonts w:ascii="宋体" w:hAnsi="宋体" w:cs="宋体"/>
                <w:szCs w:val="21"/>
                <w:highlight w:val="none"/>
              </w:rPr>
            </w:pPr>
            <w:r>
              <w:rPr>
                <w:rFonts w:ascii="宋体" w:hAnsi="宋体" w:cs="宋体"/>
                <w:szCs w:val="21"/>
                <w:highlight w:val="none"/>
              </w:rPr>
              <w:t>1.成交供应商与采购人签订合同后,两个工作日内将合同原件交给浙江综盛项目管理有限公司备案。</w:t>
            </w:r>
          </w:p>
          <w:p w14:paraId="18BF8EF6">
            <w:pPr>
              <w:spacing w:line="360" w:lineRule="auto"/>
              <w:rPr>
                <w:rFonts w:ascii="宋体" w:hAnsi="宋体" w:cs="宋体"/>
                <w:b/>
                <w:szCs w:val="21"/>
                <w:highlight w:val="none"/>
              </w:rPr>
            </w:pPr>
            <w:r>
              <w:rPr>
                <w:rFonts w:ascii="宋体" w:hAnsi="宋体" w:cs="宋体"/>
                <w:szCs w:val="21"/>
                <w:highlight w:val="none"/>
              </w:rPr>
              <w:t>2.采购人在合同签订后两个工作日内要及时向财政监督管理部门申请备案。</w:t>
            </w:r>
          </w:p>
        </w:tc>
      </w:tr>
      <w:tr w14:paraId="63BCE5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59" w:hRule="atLeast"/>
          <w:jc w:val="center"/>
        </w:trPr>
        <w:tc>
          <w:tcPr>
            <w:tcW w:w="645" w:type="dxa"/>
            <w:vAlign w:val="center"/>
          </w:tcPr>
          <w:p w14:paraId="0D470A9F">
            <w:pPr>
              <w:spacing w:line="276" w:lineRule="auto"/>
              <w:jc w:val="center"/>
              <w:rPr>
                <w:rFonts w:hint="eastAsia" w:ascii="宋体" w:hAnsi="宋体" w:eastAsia="宋体" w:cs="宋体"/>
                <w:szCs w:val="21"/>
                <w:highlight w:val="none"/>
                <w:lang w:eastAsia="zh-CN"/>
              </w:rPr>
            </w:pPr>
            <w:r>
              <w:rPr>
                <w:rFonts w:ascii="宋体" w:hAnsi="宋体" w:cs="宋体"/>
                <w:szCs w:val="21"/>
                <w:highlight w:val="none"/>
              </w:rPr>
              <w:t>3</w:t>
            </w:r>
            <w:r>
              <w:rPr>
                <w:rFonts w:hint="eastAsia" w:ascii="宋体" w:hAnsi="宋体" w:cs="宋体"/>
                <w:szCs w:val="21"/>
                <w:highlight w:val="none"/>
                <w:lang w:val="en-US" w:eastAsia="zh-CN"/>
              </w:rPr>
              <w:t>1</w:t>
            </w:r>
          </w:p>
        </w:tc>
        <w:tc>
          <w:tcPr>
            <w:tcW w:w="1834" w:type="dxa"/>
            <w:tcBorders>
              <w:left w:val="single" w:color="auto" w:sz="4" w:space="0"/>
            </w:tcBorders>
            <w:vAlign w:val="center"/>
          </w:tcPr>
          <w:p w14:paraId="0B34B0FE">
            <w:pPr>
              <w:spacing w:line="360" w:lineRule="auto"/>
              <w:jc w:val="center"/>
              <w:rPr>
                <w:rFonts w:ascii="宋体" w:hAnsi="宋体" w:cs="宋体"/>
                <w:szCs w:val="21"/>
                <w:highlight w:val="none"/>
              </w:rPr>
            </w:pPr>
            <w:r>
              <w:rPr>
                <w:rFonts w:ascii="宋体" w:hAnsi="宋体" w:cs="宋体"/>
                <w:szCs w:val="21"/>
                <w:highlight w:val="none"/>
              </w:rPr>
              <w:t>邮箱</w:t>
            </w:r>
          </w:p>
        </w:tc>
        <w:tc>
          <w:tcPr>
            <w:tcW w:w="7365" w:type="dxa"/>
            <w:tcBorders>
              <w:left w:val="single" w:color="auto" w:sz="4" w:space="0"/>
            </w:tcBorders>
            <w:vAlign w:val="center"/>
          </w:tcPr>
          <w:p w14:paraId="2D884B0E">
            <w:pPr>
              <w:spacing w:line="360" w:lineRule="auto"/>
              <w:rPr>
                <w:rFonts w:ascii="宋体" w:hAnsi="宋体" w:cs="宋体"/>
                <w:szCs w:val="21"/>
                <w:highlight w:val="none"/>
              </w:rPr>
            </w:pPr>
            <w:r>
              <w:rPr>
                <w:rFonts w:ascii="宋体" w:hAnsi="宋体" w:cs="宋体"/>
                <w:szCs w:val="21"/>
                <w:highlight w:val="none"/>
              </w:rPr>
              <w:t>本磋商文件所提到的代理机构邮箱皆为</w:t>
            </w:r>
            <w:r>
              <w:rPr>
                <w:rFonts w:ascii="宋体" w:hAnsi="宋体" w:cs="宋体"/>
                <w:b/>
                <w:bCs/>
                <w:szCs w:val="21"/>
                <w:highlight w:val="none"/>
              </w:rPr>
              <w:t>984865308@qq.com</w:t>
            </w:r>
            <w:r>
              <w:rPr>
                <w:rFonts w:ascii="宋体" w:hAnsi="宋体" w:cs="宋体"/>
                <w:szCs w:val="21"/>
                <w:highlight w:val="none"/>
              </w:rPr>
              <w:t>。</w:t>
            </w:r>
          </w:p>
        </w:tc>
      </w:tr>
      <w:tr w14:paraId="749D0F9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59" w:hRule="atLeast"/>
          <w:jc w:val="center"/>
        </w:trPr>
        <w:tc>
          <w:tcPr>
            <w:tcW w:w="645" w:type="dxa"/>
            <w:vAlign w:val="center"/>
          </w:tcPr>
          <w:p w14:paraId="2A0F0471">
            <w:pPr>
              <w:spacing w:line="276" w:lineRule="auto"/>
              <w:jc w:val="center"/>
              <w:rPr>
                <w:rFonts w:hint="eastAsia" w:ascii="宋体" w:hAnsi="宋体" w:eastAsia="宋体" w:cs="宋体"/>
                <w:szCs w:val="21"/>
                <w:highlight w:val="none"/>
                <w:lang w:eastAsia="zh-CN"/>
              </w:rPr>
            </w:pPr>
            <w:r>
              <w:rPr>
                <w:rFonts w:ascii="宋体" w:hAnsi="宋体" w:cs="宋体"/>
                <w:szCs w:val="21"/>
                <w:highlight w:val="none"/>
              </w:rPr>
              <w:t>3</w:t>
            </w:r>
            <w:r>
              <w:rPr>
                <w:rFonts w:hint="eastAsia" w:ascii="宋体" w:hAnsi="宋体" w:cs="宋体"/>
                <w:szCs w:val="21"/>
                <w:highlight w:val="none"/>
                <w:lang w:val="en-US" w:eastAsia="zh-CN"/>
              </w:rPr>
              <w:t>2</w:t>
            </w:r>
          </w:p>
        </w:tc>
        <w:tc>
          <w:tcPr>
            <w:tcW w:w="1834" w:type="dxa"/>
            <w:tcBorders>
              <w:left w:val="single" w:color="auto" w:sz="4" w:space="0"/>
            </w:tcBorders>
            <w:vAlign w:val="center"/>
          </w:tcPr>
          <w:p w14:paraId="4DED42B0">
            <w:pPr>
              <w:spacing w:line="360" w:lineRule="auto"/>
              <w:jc w:val="center"/>
              <w:rPr>
                <w:rFonts w:ascii="宋体" w:hAnsi="宋体" w:cs="宋体"/>
                <w:szCs w:val="21"/>
                <w:highlight w:val="none"/>
              </w:rPr>
            </w:pPr>
            <w:r>
              <w:rPr>
                <w:rFonts w:ascii="宋体" w:hAnsi="宋体" w:cs="宋体"/>
                <w:szCs w:val="21"/>
                <w:highlight w:val="none"/>
              </w:rPr>
              <w:t>备注</w:t>
            </w:r>
          </w:p>
        </w:tc>
        <w:tc>
          <w:tcPr>
            <w:tcW w:w="7365" w:type="dxa"/>
            <w:tcBorders>
              <w:left w:val="single" w:color="auto" w:sz="4" w:space="0"/>
            </w:tcBorders>
            <w:vAlign w:val="center"/>
          </w:tcPr>
          <w:p w14:paraId="3DFB5262">
            <w:pPr>
              <w:numPr>
                <w:ilvl w:val="0"/>
                <w:numId w:val="10"/>
              </w:numPr>
              <w:spacing w:line="360" w:lineRule="auto"/>
              <w:rPr>
                <w:rFonts w:ascii="宋体" w:hAnsi="宋体" w:cs="宋体"/>
                <w:szCs w:val="21"/>
                <w:highlight w:val="none"/>
              </w:rPr>
            </w:pPr>
            <w:r>
              <w:rPr>
                <w:rFonts w:ascii="宋体" w:hAnsi="宋体" w:cs="宋体"/>
                <w:szCs w:val="21"/>
                <w:highlight w:val="none"/>
              </w:rPr>
              <w:t>请务必确保投标文件制作客户端为最新版本，旧版本可能导致磋商响应文件解密失败。</w:t>
            </w:r>
          </w:p>
          <w:p w14:paraId="45DF8E83">
            <w:pPr>
              <w:numPr>
                <w:ilvl w:val="0"/>
                <w:numId w:val="10"/>
              </w:numPr>
              <w:spacing w:line="360" w:lineRule="auto"/>
              <w:rPr>
                <w:rFonts w:ascii="宋体" w:hAnsi="宋体" w:cs="宋体"/>
                <w:szCs w:val="21"/>
                <w:highlight w:val="none"/>
              </w:rPr>
            </w:pPr>
            <w:r>
              <w:rPr>
                <w:rFonts w:ascii="宋体" w:hAnsi="宋体" w:cs="宋体"/>
                <w:szCs w:val="21"/>
                <w:highlight w:val="none"/>
              </w:rPr>
              <w:t>请务必确保响应文件制作时所用的 CA 锁与响应文件解密时的 CA 锁为同一把，否则可能导致响应文件解密失败。</w:t>
            </w:r>
          </w:p>
          <w:p w14:paraId="6773747F">
            <w:pPr>
              <w:numPr>
                <w:ilvl w:val="0"/>
                <w:numId w:val="10"/>
              </w:numPr>
              <w:spacing w:line="360" w:lineRule="auto"/>
              <w:rPr>
                <w:rFonts w:ascii="宋体" w:hAnsi="宋体" w:cs="宋体"/>
                <w:szCs w:val="21"/>
                <w:highlight w:val="none"/>
              </w:rPr>
            </w:pPr>
            <w:r>
              <w:rPr>
                <w:rFonts w:ascii="宋体" w:hAnsi="宋体" w:cs="宋体"/>
                <w:szCs w:val="21"/>
                <w:highlight w:val="none"/>
              </w:rPr>
              <w:t>在磋商响应文件解密前，请务必检验 CA 锁与所用电脑的兼容性，部分电脑因 CA 驱动未正常安装、USB 接口兼容性差等原因可能造成响应文件解密失败。</w:t>
            </w:r>
          </w:p>
          <w:p w14:paraId="223E0A3E">
            <w:pPr>
              <w:numPr>
                <w:ilvl w:val="0"/>
                <w:numId w:val="10"/>
              </w:numPr>
              <w:spacing w:line="360" w:lineRule="auto"/>
              <w:rPr>
                <w:rFonts w:ascii="宋体" w:hAnsi="宋体" w:cs="宋体"/>
                <w:szCs w:val="21"/>
                <w:highlight w:val="none"/>
              </w:rPr>
            </w:pPr>
            <w:r>
              <w:rPr>
                <w:rFonts w:ascii="宋体" w:hAnsi="宋体" w:cs="宋体"/>
                <w:szCs w:val="21"/>
                <w:highlight w:val="none"/>
              </w:rPr>
              <w:t>供应商未按照采购文件规定及提醒操作的，引起一切后果由供应商自行负责。</w:t>
            </w:r>
          </w:p>
          <w:p w14:paraId="40E469B2">
            <w:pPr>
              <w:numPr>
                <w:ilvl w:val="0"/>
                <w:numId w:val="10"/>
              </w:numPr>
              <w:spacing w:line="360" w:lineRule="auto"/>
              <w:rPr>
                <w:rFonts w:ascii="宋体" w:hAnsi="宋体" w:cs="宋体"/>
                <w:szCs w:val="21"/>
                <w:highlight w:val="none"/>
              </w:rPr>
            </w:pPr>
            <w:r>
              <w:rPr>
                <w:rFonts w:ascii="宋体" w:hAnsi="宋体" w:cs="宋体"/>
                <w:szCs w:val="21"/>
                <w:highlight w:val="none"/>
              </w:rPr>
              <w:t>成交供应商在领取成交通知书时需提供全套纸质磋商响应文件一正三副共4份。</w:t>
            </w:r>
          </w:p>
        </w:tc>
      </w:tr>
    </w:tbl>
    <w:p w14:paraId="25AF2464">
      <w:pPr>
        <w:rPr>
          <w:highlight w:val="none"/>
        </w:rPr>
      </w:pPr>
    </w:p>
    <w:p w14:paraId="65C07CD6">
      <w:pPr>
        <w:pageBreakBefore/>
        <w:widowControl w:val="0"/>
        <w:tabs>
          <w:tab w:val="left" w:pos="840"/>
        </w:tabs>
        <w:spacing w:before="240" w:beforeLines="100" w:after="240" w:afterLines="100"/>
        <w:jc w:val="center"/>
        <w:rPr>
          <w:rFonts w:hAnsi="宋体"/>
          <w:sz w:val="28"/>
          <w:szCs w:val="36"/>
          <w:highlight w:val="none"/>
        </w:rPr>
      </w:pPr>
      <w:bookmarkStart w:id="91" w:name="_Toc38808094"/>
      <w:bookmarkStart w:id="92" w:name="_Toc65250512"/>
      <w:bookmarkStart w:id="93" w:name="_Toc51335243"/>
      <w:bookmarkStart w:id="94" w:name="_Toc28"/>
      <w:r>
        <w:rPr>
          <w:rFonts w:hAnsi="宋体"/>
          <w:b/>
          <w:bCs/>
          <w:sz w:val="28"/>
          <w:szCs w:val="36"/>
          <w:highlight w:val="none"/>
        </w:rPr>
        <w:t>政府采购活动现场确认声明书</w:t>
      </w:r>
      <w:bookmarkEnd w:id="91"/>
      <w:bookmarkEnd w:id="92"/>
      <w:bookmarkEnd w:id="93"/>
      <w:bookmarkEnd w:id="94"/>
    </w:p>
    <w:p w14:paraId="7FFD5693">
      <w:pPr>
        <w:pStyle w:val="38"/>
        <w:snapToGrid w:val="0"/>
        <w:spacing w:line="500" w:lineRule="exact"/>
        <w:rPr>
          <w:rFonts w:hAnsi="宋体" w:cs="宋体"/>
          <w:b/>
          <w:szCs w:val="21"/>
          <w:highlight w:val="none"/>
        </w:rPr>
      </w:pPr>
      <w:r>
        <w:rPr>
          <w:rFonts w:hAnsi="宋体" w:cs="宋体"/>
          <w:kern w:val="0"/>
          <w:szCs w:val="21"/>
          <w:highlight w:val="none"/>
          <w:u w:val="single"/>
        </w:rPr>
        <w:t>浙江综盛项目管理有限公司</w:t>
      </w:r>
      <w:r>
        <w:rPr>
          <w:rFonts w:hAnsi="宋体" w:cs="宋体"/>
          <w:kern w:val="0"/>
          <w:szCs w:val="21"/>
          <w:highlight w:val="none"/>
        </w:rPr>
        <w:t>（采购组织机构名称）：</w:t>
      </w:r>
    </w:p>
    <w:p w14:paraId="3129F6A5">
      <w:pPr>
        <w:pStyle w:val="38"/>
        <w:snapToGrid w:val="0"/>
        <w:spacing w:line="460" w:lineRule="exact"/>
        <w:ind w:left="19" w:leftChars="9" w:firstLine="415" w:firstLineChars="187"/>
        <w:rPr>
          <w:rFonts w:hAnsi="宋体" w:cs="宋体"/>
          <w:spacing w:val="6"/>
          <w:szCs w:val="21"/>
          <w:highlight w:val="none"/>
        </w:rPr>
      </w:pPr>
      <w:r>
        <w:rPr>
          <w:rFonts w:hAnsi="宋体" w:cs="宋体"/>
          <w:spacing w:val="6"/>
          <w:szCs w:val="21"/>
          <w:highlight w:val="none"/>
        </w:rPr>
        <w:t>本人</w:t>
      </w:r>
      <w:r>
        <w:rPr>
          <w:rFonts w:hAnsi="宋体" w:cs="宋体"/>
          <w:spacing w:val="6"/>
          <w:szCs w:val="21"/>
          <w:highlight w:val="none"/>
          <w:u w:val="single"/>
        </w:rPr>
        <w:t xml:space="preserve">           </w:t>
      </w:r>
      <w:r>
        <w:rPr>
          <w:rFonts w:hAnsi="宋体" w:cs="宋体"/>
          <w:spacing w:val="6"/>
          <w:szCs w:val="21"/>
          <w:highlight w:val="none"/>
        </w:rPr>
        <w:t>（授权代表姓名），经由</w:t>
      </w:r>
      <w:r>
        <w:rPr>
          <w:rFonts w:hAnsi="宋体" w:cs="宋体"/>
          <w:spacing w:val="6"/>
          <w:szCs w:val="21"/>
          <w:highlight w:val="none"/>
          <w:u w:val="single"/>
        </w:rPr>
        <w:t xml:space="preserve">            （单位）</w:t>
      </w:r>
      <w:r>
        <w:rPr>
          <w:rFonts w:hAnsi="宋体" w:cs="宋体"/>
          <w:spacing w:val="6"/>
          <w:szCs w:val="21"/>
          <w:highlight w:val="none"/>
        </w:rPr>
        <w:t>负责人</w:t>
      </w:r>
      <w:r>
        <w:rPr>
          <w:rFonts w:hAnsi="宋体" w:cs="宋体"/>
          <w:spacing w:val="6"/>
          <w:szCs w:val="21"/>
          <w:highlight w:val="none"/>
          <w:u w:val="single"/>
        </w:rPr>
        <w:t xml:space="preserve">          </w:t>
      </w:r>
      <w:r>
        <w:rPr>
          <w:rFonts w:hAnsi="宋体" w:cs="宋体"/>
          <w:spacing w:val="6"/>
          <w:szCs w:val="21"/>
          <w:highlight w:val="none"/>
        </w:rPr>
        <w:t>（法定代表人）合法授权参加</w:t>
      </w:r>
      <w:r>
        <w:rPr>
          <w:rFonts w:hAnsi="宋体" w:cs="宋体"/>
          <w:spacing w:val="6"/>
          <w:szCs w:val="21"/>
          <w:highlight w:val="none"/>
          <w:u w:val="single"/>
        </w:rPr>
        <w:t xml:space="preserve">          </w:t>
      </w:r>
      <w:r>
        <w:rPr>
          <w:rFonts w:hAnsi="宋体" w:cs="宋体"/>
          <w:spacing w:val="6"/>
          <w:szCs w:val="21"/>
          <w:highlight w:val="none"/>
        </w:rPr>
        <w:t>（编号：</w:t>
      </w:r>
      <w:r>
        <w:rPr>
          <w:rFonts w:hAnsi="宋体" w:cs="宋体"/>
          <w:spacing w:val="6"/>
          <w:szCs w:val="21"/>
          <w:highlight w:val="none"/>
          <w:u w:val="single"/>
        </w:rPr>
        <w:t xml:space="preserve">      </w:t>
      </w:r>
      <w:r>
        <w:rPr>
          <w:rFonts w:hAnsi="宋体" w:cs="宋体"/>
          <w:spacing w:val="6"/>
          <w:szCs w:val="21"/>
          <w:highlight w:val="none"/>
        </w:rPr>
        <w:t xml:space="preserve">）政府采购活动，经与本单位法人代表（负责人）联系确认，现就有关公平竞争事项郑重声明如下： </w:t>
      </w:r>
    </w:p>
    <w:p w14:paraId="51367FEB">
      <w:pPr>
        <w:pStyle w:val="37"/>
        <w:widowControl/>
        <w:snapToGrid w:val="0"/>
        <w:spacing w:line="460" w:lineRule="exact"/>
        <w:ind w:firstLine="420" w:firstLineChars="200"/>
        <w:rPr>
          <w:rFonts w:ascii="宋体" w:hAnsi="宋体" w:cs="宋体"/>
          <w:kern w:val="0"/>
          <w:szCs w:val="21"/>
          <w:highlight w:val="none"/>
        </w:rPr>
      </w:pPr>
      <w:r>
        <w:rPr>
          <w:rFonts w:ascii="宋体" w:hAnsi="宋体" w:cs="宋体"/>
          <w:kern w:val="0"/>
          <w:szCs w:val="21"/>
          <w:highlight w:val="none"/>
        </w:rPr>
        <w:t>一、本单位与采购人之间 □不存在利害关系□存在下列利害关系</w:t>
      </w:r>
      <w:r>
        <w:rPr>
          <w:rFonts w:ascii="宋体" w:hAnsi="宋体" w:cs="宋体"/>
          <w:kern w:val="0"/>
          <w:szCs w:val="21"/>
          <w:highlight w:val="none"/>
          <w:u w:val="single"/>
        </w:rPr>
        <w:t xml:space="preserve">           </w:t>
      </w:r>
      <w:r>
        <w:rPr>
          <w:rFonts w:ascii="宋体" w:hAnsi="宋体" w:cs="宋体"/>
          <w:kern w:val="0"/>
          <w:szCs w:val="21"/>
          <w:highlight w:val="none"/>
        </w:rPr>
        <w:t>：</w:t>
      </w:r>
    </w:p>
    <w:p w14:paraId="60B1FE34">
      <w:pPr>
        <w:pStyle w:val="37"/>
        <w:widowControl/>
        <w:snapToGrid w:val="0"/>
        <w:spacing w:line="460" w:lineRule="exact"/>
        <w:rPr>
          <w:rFonts w:ascii="宋体" w:hAnsi="宋体" w:cs="宋体"/>
          <w:kern w:val="0"/>
          <w:szCs w:val="21"/>
          <w:highlight w:val="none"/>
        </w:rPr>
      </w:pPr>
      <w:r>
        <w:rPr>
          <w:rFonts w:ascii="宋体" w:hAnsi="宋体" w:cs="宋体"/>
          <w:kern w:val="0"/>
          <w:szCs w:val="21"/>
          <w:highlight w:val="none"/>
        </w:rPr>
        <w:t xml:space="preserve">  A.投资关系    B.行政隶属关系    C.业务指导关系</w:t>
      </w:r>
    </w:p>
    <w:p w14:paraId="669D5EAD">
      <w:pPr>
        <w:pStyle w:val="37"/>
        <w:widowControl/>
        <w:snapToGrid w:val="0"/>
        <w:spacing w:line="460" w:lineRule="exact"/>
        <w:rPr>
          <w:rFonts w:ascii="宋体" w:hAnsi="宋体" w:cs="宋体"/>
          <w:kern w:val="0"/>
          <w:szCs w:val="21"/>
          <w:highlight w:val="none"/>
        </w:rPr>
      </w:pPr>
      <w:r>
        <w:rPr>
          <w:rFonts w:ascii="宋体" w:hAnsi="宋体" w:cs="宋体"/>
          <w:kern w:val="0"/>
          <w:szCs w:val="21"/>
          <w:highlight w:val="none"/>
        </w:rPr>
        <w:t xml:space="preserve">  D.其他可能</w:t>
      </w:r>
      <w:r>
        <w:rPr>
          <w:rFonts w:ascii="宋体" w:hAnsi="宋体" w:cs="宋体"/>
          <w:szCs w:val="21"/>
          <w:highlight w:val="none"/>
        </w:rPr>
        <w:t>影响采购公正的</w:t>
      </w:r>
      <w:r>
        <w:rPr>
          <w:rFonts w:ascii="宋体" w:hAnsi="宋体" w:cs="宋体"/>
          <w:kern w:val="0"/>
          <w:szCs w:val="21"/>
          <w:highlight w:val="none"/>
        </w:rPr>
        <w:t>利害关系</w:t>
      </w:r>
      <w:r>
        <w:rPr>
          <w:rFonts w:ascii="宋体" w:hAnsi="宋体" w:cs="宋体"/>
          <w:kern w:val="0"/>
          <w:szCs w:val="21"/>
          <w:highlight w:val="none"/>
          <w:u w:val="single"/>
        </w:rPr>
        <w:t xml:space="preserve">（如有，请如实说明）                 </w:t>
      </w:r>
      <w:r>
        <w:rPr>
          <w:rFonts w:ascii="宋体" w:hAnsi="宋体" w:cs="宋体"/>
          <w:kern w:val="0"/>
          <w:szCs w:val="21"/>
          <w:highlight w:val="none"/>
        </w:rPr>
        <w:t>。</w:t>
      </w:r>
    </w:p>
    <w:p w14:paraId="2159E9BB">
      <w:pPr>
        <w:pStyle w:val="37"/>
        <w:widowControl/>
        <w:snapToGrid w:val="0"/>
        <w:spacing w:line="460" w:lineRule="exact"/>
        <w:rPr>
          <w:rFonts w:ascii="宋体" w:hAnsi="宋体" w:cs="宋体"/>
          <w:kern w:val="0"/>
          <w:szCs w:val="21"/>
          <w:highlight w:val="none"/>
        </w:rPr>
      </w:pPr>
      <w:r>
        <w:rPr>
          <w:rFonts w:ascii="宋体" w:hAnsi="宋体" w:cs="宋体"/>
          <w:spacing w:val="6"/>
          <w:szCs w:val="21"/>
          <w:highlight w:val="none"/>
        </w:rPr>
        <w:t xml:space="preserve">   二、</w:t>
      </w:r>
      <w:r>
        <w:rPr>
          <w:rFonts w:ascii="宋体" w:hAnsi="宋体" w:cs="宋体"/>
          <w:kern w:val="0"/>
          <w:szCs w:val="21"/>
          <w:highlight w:val="none"/>
        </w:rPr>
        <w:t>现已清楚知道参加本项目采购活动的其他所有供应商名称，本单位 □与其他所有供应商之间均不存在利害关系 □与</w:t>
      </w:r>
      <w:r>
        <w:rPr>
          <w:rFonts w:ascii="宋体" w:hAnsi="宋体" w:cs="宋体"/>
          <w:kern w:val="0"/>
          <w:szCs w:val="21"/>
          <w:highlight w:val="none"/>
          <w:u w:val="single"/>
        </w:rPr>
        <w:t xml:space="preserve">           （供应商名称）</w:t>
      </w:r>
      <w:r>
        <w:rPr>
          <w:rFonts w:ascii="宋体" w:hAnsi="宋体" w:cs="宋体"/>
          <w:kern w:val="0"/>
          <w:szCs w:val="21"/>
          <w:highlight w:val="none"/>
        </w:rPr>
        <w:t>之间存在下列利害关系</w:t>
      </w:r>
      <w:r>
        <w:rPr>
          <w:rFonts w:ascii="宋体" w:hAnsi="宋体" w:cs="宋体"/>
          <w:kern w:val="0"/>
          <w:szCs w:val="21"/>
          <w:highlight w:val="none"/>
          <w:u w:val="single"/>
        </w:rPr>
        <w:t xml:space="preserve">          </w:t>
      </w:r>
      <w:r>
        <w:rPr>
          <w:rFonts w:ascii="宋体" w:hAnsi="宋体" w:cs="宋体"/>
          <w:kern w:val="0"/>
          <w:szCs w:val="21"/>
          <w:highlight w:val="none"/>
        </w:rPr>
        <w:t>：</w:t>
      </w:r>
    </w:p>
    <w:p w14:paraId="79B17D96">
      <w:pPr>
        <w:pStyle w:val="38"/>
        <w:snapToGrid w:val="0"/>
        <w:spacing w:line="460" w:lineRule="exact"/>
        <w:rPr>
          <w:rFonts w:hAnsi="宋体" w:cs="宋体"/>
          <w:kern w:val="0"/>
          <w:szCs w:val="21"/>
          <w:highlight w:val="none"/>
        </w:rPr>
      </w:pPr>
      <w:r>
        <w:rPr>
          <w:rFonts w:hAnsi="宋体" w:cs="宋体"/>
          <w:kern w:val="0"/>
          <w:szCs w:val="21"/>
          <w:highlight w:val="none"/>
        </w:rPr>
        <w:t xml:space="preserve">  A.法定代表人或负责人或实际控制人是同一人</w:t>
      </w:r>
    </w:p>
    <w:p w14:paraId="627DE08F">
      <w:pPr>
        <w:pStyle w:val="38"/>
        <w:snapToGrid w:val="0"/>
        <w:spacing w:line="460" w:lineRule="exact"/>
        <w:rPr>
          <w:rFonts w:hAnsi="宋体" w:cs="宋体"/>
          <w:spacing w:val="6"/>
          <w:szCs w:val="21"/>
          <w:highlight w:val="none"/>
        </w:rPr>
      </w:pPr>
      <w:r>
        <w:rPr>
          <w:rFonts w:hAnsi="宋体" w:cs="宋体"/>
          <w:kern w:val="0"/>
          <w:szCs w:val="21"/>
          <w:highlight w:val="none"/>
        </w:rPr>
        <w:t xml:space="preserve">  B.法定代表人或负责人或实际控制人是夫妻关系</w:t>
      </w:r>
    </w:p>
    <w:p w14:paraId="0A24B641">
      <w:pPr>
        <w:pStyle w:val="38"/>
        <w:snapToGrid w:val="0"/>
        <w:spacing w:line="460" w:lineRule="exact"/>
        <w:rPr>
          <w:rFonts w:hAnsi="宋体" w:cs="宋体"/>
          <w:spacing w:val="6"/>
          <w:szCs w:val="21"/>
          <w:highlight w:val="none"/>
        </w:rPr>
      </w:pPr>
      <w:r>
        <w:rPr>
          <w:rFonts w:hAnsi="宋体" w:cs="宋体"/>
          <w:kern w:val="0"/>
          <w:szCs w:val="21"/>
          <w:highlight w:val="none"/>
        </w:rPr>
        <w:t xml:space="preserve">  C.法定代表人或负责人或实际控制人是直系血亲关系</w:t>
      </w:r>
    </w:p>
    <w:p w14:paraId="3DC168AE">
      <w:pPr>
        <w:pStyle w:val="38"/>
        <w:snapToGrid w:val="0"/>
        <w:spacing w:line="460" w:lineRule="exact"/>
        <w:rPr>
          <w:rFonts w:hAnsi="宋体" w:cs="宋体"/>
          <w:spacing w:val="6"/>
          <w:szCs w:val="21"/>
          <w:highlight w:val="none"/>
        </w:rPr>
      </w:pPr>
      <w:r>
        <w:rPr>
          <w:rFonts w:hAnsi="宋体" w:cs="宋体"/>
          <w:kern w:val="0"/>
          <w:szCs w:val="21"/>
          <w:highlight w:val="none"/>
        </w:rPr>
        <w:t xml:space="preserve">  D.法定代表人或负责人或实际控制人存在三代以内旁系血亲关系</w:t>
      </w:r>
    </w:p>
    <w:p w14:paraId="4D0D9EBE">
      <w:pPr>
        <w:pStyle w:val="38"/>
        <w:snapToGrid w:val="0"/>
        <w:spacing w:line="460" w:lineRule="exact"/>
        <w:rPr>
          <w:rFonts w:hAnsi="宋体" w:cs="宋体"/>
          <w:kern w:val="0"/>
          <w:szCs w:val="21"/>
          <w:highlight w:val="none"/>
        </w:rPr>
      </w:pPr>
      <w:r>
        <w:rPr>
          <w:rFonts w:hAnsi="宋体" w:cs="宋体"/>
          <w:kern w:val="0"/>
          <w:szCs w:val="21"/>
          <w:highlight w:val="none"/>
        </w:rPr>
        <w:t xml:space="preserve">  E.法定代表人或负责人或实际控制人存在近姻亲关系</w:t>
      </w:r>
    </w:p>
    <w:p w14:paraId="79DEA30D">
      <w:pPr>
        <w:pStyle w:val="38"/>
        <w:snapToGrid w:val="0"/>
        <w:spacing w:line="460" w:lineRule="exact"/>
        <w:rPr>
          <w:rFonts w:hAnsi="宋体" w:cs="宋体"/>
          <w:kern w:val="0"/>
          <w:szCs w:val="21"/>
          <w:highlight w:val="none"/>
        </w:rPr>
      </w:pPr>
      <w:r>
        <w:rPr>
          <w:rFonts w:hAnsi="宋体" w:cs="宋体"/>
          <w:kern w:val="0"/>
          <w:szCs w:val="21"/>
          <w:highlight w:val="none"/>
        </w:rPr>
        <w:t xml:space="preserve">  F.法定代表人或负责人或实际控制人存在股份控制或实际控制关系</w:t>
      </w:r>
    </w:p>
    <w:p w14:paraId="06983728">
      <w:pPr>
        <w:pStyle w:val="38"/>
        <w:snapToGrid w:val="0"/>
        <w:spacing w:line="460" w:lineRule="exact"/>
        <w:rPr>
          <w:rFonts w:hAnsi="宋体" w:cs="宋体"/>
          <w:kern w:val="0"/>
          <w:szCs w:val="21"/>
          <w:highlight w:val="none"/>
        </w:rPr>
      </w:pPr>
      <w:r>
        <w:rPr>
          <w:rFonts w:hAnsi="宋体" w:cs="宋体"/>
          <w:kern w:val="0"/>
          <w:szCs w:val="21"/>
          <w:highlight w:val="none"/>
        </w:rPr>
        <w:t xml:space="preserve">  </w:t>
      </w:r>
      <w:bookmarkStart w:id="95" w:name="_Toc5689"/>
      <w:bookmarkStart w:id="96" w:name="_Toc9069"/>
      <w:bookmarkStart w:id="97" w:name="_Toc12033"/>
      <w:bookmarkStart w:id="98" w:name="_Toc15012"/>
      <w:bookmarkStart w:id="99" w:name="_Toc25645"/>
      <w:r>
        <w:rPr>
          <w:rFonts w:hAnsi="宋体" w:cs="宋体"/>
          <w:kern w:val="0"/>
          <w:szCs w:val="21"/>
          <w:highlight w:val="none"/>
        </w:rPr>
        <w:t>G.存在共同直接或间接投资设立子公司、联营企业和合营企业情况</w:t>
      </w:r>
      <w:bookmarkEnd w:id="95"/>
      <w:bookmarkEnd w:id="96"/>
      <w:bookmarkEnd w:id="97"/>
      <w:bookmarkEnd w:id="98"/>
      <w:bookmarkEnd w:id="99"/>
    </w:p>
    <w:p w14:paraId="3DE8996D">
      <w:pPr>
        <w:pStyle w:val="38"/>
        <w:snapToGrid w:val="0"/>
        <w:spacing w:line="460" w:lineRule="exact"/>
        <w:rPr>
          <w:rFonts w:hAnsi="宋体" w:cs="宋体"/>
          <w:szCs w:val="21"/>
          <w:highlight w:val="none"/>
        </w:rPr>
      </w:pPr>
      <w:r>
        <w:rPr>
          <w:rFonts w:hAnsi="宋体" w:cs="宋体"/>
          <w:kern w:val="0"/>
          <w:szCs w:val="21"/>
          <w:highlight w:val="none"/>
        </w:rPr>
        <w:t xml:space="preserve">  H.存在分级代理或代销关系、同一生产制造商关系、</w:t>
      </w:r>
      <w:r>
        <w:rPr>
          <w:rFonts w:hAnsi="宋体" w:cs="宋体"/>
          <w:szCs w:val="21"/>
          <w:highlight w:val="none"/>
        </w:rPr>
        <w:t>管理关系、重要业务（占主营业务收入50%以上）或重要财务往来关系（如融资）等其他实质性控制关系</w:t>
      </w:r>
    </w:p>
    <w:p w14:paraId="69FE2A7F">
      <w:pPr>
        <w:pStyle w:val="38"/>
        <w:snapToGrid w:val="0"/>
        <w:spacing w:line="460" w:lineRule="exact"/>
        <w:rPr>
          <w:rFonts w:hAnsi="宋体" w:cs="宋体"/>
          <w:spacing w:val="6"/>
          <w:szCs w:val="21"/>
          <w:highlight w:val="none"/>
        </w:rPr>
      </w:pPr>
      <w:r>
        <w:rPr>
          <w:rFonts w:hAnsi="宋体" w:cs="宋体"/>
          <w:szCs w:val="21"/>
          <w:highlight w:val="none"/>
        </w:rPr>
        <w:t xml:space="preserve">    I</w:t>
      </w:r>
      <w:r>
        <w:rPr>
          <w:rFonts w:hAnsi="宋体" w:cs="宋体"/>
          <w:kern w:val="0"/>
          <w:szCs w:val="21"/>
          <w:highlight w:val="none"/>
        </w:rPr>
        <w:t>.</w:t>
      </w:r>
      <w:r>
        <w:rPr>
          <w:rFonts w:hAnsi="宋体" w:cs="宋体"/>
          <w:szCs w:val="21"/>
          <w:highlight w:val="none"/>
        </w:rPr>
        <w:t>其他利害关系情况</w:t>
      </w:r>
      <w:r>
        <w:rPr>
          <w:rFonts w:hAnsi="宋体" w:cs="宋体"/>
          <w:szCs w:val="21"/>
          <w:highlight w:val="none"/>
          <w:u w:val="single"/>
        </w:rPr>
        <w:t xml:space="preserve">                              </w:t>
      </w:r>
      <w:r>
        <w:rPr>
          <w:rFonts w:hAnsi="宋体" w:cs="宋体"/>
          <w:kern w:val="0"/>
          <w:szCs w:val="21"/>
          <w:highlight w:val="none"/>
        </w:rPr>
        <w:t>。</w:t>
      </w:r>
    </w:p>
    <w:p w14:paraId="29DAD6EA">
      <w:pPr>
        <w:pStyle w:val="37"/>
        <w:widowControl/>
        <w:numPr>
          <w:ilvl w:val="0"/>
          <w:numId w:val="11"/>
        </w:numPr>
        <w:snapToGrid w:val="0"/>
        <w:spacing w:line="460" w:lineRule="exact"/>
        <w:ind w:left="0" w:firstLine="396" w:firstLineChars="189"/>
        <w:rPr>
          <w:rFonts w:ascii="宋体" w:hAnsi="宋体" w:cs="宋体"/>
          <w:kern w:val="0"/>
          <w:szCs w:val="21"/>
          <w:highlight w:val="none"/>
        </w:rPr>
      </w:pPr>
      <w:bookmarkStart w:id="100" w:name="_Toc11145"/>
      <w:r>
        <w:rPr>
          <w:rFonts w:ascii="宋体" w:hAnsi="宋体" w:cs="宋体"/>
          <w:szCs w:val="21"/>
          <w:highlight w:val="none"/>
        </w:rPr>
        <w:t>现已清楚知道并</w:t>
      </w:r>
      <w:r>
        <w:rPr>
          <w:rFonts w:ascii="宋体" w:hAnsi="宋体" w:cs="宋体"/>
          <w:kern w:val="0"/>
          <w:szCs w:val="21"/>
          <w:highlight w:val="none"/>
        </w:rPr>
        <w:t>严格遵守政府采购法律法规和现场纪律。</w:t>
      </w:r>
      <w:bookmarkEnd w:id="100"/>
    </w:p>
    <w:p w14:paraId="3D0C7FBB">
      <w:pPr>
        <w:pStyle w:val="37"/>
        <w:widowControl/>
        <w:numPr>
          <w:ilvl w:val="0"/>
          <w:numId w:val="11"/>
        </w:numPr>
        <w:snapToGrid w:val="0"/>
        <w:spacing w:line="460" w:lineRule="exact"/>
        <w:ind w:left="0" w:firstLine="396" w:firstLineChars="189"/>
        <w:rPr>
          <w:rFonts w:ascii="宋体" w:hAnsi="宋体" w:cs="宋体"/>
          <w:kern w:val="0"/>
          <w:szCs w:val="21"/>
          <w:highlight w:val="none"/>
        </w:rPr>
      </w:pPr>
      <w:r>
        <w:rPr>
          <w:rFonts w:ascii="宋体" w:hAnsi="宋体" w:cs="宋体"/>
          <w:kern w:val="0"/>
          <w:szCs w:val="21"/>
          <w:highlight w:val="none"/>
        </w:rPr>
        <w:t>我发现</w:t>
      </w:r>
      <w:r>
        <w:rPr>
          <w:rFonts w:ascii="宋体" w:hAnsi="宋体" w:cs="宋体"/>
          <w:kern w:val="0"/>
          <w:szCs w:val="21"/>
          <w:highlight w:val="none"/>
          <w:u w:val="single"/>
        </w:rPr>
        <w:t xml:space="preserve">             </w:t>
      </w:r>
      <w:r>
        <w:rPr>
          <w:rFonts w:ascii="宋体" w:hAnsi="宋体" w:cs="宋体"/>
          <w:kern w:val="0"/>
          <w:szCs w:val="21"/>
          <w:highlight w:val="none"/>
        </w:rPr>
        <w:t>供应商之间存在或可能存在上述第二条第</w:t>
      </w:r>
      <w:r>
        <w:rPr>
          <w:rFonts w:ascii="宋体" w:hAnsi="宋体" w:cs="宋体"/>
          <w:kern w:val="0"/>
          <w:szCs w:val="21"/>
          <w:highlight w:val="none"/>
          <w:u w:val="single"/>
        </w:rPr>
        <w:t xml:space="preserve">        </w:t>
      </w:r>
      <w:r>
        <w:rPr>
          <w:rFonts w:ascii="宋体" w:hAnsi="宋体" w:cs="宋体"/>
          <w:kern w:val="0"/>
          <w:szCs w:val="21"/>
          <w:highlight w:val="none"/>
        </w:rPr>
        <w:t>项利害关系。</w:t>
      </w:r>
    </w:p>
    <w:p w14:paraId="30EEAED5">
      <w:pPr>
        <w:pStyle w:val="38"/>
        <w:snapToGrid w:val="0"/>
        <w:spacing w:line="500" w:lineRule="exact"/>
        <w:ind w:firstLine="420" w:firstLineChars="200"/>
        <w:rPr>
          <w:rFonts w:hAnsi="宋体" w:cs="宋体"/>
          <w:szCs w:val="21"/>
          <w:highlight w:val="none"/>
        </w:rPr>
      </w:pPr>
      <w:r>
        <w:rPr>
          <w:rFonts w:hAnsi="宋体" w:cs="宋体"/>
          <w:szCs w:val="21"/>
          <w:highlight w:val="none"/>
        </w:rPr>
        <w:t xml:space="preserve">                                          </w:t>
      </w:r>
    </w:p>
    <w:p w14:paraId="20CBAB21">
      <w:pPr>
        <w:pStyle w:val="38"/>
        <w:wordWrap w:val="0"/>
        <w:snapToGrid w:val="0"/>
        <w:spacing w:line="500" w:lineRule="exact"/>
        <w:ind w:firstLine="420" w:firstLineChars="200"/>
        <w:jc w:val="right"/>
        <w:rPr>
          <w:rFonts w:hAnsi="宋体" w:cs="宋体"/>
          <w:szCs w:val="21"/>
          <w:highlight w:val="none"/>
        </w:rPr>
      </w:pPr>
      <w:r>
        <w:rPr>
          <w:rFonts w:hAnsi="宋体" w:cs="宋体"/>
          <w:szCs w:val="21"/>
          <w:highlight w:val="none"/>
        </w:rPr>
        <w:t xml:space="preserve">  供应商代表签名：</w:t>
      </w:r>
    </w:p>
    <w:p w14:paraId="1C3BD90F">
      <w:pPr>
        <w:pStyle w:val="38"/>
        <w:snapToGrid w:val="0"/>
        <w:spacing w:line="500" w:lineRule="exact"/>
        <w:ind w:firstLine="4830" w:firstLineChars="2300"/>
        <w:jc w:val="right"/>
        <w:rPr>
          <w:rFonts w:hAnsi="宋体" w:cs="宋体"/>
          <w:szCs w:val="21"/>
          <w:highlight w:val="none"/>
        </w:rPr>
      </w:pPr>
      <w:r>
        <w:rPr>
          <w:rFonts w:hAnsi="宋体" w:cs="宋体"/>
          <w:szCs w:val="21"/>
          <w:highlight w:val="none"/>
        </w:rPr>
        <w:t>202</w:t>
      </w:r>
      <w:r>
        <w:rPr>
          <w:rFonts w:hint="eastAsia" w:hAnsi="宋体" w:cs="宋体"/>
          <w:szCs w:val="21"/>
          <w:highlight w:val="none"/>
          <w:lang w:val="en-US" w:eastAsia="zh-CN"/>
        </w:rPr>
        <w:t>4</w:t>
      </w:r>
      <w:r>
        <w:rPr>
          <w:rFonts w:hAnsi="宋体" w:cs="宋体"/>
          <w:szCs w:val="21"/>
          <w:highlight w:val="none"/>
        </w:rPr>
        <w:t>年   月   日</w:t>
      </w:r>
    </w:p>
    <w:p w14:paraId="1942EC06">
      <w:pPr>
        <w:pStyle w:val="38"/>
        <w:snapToGrid w:val="0"/>
        <w:spacing w:line="500" w:lineRule="exact"/>
        <w:rPr>
          <w:rFonts w:hAnsi="宋体" w:cs="宋体"/>
          <w:szCs w:val="21"/>
          <w:highlight w:val="none"/>
        </w:rPr>
        <w:sectPr>
          <w:headerReference r:id="rId4" w:type="default"/>
          <w:footerReference r:id="rId5" w:type="default"/>
          <w:pgSz w:w="11906" w:h="16838"/>
          <w:pgMar w:top="1588" w:right="1701" w:bottom="1418" w:left="1701" w:header="851" w:footer="737" w:gutter="0"/>
          <w:pgNumType w:start="1"/>
          <w:cols w:space="720" w:num="1"/>
          <w:docGrid w:linePitch="312" w:charSpace="0"/>
        </w:sectPr>
      </w:pPr>
      <w:r>
        <w:rPr>
          <w:rFonts w:hAnsi="宋体" w:cs="宋体"/>
          <w:b/>
          <w:bCs/>
          <w:szCs w:val="21"/>
          <w:highlight w:val="none"/>
          <w:u w:val="wave"/>
        </w:rPr>
        <w:t>注：响应文件解密结束后，各供应商组织签署《政府采购活动现场确认声明书》，并在15分钟内以扫描件方式发送至代理机构邮箱：</w:t>
      </w:r>
      <w:r>
        <w:rPr>
          <w:rFonts w:hAnsi="宋体" w:cs="宋体"/>
          <w:b/>
          <w:bCs/>
          <w:szCs w:val="21"/>
          <w:highlight w:val="none"/>
        </w:rPr>
        <w:fldChar w:fldCharType="begin"/>
      </w:r>
      <w:r>
        <w:rPr>
          <w:highlight w:val="none"/>
        </w:rPr>
        <w:instrText xml:space="preserve">HYPERLINK "mailto:470273984@qq.com。"</w:instrText>
      </w:r>
      <w:r>
        <w:rPr>
          <w:rFonts w:hAnsi="宋体" w:cs="宋体"/>
          <w:b/>
          <w:bCs/>
          <w:szCs w:val="21"/>
          <w:highlight w:val="none"/>
        </w:rPr>
        <w:fldChar w:fldCharType="separate"/>
      </w:r>
      <w:r>
        <w:rPr>
          <w:rFonts w:hAnsi="宋体" w:cs="宋体"/>
          <w:b/>
          <w:bCs/>
          <w:szCs w:val="21"/>
          <w:highlight w:val="none"/>
        </w:rPr>
        <w:t>984865308@qq.com</w:t>
      </w:r>
      <w:r>
        <w:rPr>
          <w:rStyle w:val="28"/>
          <w:b/>
          <w:bCs/>
          <w:szCs w:val="21"/>
          <w:highlight w:val="none"/>
        </w:rPr>
        <w:t>。</w:t>
      </w:r>
      <w:r>
        <w:rPr>
          <w:rFonts w:hAnsi="宋体" w:cs="宋体"/>
          <w:b/>
          <w:bCs/>
          <w:szCs w:val="21"/>
          <w:highlight w:val="none"/>
        </w:rPr>
        <w:fldChar w:fldCharType="end"/>
      </w:r>
    </w:p>
    <w:p w14:paraId="2FB7CFA6">
      <w:pPr>
        <w:pageBreakBefore/>
        <w:widowControl w:val="0"/>
        <w:tabs>
          <w:tab w:val="left" w:pos="840"/>
        </w:tabs>
        <w:spacing w:before="312" w:beforeLines="100" w:after="312" w:afterLines="100"/>
        <w:jc w:val="center"/>
        <w:rPr>
          <w:rFonts w:hAnsi="宋体"/>
          <w:sz w:val="28"/>
          <w:szCs w:val="36"/>
          <w:highlight w:val="none"/>
        </w:rPr>
      </w:pPr>
      <w:bookmarkStart w:id="101" w:name="_Toc18365"/>
      <w:bookmarkStart w:id="102" w:name="_Toc51335244"/>
      <w:bookmarkStart w:id="103" w:name="_Toc10251"/>
      <w:bookmarkStart w:id="104" w:name="_Toc65250513"/>
      <w:r>
        <w:rPr>
          <w:rFonts w:hAnsi="宋体"/>
          <w:b/>
          <w:bCs/>
          <w:sz w:val="28"/>
          <w:szCs w:val="36"/>
          <w:highlight w:val="none"/>
        </w:rPr>
        <w:t>启用备份响应文件申请书</w:t>
      </w:r>
      <w:bookmarkEnd w:id="101"/>
      <w:bookmarkEnd w:id="102"/>
      <w:bookmarkEnd w:id="103"/>
      <w:bookmarkEnd w:id="104"/>
    </w:p>
    <w:p w14:paraId="2CE1A878">
      <w:pPr>
        <w:spacing w:line="360" w:lineRule="auto"/>
        <w:rPr>
          <w:rFonts w:ascii="宋体" w:hAnsi="宋体"/>
          <w:szCs w:val="21"/>
          <w:highlight w:val="none"/>
        </w:rPr>
      </w:pPr>
      <w:r>
        <w:rPr>
          <w:rFonts w:ascii="宋体" w:hAnsi="宋体"/>
          <w:szCs w:val="21"/>
          <w:highlight w:val="none"/>
        </w:rPr>
        <w:t>浙江综盛项目管理有限公司：</w:t>
      </w:r>
    </w:p>
    <w:p w14:paraId="10471C54">
      <w:pPr>
        <w:spacing w:line="360" w:lineRule="auto"/>
        <w:rPr>
          <w:rFonts w:ascii="宋体" w:hAnsi="宋体"/>
          <w:bCs/>
          <w:szCs w:val="21"/>
          <w:highlight w:val="none"/>
          <w:u w:val="single"/>
        </w:rPr>
      </w:pPr>
      <w:r>
        <w:rPr>
          <w:rFonts w:ascii="宋体" w:hAnsi="宋体"/>
          <w:bCs/>
          <w:szCs w:val="21"/>
          <w:highlight w:val="none"/>
          <w:u w:val="single"/>
        </w:rPr>
        <w:t xml:space="preserve">     （采购人名称）     </w:t>
      </w:r>
      <w:r>
        <w:rPr>
          <w:rFonts w:ascii="宋体" w:hAnsi="宋体"/>
          <w:szCs w:val="21"/>
          <w:highlight w:val="none"/>
        </w:rPr>
        <w:t>：</w:t>
      </w:r>
    </w:p>
    <w:p w14:paraId="3DF4FE25">
      <w:pPr>
        <w:spacing w:line="360" w:lineRule="auto"/>
        <w:ind w:firstLine="420"/>
        <w:rPr>
          <w:rFonts w:ascii="宋体" w:hAnsi="宋体"/>
          <w:bCs/>
          <w:szCs w:val="21"/>
          <w:highlight w:val="none"/>
          <w:u w:val="single"/>
        </w:rPr>
      </w:pPr>
      <w:r>
        <w:rPr>
          <w:rFonts w:ascii="宋体" w:hAnsi="宋体"/>
          <w:bCs/>
          <w:szCs w:val="21"/>
          <w:highlight w:val="none"/>
        </w:rPr>
        <w:t>我公司参与</w:t>
      </w:r>
      <w:r>
        <w:rPr>
          <w:rFonts w:ascii="宋体" w:hAnsi="宋体"/>
          <w:bCs/>
          <w:szCs w:val="21"/>
          <w:highlight w:val="none"/>
          <w:u w:val="single"/>
        </w:rPr>
        <w:t xml:space="preserve">       </w:t>
      </w:r>
      <w:r>
        <w:rPr>
          <w:rFonts w:ascii="宋体" w:hAnsi="宋体"/>
          <w:szCs w:val="21"/>
          <w:highlight w:val="none"/>
          <w:u w:val="single"/>
        </w:rPr>
        <w:t xml:space="preserve">（项目名称）   </w:t>
      </w:r>
      <w:r>
        <w:rPr>
          <w:rFonts w:ascii="宋体" w:hAnsi="宋体"/>
          <w:bCs/>
          <w:szCs w:val="21"/>
          <w:highlight w:val="none"/>
          <w:u w:val="single"/>
        </w:rPr>
        <w:t xml:space="preserve">   </w:t>
      </w:r>
      <w:r>
        <w:rPr>
          <w:rFonts w:ascii="宋体" w:hAnsi="宋体"/>
          <w:bCs/>
          <w:szCs w:val="21"/>
          <w:highlight w:val="none"/>
        </w:rPr>
        <w:t>（项目编号：</w:t>
      </w:r>
      <w:r>
        <w:rPr>
          <w:rFonts w:hAnsi="宋体" w:cs="宋体"/>
          <w:spacing w:val="6"/>
          <w:szCs w:val="21"/>
          <w:highlight w:val="none"/>
          <w:u w:val="single"/>
        </w:rPr>
        <w:t xml:space="preserve">          </w:t>
      </w:r>
      <w:r>
        <w:rPr>
          <w:rFonts w:ascii="宋体" w:hAnsi="宋体"/>
          <w:bCs/>
          <w:szCs w:val="21"/>
          <w:highlight w:val="none"/>
        </w:rPr>
        <w:t xml:space="preserve"> ）投标，已按本项目磋商文件要求提供备份响应文件。我方电子加密响应文件解密失败，现申请贵方启用备份响应文件上传至政采云平台，备份响应文件解压缩密码</w:t>
      </w:r>
      <w:r>
        <w:rPr>
          <w:rFonts w:ascii="宋体" w:hAnsi="宋体"/>
          <w:bCs/>
          <w:szCs w:val="21"/>
          <w:highlight w:val="none"/>
          <w:u w:val="none"/>
        </w:rPr>
        <w:t>：</w:t>
      </w:r>
      <w:r>
        <w:rPr>
          <w:rFonts w:ascii="宋体" w:hAnsi="宋体"/>
          <w:bCs/>
          <w:szCs w:val="21"/>
          <w:highlight w:val="none"/>
          <w:u w:val="single"/>
        </w:rPr>
        <w:t xml:space="preserve">                    </w:t>
      </w:r>
      <w:r>
        <w:rPr>
          <w:rFonts w:ascii="宋体" w:hAnsi="宋体"/>
          <w:bCs/>
          <w:szCs w:val="21"/>
          <w:highlight w:val="none"/>
        </w:rPr>
        <w:t>。</w:t>
      </w:r>
    </w:p>
    <w:p w14:paraId="2C1C4F18">
      <w:pPr>
        <w:spacing w:line="360" w:lineRule="auto"/>
        <w:ind w:firstLine="420"/>
        <w:rPr>
          <w:rFonts w:ascii="宋体" w:hAnsi="宋体"/>
          <w:bCs/>
          <w:szCs w:val="21"/>
          <w:highlight w:val="none"/>
        </w:rPr>
      </w:pPr>
      <w:r>
        <w:rPr>
          <w:rFonts w:ascii="宋体" w:hAnsi="宋体"/>
          <w:bCs/>
          <w:szCs w:val="21"/>
          <w:highlight w:val="none"/>
        </w:rPr>
        <w:t>如备份响应文件上传失败，我方愿意承担一切风险和责任。</w:t>
      </w:r>
    </w:p>
    <w:p w14:paraId="4135EE9F">
      <w:pPr>
        <w:spacing w:line="360" w:lineRule="auto"/>
        <w:ind w:firstLine="420"/>
        <w:rPr>
          <w:rFonts w:ascii="宋体" w:hAnsi="宋体"/>
          <w:bCs/>
          <w:sz w:val="24"/>
          <w:highlight w:val="none"/>
        </w:rPr>
      </w:pPr>
    </w:p>
    <w:p w14:paraId="2D9F604F">
      <w:pPr>
        <w:spacing w:line="360" w:lineRule="auto"/>
        <w:ind w:firstLine="420"/>
        <w:rPr>
          <w:rFonts w:ascii="宋体" w:hAnsi="宋体"/>
          <w:bCs/>
          <w:sz w:val="24"/>
          <w:highlight w:val="none"/>
        </w:rPr>
      </w:pPr>
    </w:p>
    <w:p w14:paraId="22B82ABF">
      <w:pPr>
        <w:spacing w:line="360" w:lineRule="auto"/>
        <w:rPr>
          <w:rFonts w:ascii="宋体" w:hAnsi="宋体"/>
          <w:bCs/>
          <w:sz w:val="24"/>
          <w:highlight w:val="none"/>
        </w:rPr>
      </w:pPr>
    </w:p>
    <w:p w14:paraId="7C3F9FE5">
      <w:pPr>
        <w:rPr>
          <w:rFonts w:ascii="宋体" w:hAnsi="宋体"/>
          <w:bCs/>
          <w:sz w:val="24"/>
          <w:highlight w:val="none"/>
        </w:rPr>
      </w:pPr>
    </w:p>
    <w:p w14:paraId="35A6C4AA">
      <w:pPr>
        <w:rPr>
          <w:rFonts w:ascii="宋体" w:hAnsi="宋体"/>
          <w:bCs/>
          <w:sz w:val="24"/>
          <w:highlight w:val="none"/>
        </w:rPr>
      </w:pPr>
    </w:p>
    <w:p w14:paraId="5521871D">
      <w:pPr>
        <w:rPr>
          <w:rFonts w:ascii="宋体" w:hAnsi="宋体"/>
          <w:bCs/>
          <w:sz w:val="24"/>
          <w:highlight w:val="none"/>
        </w:rPr>
      </w:pPr>
    </w:p>
    <w:p w14:paraId="02FDAC03">
      <w:pPr>
        <w:rPr>
          <w:rFonts w:ascii="宋体" w:hAnsi="宋体"/>
          <w:bCs/>
          <w:sz w:val="24"/>
          <w:highlight w:val="none"/>
        </w:rPr>
      </w:pPr>
    </w:p>
    <w:p w14:paraId="58D80B0D">
      <w:pPr>
        <w:rPr>
          <w:rFonts w:ascii="宋体" w:hAnsi="宋体"/>
          <w:bCs/>
          <w:sz w:val="24"/>
          <w:highlight w:val="none"/>
        </w:rPr>
      </w:pPr>
    </w:p>
    <w:p w14:paraId="3EC33204">
      <w:pPr>
        <w:spacing w:line="360" w:lineRule="auto"/>
        <w:ind w:firstLine="420"/>
        <w:rPr>
          <w:rFonts w:ascii="宋体" w:hAnsi="宋体"/>
          <w:bCs/>
          <w:szCs w:val="21"/>
          <w:highlight w:val="none"/>
        </w:rPr>
      </w:pPr>
      <w:r>
        <w:rPr>
          <w:rFonts w:ascii="宋体" w:hAnsi="宋体"/>
          <w:bCs/>
          <w:sz w:val="24"/>
          <w:highlight w:val="none"/>
        </w:rPr>
        <w:t xml:space="preserve">                                        </w:t>
      </w:r>
      <w:r>
        <w:rPr>
          <w:rFonts w:ascii="宋体" w:hAnsi="宋体"/>
          <w:bCs/>
          <w:szCs w:val="21"/>
          <w:highlight w:val="none"/>
        </w:rPr>
        <w:t>磋商供应商全称（盖章）：</w:t>
      </w:r>
    </w:p>
    <w:p w14:paraId="4868A2E7">
      <w:pPr>
        <w:spacing w:line="360" w:lineRule="auto"/>
        <w:ind w:firstLine="420"/>
        <w:rPr>
          <w:rFonts w:ascii="宋体" w:hAnsi="宋体"/>
          <w:bCs/>
          <w:szCs w:val="21"/>
          <w:highlight w:val="none"/>
        </w:rPr>
      </w:pPr>
      <w:r>
        <w:rPr>
          <w:rFonts w:ascii="宋体" w:hAnsi="宋体"/>
          <w:bCs/>
          <w:szCs w:val="21"/>
          <w:highlight w:val="none"/>
        </w:rPr>
        <w:t xml:space="preserve">                                         </w:t>
      </w:r>
    </w:p>
    <w:p w14:paraId="4A31D29D">
      <w:pPr>
        <w:spacing w:line="360" w:lineRule="auto"/>
        <w:ind w:firstLine="5250" w:firstLineChars="2500"/>
        <w:rPr>
          <w:rFonts w:ascii="宋体" w:hAnsi="宋体"/>
          <w:bCs/>
          <w:szCs w:val="21"/>
          <w:highlight w:val="none"/>
        </w:rPr>
      </w:pPr>
      <w:r>
        <w:rPr>
          <w:rFonts w:ascii="宋体" w:hAnsi="宋体"/>
          <w:bCs/>
          <w:szCs w:val="21"/>
          <w:highlight w:val="none"/>
        </w:rPr>
        <w:t>日     期：</w:t>
      </w:r>
    </w:p>
    <w:p w14:paraId="581236F9">
      <w:pPr>
        <w:pStyle w:val="13"/>
        <w:spacing w:line="360" w:lineRule="auto"/>
        <w:rPr>
          <w:rFonts w:ascii="宋体" w:hAnsi="宋体" w:cs="宋体"/>
          <w:b/>
          <w:szCs w:val="21"/>
          <w:highlight w:val="none"/>
        </w:rPr>
      </w:pPr>
    </w:p>
    <w:p w14:paraId="218F25C7">
      <w:pPr>
        <w:pStyle w:val="13"/>
        <w:spacing w:line="360" w:lineRule="auto"/>
        <w:rPr>
          <w:rFonts w:ascii="宋体" w:hAnsi="宋体" w:cs="宋体"/>
          <w:b/>
          <w:szCs w:val="21"/>
          <w:highlight w:val="none"/>
        </w:rPr>
      </w:pPr>
    </w:p>
    <w:p w14:paraId="26EF1B20">
      <w:pPr>
        <w:pStyle w:val="13"/>
        <w:spacing w:line="360" w:lineRule="auto"/>
        <w:rPr>
          <w:highlight w:val="none"/>
        </w:rPr>
      </w:pPr>
    </w:p>
    <w:p w14:paraId="4AA9A6B0">
      <w:pPr>
        <w:pStyle w:val="13"/>
        <w:rPr>
          <w:highlight w:val="none"/>
        </w:rPr>
      </w:pPr>
      <w:r>
        <w:rPr>
          <w:highlight w:val="none"/>
        </w:rPr>
        <w:br w:type="page"/>
      </w:r>
    </w:p>
    <w:p w14:paraId="58F29A1F">
      <w:pPr>
        <w:pStyle w:val="8"/>
        <w:spacing w:before="156" w:beforeLines="50" w:after="156" w:afterLines="50" w:line="380" w:lineRule="exact"/>
        <w:jc w:val="center"/>
        <w:rPr>
          <w:rFonts w:ascii="宋体" w:hAnsi="宋体" w:cs="宋体"/>
          <w:bCs w:val="0"/>
          <w:sz w:val="24"/>
          <w:szCs w:val="24"/>
          <w:highlight w:val="none"/>
        </w:rPr>
      </w:pPr>
      <w:bookmarkStart w:id="105" w:name="_Toc8953"/>
      <w:bookmarkStart w:id="106" w:name="_Toc3625"/>
      <w:bookmarkStart w:id="107" w:name="_Toc27111"/>
      <w:r>
        <w:rPr>
          <w:rFonts w:ascii="宋体" w:hAnsi="宋体" w:cs="宋体"/>
          <w:bCs w:val="0"/>
          <w:sz w:val="24"/>
          <w:szCs w:val="24"/>
          <w:highlight w:val="none"/>
        </w:rPr>
        <w:t>（二）总   则</w:t>
      </w:r>
      <w:bookmarkEnd w:id="105"/>
      <w:bookmarkEnd w:id="106"/>
      <w:bookmarkEnd w:id="107"/>
    </w:p>
    <w:p w14:paraId="67371C71">
      <w:pPr>
        <w:numPr>
          <w:ilvl w:val="0"/>
          <w:numId w:val="12"/>
        </w:numPr>
        <w:snapToGrid w:val="0"/>
        <w:spacing w:line="360" w:lineRule="auto"/>
        <w:outlineLvl w:val="2"/>
        <w:rPr>
          <w:rFonts w:ascii="宋体" w:hAnsi="宋体" w:cs="宋体"/>
          <w:b/>
          <w:szCs w:val="21"/>
          <w:highlight w:val="none"/>
        </w:rPr>
      </w:pPr>
      <w:bookmarkStart w:id="108" w:name="_Toc22163"/>
      <w:bookmarkStart w:id="109" w:name="_Toc25604"/>
      <w:bookmarkStart w:id="110" w:name="_Toc16281"/>
      <w:bookmarkStart w:id="111" w:name="_Toc16868"/>
      <w:bookmarkStart w:id="112" w:name="_Toc8639"/>
      <w:r>
        <w:rPr>
          <w:rFonts w:ascii="宋体" w:hAnsi="宋体" w:cs="宋体"/>
          <w:b/>
          <w:szCs w:val="21"/>
          <w:highlight w:val="none"/>
        </w:rPr>
        <w:t>说明</w:t>
      </w:r>
      <w:bookmarkEnd w:id="108"/>
      <w:bookmarkEnd w:id="109"/>
      <w:bookmarkEnd w:id="110"/>
      <w:bookmarkEnd w:id="111"/>
      <w:bookmarkEnd w:id="112"/>
    </w:p>
    <w:p w14:paraId="37960008">
      <w:pPr>
        <w:numPr>
          <w:ilvl w:val="1"/>
          <w:numId w:val="12"/>
        </w:numPr>
        <w:snapToGrid w:val="0"/>
        <w:spacing w:line="360" w:lineRule="auto"/>
        <w:rPr>
          <w:rFonts w:ascii="宋体" w:hAnsi="宋体" w:cs="宋体"/>
          <w:highlight w:val="none"/>
        </w:rPr>
      </w:pPr>
      <w:r>
        <w:rPr>
          <w:rFonts w:ascii="宋体" w:hAnsi="宋体" w:cs="宋体"/>
          <w:highlight w:val="none"/>
        </w:rPr>
        <w:t>本次竞争性磋商工作是按照《中华人民共和国政府采购法》、</w:t>
      </w:r>
      <w:r>
        <w:rPr>
          <w:rFonts w:ascii="宋体" w:hAnsi="宋体" w:cs="宋体"/>
          <w:szCs w:val="21"/>
          <w:highlight w:val="none"/>
        </w:rPr>
        <w:t>《政府采购竞争性磋商采购方式管理暂行办法》、</w:t>
      </w:r>
      <w:r>
        <w:rPr>
          <w:rFonts w:ascii="宋体" w:hAnsi="宋体" w:cs="宋体"/>
          <w:highlight w:val="none"/>
        </w:rPr>
        <w:t>浙江省及项目所在地的有关政府采购规定，结合本项目的实际，组织和实施。</w:t>
      </w:r>
    </w:p>
    <w:p w14:paraId="0CB85FBD">
      <w:pPr>
        <w:numPr>
          <w:ilvl w:val="1"/>
          <w:numId w:val="12"/>
        </w:numPr>
        <w:snapToGrid w:val="0"/>
        <w:spacing w:line="360" w:lineRule="auto"/>
        <w:rPr>
          <w:rFonts w:ascii="宋体" w:hAnsi="宋体" w:cs="宋体"/>
          <w:highlight w:val="none"/>
        </w:rPr>
      </w:pPr>
      <w:r>
        <w:rPr>
          <w:rFonts w:ascii="宋体" w:hAnsi="宋体" w:cs="宋体"/>
          <w:highlight w:val="none"/>
        </w:rPr>
        <w:t>资金来源：</w:t>
      </w:r>
      <w:r>
        <w:rPr>
          <w:rFonts w:hint="eastAsia" w:ascii="宋体" w:hAnsi="宋体" w:cs="宋体"/>
          <w:highlight w:val="none"/>
          <w:lang w:val="en-US" w:eastAsia="zh-CN"/>
        </w:rPr>
        <w:t>财政资金</w:t>
      </w:r>
      <w:r>
        <w:rPr>
          <w:rFonts w:ascii="宋体" w:hAnsi="宋体" w:cs="宋体"/>
          <w:highlight w:val="none"/>
        </w:rPr>
        <w:t xml:space="preserve">。 </w:t>
      </w:r>
    </w:p>
    <w:p w14:paraId="55B23F85">
      <w:pPr>
        <w:numPr>
          <w:ilvl w:val="0"/>
          <w:numId w:val="12"/>
        </w:numPr>
        <w:snapToGrid w:val="0"/>
        <w:spacing w:line="360" w:lineRule="auto"/>
        <w:outlineLvl w:val="2"/>
        <w:rPr>
          <w:rFonts w:ascii="宋体" w:hAnsi="宋体" w:cs="宋体"/>
          <w:b/>
          <w:szCs w:val="21"/>
          <w:highlight w:val="none"/>
        </w:rPr>
      </w:pPr>
      <w:bookmarkStart w:id="113" w:name="_Toc28195"/>
      <w:bookmarkStart w:id="114" w:name="_Toc14650"/>
      <w:bookmarkStart w:id="115" w:name="_Toc5553"/>
      <w:bookmarkStart w:id="116" w:name="_Toc26793"/>
      <w:bookmarkStart w:id="117" w:name="_Toc16420"/>
      <w:r>
        <w:rPr>
          <w:rFonts w:ascii="宋体" w:hAnsi="宋体" w:cs="宋体"/>
          <w:b/>
          <w:szCs w:val="21"/>
          <w:highlight w:val="none"/>
        </w:rPr>
        <w:t>定义及解释</w:t>
      </w:r>
      <w:bookmarkEnd w:id="113"/>
      <w:bookmarkEnd w:id="114"/>
      <w:bookmarkEnd w:id="115"/>
      <w:bookmarkEnd w:id="116"/>
      <w:bookmarkEnd w:id="117"/>
    </w:p>
    <w:p w14:paraId="3F4B08C8">
      <w:pPr>
        <w:numPr>
          <w:ilvl w:val="1"/>
          <w:numId w:val="12"/>
        </w:numPr>
        <w:snapToGrid w:val="0"/>
        <w:spacing w:line="360" w:lineRule="auto"/>
        <w:rPr>
          <w:rFonts w:ascii="宋体" w:hAnsi="宋体" w:cs="宋体"/>
          <w:highlight w:val="none"/>
        </w:rPr>
      </w:pPr>
      <w:r>
        <w:rPr>
          <w:rFonts w:ascii="宋体" w:hAnsi="宋体" w:cs="宋体"/>
          <w:highlight w:val="none"/>
        </w:rPr>
        <w:t>采购人：</w:t>
      </w:r>
      <w:r>
        <w:rPr>
          <w:rFonts w:hint="eastAsia" w:ascii="宋体" w:hAnsi="宋体" w:cs="宋体"/>
          <w:szCs w:val="21"/>
          <w:highlight w:val="none"/>
          <w:lang w:eastAsia="zh-CN"/>
        </w:rPr>
        <w:t>中共瑞安市委宣传部</w:t>
      </w:r>
      <w:r>
        <w:rPr>
          <w:rFonts w:ascii="宋体" w:hAnsi="宋体" w:cs="宋体"/>
          <w:highlight w:val="none"/>
        </w:rPr>
        <w:t>；</w:t>
      </w:r>
    </w:p>
    <w:p w14:paraId="13D88EBC">
      <w:pPr>
        <w:numPr>
          <w:ilvl w:val="1"/>
          <w:numId w:val="12"/>
        </w:numPr>
        <w:snapToGrid w:val="0"/>
        <w:spacing w:line="360" w:lineRule="auto"/>
        <w:rPr>
          <w:rFonts w:ascii="宋体" w:hAnsi="宋体" w:cs="宋体"/>
          <w:highlight w:val="none"/>
        </w:rPr>
      </w:pPr>
      <w:r>
        <w:rPr>
          <w:rFonts w:ascii="宋体" w:hAnsi="宋体" w:cs="宋体"/>
          <w:highlight w:val="none"/>
        </w:rPr>
        <w:t>采购代理机构：浙江综盛项目管理有限公司；</w:t>
      </w:r>
    </w:p>
    <w:p w14:paraId="4AFBFA1F">
      <w:pPr>
        <w:numPr>
          <w:ilvl w:val="1"/>
          <w:numId w:val="12"/>
        </w:numPr>
        <w:snapToGrid w:val="0"/>
        <w:spacing w:line="360" w:lineRule="auto"/>
        <w:rPr>
          <w:rFonts w:ascii="宋体" w:hAnsi="宋体" w:cs="宋体"/>
          <w:highlight w:val="none"/>
        </w:rPr>
      </w:pPr>
      <w:r>
        <w:rPr>
          <w:rFonts w:ascii="宋体" w:hAnsi="宋体" w:cs="宋体"/>
          <w:highlight w:val="none"/>
        </w:rPr>
        <w:t>磋商供应商：磋商供应商是响应采购、参加磋商竞争的依法成立的供应商；</w:t>
      </w:r>
    </w:p>
    <w:p w14:paraId="286B3757">
      <w:pPr>
        <w:numPr>
          <w:ilvl w:val="1"/>
          <w:numId w:val="12"/>
        </w:numPr>
        <w:snapToGrid w:val="0"/>
        <w:spacing w:line="360" w:lineRule="auto"/>
        <w:rPr>
          <w:rFonts w:ascii="宋体" w:hAnsi="宋体" w:cs="宋体"/>
          <w:highlight w:val="none"/>
        </w:rPr>
      </w:pPr>
      <w:r>
        <w:rPr>
          <w:rFonts w:ascii="宋体" w:hAnsi="宋体" w:cs="宋体"/>
          <w:highlight w:val="none"/>
        </w:rPr>
        <w:t>成交供应商：系指在本次竞争性磋商中成交的磋商供应商；</w:t>
      </w:r>
    </w:p>
    <w:p w14:paraId="09064DD9">
      <w:pPr>
        <w:numPr>
          <w:ilvl w:val="1"/>
          <w:numId w:val="12"/>
        </w:numPr>
        <w:snapToGrid w:val="0"/>
        <w:spacing w:line="360" w:lineRule="auto"/>
        <w:rPr>
          <w:rFonts w:ascii="宋体" w:hAnsi="宋体" w:cs="宋体"/>
          <w:highlight w:val="none"/>
        </w:rPr>
      </w:pPr>
      <w:r>
        <w:rPr>
          <w:rFonts w:ascii="宋体" w:hAnsi="宋体" w:cs="宋体"/>
          <w:highlight w:val="none"/>
        </w:rPr>
        <w:t>磋商小组：磋商小组是依《政府采购法》、《政府采购竞争性磋商采购方式管理暂行办法》组建的专门负责采购评审工作的临时性机构；</w:t>
      </w:r>
    </w:p>
    <w:p w14:paraId="7B0D05AA">
      <w:pPr>
        <w:numPr>
          <w:ilvl w:val="1"/>
          <w:numId w:val="12"/>
        </w:numPr>
        <w:snapToGrid w:val="0"/>
        <w:spacing w:line="360" w:lineRule="auto"/>
        <w:rPr>
          <w:rFonts w:ascii="宋体" w:hAnsi="宋体" w:cs="宋体"/>
          <w:highlight w:val="none"/>
        </w:rPr>
      </w:pPr>
      <w:r>
        <w:rPr>
          <w:rFonts w:ascii="宋体" w:hAnsi="宋体" w:cs="宋体"/>
          <w:highlight w:val="none"/>
        </w:rPr>
        <w:t>日期：指公历日；</w:t>
      </w:r>
    </w:p>
    <w:p w14:paraId="2CF9A0A1">
      <w:pPr>
        <w:numPr>
          <w:ilvl w:val="1"/>
          <w:numId w:val="12"/>
        </w:numPr>
        <w:snapToGrid w:val="0"/>
        <w:spacing w:line="360" w:lineRule="auto"/>
        <w:rPr>
          <w:rFonts w:ascii="宋体" w:hAnsi="宋体" w:cs="宋体"/>
          <w:highlight w:val="none"/>
        </w:rPr>
      </w:pPr>
      <w:r>
        <w:rPr>
          <w:rFonts w:ascii="宋体" w:hAnsi="宋体" w:cs="宋体"/>
          <w:highlight w:val="none"/>
        </w:rPr>
        <w:t>合同：指由采购所产生的合同或合约文件；</w:t>
      </w:r>
    </w:p>
    <w:p w14:paraId="68A975DE">
      <w:pPr>
        <w:numPr>
          <w:ilvl w:val="1"/>
          <w:numId w:val="12"/>
        </w:numPr>
        <w:snapToGrid w:val="0"/>
        <w:spacing w:line="360" w:lineRule="auto"/>
        <w:rPr>
          <w:rFonts w:ascii="宋体" w:hAnsi="宋体" w:cs="宋体"/>
          <w:highlight w:val="none"/>
        </w:rPr>
      </w:pPr>
      <w:r>
        <w:rPr>
          <w:rFonts w:ascii="宋体" w:hAnsi="宋体" w:cs="宋体"/>
          <w:highlight w:val="none"/>
        </w:rPr>
        <w:t>“书面形式”是指任何手写的、打印的或印刷的文件，包括电报和传真发送。</w:t>
      </w:r>
    </w:p>
    <w:p w14:paraId="72A8EB84">
      <w:pPr>
        <w:numPr>
          <w:ilvl w:val="0"/>
          <w:numId w:val="12"/>
        </w:numPr>
        <w:snapToGrid w:val="0"/>
        <w:spacing w:line="360" w:lineRule="auto"/>
        <w:outlineLvl w:val="2"/>
        <w:rPr>
          <w:rFonts w:ascii="宋体" w:hAnsi="宋体" w:cs="宋体"/>
          <w:b/>
          <w:szCs w:val="21"/>
          <w:highlight w:val="none"/>
        </w:rPr>
      </w:pPr>
      <w:bookmarkStart w:id="118" w:name="_Toc2708"/>
      <w:bookmarkStart w:id="119" w:name="_Toc30951"/>
      <w:bookmarkStart w:id="120" w:name="_Toc31845"/>
      <w:bookmarkStart w:id="121" w:name="_Toc23612"/>
      <w:bookmarkStart w:id="122" w:name="_Toc1199"/>
      <w:r>
        <w:rPr>
          <w:rFonts w:ascii="宋体" w:hAnsi="宋体" w:cs="宋体"/>
          <w:b/>
          <w:szCs w:val="21"/>
          <w:highlight w:val="none"/>
        </w:rPr>
        <w:t>合格的磋商供应商</w:t>
      </w:r>
      <w:bookmarkEnd w:id="118"/>
      <w:bookmarkEnd w:id="119"/>
      <w:bookmarkEnd w:id="120"/>
      <w:bookmarkEnd w:id="121"/>
      <w:bookmarkEnd w:id="122"/>
    </w:p>
    <w:p w14:paraId="0748D5C0">
      <w:pPr>
        <w:numPr>
          <w:ilvl w:val="1"/>
          <w:numId w:val="12"/>
        </w:numPr>
        <w:snapToGrid w:val="0"/>
        <w:spacing w:line="360" w:lineRule="auto"/>
        <w:rPr>
          <w:rFonts w:ascii="宋体" w:hAnsi="宋体" w:cs="宋体"/>
          <w:bCs/>
          <w:snapToGrid w:val="0"/>
          <w:highlight w:val="none"/>
        </w:rPr>
      </w:pPr>
      <w:r>
        <w:rPr>
          <w:rFonts w:ascii="宋体" w:hAnsi="宋体" w:cs="宋体"/>
          <w:szCs w:val="21"/>
          <w:highlight w:val="none"/>
        </w:rPr>
        <w:t>满足《中华人民共和国政府采购法》第二十二条规定；未被“信用中国”、“中国政府采购网”列入失信被执行人、重大违法案件当事人名单、政府采购严重违法失信行为记录名单；</w:t>
      </w:r>
    </w:p>
    <w:p w14:paraId="1322A6ED">
      <w:pPr>
        <w:numPr>
          <w:ilvl w:val="1"/>
          <w:numId w:val="12"/>
        </w:numPr>
        <w:snapToGrid w:val="0"/>
        <w:spacing w:line="360" w:lineRule="auto"/>
        <w:rPr>
          <w:rFonts w:ascii="宋体" w:hAnsi="宋体" w:cs="宋体"/>
          <w:bCs/>
          <w:snapToGrid w:val="0"/>
          <w:highlight w:val="none"/>
        </w:rPr>
      </w:pPr>
      <w:r>
        <w:rPr>
          <w:rFonts w:hint="eastAsia" w:ascii="宋体" w:hAnsi="宋体" w:cs="宋体"/>
          <w:bCs/>
          <w:snapToGrid w:val="0"/>
          <w:highlight w:val="none"/>
          <w:lang w:eastAsia="zh-CN"/>
        </w:rPr>
        <w:t>落实政府采购政策需满足的资格要求：本项目整体专门面向中小企业采购（残疾人福利性单位和监狱企业视同小微企业）</w:t>
      </w:r>
      <w:r>
        <w:rPr>
          <w:rFonts w:ascii="宋体" w:hAnsi="宋体" w:cs="宋体"/>
          <w:bCs/>
          <w:snapToGrid w:val="0"/>
          <w:highlight w:val="none"/>
        </w:rPr>
        <w:t>。</w:t>
      </w:r>
    </w:p>
    <w:p w14:paraId="032CBC87">
      <w:pPr>
        <w:numPr>
          <w:ilvl w:val="1"/>
          <w:numId w:val="12"/>
        </w:numPr>
        <w:snapToGrid w:val="0"/>
        <w:spacing w:line="360" w:lineRule="auto"/>
        <w:rPr>
          <w:rFonts w:ascii="宋体" w:hAnsi="宋体" w:cs="宋体"/>
          <w:bCs/>
          <w:snapToGrid w:val="0"/>
          <w:highlight w:val="none"/>
        </w:rPr>
      </w:pPr>
      <w:r>
        <w:rPr>
          <w:rFonts w:ascii="宋体" w:hAnsi="宋体" w:cs="宋体"/>
          <w:bCs/>
          <w:snapToGrid w:val="0"/>
          <w:highlight w:val="none"/>
        </w:rPr>
        <w:t>本项目的特定资格要求：</w:t>
      </w:r>
      <w:r>
        <w:rPr>
          <w:rFonts w:hint="eastAsia" w:ascii="宋体" w:hAnsi="宋体" w:cs="宋体"/>
          <w:szCs w:val="21"/>
          <w:highlight w:val="none"/>
          <w:lang w:eastAsia="zh-CN"/>
        </w:rPr>
        <w:t>须已在所属电影行政主管部门完成备案</w:t>
      </w:r>
      <w:r>
        <w:rPr>
          <w:rFonts w:ascii="宋体" w:hAnsi="宋体" w:cs="宋体"/>
          <w:szCs w:val="21"/>
          <w:highlight w:val="none"/>
        </w:rPr>
        <w:t>。</w:t>
      </w:r>
    </w:p>
    <w:p w14:paraId="1B4AB86A">
      <w:pPr>
        <w:numPr>
          <w:ilvl w:val="0"/>
          <w:numId w:val="12"/>
        </w:numPr>
        <w:spacing w:line="360" w:lineRule="auto"/>
        <w:outlineLvl w:val="2"/>
        <w:rPr>
          <w:rFonts w:ascii="宋体" w:hAnsi="宋体" w:cs="宋体"/>
          <w:b/>
          <w:szCs w:val="21"/>
          <w:highlight w:val="none"/>
        </w:rPr>
      </w:pPr>
      <w:bookmarkStart w:id="123" w:name="_Toc7345"/>
      <w:bookmarkStart w:id="124" w:name="_Toc10738"/>
      <w:bookmarkStart w:id="125" w:name="_Toc19754"/>
      <w:bookmarkStart w:id="126" w:name="_Toc25036"/>
      <w:bookmarkStart w:id="127" w:name="_Toc16246"/>
      <w:r>
        <w:rPr>
          <w:rFonts w:ascii="宋体" w:hAnsi="宋体" w:cs="宋体"/>
          <w:b/>
          <w:szCs w:val="21"/>
          <w:highlight w:val="none"/>
        </w:rPr>
        <w:t>中小企业认定</w:t>
      </w:r>
      <w:bookmarkEnd w:id="123"/>
      <w:bookmarkEnd w:id="124"/>
      <w:bookmarkEnd w:id="125"/>
      <w:bookmarkEnd w:id="126"/>
      <w:bookmarkEnd w:id="127"/>
    </w:p>
    <w:p w14:paraId="528AAE90">
      <w:pPr>
        <w:numPr>
          <w:ilvl w:val="1"/>
          <w:numId w:val="12"/>
        </w:numPr>
        <w:snapToGrid w:val="0"/>
        <w:spacing w:line="360" w:lineRule="auto"/>
        <w:rPr>
          <w:rFonts w:ascii="宋体" w:hAnsi="宋体" w:cs="宋体"/>
          <w:szCs w:val="22"/>
          <w:highlight w:val="none"/>
        </w:rPr>
      </w:pPr>
      <w:r>
        <w:rPr>
          <w:rFonts w:ascii="宋体" w:hAnsi="宋体" w:cs="宋体"/>
          <w:szCs w:val="21"/>
          <w:highlight w:val="none"/>
        </w:rPr>
        <w:t>供应</w:t>
      </w:r>
      <w:r>
        <w:rPr>
          <w:rFonts w:ascii="宋体" w:hAnsi="宋体" w:cs="宋体"/>
          <w:szCs w:val="22"/>
          <w:highlight w:val="none"/>
        </w:rPr>
        <w:t>商提供的货物、工程或者服务符合下列情形的，享受《政府采购促进中小企业发展管理办法》规定的中小企业扶持政策：</w:t>
      </w:r>
    </w:p>
    <w:p w14:paraId="7A867088">
      <w:pPr>
        <w:snapToGrid w:val="0"/>
        <w:spacing w:line="360" w:lineRule="auto"/>
        <w:ind w:left="840" w:leftChars="400"/>
        <w:rPr>
          <w:rFonts w:ascii="宋体" w:hAnsi="宋体" w:cs="宋体"/>
          <w:szCs w:val="22"/>
          <w:highlight w:val="none"/>
        </w:rPr>
      </w:pPr>
      <w:r>
        <w:rPr>
          <w:rFonts w:ascii="宋体" w:hAnsi="宋体" w:cs="宋体"/>
          <w:szCs w:val="22"/>
          <w:highlight w:val="none"/>
        </w:rPr>
        <w:t>（一）在货物采购项目中，货物由中小企业制造，即货物由中小企业生产且使用该中小企业商号或者注册商标；</w:t>
      </w:r>
    </w:p>
    <w:p w14:paraId="34C00324">
      <w:pPr>
        <w:snapToGrid w:val="0"/>
        <w:spacing w:line="360" w:lineRule="auto"/>
        <w:ind w:firstLine="840" w:firstLineChars="400"/>
        <w:rPr>
          <w:rFonts w:ascii="宋体" w:hAnsi="宋体" w:cs="宋体"/>
          <w:szCs w:val="22"/>
          <w:highlight w:val="none"/>
        </w:rPr>
      </w:pPr>
      <w:r>
        <w:rPr>
          <w:rFonts w:ascii="宋体" w:hAnsi="宋体" w:cs="宋体"/>
          <w:szCs w:val="22"/>
          <w:highlight w:val="none"/>
        </w:rPr>
        <w:t>（二）在工程采购项目中，工程由中小企业承建，即工程施工单位为中小企业；</w:t>
      </w:r>
    </w:p>
    <w:p w14:paraId="0F30A979">
      <w:pPr>
        <w:snapToGrid w:val="0"/>
        <w:spacing w:line="360" w:lineRule="auto"/>
        <w:ind w:left="840" w:leftChars="400"/>
        <w:rPr>
          <w:rFonts w:ascii="宋体" w:hAnsi="宋体" w:cs="宋体"/>
          <w:szCs w:val="22"/>
          <w:highlight w:val="none"/>
        </w:rPr>
      </w:pPr>
      <w:r>
        <w:rPr>
          <w:rFonts w:ascii="宋体" w:hAnsi="宋体" w:cs="宋体"/>
          <w:szCs w:val="22"/>
          <w:highlight w:val="none"/>
        </w:rPr>
        <w:t>（三）在服务采购项目中，服务由中小企业承接，即提供服务的人员为中小企业依照《中华人民共和国劳动合同法》订立劳动合同的从业人员。</w:t>
      </w:r>
    </w:p>
    <w:p w14:paraId="19C1136A">
      <w:pPr>
        <w:numPr>
          <w:ilvl w:val="1"/>
          <w:numId w:val="12"/>
        </w:numPr>
        <w:snapToGrid w:val="0"/>
        <w:spacing w:line="360" w:lineRule="auto"/>
        <w:rPr>
          <w:rFonts w:ascii="宋体" w:hAnsi="宋体" w:cs="宋体"/>
          <w:szCs w:val="22"/>
          <w:highlight w:val="none"/>
        </w:rPr>
      </w:pPr>
      <w:r>
        <w:rPr>
          <w:rFonts w:ascii="宋体" w:hAnsi="宋体" w:cs="宋体"/>
          <w:szCs w:val="22"/>
          <w:highlight w:val="none"/>
        </w:rPr>
        <w:t>在货物采购项目中，供应商提供的货物既有中小企业制造货物，也有大型企业制造货物的，不享受中小企业扶持政策。</w:t>
      </w:r>
    </w:p>
    <w:p w14:paraId="326BCC04">
      <w:pPr>
        <w:numPr>
          <w:ilvl w:val="1"/>
          <w:numId w:val="12"/>
        </w:numPr>
        <w:snapToGrid w:val="0"/>
        <w:spacing w:line="360" w:lineRule="auto"/>
        <w:rPr>
          <w:rFonts w:ascii="宋体" w:hAnsi="宋体" w:cs="宋体"/>
          <w:highlight w:val="none"/>
        </w:rPr>
      </w:pPr>
      <w:r>
        <w:rPr>
          <w:rFonts w:ascii="宋体" w:hAnsi="宋体" w:cs="宋体"/>
          <w:szCs w:val="22"/>
          <w:highlight w:val="none"/>
        </w:rPr>
        <w:t>以联合体形式参加政府采购活动，联合体各方均为中小企业的，联合体视同中小企业。其中，联合体各方均为小微企业的，联合体视同小微企业。</w:t>
      </w:r>
    </w:p>
    <w:p w14:paraId="1E0AEF02">
      <w:pPr>
        <w:numPr>
          <w:ilvl w:val="0"/>
          <w:numId w:val="12"/>
        </w:numPr>
        <w:spacing w:line="360" w:lineRule="auto"/>
        <w:outlineLvl w:val="2"/>
        <w:rPr>
          <w:rFonts w:ascii="宋体" w:hAnsi="宋体" w:cs="宋体"/>
          <w:b/>
          <w:szCs w:val="21"/>
          <w:highlight w:val="none"/>
        </w:rPr>
      </w:pPr>
      <w:bookmarkStart w:id="128" w:name="_Toc5305"/>
      <w:bookmarkStart w:id="129" w:name="_Toc26016"/>
      <w:bookmarkStart w:id="130" w:name="_Toc10183"/>
      <w:bookmarkStart w:id="131" w:name="_Toc25358"/>
      <w:bookmarkStart w:id="132" w:name="_Toc10573"/>
      <w:r>
        <w:rPr>
          <w:rFonts w:ascii="宋体" w:hAnsi="宋体" w:cs="宋体"/>
          <w:b/>
          <w:szCs w:val="21"/>
          <w:highlight w:val="none"/>
        </w:rPr>
        <w:t>信用记录</w:t>
      </w:r>
      <w:bookmarkEnd w:id="128"/>
      <w:bookmarkEnd w:id="129"/>
      <w:bookmarkEnd w:id="130"/>
      <w:bookmarkEnd w:id="131"/>
      <w:bookmarkEnd w:id="132"/>
    </w:p>
    <w:p w14:paraId="501FDCF4">
      <w:pPr>
        <w:snapToGrid w:val="0"/>
        <w:spacing w:line="360" w:lineRule="auto"/>
        <w:ind w:left="-840" w:leftChars="-400" w:firstLine="840" w:firstLineChars="400"/>
        <w:rPr>
          <w:rFonts w:ascii="宋体" w:hAnsi="宋体" w:cs="宋体"/>
          <w:szCs w:val="21"/>
          <w:highlight w:val="none"/>
        </w:rPr>
      </w:pPr>
      <w:r>
        <w:rPr>
          <w:rFonts w:ascii="宋体" w:hAnsi="宋体" w:cs="宋体"/>
          <w:szCs w:val="21"/>
          <w:highlight w:val="none"/>
        </w:rPr>
        <w:t>5.1     信用信息查询的截止时点：投标截止时间前。</w:t>
      </w:r>
    </w:p>
    <w:p w14:paraId="6A577D69">
      <w:pPr>
        <w:snapToGrid w:val="0"/>
        <w:spacing w:line="360" w:lineRule="auto"/>
        <w:ind w:left="840" w:hanging="840" w:hangingChars="400"/>
        <w:rPr>
          <w:rFonts w:ascii="宋体" w:hAnsi="宋体" w:cs="宋体"/>
          <w:szCs w:val="21"/>
          <w:highlight w:val="none"/>
        </w:rPr>
      </w:pPr>
      <w:r>
        <w:rPr>
          <w:rFonts w:ascii="宋体" w:hAnsi="宋体" w:cs="宋体"/>
          <w:szCs w:val="21"/>
          <w:highlight w:val="none"/>
        </w:rPr>
        <w:t>5.2     查询渠道与留存方式：</w:t>
      </w:r>
      <w:r>
        <w:rPr>
          <w:rFonts w:ascii="宋体" w:hAnsi="宋体" w:cs="宋体"/>
          <w:highlight w:val="none"/>
        </w:rPr>
        <w:t>招标采购单位登录“信用中国”（www.creditchina.gov.cn）、“中国政府采购网”（www.ccgp.gov.cn）、浙江政府采购网（http://zfcg.czt.zj.gov.cn//）、国家企业信用信息公示系统（www.gsxt.gov.cn）网站查询各磋商供应商信用记录，网页截图并打印存档。</w:t>
      </w:r>
    </w:p>
    <w:p w14:paraId="4347924B">
      <w:pPr>
        <w:snapToGrid w:val="0"/>
        <w:spacing w:line="360" w:lineRule="auto"/>
        <w:ind w:left="840" w:hanging="840" w:hangingChars="400"/>
        <w:rPr>
          <w:rFonts w:ascii="宋体" w:hAnsi="宋体" w:cs="宋体"/>
          <w:szCs w:val="21"/>
          <w:highlight w:val="none"/>
        </w:rPr>
      </w:pPr>
      <w:r>
        <w:rPr>
          <w:rFonts w:ascii="宋体" w:hAnsi="宋体" w:cs="宋体"/>
          <w:szCs w:val="21"/>
          <w:highlight w:val="none"/>
        </w:rPr>
        <w:t>5.3     不良信用记录指：被列入失信被执行人、重大税收违法案件当事人名单、政府采购严重违法失 信行为记录名单及其他</w:t>
      </w:r>
      <w:r>
        <w:rPr>
          <w:rFonts w:ascii="宋体" w:hAnsi="宋体" w:cs="宋体"/>
          <w:highlight w:val="none"/>
        </w:rPr>
        <w:t>不符合《中华人民共和国政府采购法》第二十二条规定条件。存在不良信用记录的投标人，将被拒绝参与政府采购活动。</w:t>
      </w:r>
    </w:p>
    <w:p w14:paraId="1E6AD044">
      <w:pPr>
        <w:snapToGrid w:val="0"/>
        <w:spacing w:line="360" w:lineRule="auto"/>
        <w:ind w:left="840" w:hanging="840" w:hangingChars="400"/>
        <w:rPr>
          <w:rFonts w:ascii="宋体" w:hAnsi="宋体" w:cs="宋体"/>
          <w:szCs w:val="21"/>
          <w:highlight w:val="none"/>
        </w:rPr>
      </w:pPr>
      <w:r>
        <w:rPr>
          <w:rFonts w:ascii="宋体" w:hAnsi="宋体" w:cs="宋体"/>
          <w:szCs w:val="21"/>
          <w:highlight w:val="none"/>
        </w:rPr>
        <w:t>5.4     联合体投标时，招标采购单位将对所有联合体成员进行信用记录查询，联合体成员存在不良信用记录的，视同联合体存在不良信用记录。</w:t>
      </w:r>
    </w:p>
    <w:p w14:paraId="7FF7105B">
      <w:pPr>
        <w:numPr>
          <w:ilvl w:val="0"/>
          <w:numId w:val="12"/>
        </w:numPr>
        <w:spacing w:line="360" w:lineRule="auto"/>
        <w:outlineLvl w:val="2"/>
        <w:rPr>
          <w:rFonts w:ascii="宋体" w:hAnsi="宋体" w:cs="宋体"/>
          <w:b/>
          <w:szCs w:val="21"/>
          <w:highlight w:val="none"/>
        </w:rPr>
      </w:pPr>
      <w:bookmarkStart w:id="133" w:name="_Toc6917"/>
      <w:bookmarkStart w:id="134" w:name="_Toc31472"/>
      <w:bookmarkStart w:id="135" w:name="_Toc32164"/>
      <w:bookmarkStart w:id="136" w:name="_Toc23433"/>
      <w:bookmarkStart w:id="137" w:name="_Toc2995"/>
      <w:r>
        <w:rPr>
          <w:rFonts w:ascii="宋体" w:hAnsi="宋体" w:cs="宋体"/>
          <w:b/>
          <w:szCs w:val="21"/>
          <w:highlight w:val="none"/>
        </w:rPr>
        <w:t>保密与披露事项</w:t>
      </w:r>
      <w:bookmarkEnd w:id="133"/>
      <w:bookmarkEnd w:id="134"/>
      <w:bookmarkEnd w:id="135"/>
      <w:bookmarkEnd w:id="136"/>
      <w:bookmarkEnd w:id="137"/>
    </w:p>
    <w:p w14:paraId="073344EF">
      <w:pPr>
        <w:numPr>
          <w:ilvl w:val="1"/>
          <w:numId w:val="12"/>
        </w:numPr>
        <w:spacing w:line="360" w:lineRule="auto"/>
        <w:rPr>
          <w:rFonts w:ascii="宋体" w:hAnsi="宋体" w:cs="宋体"/>
          <w:highlight w:val="none"/>
        </w:rPr>
      </w:pPr>
      <w:r>
        <w:rPr>
          <w:rFonts w:ascii="宋体" w:hAnsi="宋体" w:cs="宋体"/>
          <w:highlight w:val="none"/>
        </w:rPr>
        <w:t>磋商供应商不得串通，以不正当的手段妨碍排挤其他磋商供应商，扰乱市场，破坏公平竞争原则。</w:t>
      </w:r>
    </w:p>
    <w:p w14:paraId="16277046">
      <w:pPr>
        <w:numPr>
          <w:ilvl w:val="1"/>
          <w:numId w:val="12"/>
        </w:numPr>
        <w:spacing w:line="360" w:lineRule="auto"/>
        <w:rPr>
          <w:rFonts w:ascii="宋体" w:hAnsi="宋体" w:cs="宋体"/>
          <w:highlight w:val="none"/>
        </w:rPr>
      </w:pPr>
      <w:r>
        <w:rPr>
          <w:rFonts w:ascii="宋体" w:hAnsi="宋体" w:cs="宋体"/>
          <w:highlight w:val="none"/>
        </w:rPr>
        <w:t>磋商供应商自购买磋商文件之日起，须承诺承担本竞争性磋商项目下保密义务，不得将因本次竞争性磋商获得的信息向第三方外传。</w:t>
      </w:r>
    </w:p>
    <w:p w14:paraId="53AEF00C">
      <w:pPr>
        <w:numPr>
          <w:ilvl w:val="1"/>
          <w:numId w:val="12"/>
        </w:numPr>
        <w:spacing w:line="360" w:lineRule="auto"/>
        <w:rPr>
          <w:rFonts w:ascii="宋体" w:hAnsi="宋体" w:cs="宋体"/>
          <w:highlight w:val="none"/>
        </w:rPr>
      </w:pPr>
      <w:r>
        <w:rPr>
          <w:rFonts w:ascii="宋体" w:hAnsi="宋体" w:cs="宋体"/>
          <w:highlight w:val="none"/>
        </w:rPr>
        <w:t>采购机构有权将磋商供应商提供的所有资料向其他政府部门或有关的非政府机构负责评审标书的人员或与评标有关的人员披露。</w:t>
      </w:r>
    </w:p>
    <w:p w14:paraId="33FE3E46">
      <w:pPr>
        <w:numPr>
          <w:ilvl w:val="1"/>
          <w:numId w:val="12"/>
        </w:numPr>
        <w:spacing w:line="360" w:lineRule="auto"/>
        <w:rPr>
          <w:rFonts w:ascii="宋体" w:hAnsi="宋体" w:cs="宋体"/>
          <w:sz w:val="24"/>
          <w:highlight w:val="none"/>
        </w:rPr>
      </w:pPr>
      <w:r>
        <w:rPr>
          <w:rFonts w:ascii="宋体" w:hAnsi="宋体" w:cs="宋体"/>
          <w:highlight w:val="none"/>
        </w:rPr>
        <w:t>采购机构有权在认为适当时，或在任何第三者提出要求（书面或其他方式）时，无须事先征求成交供应商同意而披露关于已订立合约的资料、成交供应商的名称及地址、成交服务的有关信息以及合约条款等。</w:t>
      </w:r>
    </w:p>
    <w:p w14:paraId="19C5C880">
      <w:pPr>
        <w:numPr>
          <w:ilvl w:val="0"/>
          <w:numId w:val="12"/>
        </w:numPr>
        <w:spacing w:line="360" w:lineRule="auto"/>
        <w:outlineLvl w:val="2"/>
        <w:rPr>
          <w:rFonts w:ascii="宋体" w:hAnsi="宋体" w:cs="宋体"/>
          <w:b/>
          <w:szCs w:val="21"/>
          <w:highlight w:val="none"/>
        </w:rPr>
      </w:pPr>
      <w:bookmarkStart w:id="138" w:name="_Toc31609"/>
      <w:bookmarkStart w:id="139" w:name="_Toc14977"/>
      <w:bookmarkStart w:id="140" w:name="_Toc10250"/>
      <w:bookmarkStart w:id="141" w:name="_Toc13647"/>
      <w:bookmarkStart w:id="142" w:name="_Toc28670"/>
      <w:r>
        <w:rPr>
          <w:rFonts w:ascii="宋体" w:hAnsi="宋体" w:cs="宋体"/>
          <w:b/>
          <w:szCs w:val="21"/>
          <w:highlight w:val="none"/>
        </w:rPr>
        <w:t>磋商费用</w:t>
      </w:r>
      <w:bookmarkEnd w:id="138"/>
      <w:bookmarkEnd w:id="139"/>
      <w:bookmarkEnd w:id="140"/>
      <w:bookmarkEnd w:id="141"/>
      <w:bookmarkEnd w:id="142"/>
    </w:p>
    <w:p w14:paraId="2C7CAD9B">
      <w:pPr>
        <w:numPr>
          <w:ilvl w:val="1"/>
          <w:numId w:val="12"/>
        </w:numPr>
        <w:spacing w:line="360" w:lineRule="auto"/>
        <w:rPr>
          <w:rFonts w:ascii="宋体" w:hAnsi="宋体" w:cs="宋体"/>
          <w:highlight w:val="none"/>
        </w:rPr>
      </w:pPr>
      <w:r>
        <w:rPr>
          <w:rFonts w:ascii="宋体" w:hAnsi="宋体" w:cs="宋体"/>
          <w:highlight w:val="none"/>
        </w:rPr>
        <w:t>磋商供应商应承担所有与编写和提交磋商响应文件有关的费用，不论磋商的结果如何，采购代理机构和采购人在任何情况下均无义务和责任承担这些费用。</w:t>
      </w:r>
    </w:p>
    <w:p w14:paraId="0941B692">
      <w:pPr>
        <w:numPr>
          <w:ilvl w:val="0"/>
          <w:numId w:val="12"/>
        </w:numPr>
        <w:spacing w:line="360" w:lineRule="auto"/>
        <w:rPr>
          <w:rFonts w:ascii="宋体" w:hAnsi="宋体" w:cs="宋体"/>
          <w:highlight w:val="none"/>
        </w:rPr>
      </w:pPr>
      <w:r>
        <w:rPr>
          <w:rFonts w:ascii="宋体" w:hAnsi="宋体" w:cs="宋体"/>
          <w:b/>
          <w:szCs w:val="21"/>
          <w:highlight w:val="none"/>
        </w:rPr>
        <w:t>现场踏勘：</w:t>
      </w:r>
      <w:r>
        <w:rPr>
          <w:rFonts w:ascii="宋体" w:hAnsi="宋体" w:cs="宋体"/>
          <w:highlight w:val="none"/>
        </w:rPr>
        <w:t>自行前往</w:t>
      </w:r>
    </w:p>
    <w:p w14:paraId="073092D5">
      <w:pPr>
        <w:numPr>
          <w:ilvl w:val="0"/>
          <w:numId w:val="12"/>
        </w:numPr>
        <w:spacing w:line="360" w:lineRule="auto"/>
        <w:rPr>
          <w:rFonts w:ascii="宋体" w:hAnsi="宋体" w:cs="宋体"/>
          <w:b/>
          <w:szCs w:val="21"/>
          <w:highlight w:val="none"/>
        </w:rPr>
      </w:pPr>
      <w:r>
        <w:rPr>
          <w:rFonts w:ascii="宋体" w:hAnsi="宋体" w:cs="宋体"/>
          <w:b/>
          <w:szCs w:val="21"/>
          <w:highlight w:val="none"/>
        </w:rPr>
        <w:t>磋商委托</w:t>
      </w:r>
    </w:p>
    <w:p w14:paraId="6C12C62C">
      <w:pPr>
        <w:numPr>
          <w:ilvl w:val="1"/>
          <w:numId w:val="12"/>
        </w:numPr>
        <w:spacing w:line="360" w:lineRule="auto"/>
        <w:rPr>
          <w:rFonts w:ascii="宋体" w:hAnsi="宋体"/>
          <w:highlight w:val="none"/>
        </w:rPr>
      </w:pPr>
      <w:r>
        <w:rPr>
          <w:rFonts w:ascii="宋体" w:hAnsi="宋体" w:cs="宋体"/>
          <w:highlight w:val="none"/>
        </w:rPr>
        <w:t>如磋商供应商代表不是法定代表人，须持有《法定代表人授权委托书》。</w:t>
      </w:r>
    </w:p>
    <w:p w14:paraId="6C5C3A56">
      <w:pPr>
        <w:spacing w:line="360" w:lineRule="auto"/>
        <w:ind w:firstLine="843" w:firstLineChars="400"/>
        <w:rPr>
          <w:rFonts w:ascii="宋体" w:hAnsi="宋体"/>
          <w:highlight w:val="none"/>
        </w:rPr>
      </w:pPr>
      <w:r>
        <w:rPr>
          <w:rFonts w:ascii="宋体" w:hAnsi="宋体"/>
          <w:b/>
          <w:highlight w:val="none"/>
        </w:rPr>
        <w:t>授权委托书需具备以下几项条件：</w:t>
      </w:r>
    </w:p>
    <w:p w14:paraId="2B5EC7A2">
      <w:pPr>
        <w:spacing w:line="360" w:lineRule="auto"/>
        <w:ind w:left="840" w:leftChars="400"/>
        <w:rPr>
          <w:highlight w:val="none"/>
        </w:rPr>
      </w:pPr>
      <w:r>
        <w:rPr>
          <w:rFonts w:ascii="宋体" w:hAnsi="宋体"/>
          <w:highlight w:val="none"/>
        </w:rPr>
        <w:t>a.采用加盖公章；b.法定代表人签字或盖章；c.授权代表身份证件。</w:t>
      </w:r>
      <w:bookmarkStart w:id="143" w:name="_Toc5481"/>
      <w:bookmarkStart w:id="144" w:name="_Toc18144"/>
      <w:bookmarkStart w:id="145" w:name="_Toc32491"/>
      <w:bookmarkStart w:id="146" w:name="_Toc27346"/>
      <w:bookmarkStart w:id="147" w:name="_Toc18422"/>
    </w:p>
    <w:p w14:paraId="2CE8F4E4">
      <w:pPr>
        <w:pStyle w:val="8"/>
        <w:spacing w:before="156" w:beforeLines="50" w:after="156" w:afterLines="50" w:line="360" w:lineRule="auto"/>
        <w:jc w:val="center"/>
        <w:rPr>
          <w:rFonts w:ascii="宋体" w:hAnsi="宋体" w:cs="宋体"/>
          <w:bCs w:val="0"/>
          <w:sz w:val="24"/>
          <w:szCs w:val="24"/>
          <w:highlight w:val="none"/>
        </w:rPr>
      </w:pPr>
      <w:bookmarkStart w:id="148" w:name="_Toc18413"/>
      <w:bookmarkStart w:id="149" w:name="_Toc3161"/>
      <w:bookmarkStart w:id="150" w:name="_Toc19623"/>
      <w:r>
        <w:rPr>
          <w:rFonts w:ascii="宋体" w:hAnsi="宋体" w:cs="宋体"/>
          <w:bCs w:val="0"/>
          <w:sz w:val="24"/>
          <w:szCs w:val="24"/>
          <w:highlight w:val="none"/>
        </w:rPr>
        <w:t>（三）磋商文件说明</w:t>
      </w:r>
      <w:bookmarkEnd w:id="143"/>
      <w:bookmarkEnd w:id="144"/>
      <w:bookmarkEnd w:id="145"/>
      <w:bookmarkEnd w:id="146"/>
      <w:bookmarkEnd w:id="147"/>
      <w:bookmarkEnd w:id="148"/>
      <w:bookmarkEnd w:id="149"/>
      <w:bookmarkEnd w:id="150"/>
    </w:p>
    <w:p w14:paraId="3D7C9BFD">
      <w:pPr>
        <w:numPr>
          <w:ilvl w:val="0"/>
          <w:numId w:val="12"/>
        </w:numPr>
        <w:snapToGrid w:val="0"/>
        <w:spacing w:line="360" w:lineRule="auto"/>
        <w:outlineLvl w:val="2"/>
        <w:rPr>
          <w:rFonts w:ascii="宋体" w:hAnsi="宋体" w:cs="宋体"/>
          <w:b/>
          <w:szCs w:val="21"/>
          <w:highlight w:val="none"/>
        </w:rPr>
      </w:pPr>
      <w:bookmarkStart w:id="151" w:name="_Toc18351"/>
      <w:bookmarkStart w:id="152" w:name="_Toc27997"/>
      <w:bookmarkStart w:id="153" w:name="_Toc29208"/>
      <w:bookmarkStart w:id="154" w:name="_Toc15998"/>
      <w:bookmarkStart w:id="155" w:name="_Toc10529"/>
      <w:r>
        <w:rPr>
          <w:rFonts w:ascii="宋体" w:hAnsi="宋体" w:cs="宋体"/>
          <w:b/>
          <w:szCs w:val="21"/>
          <w:highlight w:val="none"/>
        </w:rPr>
        <w:t>磋商文件构成</w:t>
      </w:r>
      <w:bookmarkEnd w:id="151"/>
      <w:bookmarkEnd w:id="152"/>
      <w:bookmarkEnd w:id="153"/>
      <w:bookmarkEnd w:id="154"/>
      <w:bookmarkEnd w:id="155"/>
    </w:p>
    <w:p w14:paraId="6E13F5ED">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磋商文件是用以阐明所需服务，以及竞争性磋商、磋商程序和相应的合同条款。</w:t>
      </w:r>
    </w:p>
    <w:p w14:paraId="7E0701C7">
      <w:pPr>
        <w:snapToGrid w:val="0"/>
        <w:spacing w:line="360" w:lineRule="auto"/>
        <w:ind w:firstLine="840" w:firstLineChars="400"/>
        <w:rPr>
          <w:rFonts w:ascii="宋体" w:hAnsi="宋体" w:cs="宋体"/>
          <w:szCs w:val="21"/>
          <w:highlight w:val="none"/>
        </w:rPr>
      </w:pPr>
      <w:r>
        <w:rPr>
          <w:rFonts w:ascii="宋体" w:hAnsi="宋体" w:cs="宋体"/>
          <w:szCs w:val="21"/>
          <w:highlight w:val="none"/>
        </w:rPr>
        <w:t>“磋商文件”由下述部分组成：</w:t>
      </w:r>
    </w:p>
    <w:p w14:paraId="122F3831">
      <w:pPr>
        <w:snapToGrid w:val="0"/>
        <w:spacing w:line="360" w:lineRule="auto"/>
        <w:ind w:left="840" w:leftChars="400"/>
        <w:rPr>
          <w:rFonts w:ascii="宋体" w:hAnsi="宋体" w:cs="宋体"/>
          <w:szCs w:val="21"/>
          <w:highlight w:val="none"/>
        </w:rPr>
      </w:pPr>
      <w:r>
        <w:rPr>
          <w:rFonts w:ascii="宋体" w:hAnsi="宋体" w:cs="宋体"/>
          <w:szCs w:val="21"/>
          <w:highlight w:val="none"/>
        </w:rPr>
        <w:t>第一部分  竞争性磋商公告</w:t>
      </w:r>
    </w:p>
    <w:p w14:paraId="56764A0A">
      <w:pPr>
        <w:snapToGrid w:val="0"/>
        <w:spacing w:line="360" w:lineRule="auto"/>
        <w:ind w:left="840" w:leftChars="400"/>
        <w:rPr>
          <w:rFonts w:ascii="宋体" w:hAnsi="宋体" w:cs="宋体"/>
          <w:szCs w:val="21"/>
          <w:highlight w:val="none"/>
        </w:rPr>
      </w:pPr>
      <w:r>
        <w:rPr>
          <w:rFonts w:ascii="宋体" w:hAnsi="宋体" w:cs="宋体"/>
          <w:szCs w:val="21"/>
          <w:highlight w:val="none"/>
        </w:rPr>
        <w:t>第二部分  磋商供应商须知</w:t>
      </w:r>
    </w:p>
    <w:p w14:paraId="64BEAD9F">
      <w:pPr>
        <w:snapToGrid w:val="0"/>
        <w:spacing w:line="360" w:lineRule="auto"/>
        <w:ind w:left="840" w:leftChars="400"/>
        <w:rPr>
          <w:rFonts w:ascii="宋体" w:hAnsi="宋体" w:cs="宋体"/>
          <w:szCs w:val="21"/>
          <w:highlight w:val="none"/>
        </w:rPr>
      </w:pPr>
      <w:r>
        <w:rPr>
          <w:rFonts w:ascii="宋体" w:hAnsi="宋体" w:cs="宋体"/>
          <w:szCs w:val="21"/>
          <w:highlight w:val="none"/>
        </w:rPr>
        <w:t>第三部分  竞争性磋商服务内容及要求</w:t>
      </w:r>
    </w:p>
    <w:p w14:paraId="0DD1F13A">
      <w:pPr>
        <w:snapToGrid w:val="0"/>
        <w:spacing w:line="360" w:lineRule="auto"/>
        <w:ind w:left="840" w:leftChars="400"/>
        <w:rPr>
          <w:rFonts w:ascii="宋体" w:hAnsi="宋体" w:cs="宋体"/>
          <w:szCs w:val="21"/>
          <w:highlight w:val="none"/>
        </w:rPr>
      </w:pPr>
      <w:r>
        <w:rPr>
          <w:rFonts w:ascii="宋体" w:hAnsi="宋体" w:cs="宋体"/>
          <w:szCs w:val="21"/>
          <w:highlight w:val="none"/>
        </w:rPr>
        <w:t>第四部分  合同条款</w:t>
      </w:r>
    </w:p>
    <w:p w14:paraId="4445D177">
      <w:pPr>
        <w:snapToGrid w:val="0"/>
        <w:spacing w:line="360" w:lineRule="auto"/>
        <w:ind w:left="840" w:leftChars="400"/>
        <w:rPr>
          <w:rFonts w:ascii="宋体" w:hAnsi="宋体" w:cs="宋体"/>
          <w:szCs w:val="21"/>
          <w:highlight w:val="none"/>
        </w:rPr>
      </w:pPr>
      <w:r>
        <w:rPr>
          <w:rFonts w:ascii="宋体" w:hAnsi="宋体" w:cs="宋体"/>
          <w:szCs w:val="21"/>
          <w:highlight w:val="none"/>
        </w:rPr>
        <w:t>第五部分  磋商响应文件格式</w:t>
      </w:r>
    </w:p>
    <w:p w14:paraId="393B3D87">
      <w:pPr>
        <w:snapToGrid w:val="0"/>
        <w:spacing w:line="360" w:lineRule="auto"/>
        <w:ind w:left="840" w:leftChars="400"/>
        <w:rPr>
          <w:rFonts w:ascii="宋体" w:hAnsi="宋体" w:cs="宋体"/>
          <w:szCs w:val="21"/>
          <w:highlight w:val="none"/>
        </w:rPr>
      </w:pPr>
      <w:r>
        <w:rPr>
          <w:rFonts w:ascii="宋体" w:hAnsi="宋体" w:cs="宋体"/>
          <w:szCs w:val="21"/>
          <w:highlight w:val="none"/>
        </w:rPr>
        <w:t>第六部分  评定办法</w:t>
      </w:r>
    </w:p>
    <w:p w14:paraId="4517CD29">
      <w:pPr>
        <w:pStyle w:val="13"/>
        <w:ind w:firstLine="420" w:firstLineChars="200"/>
        <w:rPr>
          <w:highlight w:val="none"/>
        </w:rPr>
      </w:pPr>
      <w:r>
        <w:rPr>
          <w:highlight w:val="none"/>
        </w:rPr>
        <w:t>第七部分  信贷政策</w:t>
      </w:r>
    </w:p>
    <w:p w14:paraId="0A4ABF6D">
      <w:pPr>
        <w:snapToGrid w:val="0"/>
        <w:spacing w:line="360" w:lineRule="auto"/>
        <w:ind w:left="840" w:leftChars="400"/>
        <w:rPr>
          <w:rFonts w:ascii="宋体" w:hAnsi="宋体" w:cs="宋体"/>
          <w:szCs w:val="21"/>
          <w:highlight w:val="none"/>
        </w:rPr>
      </w:pPr>
      <w:r>
        <w:rPr>
          <w:rFonts w:ascii="宋体" w:hAnsi="宋体" w:cs="宋体"/>
          <w:szCs w:val="21"/>
          <w:highlight w:val="none"/>
        </w:rPr>
        <w:t>第八部分  补充通知及答疑（若有）</w:t>
      </w:r>
    </w:p>
    <w:p w14:paraId="7BBDCF76">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本磋商文件要求磋商供应商作出实质性响应的有关技术和商务条款，将在该条款前以“▲” 醒目标识。</w:t>
      </w:r>
    </w:p>
    <w:p w14:paraId="57428A0B">
      <w:pPr>
        <w:numPr>
          <w:ilvl w:val="0"/>
          <w:numId w:val="12"/>
        </w:numPr>
        <w:snapToGrid w:val="0"/>
        <w:spacing w:line="360" w:lineRule="auto"/>
        <w:outlineLvl w:val="2"/>
        <w:rPr>
          <w:rFonts w:ascii="宋体" w:hAnsi="宋体" w:cs="宋体"/>
          <w:b/>
          <w:szCs w:val="21"/>
          <w:highlight w:val="none"/>
        </w:rPr>
      </w:pPr>
      <w:bookmarkStart w:id="156" w:name="_Toc24860"/>
      <w:bookmarkStart w:id="157" w:name="_Toc25802"/>
      <w:bookmarkStart w:id="158" w:name="_Toc4543"/>
      <w:bookmarkStart w:id="159" w:name="_Toc10868"/>
      <w:bookmarkStart w:id="160" w:name="_Toc26776"/>
      <w:r>
        <w:rPr>
          <w:rFonts w:ascii="宋体" w:hAnsi="宋体" w:cs="宋体"/>
          <w:b/>
          <w:szCs w:val="21"/>
          <w:highlight w:val="none"/>
        </w:rPr>
        <w:t>磋商文件的澄清</w:t>
      </w:r>
      <w:bookmarkEnd w:id="156"/>
      <w:bookmarkEnd w:id="157"/>
      <w:bookmarkEnd w:id="158"/>
      <w:bookmarkEnd w:id="159"/>
      <w:bookmarkEnd w:id="160"/>
    </w:p>
    <w:p w14:paraId="1559ED42">
      <w:pPr>
        <w:numPr>
          <w:ilvl w:val="1"/>
          <w:numId w:val="12"/>
        </w:numPr>
        <w:snapToGrid w:val="0"/>
        <w:spacing w:line="360" w:lineRule="auto"/>
        <w:rPr>
          <w:rFonts w:ascii="宋体" w:hAnsi="宋体" w:cs="宋体"/>
          <w:highlight w:val="none"/>
        </w:rPr>
      </w:pPr>
      <w:r>
        <w:rPr>
          <w:rFonts w:ascii="宋体" w:hAnsi="宋体" w:cs="宋体"/>
          <w:highlight w:val="none"/>
        </w:rPr>
        <w:t>任何要求对磋商文件进行澄清的磋商供应商，均应在答疑截止期规定时间以前以书面形式寄送给采购代理机构或发送至代理机构邮箱。</w:t>
      </w:r>
    </w:p>
    <w:p w14:paraId="4145A721">
      <w:pPr>
        <w:numPr>
          <w:ilvl w:val="1"/>
          <w:numId w:val="12"/>
        </w:numPr>
        <w:snapToGrid w:val="0"/>
        <w:spacing w:line="360" w:lineRule="auto"/>
        <w:rPr>
          <w:rFonts w:ascii="宋体" w:hAnsi="宋体" w:cs="宋体"/>
          <w:highlight w:val="none"/>
        </w:rPr>
      </w:pPr>
      <w:r>
        <w:rPr>
          <w:rFonts w:ascii="宋体" w:hAnsi="宋体" w:cs="宋体"/>
          <w:highlight w:val="none"/>
        </w:rPr>
        <w:t>采购代理机构对已发出的磋商文件进行必要澄清或者修改的，将提交首次响应文件截止时间5日前在“温州市公共资源交易网—瑞安市分网”和“浙江省政府采购网”上发布更正公告。答复中包括原提出的问题，但不包括问题的来源。供应商登陆温州市公共资源交易网—瑞安市分网站会员系统从“下载答疑文件处”自行下载，该澄清和修改的内容作为磋商文件的组成部分。</w:t>
      </w:r>
    </w:p>
    <w:p w14:paraId="21EA8067">
      <w:pPr>
        <w:tabs>
          <w:tab w:val="left" w:pos="840"/>
        </w:tabs>
        <w:spacing w:before="156" w:beforeLines="50" w:after="156" w:afterLines="50" w:line="380" w:lineRule="exact"/>
        <w:jc w:val="center"/>
        <w:outlineLvl w:val="9"/>
        <w:rPr>
          <w:rFonts w:ascii="宋体" w:hAnsi="宋体" w:cs="宋体"/>
          <w:sz w:val="24"/>
          <w:szCs w:val="24"/>
          <w:highlight w:val="none"/>
        </w:rPr>
      </w:pPr>
      <w:bookmarkStart w:id="161" w:name="_Toc14604"/>
      <w:bookmarkStart w:id="162" w:name="_Toc1802"/>
    </w:p>
    <w:p w14:paraId="541DEFDA">
      <w:pPr>
        <w:rPr>
          <w:rFonts w:ascii="宋体" w:hAnsi="宋体" w:cs="宋体"/>
          <w:sz w:val="24"/>
          <w:highlight w:val="none"/>
        </w:rPr>
      </w:pPr>
    </w:p>
    <w:p w14:paraId="7F5D5FCA">
      <w:pPr>
        <w:pStyle w:val="13"/>
        <w:rPr>
          <w:rFonts w:ascii="宋体" w:hAnsi="宋体" w:cs="宋体"/>
          <w:sz w:val="24"/>
          <w:highlight w:val="none"/>
        </w:rPr>
      </w:pPr>
    </w:p>
    <w:p w14:paraId="1AD4768F">
      <w:pPr>
        <w:rPr>
          <w:rFonts w:ascii="宋体" w:hAnsi="宋体" w:cs="宋体"/>
          <w:sz w:val="24"/>
          <w:highlight w:val="none"/>
        </w:rPr>
      </w:pPr>
    </w:p>
    <w:p w14:paraId="0EE623FA">
      <w:pPr>
        <w:rPr>
          <w:highlight w:val="none"/>
        </w:rPr>
      </w:pPr>
    </w:p>
    <w:p w14:paraId="16DAA96A">
      <w:pPr>
        <w:rPr>
          <w:highlight w:val="none"/>
        </w:rPr>
      </w:pPr>
    </w:p>
    <w:p w14:paraId="404BA844">
      <w:pPr>
        <w:rPr>
          <w:highlight w:val="none"/>
        </w:rPr>
      </w:pPr>
      <w:bookmarkStart w:id="163" w:name="_Toc30260"/>
      <w:bookmarkStart w:id="164" w:name="_Toc18770"/>
      <w:bookmarkStart w:id="165" w:name="_Toc4679"/>
      <w:bookmarkStart w:id="166" w:name="_Toc28125"/>
      <w:bookmarkStart w:id="167" w:name="_Toc14731"/>
    </w:p>
    <w:p w14:paraId="5F1D9F43">
      <w:pPr>
        <w:rPr>
          <w:highlight w:val="none"/>
        </w:rPr>
      </w:pPr>
    </w:p>
    <w:p w14:paraId="08DBDFC8">
      <w:pPr>
        <w:rPr>
          <w:highlight w:val="none"/>
        </w:rPr>
      </w:pPr>
    </w:p>
    <w:p w14:paraId="440D048B">
      <w:pPr>
        <w:pStyle w:val="6"/>
        <w:rPr>
          <w:highlight w:val="none"/>
        </w:rPr>
      </w:pPr>
    </w:p>
    <w:p w14:paraId="1E942889">
      <w:pPr>
        <w:rPr>
          <w:highlight w:val="none"/>
        </w:rPr>
      </w:pPr>
    </w:p>
    <w:p w14:paraId="4497989A">
      <w:pPr>
        <w:rPr>
          <w:highlight w:val="none"/>
        </w:rPr>
      </w:pPr>
    </w:p>
    <w:p w14:paraId="70D5DF99">
      <w:pPr>
        <w:rPr>
          <w:highlight w:val="none"/>
        </w:rPr>
      </w:pPr>
    </w:p>
    <w:p w14:paraId="628BC2DF">
      <w:pPr>
        <w:pStyle w:val="8"/>
        <w:spacing w:before="156" w:beforeLines="50" w:after="156" w:afterLines="50" w:line="360" w:lineRule="auto"/>
        <w:jc w:val="center"/>
        <w:rPr>
          <w:rFonts w:ascii="宋体" w:hAnsi="宋体" w:cs="宋体"/>
          <w:bCs w:val="0"/>
          <w:sz w:val="24"/>
          <w:szCs w:val="24"/>
          <w:highlight w:val="none"/>
        </w:rPr>
      </w:pPr>
      <w:bookmarkStart w:id="168" w:name="_Toc6789"/>
      <w:r>
        <w:rPr>
          <w:rFonts w:ascii="宋体" w:hAnsi="宋体" w:cs="宋体"/>
          <w:bCs w:val="0"/>
          <w:sz w:val="24"/>
          <w:szCs w:val="24"/>
          <w:highlight w:val="none"/>
        </w:rPr>
        <w:t>（四）磋商响应文件的编制</w:t>
      </w:r>
      <w:bookmarkEnd w:id="161"/>
      <w:bookmarkEnd w:id="162"/>
      <w:bookmarkEnd w:id="163"/>
      <w:bookmarkEnd w:id="164"/>
      <w:bookmarkEnd w:id="165"/>
      <w:bookmarkEnd w:id="166"/>
      <w:bookmarkEnd w:id="167"/>
      <w:bookmarkEnd w:id="168"/>
    </w:p>
    <w:p w14:paraId="18F6B3A9">
      <w:pPr>
        <w:numPr>
          <w:ilvl w:val="0"/>
          <w:numId w:val="12"/>
        </w:numPr>
        <w:snapToGrid w:val="0"/>
        <w:spacing w:line="360" w:lineRule="auto"/>
        <w:outlineLvl w:val="2"/>
        <w:rPr>
          <w:rFonts w:ascii="宋体" w:hAnsi="宋体" w:cs="宋体"/>
          <w:b/>
          <w:bCs/>
          <w:szCs w:val="21"/>
          <w:highlight w:val="none"/>
        </w:rPr>
      </w:pPr>
      <w:bookmarkStart w:id="169" w:name="_Toc20721"/>
      <w:bookmarkStart w:id="170" w:name="_Toc32516"/>
      <w:bookmarkStart w:id="171" w:name="_Toc7832"/>
      <w:bookmarkStart w:id="172" w:name="_Toc19220"/>
      <w:bookmarkStart w:id="173" w:name="_Toc9937"/>
      <w:r>
        <w:rPr>
          <w:rFonts w:ascii="宋体" w:hAnsi="宋体" w:cs="宋体"/>
          <w:b/>
          <w:bCs/>
          <w:szCs w:val="21"/>
          <w:highlight w:val="none"/>
        </w:rPr>
        <w:t>磋商响应文件的说明</w:t>
      </w:r>
      <w:bookmarkEnd w:id="169"/>
      <w:bookmarkEnd w:id="170"/>
      <w:bookmarkEnd w:id="171"/>
      <w:bookmarkEnd w:id="172"/>
      <w:bookmarkEnd w:id="173"/>
    </w:p>
    <w:p w14:paraId="0CB03819">
      <w:pPr>
        <w:numPr>
          <w:ilvl w:val="1"/>
          <w:numId w:val="12"/>
        </w:numPr>
        <w:snapToGrid w:val="0"/>
        <w:spacing w:line="360" w:lineRule="auto"/>
        <w:rPr>
          <w:rFonts w:ascii="宋体" w:hAnsi="宋体" w:cs="宋体"/>
          <w:highlight w:val="none"/>
        </w:rPr>
      </w:pPr>
      <w:r>
        <w:rPr>
          <w:rFonts w:ascii="宋体" w:hAnsi="宋体" w:cs="宋体"/>
          <w:highlight w:val="none"/>
        </w:rPr>
        <w:t>磋商响应文件应字迹清楚、内容齐全、不得涂改。如有修改，修改处须有法定代表人或其同一授权代表盖章（或签字）。</w:t>
      </w:r>
    </w:p>
    <w:p w14:paraId="6CA00F57">
      <w:pPr>
        <w:numPr>
          <w:ilvl w:val="1"/>
          <w:numId w:val="12"/>
        </w:numPr>
        <w:snapToGrid w:val="0"/>
        <w:spacing w:line="360" w:lineRule="auto"/>
        <w:rPr>
          <w:rFonts w:ascii="宋体" w:hAnsi="宋体" w:cs="宋体"/>
          <w:highlight w:val="none"/>
        </w:rPr>
      </w:pPr>
      <w:r>
        <w:rPr>
          <w:rFonts w:ascii="宋体" w:hAnsi="宋体" w:cs="宋体"/>
          <w:highlight w:val="none"/>
        </w:rPr>
        <w:t>供应商必须按磋商文件的要求提供相关技术参数、资料，包括采用的计量单位，并保证磋商响应文件的正确性和真实性，否则磋商小组将作出不利于其投标的评定。技术和商务如有偏离均应填写偏离表。不按磋商文件的要求提供的磋商响应文件可能导致无效。</w:t>
      </w:r>
    </w:p>
    <w:p w14:paraId="5F511331">
      <w:pPr>
        <w:numPr>
          <w:ilvl w:val="0"/>
          <w:numId w:val="12"/>
        </w:numPr>
        <w:snapToGrid w:val="0"/>
        <w:spacing w:line="360" w:lineRule="auto"/>
        <w:outlineLvl w:val="2"/>
        <w:rPr>
          <w:rFonts w:ascii="宋体" w:hAnsi="宋体" w:cs="宋体"/>
          <w:b/>
          <w:bCs/>
          <w:sz w:val="24"/>
          <w:highlight w:val="none"/>
        </w:rPr>
      </w:pPr>
      <w:bookmarkStart w:id="174" w:name="_Toc10383"/>
      <w:bookmarkStart w:id="175" w:name="_Toc5698"/>
      <w:bookmarkStart w:id="176" w:name="_Toc12351"/>
      <w:bookmarkStart w:id="177" w:name="_Toc13536"/>
      <w:bookmarkStart w:id="178" w:name="_Toc1885"/>
      <w:r>
        <w:rPr>
          <w:rFonts w:ascii="宋体" w:hAnsi="宋体" w:cs="宋体"/>
          <w:b/>
          <w:bCs/>
          <w:szCs w:val="21"/>
          <w:highlight w:val="none"/>
        </w:rPr>
        <w:t>磋商响应文件的组成</w:t>
      </w:r>
      <w:bookmarkEnd w:id="174"/>
      <w:bookmarkEnd w:id="175"/>
      <w:bookmarkEnd w:id="176"/>
      <w:bookmarkEnd w:id="177"/>
      <w:bookmarkEnd w:id="178"/>
    </w:p>
    <w:p w14:paraId="5A988BBB">
      <w:pPr>
        <w:numPr>
          <w:ilvl w:val="1"/>
          <w:numId w:val="12"/>
        </w:numPr>
        <w:snapToGrid w:val="0"/>
        <w:spacing w:line="360" w:lineRule="auto"/>
        <w:rPr>
          <w:rFonts w:ascii="宋体" w:hAnsi="宋体" w:cs="宋体"/>
          <w:sz w:val="24"/>
          <w:highlight w:val="none"/>
        </w:rPr>
      </w:pPr>
      <w:r>
        <w:rPr>
          <w:rFonts w:ascii="宋体" w:hAnsi="宋体" w:cs="宋体"/>
          <w:highlight w:val="none"/>
        </w:rPr>
        <w:t>磋商供应商编写的磋商响应文件应包括下列部分：</w:t>
      </w:r>
    </w:p>
    <w:p w14:paraId="7E13E9A9">
      <w:pPr>
        <w:pStyle w:val="2"/>
        <w:spacing w:line="360" w:lineRule="auto"/>
        <w:rPr>
          <w:rFonts w:hAnsi="宋体" w:cs="宋体"/>
          <w:b/>
          <w:bCs/>
          <w:highlight w:val="none"/>
        </w:rPr>
      </w:pPr>
      <w:r>
        <w:rPr>
          <w:rFonts w:hAnsi="宋体" w:cs="宋体"/>
          <w:b/>
          <w:bCs/>
          <w:highlight w:val="none"/>
        </w:rPr>
        <w:t>一、资格响应部分</w:t>
      </w:r>
    </w:p>
    <w:p w14:paraId="71D438AF">
      <w:pPr>
        <w:numPr>
          <w:ilvl w:val="0"/>
          <w:numId w:val="13"/>
        </w:numPr>
        <w:tabs>
          <w:tab w:val="left" w:pos="1060"/>
        </w:tabs>
        <w:snapToGrid w:val="0"/>
        <w:spacing w:line="360" w:lineRule="auto"/>
        <w:ind w:left="1045" w:hanging="625"/>
        <w:rPr>
          <w:rFonts w:ascii="宋体" w:hAnsi="宋体" w:cs="宋体"/>
          <w:szCs w:val="21"/>
          <w:highlight w:val="none"/>
        </w:rPr>
      </w:pPr>
      <w:r>
        <w:rPr>
          <w:rFonts w:ascii="宋体" w:hAnsi="宋体" w:cs="宋体"/>
          <w:szCs w:val="21"/>
          <w:highlight w:val="none"/>
        </w:rPr>
        <w:t>关于资格、资质证明文件的声明函。                   （见第五部分附件一）</w:t>
      </w:r>
    </w:p>
    <w:p w14:paraId="4C098057">
      <w:pPr>
        <w:pStyle w:val="5"/>
        <w:numPr>
          <w:ilvl w:val="0"/>
          <w:numId w:val="14"/>
        </w:numPr>
        <w:ind w:left="1058" w:leftChars="401" w:hanging="216" w:hangingChars="103"/>
        <w:rPr>
          <w:rFonts w:ascii="宋体" w:hAnsi="宋体" w:eastAsia="宋体" w:cs="宋体"/>
          <w:kern w:val="0"/>
          <w:sz w:val="21"/>
          <w:highlight w:val="none"/>
        </w:rPr>
      </w:pPr>
      <w:r>
        <w:rPr>
          <w:rFonts w:ascii="宋体" w:hAnsi="宋体" w:eastAsia="宋体" w:cs="宋体"/>
          <w:kern w:val="0"/>
          <w:sz w:val="21"/>
          <w:highlight w:val="none"/>
        </w:rPr>
        <w:t>出具符合以下情况的证明材料扫描件（五选一）</w:t>
      </w:r>
    </w:p>
    <w:p w14:paraId="395EB485">
      <w:pPr>
        <w:pStyle w:val="5"/>
        <w:ind w:left="1256" w:leftChars="498" w:hanging="210" w:hangingChars="100"/>
        <w:rPr>
          <w:rFonts w:ascii="宋体" w:hAnsi="宋体" w:eastAsia="宋体" w:cs="宋体"/>
          <w:kern w:val="0"/>
          <w:sz w:val="21"/>
          <w:highlight w:val="none"/>
        </w:rPr>
      </w:pPr>
      <w:r>
        <w:rPr>
          <w:rFonts w:ascii="宋体" w:hAnsi="宋体" w:eastAsia="宋体" w:cs="宋体"/>
          <w:kern w:val="0"/>
          <w:sz w:val="21"/>
          <w:highlight w:val="none"/>
        </w:rPr>
        <w:t>① 如磋商供应商是企业（包括合伙企业），提供在工商部门注册的有效“企业法人营业执照”或“营业执照”；</w:t>
      </w:r>
    </w:p>
    <w:p w14:paraId="504654C5">
      <w:pPr>
        <w:pStyle w:val="5"/>
        <w:ind w:left="626" w:leftChars="298" w:firstLine="420" w:firstLineChars="200"/>
        <w:rPr>
          <w:rFonts w:ascii="宋体" w:hAnsi="宋体" w:eastAsia="宋体" w:cs="宋体"/>
          <w:kern w:val="0"/>
          <w:sz w:val="21"/>
          <w:highlight w:val="none"/>
        </w:rPr>
      </w:pPr>
      <w:r>
        <w:rPr>
          <w:rFonts w:ascii="宋体" w:hAnsi="宋体" w:eastAsia="宋体" w:cs="宋体"/>
          <w:kern w:val="0"/>
          <w:sz w:val="21"/>
          <w:highlight w:val="none"/>
        </w:rPr>
        <w:t>② 如磋商供应商是事业单位，提供有效的“事业单位法人证书”；</w:t>
      </w:r>
    </w:p>
    <w:p w14:paraId="036A74B8">
      <w:pPr>
        <w:pStyle w:val="5"/>
        <w:ind w:left="626" w:leftChars="298" w:firstLine="420" w:firstLineChars="200"/>
        <w:rPr>
          <w:rFonts w:ascii="宋体" w:hAnsi="宋体" w:eastAsia="宋体" w:cs="宋体"/>
          <w:kern w:val="0"/>
          <w:sz w:val="21"/>
          <w:highlight w:val="none"/>
        </w:rPr>
      </w:pPr>
      <w:r>
        <w:rPr>
          <w:rFonts w:ascii="宋体" w:hAnsi="宋体" w:eastAsia="宋体" w:cs="宋体"/>
          <w:kern w:val="0"/>
          <w:sz w:val="21"/>
          <w:highlight w:val="none"/>
        </w:rPr>
        <w:t>③ 如磋商供应商是非企业专业服务机构的，提供执业许可证等证明文件；</w:t>
      </w:r>
    </w:p>
    <w:p w14:paraId="31C79B63">
      <w:pPr>
        <w:pStyle w:val="5"/>
        <w:ind w:left="626" w:leftChars="298" w:firstLine="420" w:firstLineChars="200"/>
        <w:rPr>
          <w:rFonts w:ascii="宋体" w:hAnsi="宋体" w:eastAsia="宋体" w:cs="宋体"/>
          <w:kern w:val="0"/>
          <w:sz w:val="21"/>
          <w:highlight w:val="none"/>
        </w:rPr>
      </w:pPr>
      <w:r>
        <w:rPr>
          <w:rFonts w:ascii="宋体" w:hAnsi="宋体" w:eastAsia="宋体" w:cs="宋体"/>
          <w:kern w:val="0"/>
          <w:sz w:val="21"/>
          <w:highlight w:val="none"/>
        </w:rPr>
        <w:t>④ 如磋商供应商是个体工商户，提供有效的“个体工商户营业执照”；</w:t>
      </w:r>
    </w:p>
    <w:p w14:paraId="1C0E755E">
      <w:pPr>
        <w:pStyle w:val="5"/>
        <w:ind w:left="1256" w:leftChars="498" w:hanging="210" w:hangingChars="100"/>
        <w:rPr>
          <w:rFonts w:ascii="宋体" w:hAnsi="宋体" w:eastAsia="宋体" w:cs="宋体"/>
          <w:kern w:val="0"/>
          <w:sz w:val="21"/>
          <w:highlight w:val="none"/>
        </w:rPr>
      </w:pPr>
      <w:r>
        <w:rPr>
          <w:rFonts w:ascii="宋体" w:hAnsi="宋体" w:eastAsia="宋体" w:cs="宋体"/>
          <w:kern w:val="0"/>
          <w:sz w:val="21"/>
          <w:highlight w:val="none"/>
        </w:rPr>
        <w:t>⑤ 如磋商供应商是自然人，提供有效的自然人身份证明（居民身份证正反面或公安机关出具的临时居民身份证正反面或港澳台胞证或证照）。</w:t>
      </w:r>
    </w:p>
    <w:p w14:paraId="180DFDDE">
      <w:pPr>
        <w:pStyle w:val="5"/>
        <w:numPr>
          <w:ilvl w:val="0"/>
          <w:numId w:val="14"/>
        </w:numPr>
        <w:ind w:left="1058" w:leftChars="401" w:hanging="216" w:hangingChars="103"/>
        <w:rPr>
          <w:rFonts w:ascii="宋体" w:hAnsi="宋体" w:eastAsia="宋体" w:cs="宋体"/>
          <w:kern w:val="0"/>
          <w:sz w:val="21"/>
          <w:highlight w:val="none"/>
        </w:rPr>
      </w:pPr>
      <w:r>
        <w:rPr>
          <w:rFonts w:ascii="宋体" w:hAnsi="宋体" w:eastAsia="宋体" w:cs="宋体"/>
          <w:kern w:val="0"/>
          <w:sz w:val="21"/>
          <w:highlight w:val="none"/>
        </w:rPr>
        <w:t>供应商相关资质证明文件扫描件；</w:t>
      </w:r>
    </w:p>
    <w:p w14:paraId="53702F02">
      <w:pPr>
        <w:pStyle w:val="5"/>
        <w:numPr>
          <w:ilvl w:val="0"/>
          <w:numId w:val="14"/>
        </w:numPr>
        <w:ind w:left="1058" w:leftChars="401" w:hanging="216" w:hangingChars="103"/>
        <w:rPr>
          <w:rFonts w:ascii="宋体" w:hAnsi="宋体" w:eastAsia="宋体" w:cs="宋体"/>
          <w:kern w:val="0"/>
          <w:sz w:val="21"/>
          <w:highlight w:val="none"/>
        </w:rPr>
      </w:pPr>
      <w:r>
        <w:rPr>
          <w:rFonts w:ascii="宋体" w:hAnsi="宋体" w:eastAsia="宋体" w:cs="宋体"/>
          <w:kern w:val="0"/>
          <w:sz w:val="21"/>
          <w:highlight w:val="none"/>
        </w:rPr>
        <w:t>项目负责人相关证书扫描件（如有）；</w:t>
      </w:r>
    </w:p>
    <w:p w14:paraId="5AB0C7C7">
      <w:pPr>
        <w:pStyle w:val="5"/>
        <w:numPr>
          <w:ilvl w:val="0"/>
          <w:numId w:val="14"/>
        </w:numPr>
        <w:ind w:left="1058" w:leftChars="401" w:hanging="216" w:hangingChars="103"/>
        <w:rPr>
          <w:rFonts w:ascii="宋体" w:hAnsi="宋体" w:eastAsia="宋体" w:cs="宋体"/>
          <w:kern w:val="0"/>
          <w:sz w:val="21"/>
          <w:highlight w:val="none"/>
        </w:rPr>
      </w:pPr>
      <w:r>
        <w:rPr>
          <w:rFonts w:ascii="宋体" w:hAnsi="宋体" w:eastAsia="宋体" w:cs="宋体"/>
          <w:kern w:val="0"/>
          <w:sz w:val="21"/>
          <w:highlight w:val="none"/>
        </w:rPr>
        <w:t>供应商的其他证书扫描件（如有）。</w:t>
      </w:r>
    </w:p>
    <w:p w14:paraId="42097300">
      <w:pPr>
        <w:pStyle w:val="5"/>
        <w:numPr>
          <w:ilvl w:val="0"/>
          <w:numId w:val="13"/>
        </w:numPr>
        <w:ind w:left="1045" w:hanging="625"/>
        <w:jc w:val="left"/>
        <w:rPr>
          <w:rFonts w:ascii="宋体" w:hAnsi="宋体" w:eastAsia="宋体" w:cs="宋体"/>
          <w:bCs/>
          <w:kern w:val="0"/>
          <w:sz w:val="21"/>
          <w:highlight w:val="none"/>
        </w:rPr>
      </w:pPr>
      <w:r>
        <w:rPr>
          <w:rFonts w:hint="eastAsia" w:ascii="宋体" w:hAnsi="宋体" w:eastAsia="宋体" w:cs="宋体"/>
          <w:bCs/>
          <w:kern w:val="0"/>
          <w:sz w:val="21"/>
          <w:highlight w:val="none"/>
          <w:lang w:val="en-US" w:eastAsia="zh-CN"/>
        </w:rPr>
        <w:t xml:space="preserve">  </w:t>
      </w:r>
      <w:r>
        <w:rPr>
          <w:rFonts w:ascii="宋体" w:hAnsi="宋体" w:eastAsia="宋体" w:cs="宋体"/>
          <w:bCs/>
          <w:kern w:val="0"/>
          <w:sz w:val="21"/>
          <w:highlight w:val="none"/>
        </w:rPr>
        <w:t>关于满足《中华人民共和国政府采购法》第二十二条规定的承诺函。</w:t>
      </w:r>
    </w:p>
    <w:p w14:paraId="4E4CC7D9">
      <w:pPr>
        <w:pStyle w:val="5"/>
        <w:ind w:left="420"/>
        <w:jc w:val="right"/>
        <w:rPr>
          <w:rFonts w:ascii="宋体" w:hAnsi="宋体" w:eastAsia="宋体" w:cs="宋体"/>
          <w:bCs/>
          <w:kern w:val="0"/>
          <w:sz w:val="21"/>
          <w:highlight w:val="none"/>
        </w:rPr>
      </w:pPr>
      <w:r>
        <w:rPr>
          <w:rFonts w:ascii="宋体" w:hAnsi="宋体" w:eastAsia="宋体" w:cs="宋体"/>
          <w:bCs/>
          <w:kern w:val="0"/>
          <w:sz w:val="21"/>
          <w:highlight w:val="none"/>
        </w:rPr>
        <w:t xml:space="preserve">   </w:t>
      </w:r>
      <w:r>
        <w:rPr>
          <w:rFonts w:hint="eastAsia" w:ascii="宋体" w:hAnsi="宋体" w:eastAsia="宋体" w:cs="宋体"/>
          <w:bCs/>
          <w:kern w:val="0"/>
          <w:sz w:val="21"/>
          <w:highlight w:val="none"/>
          <w:lang w:val="en-US" w:eastAsia="zh-CN"/>
        </w:rPr>
        <w:t xml:space="preserve">  </w:t>
      </w:r>
      <w:r>
        <w:rPr>
          <w:rFonts w:ascii="宋体" w:hAnsi="宋体" w:eastAsia="宋体" w:cs="宋体"/>
          <w:bCs/>
          <w:kern w:val="0"/>
          <w:sz w:val="21"/>
          <w:highlight w:val="none"/>
        </w:rPr>
        <w:t>（见第五部分附件二）</w:t>
      </w:r>
    </w:p>
    <w:p w14:paraId="26C06A2C">
      <w:pPr>
        <w:numPr>
          <w:ilvl w:val="0"/>
          <w:numId w:val="13"/>
        </w:numPr>
        <w:tabs>
          <w:tab w:val="left" w:pos="1060"/>
        </w:tabs>
        <w:snapToGrid w:val="0"/>
        <w:spacing w:line="360" w:lineRule="auto"/>
        <w:ind w:left="1045" w:hanging="625"/>
        <w:rPr>
          <w:rFonts w:ascii="宋体" w:hAnsi="宋体" w:cs="宋体"/>
          <w:szCs w:val="21"/>
          <w:highlight w:val="none"/>
        </w:rPr>
      </w:pPr>
      <w:r>
        <w:rPr>
          <w:rFonts w:ascii="宋体" w:hAnsi="宋体" w:cs="宋体"/>
          <w:szCs w:val="21"/>
          <w:highlight w:val="none"/>
        </w:rPr>
        <w:t>未被“信用中国”、“中国政府采购网”列入失信被执行人、重大违法案件当事人名单、政府采购严重违法失信行为记录名单。（以采购组织机构在开标当日在“信用中国”（www.creditchina.gov.cn）、中国政府采购网（www.ccgp.gov.cn）网页查询记录为准。）</w:t>
      </w:r>
    </w:p>
    <w:p w14:paraId="5A479BB0">
      <w:pPr>
        <w:numPr>
          <w:ilvl w:val="0"/>
          <w:numId w:val="13"/>
        </w:numPr>
        <w:tabs>
          <w:tab w:val="left" w:pos="1060"/>
        </w:tabs>
        <w:snapToGrid w:val="0"/>
        <w:spacing w:line="360" w:lineRule="auto"/>
        <w:ind w:left="1045" w:hanging="625"/>
        <w:rPr>
          <w:rFonts w:ascii="宋体" w:hAnsi="宋体" w:cs="宋体"/>
          <w:szCs w:val="21"/>
          <w:highlight w:val="none"/>
        </w:rPr>
      </w:pPr>
      <w:r>
        <w:rPr>
          <w:rFonts w:ascii="宋体" w:hAnsi="宋体" w:cs="宋体"/>
          <w:szCs w:val="21"/>
          <w:highlight w:val="none"/>
        </w:rPr>
        <w:t xml:space="preserve">法定代表人授权委托书；                          </w:t>
      </w:r>
      <w:r>
        <w:rPr>
          <w:rFonts w:hint="eastAsia" w:ascii="宋体" w:hAnsi="宋体" w:cs="宋体"/>
          <w:szCs w:val="21"/>
          <w:highlight w:val="none"/>
          <w:lang w:val="en-US" w:eastAsia="zh-CN"/>
        </w:rPr>
        <w:t xml:space="preserve">  </w:t>
      </w:r>
      <w:r>
        <w:rPr>
          <w:rFonts w:ascii="宋体" w:hAnsi="宋体" w:cs="宋体"/>
          <w:szCs w:val="21"/>
          <w:highlight w:val="none"/>
        </w:rPr>
        <w:t>（见第五部分附件三-1）</w:t>
      </w:r>
    </w:p>
    <w:p w14:paraId="0D0DD4D4">
      <w:pPr>
        <w:numPr>
          <w:ilvl w:val="0"/>
          <w:numId w:val="13"/>
        </w:numPr>
        <w:tabs>
          <w:tab w:val="left" w:pos="1060"/>
        </w:tabs>
        <w:snapToGrid w:val="0"/>
        <w:spacing w:line="360" w:lineRule="auto"/>
        <w:ind w:left="1045" w:hanging="625"/>
        <w:rPr>
          <w:rFonts w:ascii="宋体" w:hAnsi="宋体" w:cs="宋体"/>
          <w:szCs w:val="21"/>
          <w:highlight w:val="none"/>
        </w:rPr>
      </w:pPr>
      <w:r>
        <w:rPr>
          <w:rFonts w:ascii="宋体" w:hAnsi="宋体" w:cs="宋体"/>
          <w:szCs w:val="21"/>
          <w:highlight w:val="none"/>
        </w:rPr>
        <w:t xml:space="preserve">法定代表人身份证明；                             </w:t>
      </w:r>
      <w:r>
        <w:rPr>
          <w:rFonts w:hint="eastAsia" w:ascii="宋体" w:hAnsi="宋体" w:cs="宋体"/>
          <w:szCs w:val="21"/>
          <w:highlight w:val="none"/>
          <w:lang w:val="en-US" w:eastAsia="zh-CN"/>
        </w:rPr>
        <w:t xml:space="preserve"> </w:t>
      </w:r>
      <w:r>
        <w:rPr>
          <w:rFonts w:ascii="宋体" w:hAnsi="宋体" w:cs="宋体"/>
          <w:szCs w:val="21"/>
          <w:highlight w:val="none"/>
        </w:rPr>
        <w:t>（见第五部分附件三-2）</w:t>
      </w:r>
    </w:p>
    <w:p w14:paraId="5D54D0C2">
      <w:pPr>
        <w:numPr>
          <w:ilvl w:val="0"/>
          <w:numId w:val="13"/>
        </w:numPr>
        <w:tabs>
          <w:tab w:val="left" w:pos="1060"/>
        </w:tabs>
        <w:snapToGrid w:val="0"/>
        <w:spacing w:line="360" w:lineRule="auto"/>
        <w:ind w:left="1045" w:hanging="625"/>
        <w:rPr>
          <w:rFonts w:ascii="宋体" w:hAnsi="宋体" w:cs="宋体"/>
          <w:szCs w:val="21"/>
          <w:highlight w:val="none"/>
        </w:rPr>
      </w:pPr>
      <w:r>
        <w:rPr>
          <w:rFonts w:ascii="宋体" w:hAnsi="宋体" w:cs="宋体"/>
          <w:szCs w:val="21"/>
          <w:highlight w:val="none"/>
        </w:rPr>
        <w:t>供应商需在响应文件中出具符合以下情况的证明材料（三选一）：</w:t>
      </w:r>
    </w:p>
    <w:p w14:paraId="0BF8FD31">
      <w:pPr>
        <w:tabs>
          <w:tab w:val="left" w:pos="1060"/>
        </w:tabs>
        <w:snapToGrid w:val="0"/>
        <w:spacing w:line="360" w:lineRule="auto"/>
        <w:ind w:left="420" w:firstLine="630" w:firstLineChars="300"/>
        <w:rPr>
          <w:rFonts w:ascii="宋体" w:hAnsi="宋体" w:cs="宋体"/>
          <w:szCs w:val="21"/>
          <w:highlight w:val="none"/>
        </w:rPr>
      </w:pPr>
      <w:r>
        <w:rPr>
          <w:rFonts w:ascii="宋体" w:hAnsi="宋体" w:cs="宋体"/>
          <w:szCs w:val="21"/>
          <w:highlight w:val="none"/>
        </w:rPr>
        <w:t xml:space="preserve">① 中小企业声明函；                              </w:t>
      </w:r>
      <w:r>
        <w:rPr>
          <w:rFonts w:hint="eastAsia" w:ascii="宋体" w:hAnsi="宋体" w:cs="宋体"/>
          <w:szCs w:val="21"/>
          <w:highlight w:val="none"/>
          <w:lang w:val="en-US" w:eastAsia="zh-CN"/>
        </w:rPr>
        <w:t xml:space="preserve">   </w:t>
      </w:r>
      <w:r>
        <w:rPr>
          <w:rFonts w:ascii="宋体" w:hAnsi="宋体" w:cs="宋体"/>
          <w:szCs w:val="21"/>
          <w:highlight w:val="none"/>
        </w:rPr>
        <w:t>（见第五部分附件四）</w:t>
      </w:r>
    </w:p>
    <w:p w14:paraId="0E19992D">
      <w:pPr>
        <w:tabs>
          <w:tab w:val="left" w:pos="1060"/>
        </w:tabs>
        <w:snapToGrid w:val="0"/>
        <w:spacing w:line="360" w:lineRule="auto"/>
        <w:ind w:left="420" w:firstLine="630" w:firstLineChars="300"/>
        <w:rPr>
          <w:rFonts w:ascii="宋体" w:hAnsi="宋体" w:cs="宋体"/>
          <w:szCs w:val="21"/>
          <w:highlight w:val="none"/>
        </w:rPr>
      </w:pPr>
      <w:r>
        <w:rPr>
          <w:rFonts w:ascii="宋体" w:hAnsi="宋体" w:cs="宋体"/>
          <w:szCs w:val="21"/>
          <w:highlight w:val="none"/>
        </w:rPr>
        <w:t xml:space="preserve">② 残疾人福利性单位声明函；（残疾人福利性单位投标时适用）  </w:t>
      </w:r>
    </w:p>
    <w:p w14:paraId="768826CE">
      <w:pPr>
        <w:tabs>
          <w:tab w:val="left" w:pos="1060"/>
        </w:tabs>
        <w:snapToGrid w:val="0"/>
        <w:spacing w:line="360" w:lineRule="auto"/>
        <w:ind w:left="420" w:firstLine="5880" w:firstLineChars="2800"/>
        <w:rPr>
          <w:rFonts w:ascii="宋体" w:hAnsi="宋体" w:cs="宋体"/>
          <w:szCs w:val="21"/>
          <w:highlight w:val="none"/>
        </w:rPr>
      </w:pPr>
      <w:r>
        <w:rPr>
          <w:rFonts w:ascii="宋体" w:hAnsi="宋体" w:cs="宋体"/>
          <w:szCs w:val="21"/>
          <w:highlight w:val="none"/>
        </w:rPr>
        <w:t>（见第五部分附件五）</w:t>
      </w:r>
    </w:p>
    <w:p w14:paraId="24ECEDEA">
      <w:pPr>
        <w:pStyle w:val="2"/>
        <w:spacing w:before="156" w:beforeLines="50" w:line="360" w:lineRule="auto"/>
        <w:ind w:left="1260" w:leftChars="500" w:hanging="210" w:hangingChars="100"/>
        <w:rPr>
          <w:rFonts w:ascii="宋体" w:hAnsi="宋体" w:cs="宋体"/>
          <w:szCs w:val="21"/>
          <w:highlight w:val="none"/>
        </w:rPr>
      </w:pPr>
      <w:r>
        <w:rPr>
          <w:rFonts w:ascii="宋体" w:hAnsi="宋体" w:cs="宋体"/>
          <w:szCs w:val="21"/>
          <w:highlight w:val="none"/>
        </w:rPr>
        <w:t>③ 省级以上监狱管理局、戒毒管理局（含新疆生产建设兵团）出具的属于监狱企业的证明文件；（监狱企业投标时适用）；</w:t>
      </w:r>
    </w:p>
    <w:p w14:paraId="1EA910BE">
      <w:pPr>
        <w:pStyle w:val="2"/>
        <w:spacing w:before="156" w:beforeLines="50" w:line="360" w:lineRule="auto"/>
        <w:ind w:firstLine="422" w:firstLineChars="200"/>
        <w:rPr>
          <w:rFonts w:hAnsi="宋体" w:cs="宋体"/>
          <w:highlight w:val="none"/>
        </w:rPr>
      </w:pPr>
      <w:r>
        <w:rPr>
          <w:rFonts w:hAnsi="宋体" w:cs="宋体"/>
          <w:b/>
          <w:bCs/>
          <w:highlight w:val="none"/>
        </w:rPr>
        <w:t>备注：以上所需的各种证书、证件、证明、执照等证明材料均须加盖供应商公章，如遇年检或换证等特殊情况须按要求提供相应的证明材料。</w:t>
      </w:r>
    </w:p>
    <w:p w14:paraId="12207A78">
      <w:pPr>
        <w:pStyle w:val="2"/>
        <w:numPr>
          <w:ilvl w:val="0"/>
          <w:numId w:val="15"/>
        </w:numPr>
        <w:spacing w:line="360" w:lineRule="auto"/>
        <w:rPr>
          <w:rFonts w:hAnsi="宋体" w:cs="宋体"/>
          <w:b/>
          <w:bCs/>
          <w:highlight w:val="none"/>
        </w:rPr>
      </w:pPr>
      <w:r>
        <w:rPr>
          <w:rFonts w:hAnsi="宋体" w:cs="宋体"/>
          <w:b/>
          <w:bCs/>
          <w:highlight w:val="none"/>
        </w:rPr>
        <w:t>商务技术部分</w:t>
      </w:r>
    </w:p>
    <w:p w14:paraId="244E0C11">
      <w:pPr>
        <w:tabs>
          <w:tab w:val="left" w:pos="420"/>
        </w:tabs>
        <w:spacing w:line="360" w:lineRule="auto"/>
        <w:ind w:left="1138" w:hanging="420"/>
        <w:rPr>
          <w:highlight w:val="none"/>
        </w:rPr>
      </w:pPr>
      <w:r>
        <w:rPr>
          <w:rFonts w:ascii="宋体" w:hAnsi="宋体" w:eastAsia="宋体" w:cs="Times New Roman"/>
          <w:color w:val="auto"/>
          <w:kern w:val="2"/>
          <w:sz w:val="21"/>
          <w:szCs w:val="21"/>
          <w:highlight w:val="none"/>
          <w:lang w:val="en-US" w:eastAsia="zh-CN" w:bidi="ar-SA"/>
        </w:rPr>
        <w:t>（1）</w:t>
      </w:r>
      <w:r>
        <w:rPr>
          <w:highlight w:val="none"/>
        </w:rPr>
        <w:t xml:space="preserve">磋商响应函；                                  </w:t>
      </w:r>
      <w:r>
        <w:rPr>
          <w:rFonts w:hint="eastAsia"/>
          <w:highlight w:val="none"/>
          <w:lang w:val="en-US" w:eastAsia="zh-CN"/>
        </w:rPr>
        <w:t xml:space="preserve">  </w:t>
      </w:r>
      <w:r>
        <w:rPr>
          <w:highlight w:val="none"/>
        </w:rPr>
        <w:t>（见第五部分附件</w:t>
      </w:r>
      <w:r>
        <w:rPr>
          <w:rFonts w:hint="eastAsia"/>
          <w:highlight w:val="none"/>
          <w:lang w:val="en-US" w:eastAsia="zh-CN"/>
        </w:rPr>
        <w:t>六</w:t>
      </w:r>
      <w:r>
        <w:rPr>
          <w:highlight w:val="none"/>
        </w:rPr>
        <w:t>）</w:t>
      </w:r>
    </w:p>
    <w:p w14:paraId="32ECB90D">
      <w:pPr>
        <w:tabs>
          <w:tab w:val="left" w:pos="420"/>
        </w:tabs>
        <w:spacing w:line="360" w:lineRule="auto"/>
        <w:ind w:left="1138" w:hanging="420"/>
        <w:rPr>
          <w:highlight w:val="none"/>
        </w:rPr>
      </w:pPr>
      <w:r>
        <w:rPr>
          <w:rFonts w:ascii="宋体" w:hAnsi="宋体" w:eastAsia="宋体" w:cs="Times New Roman"/>
          <w:color w:val="auto"/>
          <w:kern w:val="2"/>
          <w:sz w:val="21"/>
          <w:szCs w:val="21"/>
          <w:highlight w:val="none"/>
          <w:lang w:val="en-US" w:eastAsia="zh-CN" w:bidi="ar-SA"/>
        </w:rPr>
        <w:t>（2）</w:t>
      </w:r>
      <w:r>
        <w:rPr>
          <w:highlight w:val="none"/>
        </w:rPr>
        <w:t xml:space="preserve">磋商供应商情况一览表；                         </w:t>
      </w:r>
      <w:r>
        <w:rPr>
          <w:rFonts w:hint="eastAsia"/>
          <w:highlight w:val="none"/>
          <w:lang w:val="en-US" w:eastAsia="zh-CN"/>
        </w:rPr>
        <w:t xml:space="preserve"> </w:t>
      </w:r>
      <w:r>
        <w:rPr>
          <w:highlight w:val="none"/>
        </w:rPr>
        <w:t>（见第五部分附件</w:t>
      </w:r>
      <w:r>
        <w:rPr>
          <w:rFonts w:hint="eastAsia"/>
          <w:highlight w:val="none"/>
          <w:lang w:val="en-US" w:eastAsia="zh-CN"/>
        </w:rPr>
        <w:t>七</w:t>
      </w:r>
      <w:r>
        <w:rPr>
          <w:highlight w:val="none"/>
        </w:rPr>
        <w:t>）</w:t>
      </w:r>
    </w:p>
    <w:p w14:paraId="287597F9">
      <w:pPr>
        <w:tabs>
          <w:tab w:val="left" w:pos="420"/>
        </w:tabs>
        <w:spacing w:line="360" w:lineRule="auto"/>
        <w:ind w:left="1138" w:hanging="420"/>
        <w:rPr>
          <w:highlight w:val="none"/>
        </w:rPr>
      </w:pPr>
      <w:r>
        <w:rPr>
          <w:rFonts w:ascii="宋体" w:hAnsi="宋体" w:eastAsia="宋体" w:cs="Times New Roman"/>
          <w:color w:val="auto"/>
          <w:kern w:val="2"/>
          <w:sz w:val="21"/>
          <w:szCs w:val="21"/>
          <w:highlight w:val="none"/>
          <w:lang w:val="en-US" w:eastAsia="zh-CN" w:bidi="ar-SA"/>
        </w:rPr>
        <w:t>（3）</w:t>
      </w:r>
      <w:r>
        <w:rPr>
          <w:highlight w:val="none"/>
        </w:rPr>
        <w:t xml:space="preserve">少量偏离表（技术与商务部分的偏离须分别填写，均放在此处，如不填写将视为对磋商文件要求无偏差）                         </w:t>
      </w:r>
      <w:r>
        <w:rPr>
          <w:rFonts w:hint="eastAsia"/>
          <w:highlight w:val="none"/>
          <w:lang w:val="en-US" w:eastAsia="zh-CN"/>
        </w:rPr>
        <w:t xml:space="preserve">  </w:t>
      </w:r>
      <w:r>
        <w:rPr>
          <w:highlight w:val="none"/>
        </w:rPr>
        <w:t>（见第五部分附件</w:t>
      </w:r>
      <w:r>
        <w:rPr>
          <w:rFonts w:hint="eastAsia"/>
          <w:highlight w:val="none"/>
          <w:lang w:val="en-US" w:eastAsia="zh-CN"/>
        </w:rPr>
        <w:t>八</w:t>
      </w:r>
      <w:r>
        <w:rPr>
          <w:highlight w:val="none"/>
        </w:rPr>
        <w:t>）</w:t>
      </w:r>
    </w:p>
    <w:p w14:paraId="33252E82">
      <w:pPr>
        <w:tabs>
          <w:tab w:val="left" w:pos="420"/>
        </w:tabs>
        <w:spacing w:line="360" w:lineRule="auto"/>
        <w:ind w:left="1138" w:hanging="420"/>
        <w:rPr>
          <w:highlight w:val="none"/>
        </w:rPr>
      </w:pPr>
      <w:r>
        <w:rPr>
          <w:rFonts w:ascii="宋体" w:hAnsi="宋体" w:eastAsia="宋体" w:cs="Times New Roman"/>
          <w:color w:val="auto"/>
          <w:kern w:val="2"/>
          <w:sz w:val="21"/>
          <w:szCs w:val="21"/>
          <w:highlight w:val="none"/>
          <w:lang w:val="en-US" w:eastAsia="zh-CN" w:bidi="ar-SA"/>
        </w:rPr>
        <w:t>（4）</w:t>
      </w:r>
      <w:r>
        <w:rPr>
          <w:highlight w:val="none"/>
        </w:rPr>
        <w:t>项目负责人简历表；                                （见第五部分附件</w:t>
      </w:r>
      <w:r>
        <w:rPr>
          <w:rFonts w:hint="eastAsia"/>
          <w:highlight w:val="none"/>
          <w:lang w:val="en-US" w:eastAsia="zh-CN"/>
        </w:rPr>
        <w:t>九</w:t>
      </w:r>
      <w:r>
        <w:rPr>
          <w:highlight w:val="none"/>
        </w:rPr>
        <w:t>）</w:t>
      </w:r>
    </w:p>
    <w:p w14:paraId="3792ECDE">
      <w:pPr>
        <w:tabs>
          <w:tab w:val="left" w:pos="420"/>
        </w:tabs>
        <w:spacing w:line="360" w:lineRule="auto"/>
        <w:ind w:left="1138" w:hanging="420"/>
        <w:rPr>
          <w:highlight w:val="none"/>
        </w:rPr>
      </w:pPr>
      <w:r>
        <w:rPr>
          <w:rFonts w:ascii="宋体" w:hAnsi="宋体" w:eastAsia="宋体" w:cs="Times New Roman"/>
          <w:color w:val="auto"/>
          <w:kern w:val="2"/>
          <w:sz w:val="21"/>
          <w:szCs w:val="21"/>
          <w:highlight w:val="none"/>
          <w:lang w:val="en-US" w:eastAsia="zh-CN" w:bidi="ar-SA"/>
        </w:rPr>
        <w:t>（5）</w:t>
      </w:r>
      <w:r>
        <w:rPr>
          <w:highlight w:val="none"/>
        </w:rPr>
        <w:t>拟投入本项目人员配备情况表；                      （见第五部分附件</w:t>
      </w:r>
      <w:r>
        <w:rPr>
          <w:rFonts w:hint="eastAsia"/>
          <w:highlight w:val="none"/>
          <w:lang w:val="en-US" w:eastAsia="zh-CN"/>
        </w:rPr>
        <w:t>十</w:t>
      </w:r>
      <w:r>
        <w:rPr>
          <w:highlight w:val="none"/>
        </w:rPr>
        <w:t>）</w:t>
      </w:r>
    </w:p>
    <w:p w14:paraId="0F01D1BF">
      <w:pPr>
        <w:tabs>
          <w:tab w:val="left" w:pos="420"/>
        </w:tabs>
        <w:spacing w:line="360" w:lineRule="auto"/>
        <w:ind w:left="1138" w:hanging="420"/>
        <w:rPr>
          <w:rFonts w:ascii="宋体" w:hAnsi="宋体" w:eastAsia="宋体" w:cs="Times New Roman"/>
          <w:color w:val="auto"/>
          <w:kern w:val="2"/>
          <w:sz w:val="21"/>
          <w:szCs w:val="21"/>
          <w:highlight w:val="none"/>
          <w:lang w:val="en-US" w:eastAsia="zh-CN" w:bidi="ar-SA"/>
        </w:rPr>
      </w:pPr>
      <w:r>
        <w:rPr>
          <w:rFonts w:ascii="宋体" w:hAnsi="宋体" w:eastAsia="宋体" w:cs="Times New Roman"/>
          <w:color w:val="auto"/>
          <w:kern w:val="2"/>
          <w:sz w:val="21"/>
          <w:szCs w:val="21"/>
          <w:highlight w:val="none"/>
          <w:lang w:val="en-US" w:eastAsia="zh-CN" w:bidi="ar-SA"/>
        </w:rPr>
        <w:t>（6）针对本项目投入设备清单</w:t>
      </w:r>
      <w:r>
        <w:rPr>
          <w:rFonts w:hint="eastAsia" w:ascii="宋体" w:hAnsi="宋体" w:cs="Times New Roman"/>
          <w:color w:val="auto"/>
          <w:kern w:val="2"/>
          <w:sz w:val="21"/>
          <w:szCs w:val="21"/>
          <w:highlight w:val="none"/>
          <w:lang w:val="en-US" w:eastAsia="zh-CN" w:bidi="ar-SA"/>
        </w:rPr>
        <w:t xml:space="preserve">；                        </w:t>
      </w:r>
      <w:r>
        <w:rPr>
          <w:highlight w:val="none"/>
        </w:rPr>
        <w:t>（见第五部分附件</w:t>
      </w:r>
      <w:r>
        <w:rPr>
          <w:rFonts w:hint="eastAsia"/>
          <w:highlight w:val="none"/>
          <w:lang w:val="en-US" w:eastAsia="zh-CN"/>
        </w:rPr>
        <w:t>十一</w:t>
      </w:r>
      <w:r>
        <w:rPr>
          <w:highlight w:val="none"/>
        </w:rPr>
        <w:t>）</w:t>
      </w:r>
    </w:p>
    <w:p w14:paraId="179CFD74">
      <w:pPr>
        <w:tabs>
          <w:tab w:val="left" w:pos="420"/>
        </w:tabs>
        <w:spacing w:line="360" w:lineRule="auto"/>
        <w:ind w:left="1138" w:hanging="420"/>
        <w:rPr>
          <w:highlight w:val="none"/>
        </w:rPr>
      </w:pPr>
      <w:r>
        <w:rPr>
          <w:rFonts w:ascii="宋体" w:hAnsi="宋体" w:eastAsia="宋体" w:cs="Times New Roman"/>
          <w:color w:val="auto"/>
          <w:kern w:val="2"/>
          <w:sz w:val="21"/>
          <w:szCs w:val="21"/>
          <w:highlight w:val="none"/>
          <w:lang w:val="en-US" w:eastAsia="zh-CN" w:bidi="ar-SA"/>
        </w:rPr>
        <w:t>（7）</w:t>
      </w:r>
      <w:r>
        <w:rPr>
          <w:highlight w:val="none"/>
        </w:rPr>
        <w:t>供应商202</w:t>
      </w:r>
      <w:r>
        <w:rPr>
          <w:rFonts w:hint="eastAsia"/>
          <w:highlight w:val="none"/>
          <w:lang w:val="en-US" w:eastAsia="zh-CN"/>
        </w:rPr>
        <w:t>1</w:t>
      </w:r>
      <w:r>
        <w:rPr>
          <w:highlight w:val="none"/>
        </w:rPr>
        <w:t>年1月1日以来同类项目业绩一览表；   （见第五部分附件</w:t>
      </w:r>
      <w:r>
        <w:rPr>
          <w:rFonts w:hint="eastAsia"/>
          <w:highlight w:val="none"/>
          <w:lang w:val="en-US" w:eastAsia="zh-CN"/>
        </w:rPr>
        <w:t>十二</w:t>
      </w:r>
      <w:r>
        <w:rPr>
          <w:highlight w:val="none"/>
        </w:rPr>
        <w:t>）</w:t>
      </w:r>
    </w:p>
    <w:p w14:paraId="48B2E08C">
      <w:pPr>
        <w:tabs>
          <w:tab w:val="left" w:pos="420"/>
        </w:tabs>
        <w:spacing w:line="360" w:lineRule="auto"/>
        <w:ind w:left="1138" w:hanging="420"/>
        <w:rPr>
          <w:highlight w:val="none"/>
        </w:rPr>
      </w:pPr>
      <w:r>
        <w:rPr>
          <w:rFonts w:ascii="宋体" w:hAnsi="宋体" w:eastAsia="宋体" w:cs="Times New Roman"/>
          <w:color w:val="auto"/>
          <w:kern w:val="2"/>
          <w:sz w:val="21"/>
          <w:szCs w:val="21"/>
          <w:highlight w:val="none"/>
          <w:lang w:val="en-US" w:eastAsia="zh-CN" w:bidi="ar-SA"/>
        </w:rPr>
        <w:t>（</w:t>
      </w:r>
      <w:r>
        <w:rPr>
          <w:rFonts w:hint="eastAsia" w:ascii="宋体" w:hAnsi="宋体" w:cs="Times New Roman"/>
          <w:color w:val="auto"/>
          <w:kern w:val="2"/>
          <w:sz w:val="21"/>
          <w:szCs w:val="21"/>
          <w:highlight w:val="none"/>
          <w:lang w:val="en-US" w:eastAsia="zh-CN" w:bidi="ar-SA"/>
        </w:rPr>
        <w:t>8</w:t>
      </w:r>
      <w:r>
        <w:rPr>
          <w:rFonts w:ascii="宋体" w:hAnsi="宋体" w:eastAsia="宋体" w:cs="Times New Roman"/>
          <w:color w:val="auto"/>
          <w:kern w:val="2"/>
          <w:sz w:val="21"/>
          <w:szCs w:val="21"/>
          <w:highlight w:val="none"/>
          <w:lang w:val="en-US" w:eastAsia="zh-CN" w:bidi="ar-SA"/>
        </w:rPr>
        <w:t>）</w:t>
      </w:r>
      <w:r>
        <w:rPr>
          <w:rFonts w:hint="eastAsia"/>
          <w:highlight w:val="none"/>
          <w:lang w:val="en-US" w:eastAsia="zh-CN"/>
        </w:rPr>
        <w:t>评分所需的其他内容；</w:t>
      </w:r>
    </w:p>
    <w:p w14:paraId="27AE8F91">
      <w:pPr>
        <w:tabs>
          <w:tab w:val="left" w:pos="420"/>
        </w:tabs>
        <w:spacing w:line="360" w:lineRule="auto"/>
        <w:ind w:left="1138" w:hanging="420"/>
        <w:rPr>
          <w:highlight w:val="none"/>
        </w:rPr>
      </w:pPr>
      <w:r>
        <w:rPr>
          <w:rFonts w:ascii="宋体" w:hAnsi="宋体" w:eastAsia="宋体" w:cs="Times New Roman"/>
          <w:color w:val="auto"/>
          <w:kern w:val="2"/>
          <w:sz w:val="21"/>
          <w:szCs w:val="21"/>
          <w:highlight w:val="none"/>
          <w:lang w:val="en-US" w:eastAsia="zh-CN" w:bidi="ar-SA"/>
        </w:rPr>
        <w:t>（</w:t>
      </w:r>
      <w:r>
        <w:rPr>
          <w:rFonts w:hint="eastAsia" w:ascii="宋体" w:hAnsi="宋体" w:cs="Times New Roman"/>
          <w:color w:val="auto"/>
          <w:kern w:val="2"/>
          <w:sz w:val="21"/>
          <w:szCs w:val="21"/>
          <w:highlight w:val="none"/>
          <w:lang w:val="en-US" w:eastAsia="zh-CN" w:bidi="ar-SA"/>
        </w:rPr>
        <w:t>9</w:t>
      </w:r>
      <w:r>
        <w:rPr>
          <w:rFonts w:ascii="宋体" w:hAnsi="宋体" w:eastAsia="宋体" w:cs="Times New Roman"/>
          <w:color w:val="auto"/>
          <w:kern w:val="2"/>
          <w:sz w:val="21"/>
          <w:szCs w:val="21"/>
          <w:highlight w:val="none"/>
          <w:lang w:val="en-US" w:eastAsia="zh-CN" w:bidi="ar-SA"/>
        </w:rPr>
        <w:t>）</w:t>
      </w:r>
      <w:r>
        <w:rPr>
          <w:highlight w:val="none"/>
        </w:rPr>
        <w:t>磋商供应商认为需要提供的其它文件和资料。</w:t>
      </w:r>
    </w:p>
    <w:p w14:paraId="00E74725">
      <w:pPr>
        <w:spacing w:line="360" w:lineRule="auto"/>
        <w:ind w:firstLine="422" w:firstLineChars="200"/>
        <w:rPr>
          <w:highlight w:val="none"/>
        </w:rPr>
      </w:pPr>
      <w:r>
        <w:rPr>
          <w:b/>
          <w:bCs/>
          <w:highlight w:val="none"/>
        </w:rPr>
        <w:t>备注：以上所需的各种函、清单、说明、方案、业绩、证明、措施、表等相关资料均须加盖供应商公章，如遇年检或换证等特殊情况须按要求提供相应的证明材料，（</w:t>
      </w:r>
      <w:r>
        <w:rPr>
          <w:rFonts w:hint="eastAsia"/>
          <w:b/>
          <w:bCs/>
          <w:highlight w:val="none"/>
          <w:lang w:val="en-US" w:eastAsia="zh-CN"/>
        </w:rPr>
        <w:t>8</w:t>
      </w:r>
      <w:r>
        <w:rPr>
          <w:b/>
          <w:bCs/>
          <w:highlight w:val="none"/>
        </w:rPr>
        <w:t>）-（</w:t>
      </w:r>
      <w:r>
        <w:rPr>
          <w:rFonts w:hint="eastAsia"/>
          <w:b/>
          <w:bCs/>
          <w:highlight w:val="none"/>
          <w:lang w:val="en-US" w:eastAsia="zh-CN"/>
        </w:rPr>
        <w:t>9</w:t>
      </w:r>
      <w:r>
        <w:rPr>
          <w:b/>
          <w:bCs/>
          <w:highlight w:val="none"/>
        </w:rPr>
        <w:t>）部分格式自拟</w:t>
      </w:r>
      <w:r>
        <w:rPr>
          <w:rFonts w:hint="eastAsia"/>
          <w:b/>
          <w:bCs/>
          <w:highlight w:val="none"/>
          <w:lang w:eastAsia="zh-CN"/>
        </w:rPr>
        <w:t>，</w:t>
      </w:r>
      <w:r>
        <w:rPr>
          <w:rFonts w:hint="eastAsia"/>
          <w:b/>
          <w:bCs/>
          <w:highlight w:val="none"/>
          <w:lang w:val="en-US" w:eastAsia="zh-CN"/>
        </w:rPr>
        <w:t>顺序自定</w:t>
      </w:r>
      <w:r>
        <w:rPr>
          <w:b/>
          <w:bCs/>
          <w:highlight w:val="none"/>
        </w:rPr>
        <w:t>。</w:t>
      </w:r>
    </w:p>
    <w:p w14:paraId="122790EE">
      <w:pPr>
        <w:pStyle w:val="2"/>
        <w:spacing w:line="360" w:lineRule="auto"/>
        <w:rPr>
          <w:rFonts w:hAnsi="宋体" w:cs="宋体"/>
          <w:b/>
          <w:bCs/>
          <w:highlight w:val="none"/>
        </w:rPr>
      </w:pPr>
      <w:r>
        <w:rPr>
          <w:rFonts w:hAnsi="宋体" w:cs="宋体"/>
          <w:b/>
          <w:bCs/>
          <w:highlight w:val="none"/>
        </w:rPr>
        <w:t>三、报价部分</w:t>
      </w:r>
    </w:p>
    <w:p w14:paraId="59FC933F">
      <w:pPr>
        <w:tabs>
          <w:tab w:val="left" w:pos="1260"/>
        </w:tabs>
        <w:snapToGrid w:val="0"/>
        <w:spacing w:line="360" w:lineRule="auto"/>
        <w:ind w:left="1066" w:leftChars="200" w:hanging="646" w:hangingChars="308"/>
        <w:rPr>
          <w:highlight w:val="none"/>
        </w:rPr>
      </w:pPr>
      <w:r>
        <w:rPr>
          <w:rFonts w:ascii="宋体" w:hAnsi="宋体" w:eastAsia="宋体" w:cs="Times New Roman"/>
          <w:color w:val="auto"/>
          <w:kern w:val="2"/>
          <w:sz w:val="21"/>
          <w:szCs w:val="21"/>
          <w:highlight w:val="none"/>
          <w:lang w:val="en-US" w:eastAsia="zh-CN" w:bidi="ar-SA"/>
        </w:rPr>
        <w:t>（1）</w:t>
      </w:r>
      <w:r>
        <w:rPr>
          <w:rFonts w:ascii="宋体" w:hAnsi="宋体" w:cs="宋体"/>
          <w:szCs w:val="21"/>
          <w:highlight w:val="none"/>
        </w:rPr>
        <w:t xml:space="preserve">报价一览表；                                     </w:t>
      </w:r>
      <w:r>
        <w:rPr>
          <w:rFonts w:hint="eastAsia" w:ascii="宋体" w:hAnsi="宋体" w:cs="宋体"/>
          <w:szCs w:val="21"/>
          <w:highlight w:val="none"/>
          <w:lang w:val="en-US" w:eastAsia="zh-CN"/>
        </w:rPr>
        <w:t xml:space="preserve">  </w:t>
      </w:r>
      <w:r>
        <w:rPr>
          <w:rFonts w:ascii="宋体" w:hAnsi="宋体" w:cs="宋体"/>
          <w:szCs w:val="21"/>
          <w:highlight w:val="none"/>
        </w:rPr>
        <w:t>（见第五部分附件十</w:t>
      </w:r>
      <w:r>
        <w:rPr>
          <w:rFonts w:hint="eastAsia" w:ascii="宋体" w:hAnsi="宋体" w:cs="宋体"/>
          <w:szCs w:val="21"/>
          <w:highlight w:val="none"/>
          <w:lang w:val="en-US" w:eastAsia="zh-CN"/>
        </w:rPr>
        <w:t>三</w:t>
      </w:r>
      <w:r>
        <w:rPr>
          <w:rFonts w:ascii="宋体" w:hAnsi="宋体" w:cs="宋体"/>
          <w:szCs w:val="21"/>
          <w:highlight w:val="none"/>
        </w:rPr>
        <w:t>）</w:t>
      </w:r>
    </w:p>
    <w:p w14:paraId="27F65798">
      <w:pPr>
        <w:tabs>
          <w:tab w:val="left" w:pos="1260"/>
        </w:tabs>
        <w:snapToGrid w:val="0"/>
        <w:spacing w:line="360" w:lineRule="auto"/>
        <w:ind w:left="613" w:leftChars="-108" w:hanging="840" w:hangingChars="400"/>
        <w:rPr>
          <w:rFonts w:ascii="宋体" w:hAnsi="宋体" w:cs="宋体"/>
          <w:b/>
          <w:bCs/>
          <w:highlight w:val="none"/>
        </w:rPr>
      </w:pPr>
      <w:r>
        <w:rPr>
          <w:rFonts w:ascii="宋体" w:hAnsi="宋体" w:cs="宋体"/>
          <w:szCs w:val="21"/>
          <w:highlight w:val="none"/>
        </w:rPr>
        <w:t xml:space="preserve">      </w:t>
      </w:r>
      <w:r>
        <w:rPr>
          <w:rFonts w:ascii="宋体" w:hAnsi="宋体" w:cs="宋体"/>
          <w:b/>
          <w:bCs/>
          <w:highlight w:val="none"/>
        </w:rPr>
        <w:t>备注：以上所需文件均须加盖供应商公章，如遇年检或换证等特殊情况须按要求提供相应的证</w:t>
      </w:r>
    </w:p>
    <w:p w14:paraId="5C2FCDC5">
      <w:pPr>
        <w:tabs>
          <w:tab w:val="left" w:pos="1260"/>
        </w:tabs>
        <w:snapToGrid w:val="0"/>
        <w:spacing w:line="360" w:lineRule="auto"/>
        <w:ind w:left="616" w:leftChars="-108" w:hanging="843" w:hangingChars="400"/>
        <w:rPr>
          <w:rFonts w:ascii="宋体" w:hAnsi="宋体" w:cs="宋体"/>
          <w:szCs w:val="21"/>
          <w:highlight w:val="none"/>
        </w:rPr>
      </w:pPr>
      <w:r>
        <w:rPr>
          <w:rFonts w:ascii="宋体" w:hAnsi="宋体" w:cs="宋体"/>
          <w:b/>
          <w:bCs/>
          <w:highlight w:val="none"/>
        </w:rPr>
        <w:t>明材料。</w:t>
      </w:r>
      <w:r>
        <w:rPr>
          <w:rFonts w:ascii="宋体" w:hAnsi="宋体" w:cs="宋体"/>
          <w:szCs w:val="21"/>
          <w:highlight w:val="none"/>
        </w:rPr>
        <w:t xml:space="preserve">  </w:t>
      </w:r>
    </w:p>
    <w:p w14:paraId="46F6B0F7">
      <w:pPr>
        <w:numPr>
          <w:ilvl w:val="0"/>
          <w:numId w:val="12"/>
        </w:numPr>
        <w:snapToGrid w:val="0"/>
        <w:spacing w:line="360" w:lineRule="auto"/>
        <w:outlineLvl w:val="2"/>
        <w:rPr>
          <w:rFonts w:ascii="宋体" w:hAnsi="宋体" w:cs="宋体"/>
          <w:b/>
          <w:bCs/>
          <w:sz w:val="24"/>
          <w:highlight w:val="none"/>
        </w:rPr>
      </w:pPr>
      <w:bookmarkStart w:id="179" w:name="_Toc26190"/>
      <w:bookmarkStart w:id="180" w:name="_Toc32343"/>
      <w:bookmarkStart w:id="181" w:name="_Toc4368"/>
      <w:bookmarkStart w:id="182" w:name="_Toc13300"/>
      <w:bookmarkStart w:id="183" w:name="_Toc13448"/>
      <w:r>
        <w:rPr>
          <w:rFonts w:ascii="宋体" w:hAnsi="宋体" w:cs="宋体"/>
          <w:b/>
          <w:bCs/>
          <w:szCs w:val="21"/>
          <w:highlight w:val="none"/>
        </w:rPr>
        <w:t>磋商响应格式填写说明</w:t>
      </w:r>
      <w:bookmarkEnd w:id="179"/>
      <w:bookmarkEnd w:id="180"/>
      <w:bookmarkEnd w:id="181"/>
      <w:bookmarkEnd w:id="182"/>
      <w:bookmarkEnd w:id="183"/>
    </w:p>
    <w:p w14:paraId="54AFD028">
      <w:pPr>
        <w:numPr>
          <w:ilvl w:val="1"/>
          <w:numId w:val="12"/>
        </w:numPr>
        <w:snapToGrid w:val="0"/>
        <w:spacing w:line="360" w:lineRule="auto"/>
        <w:rPr>
          <w:rFonts w:ascii="宋体" w:hAnsi="宋体" w:cs="宋体"/>
          <w:b w:val="0"/>
          <w:bCs w:val="0"/>
          <w:highlight w:val="none"/>
        </w:rPr>
      </w:pPr>
      <w:r>
        <w:rPr>
          <w:rFonts w:ascii="宋体" w:hAnsi="宋体" w:cs="宋体"/>
          <w:b w:val="0"/>
          <w:bCs w:val="0"/>
          <w:highlight w:val="none"/>
        </w:rPr>
        <w:t>磋</w:t>
      </w:r>
      <w:r>
        <w:rPr>
          <w:rFonts w:ascii="宋体" w:hAnsi="宋体" w:cs="宋体"/>
          <w:b w:val="0"/>
          <w:bCs w:val="0"/>
          <w:color w:val="000000"/>
          <w:highlight w:val="none"/>
        </w:rPr>
        <w:t>商</w:t>
      </w:r>
      <w:r>
        <w:rPr>
          <w:rFonts w:ascii="宋体" w:hAnsi="宋体" w:cs="宋体"/>
          <w:b w:val="0"/>
          <w:bCs w:val="0"/>
          <w:color w:val="000000"/>
          <w:szCs w:val="22"/>
          <w:highlight w:val="none"/>
        </w:rPr>
        <w:t>供应商应在认真阅读磋商文件所有内容的基础上，按照磋商文件中规定的格式和顺序编制电子加密响应文件并进行关联定位，混乱的编排或关联导致磋商响应文件被误读或磋商小组查找不到有效文件是磋商供应商的风险。</w:t>
      </w:r>
    </w:p>
    <w:p w14:paraId="7FF531BF">
      <w:pPr>
        <w:numPr>
          <w:ilvl w:val="1"/>
          <w:numId w:val="12"/>
        </w:numPr>
        <w:snapToGrid w:val="0"/>
        <w:spacing w:line="360" w:lineRule="auto"/>
        <w:rPr>
          <w:rFonts w:ascii="宋体" w:hAnsi="宋体" w:cs="宋体"/>
          <w:szCs w:val="21"/>
          <w:highlight w:val="none"/>
        </w:rPr>
      </w:pPr>
      <w:r>
        <w:rPr>
          <w:rFonts w:ascii="宋体" w:hAnsi="宋体" w:cs="宋体"/>
          <w:highlight w:val="none"/>
        </w:rPr>
        <w:t>磋商供应商必须保证磋商响应文件所提供的全部资料真实可靠，并接受采购人对其中任何资料进一步审查的要求。提供虚假证明的磋商供应商将被取消政府采购供应商资格，并在政府采购宣传媒体上予以公告。</w:t>
      </w:r>
    </w:p>
    <w:p w14:paraId="7E7C565B">
      <w:pPr>
        <w:numPr>
          <w:ilvl w:val="0"/>
          <w:numId w:val="12"/>
        </w:numPr>
        <w:snapToGrid w:val="0"/>
        <w:spacing w:line="360" w:lineRule="auto"/>
        <w:outlineLvl w:val="2"/>
        <w:rPr>
          <w:rFonts w:ascii="宋体" w:hAnsi="宋体" w:cs="宋体"/>
          <w:b/>
          <w:sz w:val="24"/>
          <w:highlight w:val="none"/>
        </w:rPr>
      </w:pPr>
      <w:bookmarkStart w:id="184" w:name="_Toc8303"/>
      <w:bookmarkStart w:id="185" w:name="_Toc4501"/>
      <w:bookmarkStart w:id="186" w:name="_Toc21230"/>
      <w:bookmarkStart w:id="187" w:name="_Toc8681"/>
      <w:bookmarkStart w:id="188" w:name="_Toc19394"/>
      <w:r>
        <w:rPr>
          <w:rFonts w:ascii="宋体" w:hAnsi="宋体" w:cs="宋体"/>
          <w:b/>
          <w:szCs w:val="21"/>
          <w:highlight w:val="none"/>
        </w:rPr>
        <w:t>磋商有效期</w:t>
      </w:r>
      <w:bookmarkEnd w:id="184"/>
      <w:bookmarkEnd w:id="185"/>
      <w:bookmarkEnd w:id="186"/>
      <w:bookmarkEnd w:id="187"/>
      <w:bookmarkEnd w:id="188"/>
    </w:p>
    <w:p w14:paraId="04867097">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▲提交磋商响应文件截止日起90日历天，磋商响应文件应保持有效。磋商有效期比规定期限短的将被视为非响应磋商而予以否决。</w:t>
      </w:r>
    </w:p>
    <w:p w14:paraId="60E441DD">
      <w:pPr>
        <w:numPr>
          <w:ilvl w:val="0"/>
          <w:numId w:val="12"/>
        </w:numPr>
        <w:snapToGrid w:val="0"/>
        <w:spacing w:line="360" w:lineRule="auto"/>
        <w:outlineLvl w:val="2"/>
        <w:rPr>
          <w:rFonts w:ascii="宋体" w:hAnsi="宋体" w:cs="宋体"/>
          <w:b/>
          <w:sz w:val="24"/>
          <w:highlight w:val="none"/>
        </w:rPr>
      </w:pPr>
      <w:bookmarkStart w:id="189" w:name="_Toc17973"/>
      <w:bookmarkStart w:id="190" w:name="_Toc20438"/>
      <w:bookmarkStart w:id="191" w:name="_Toc7045"/>
      <w:bookmarkStart w:id="192" w:name="_Toc28379"/>
      <w:bookmarkStart w:id="193" w:name="_Toc5975"/>
      <w:r>
        <w:rPr>
          <w:rFonts w:ascii="宋体" w:hAnsi="宋体" w:cs="宋体"/>
          <w:b/>
          <w:szCs w:val="21"/>
          <w:highlight w:val="none"/>
        </w:rPr>
        <w:t>磋商报价</w:t>
      </w:r>
      <w:bookmarkEnd w:id="189"/>
      <w:bookmarkEnd w:id="190"/>
      <w:bookmarkEnd w:id="191"/>
      <w:bookmarkEnd w:id="192"/>
      <w:bookmarkEnd w:id="193"/>
    </w:p>
    <w:p w14:paraId="653E6B17">
      <w:pPr>
        <w:numPr>
          <w:ilvl w:val="1"/>
          <w:numId w:val="12"/>
        </w:numPr>
        <w:tabs>
          <w:tab w:val="left" w:pos="1470"/>
        </w:tabs>
        <w:snapToGrid w:val="0"/>
        <w:spacing w:line="360" w:lineRule="auto"/>
        <w:rPr>
          <w:rFonts w:ascii="宋体" w:hAnsi="宋体" w:cs="宋体"/>
          <w:szCs w:val="21"/>
          <w:highlight w:val="none"/>
        </w:rPr>
      </w:pPr>
      <w:r>
        <w:rPr>
          <w:rFonts w:ascii="宋体" w:hAnsi="宋体" w:cs="宋体"/>
          <w:szCs w:val="21"/>
          <w:highlight w:val="none"/>
        </w:rPr>
        <w:t>磋商供应商提供的服务（或货物或工程）价格应该用人民币投标。投标价格应该已经扣除所有商业折扣以及现金折扣。投标报价应包括所需缴纳的所有税费和一切费用。</w:t>
      </w:r>
    </w:p>
    <w:p w14:paraId="3F513E6F">
      <w:pPr>
        <w:numPr>
          <w:ilvl w:val="1"/>
          <w:numId w:val="12"/>
        </w:numPr>
        <w:tabs>
          <w:tab w:val="left" w:pos="1470"/>
        </w:tabs>
        <w:snapToGrid w:val="0"/>
        <w:spacing w:line="360" w:lineRule="auto"/>
        <w:rPr>
          <w:rFonts w:ascii="宋体" w:hAnsi="宋体" w:cs="宋体"/>
          <w:szCs w:val="21"/>
          <w:highlight w:val="none"/>
        </w:rPr>
      </w:pPr>
      <w:r>
        <w:rPr>
          <w:rFonts w:ascii="宋体" w:hAnsi="宋体" w:cs="宋体"/>
          <w:szCs w:val="21"/>
          <w:highlight w:val="none"/>
        </w:rPr>
        <w:t>根据本次竞争性磋商采购工作要求，最后只允许有一个磋商报价，磋商供应商应在各自技术和商务占优势的基础上并充分考虑本项目的重要性，在磋商结束后提供给采购代理机构及采购人最优惠的磋商价格。</w:t>
      </w:r>
    </w:p>
    <w:p w14:paraId="3FA62A0B">
      <w:pPr>
        <w:numPr>
          <w:ilvl w:val="1"/>
          <w:numId w:val="12"/>
        </w:numPr>
        <w:snapToGrid w:val="0"/>
        <w:spacing w:line="360" w:lineRule="auto"/>
        <w:rPr>
          <w:rFonts w:ascii="宋体" w:hAnsi="宋体" w:cs="宋体"/>
          <w:b/>
          <w:szCs w:val="21"/>
          <w:highlight w:val="none"/>
        </w:rPr>
      </w:pPr>
      <w:r>
        <w:rPr>
          <w:rFonts w:ascii="宋体" w:hAnsi="宋体" w:cs="宋体"/>
          <w:szCs w:val="21"/>
          <w:highlight w:val="none"/>
        </w:rPr>
        <w:t>最后的磋商报价与首次报价不一致的，其报价明细表中各项报价需另行明确，各项报价均按比例下调。</w:t>
      </w:r>
    </w:p>
    <w:p w14:paraId="156FC063">
      <w:pPr>
        <w:numPr>
          <w:ilvl w:val="0"/>
          <w:numId w:val="12"/>
        </w:numPr>
        <w:snapToGrid w:val="0"/>
        <w:spacing w:line="360" w:lineRule="auto"/>
        <w:outlineLvl w:val="2"/>
        <w:rPr>
          <w:rFonts w:ascii="宋体" w:hAnsi="宋体" w:cs="宋体"/>
          <w:highlight w:val="none"/>
        </w:rPr>
      </w:pPr>
      <w:bookmarkStart w:id="194" w:name="_Toc13949"/>
      <w:bookmarkStart w:id="195" w:name="_Toc18478"/>
      <w:bookmarkStart w:id="196" w:name="_Toc17800"/>
      <w:bookmarkStart w:id="197" w:name="_Toc9942"/>
      <w:bookmarkStart w:id="198" w:name="_Toc6392"/>
      <w:r>
        <w:rPr>
          <w:rFonts w:ascii="宋体" w:hAnsi="宋体" w:cs="宋体"/>
          <w:b/>
          <w:szCs w:val="21"/>
          <w:highlight w:val="none"/>
        </w:rPr>
        <w:t>磋商响应文件的式样和签署</w:t>
      </w:r>
      <w:bookmarkEnd w:id="194"/>
      <w:bookmarkEnd w:id="195"/>
      <w:bookmarkEnd w:id="196"/>
      <w:bookmarkEnd w:id="197"/>
      <w:bookmarkEnd w:id="198"/>
    </w:p>
    <w:p w14:paraId="2EE2EBB1">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供应商准备“电子加密响应文件”在线上传递交一份。供应商应按政采云平台供应商项目采购-电子招投标操作指南及本磋商文件要求制作。“备份响应文件”：投标截止时间前以压缩文件形式加密发送至采购代理机构邮箱，并在接到在线解密通知后30分钟内发送压缩文件密码至采购代理机构邮箱。</w:t>
      </w:r>
    </w:p>
    <w:p w14:paraId="05AAA548">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《响应文件》的签章：</w:t>
      </w:r>
      <w:r>
        <w:rPr>
          <w:rFonts w:ascii="宋体" w:hAnsi="宋体" w:cs="宋体"/>
          <w:b/>
          <w:bCs/>
          <w:szCs w:val="21"/>
          <w:highlight w:val="none"/>
        </w:rPr>
        <w:t>电子签章，其中法定代表人和授权代表签字或盖章可书面签字或盖章后扫描至电子响应文件中上传。</w:t>
      </w:r>
    </w:p>
    <w:p w14:paraId="20C188FB">
      <w:pPr>
        <w:numPr>
          <w:ilvl w:val="1"/>
          <w:numId w:val="12"/>
        </w:numPr>
        <w:snapToGrid w:val="0"/>
        <w:spacing w:line="360" w:lineRule="auto"/>
        <w:rPr>
          <w:rFonts w:ascii="宋体" w:hAnsi="宋体" w:cs="宋体"/>
          <w:highlight w:val="none"/>
        </w:rPr>
      </w:pPr>
      <w:r>
        <w:rPr>
          <w:rFonts w:ascii="宋体" w:hAnsi="宋体" w:cs="宋体"/>
          <w:szCs w:val="21"/>
          <w:highlight w:val="none"/>
        </w:rPr>
        <w:t>磋商响应文件不得涂改和增删，如有修改错漏处，必须由同一签署人签字或盖章。</w:t>
      </w:r>
    </w:p>
    <w:p w14:paraId="14D3D41B">
      <w:pPr>
        <w:numPr>
          <w:ilvl w:val="1"/>
          <w:numId w:val="12"/>
        </w:numPr>
        <w:snapToGrid w:val="0"/>
        <w:spacing w:line="360" w:lineRule="auto"/>
        <w:rPr>
          <w:rFonts w:ascii="宋体" w:hAnsi="宋体" w:cs="宋体"/>
          <w:highlight w:val="none"/>
        </w:rPr>
      </w:pPr>
      <w:r>
        <w:rPr>
          <w:rFonts w:ascii="宋体" w:hAnsi="宋体" w:cs="宋体"/>
          <w:szCs w:val="21"/>
          <w:highlight w:val="none"/>
        </w:rPr>
        <w:t>响应文件因字迹潦草或表达不清所引起的后果由供应商负责。</w:t>
      </w:r>
    </w:p>
    <w:p w14:paraId="1A34CEB9">
      <w:pPr>
        <w:numPr>
          <w:ilvl w:val="0"/>
          <w:numId w:val="12"/>
        </w:numPr>
        <w:snapToGrid w:val="0"/>
        <w:spacing w:line="360" w:lineRule="auto"/>
        <w:outlineLvl w:val="2"/>
        <w:rPr>
          <w:rFonts w:ascii="宋体" w:hAnsi="宋体" w:cs="宋体"/>
          <w:b/>
          <w:bCs/>
          <w:sz w:val="24"/>
          <w:highlight w:val="none"/>
        </w:rPr>
      </w:pPr>
      <w:bookmarkStart w:id="199" w:name="_Toc12844"/>
      <w:bookmarkStart w:id="200" w:name="_Toc18914"/>
      <w:bookmarkStart w:id="201" w:name="_Toc823"/>
      <w:bookmarkStart w:id="202" w:name="_Toc9284"/>
      <w:bookmarkStart w:id="203" w:name="_Toc32740"/>
      <w:r>
        <w:rPr>
          <w:rFonts w:ascii="宋体" w:hAnsi="宋体" w:cs="宋体"/>
          <w:b/>
          <w:bCs/>
          <w:szCs w:val="21"/>
          <w:highlight w:val="none"/>
        </w:rPr>
        <w:t>知识产权</w:t>
      </w:r>
      <w:bookmarkEnd w:id="199"/>
      <w:bookmarkEnd w:id="200"/>
      <w:bookmarkEnd w:id="201"/>
      <w:bookmarkEnd w:id="202"/>
      <w:bookmarkEnd w:id="203"/>
    </w:p>
    <w:p w14:paraId="2A8E5D66">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供应商应保证，采购人在中华人民共和国使用货物和服务的任何一部分时，免受第三方提出侵犯其专利权、商标权或其它知识产权的起诉。</w:t>
      </w:r>
    </w:p>
    <w:p w14:paraId="40234498">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磋商供应商应对采购人在使用该产品时所涉及到的专利权负责，不损害采购人的利益。</w:t>
      </w:r>
    </w:p>
    <w:p w14:paraId="34169348">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报价应包括所有应支付的对专利权和版权、设计或其他知识产权而需要向其他方支付的版税。</w:t>
      </w:r>
    </w:p>
    <w:p w14:paraId="3B10F423">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磋商供应商提供得货物中如使用其他公司的相关专利，应在标书中出示相关授权，如未出示但使用了其他公司的专利，导致供应商中标而引起相关诉讼，由磋商供应商承担。</w:t>
      </w:r>
    </w:p>
    <w:p w14:paraId="6FB5A6DA">
      <w:pPr>
        <w:numPr>
          <w:ilvl w:val="0"/>
          <w:numId w:val="12"/>
        </w:numPr>
        <w:snapToGrid w:val="0"/>
        <w:spacing w:line="360" w:lineRule="auto"/>
        <w:outlineLvl w:val="2"/>
        <w:rPr>
          <w:rFonts w:ascii="宋体" w:hAnsi="宋体" w:cs="宋体"/>
          <w:b/>
          <w:bCs/>
          <w:sz w:val="24"/>
          <w:highlight w:val="none"/>
        </w:rPr>
      </w:pPr>
      <w:bookmarkStart w:id="204" w:name="_Toc16272"/>
      <w:bookmarkStart w:id="205" w:name="_Toc24645"/>
      <w:bookmarkStart w:id="206" w:name="_Toc28008"/>
      <w:bookmarkStart w:id="207" w:name="_Toc19574"/>
      <w:bookmarkStart w:id="208" w:name="_Toc6499"/>
      <w:r>
        <w:rPr>
          <w:rFonts w:ascii="宋体" w:hAnsi="宋体" w:cs="宋体"/>
          <w:b/>
          <w:bCs/>
          <w:highlight w:val="none"/>
        </w:rPr>
        <w:t>串通行为认定</w:t>
      </w:r>
      <w:bookmarkEnd w:id="204"/>
      <w:bookmarkEnd w:id="205"/>
      <w:bookmarkEnd w:id="206"/>
      <w:bookmarkEnd w:id="207"/>
      <w:bookmarkEnd w:id="208"/>
    </w:p>
    <w:p w14:paraId="50D58957">
      <w:pPr>
        <w:snapToGrid w:val="0"/>
        <w:spacing w:line="360" w:lineRule="auto"/>
        <w:ind w:left="1060" w:hanging="640"/>
        <w:rPr>
          <w:rFonts w:ascii="宋体" w:hAnsi="宋体" w:cs="宋体"/>
          <w:highlight w:val="none"/>
        </w:rPr>
      </w:pPr>
      <w:r>
        <w:rPr>
          <w:rFonts w:ascii="宋体" w:hAnsi="宋体" w:eastAsia="宋体" w:cs="Times New Roman"/>
          <w:color w:val="auto"/>
          <w:kern w:val="2"/>
          <w:sz w:val="21"/>
          <w:highlight w:val="none"/>
          <w:lang w:val="en-US" w:eastAsia="zh-CN" w:bidi="ar-SA"/>
        </w:rPr>
        <w:t>（1）</w:t>
      </w:r>
      <w:r>
        <w:rPr>
          <w:rFonts w:ascii="宋体" w:hAnsi="宋体" w:cs="宋体"/>
          <w:highlight w:val="none"/>
        </w:rPr>
        <w:t xml:space="preserve">不同磋商供应商的磋商响应文件由同一单位或人员编制的； </w:t>
      </w:r>
    </w:p>
    <w:p w14:paraId="27A69A34">
      <w:pPr>
        <w:snapToGrid w:val="0"/>
        <w:spacing w:line="360" w:lineRule="auto"/>
        <w:ind w:left="1060" w:hanging="640"/>
        <w:rPr>
          <w:rFonts w:ascii="宋体" w:hAnsi="宋体" w:cs="宋体"/>
          <w:highlight w:val="none"/>
        </w:rPr>
      </w:pPr>
      <w:r>
        <w:rPr>
          <w:rFonts w:ascii="宋体" w:hAnsi="宋体" w:eastAsia="宋体" w:cs="Times New Roman"/>
          <w:color w:val="auto"/>
          <w:kern w:val="2"/>
          <w:sz w:val="21"/>
          <w:highlight w:val="none"/>
          <w:lang w:val="en-US" w:eastAsia="zh-CN" w:bidi="ar-SA"/>
        </w:rPr>
        <w:t>（2）</w:t>
      </w:r>
      <w:r>
        <w:rPr>
          <w:rFonts w:ascii="宋体" w:hAnsi="宋体" w:cs="宋体"/>
          <w:highlight w:val="none"/>
        </w:rPr>
        <w:t>不同供应商委托同一单位或人员办理投标事宜的；</w:t>
      </w:r>
    </w:p>
    <w:p w14:paraId="1FB0FC28">
      <w:pPr>
        <w:snapToGrid w:val="0"/>
        <w:spacing w:line="360" w:lineRule="auto"/>
        <w:ind w:left="1060" w:hanging="640"/>
        <w:rPr>
          <w:rFonts w:ascii="宋体" w:hAnsi="宋体" w:cs="宋体"/>
          <w:highlight w:val="none"/>
        </w:rPr>
      </w:pPr>
      <w:r>
        <w:rPr>
          <w:rFonts w:ascii="宋体" w:hAnsi="宋体" w:eastAsia="宋体" w:cs="Times New Roman"/>
          <w:color w:val="auto"/>
          <w:kern w:val="2"/>
          <w:sz w:val="21"/>
          <w:highlight w:val="none"/>
          <w:lang w:val="en-US" w:eastAsia="zh-CN" w:bidi="ar-SA"/>
        </w:rPr>
        <w:t>（3）</w:t>
      </w:r>
      <w:r>
        <w:rPr>
          <w:rFonts w:ascii="宋体" w:hAnsi="宋体" w:cs="宋体"/>
          <w:highlight w:val="none"/>
        </w:rPr>
        <w:t xml:space="preserve">不同磋商供应商的磋商响应文件中的内容出现非正常的一致，或者报价细目呈明显规律性变化，或在完全可比的情况下投标总价均高于市场平均价的； </w:t>
      </w:r>
    </w:p>
    <w:p w14:paraId="512C1C11">
      <w:pPr>
        <w:snapToGrid w:val="0"/>
        <w:spacing w:line="360" w:lineRule="auto"/>
        <w:ind w:left="1060" w:hanging="640"/>
        <w:rPr>
          <w:rFonts w:ascii="宋体" w:hAnsi="宋体" w:cs="宋体"/>
          <w:highlight w:val="none"/>
        </w:rPr>
      </w:pPr>
      <w:r>
        <w:rPr>
          <w:rFonts w:ascii="宋体" w:hAnsi="宋体" w:eastAsia="宋体" w:cs="Times New Roman"/>
          <w:color w:val="auto"/>
          <w:kern w:val="2"/>
          <w:sz w:val="21"/>
          <w:highlight w:val="none"/>
          <w:lang w:val="en-US" w:eastAsia="zh-CN" w:bidi="ar-SA"/>
        </w:rPr>
        <w:t>（4）</w:t>
      </w:r>
      <w:r>
        <w:rPr>
          <w:rFonts w:ascii="宋体" w:hAnsi="宋体" w:cs="宋体"/>
          <w:highlight w:val="none"/>
        </w:rPr>
        <w:t xml:space="preserve">不同磋商供应商的授权代表为同一单位的工作人员的； </w:t>
      </w:r>
    </w:p>
    <w:p w14:paraId="2B64CB06">
      <w:pPr>
        <w:snapToGrid w:val="0"/>
        <w:spacing w:line="360" w:lineRule="auto"/>
        <w:ind w:left="1060" w:hanging="640"/>
        <w:rPr>
          <w:rFonts w:ascii="宋体" w:hAnsi="宋体" w:cs="宋体"/>
          <w:highlight w:val="none"/>
        </w:rPr>
      </w:pPr>
      <w:r>
        <w:rPr>
          <w:rFonts w:ascii="宋体" w:hAnsi="宋体" w:eastAsia="宋体" w:cs="Times New Roman"/>
          <w:color w:val="auto"/>
          <w:kern w:val="2"/>
          <w:sz w:val="21"/>
          <w:highlight w:val="none"/>
          <w:lang w:val="en-US" w:eastAsia="zh-CN" w:bidi="ar-SA"/>
        </w:rPr>
        <w:t>（5）</w:t>
      </w:r>
      <w:r>
        <w:rPr>
          <w:rFonts w:ascii="宋体" w:hAnsi="宋体" w:cs="宋体"/>
          <w:highlight w:val="none"/>
        </w:rPr>
        <w:t xml:space="preserve">不同磋商供应商的磋商响应文件相互混装，或在一个磋商供应商的磋商响应文件内遗留有其他磋商供应商的签名、盖章等不属于本磋商供应商参加政府采购必需的信息资料的； </w:t>
      </w:r>
    </w:p>
    <w:p w14:paraId="7A74C023">
      <w:pPr>
        <w:snapToGrid w:val="0"/>
        <w:spacing w:line="360" w:lineRule="auto"/>
        <w:ind w:left="1060" w:hanging="640"/>
        <w:rPr>
          <w:rFonts w:ascii="宋体" w:hAnsi="宋体" w:cs="宋体"/>
          <w:highlight w:val="none"/>
        </w:rPr>
      </w:pPr>
      <w:r>
        <w:rPr>
          <w:rFonts w:ascii="宋体" w:hAnsi="宋体" w:eastAsia="宋体" w:cs="Times New Roman"/>
          <w:color w:val="auto"/>
          <w:kern w:val="2"/>
          <w:sz w:val="21"/>
          <w:highlight w:val="none"/>
          <w:lang w:val="en-US" w:eastAsia="zh-CN" w:bidi="ar-SA"/>
        </w:rPr>
        <w:t>（6）</w:t>
      </w:r>
      <w:r>
        <w:rPr>
          <w:rFonts w:ascii="宋体" w:hAnsi="宋体" w:cs="宋体"/>
          <w:highlight w:val="none"/>
        </w:rPr>
        <w:t xml:space="preserve">采购响应截止时间后，采购组织单位协助磋商供应商撤换或更改磋商响应文件的； </w:t>
      </w:r>
    </w:p>
    <w:p w14:paraId="07548FA4">
      <w:pPr>
        <w:snapToGrid w:val="0"/>
        <w:spacing w:line="360" w:lineRule="auto"/>
        <w:ind w:left="1060" w:hanging="640"/>
        <w:rPr>
          <w:rFonts w:ascii="宋体" w:hAnsi="宋体" w:cs="宋体"/>
          <w:spacing w:val="-4"/>
          <w:highlight w:val="none"/>
        </w:rPr>
      </w:pPr>
      <w:r>
        <w:rPr>
          <w:rFonts w:ascii="宋体" w:hAnsi="宋体" w:eastAsia="宋体" w:cs="Times New Roman"/>
          <w:color w:val="auto"/>
          <w:spacing w:val="-4"/>
          <w:kern w:val="2"/>
          <w:sz w:val="21"/>
          <w:highlight w:val="none"/>
          <w:lang w:val="en-US" w:eastAsia="zh-CN" w:bidi="ar-SA"/>
        </w:rPr>
        <w:t>（7）</w:t>
      </w:r>
      <w:r>
        <w:rPr>
          <w:rFonts w:ascii="宋体" w:hAnsi="宋体" w:cs="宋体"/>
          <w:spacing w:val="-4"/>
          <w:highlight w:val="none"/>
        </w:rPr>
        <w:t>采购组织单位泄露有意向参加政府采购的磋商供应商名称、数量等应当保密的事项的；</w:t>
      </w:r>
    </w:p>
    <w:p w14:paraId="5A1453CC">
      <w:pPr>
        <w:snapToGrid w:val="0"/>
        <w:spacing w:line="360" w:lineRule="auto"/>
        <w:ind w:left="1060" w:hanging="640"/>
        <w:rPr>
          <w:rFonts w:ascii="宋体" w:hAnsi="宋体" w:cs="宋体"/>
          <w:highlight w:val="none"/>
        </w:rPr>
      </w:pPr>
      <w:r>
        <w:rPr>
          <w:rFonts w:ascii="宋体" w:hAnsi="宋体" w:eastAsia="宋体" w:cs="Times New Roman"/>
          <w:color w:val="auto"/>
          <w:kern w:val="2"/>
          <w:sz w:val="21"/>
          <w:highlight w:val="none"/>
          <w:lang w:val="en-US" w:eastAsia="zh-CN" w:bidi="ar-SA"/>
        </w:rPr>
        <w:t>（8）</w:t>
      </w:r>
      <w:r>
        <w:rPr>
          <w:rFonts w:ascii="宋体" w:hAnsi="宋体" w:cs="宋体"/>
          <w:highlight w:val="none"/>
        </w:rPr>
        <w:t>不同磋商供应商之间私下达成书面或口头协议，指定一家磋商供应商成交或轮流成交的；</w:t>
      </w:r>
    </w:p>
    <w:p w14:paraId="321BAD8D">
      <w:pPr>
        <w:snapToGrid w:val="0"/>
        <w:spacing w:line="360" w:lineRule="auto"/>
        <w:ind w:left="1060" w:hanging="640"/>
        <w:rPr>
          <w:rFonts w:ascii="宋体" w:hAnsi="宋体" w:cs="宋体"/>
          <w:highlight w:val="none"/>
        </w:rPr>
      </w:pPr>
      <w:r>
        <w:rPr>
          <w:rFonts w:ascii="宋体" w:hAnsi="宋体" w:eastAsia="宋体" w:cs="Times New Roman"/>
          <w:color w:val="auto"/>
          <w:kern w:val="2"/>
          <w:sz w:val="21"/>
          <w:highlight w:val="none"/>
          <w:lang w:val="en-US" w:eastAsia="zh-CN" w:bidi="ar-SA"/>
        </w:rPr>
        <w:t>（9）</w:t>
      </w:r>
      <w:r>
        <w:rPr>
          <w:rFonts w:ascii="宋体" w:hAnsi="宋体" w:cs="宋体"/>
          <w:highlight w:val="none"/>
        </w:rPr>
        <w:t>法律、法规或规章规定的其他串通行为。</w:t>
      </w:r>
    </w:p>
    <w:p w14:paraId="7E9F92F7">
      <w:pPr>
        <w:numPr>
          <w:ilvl w:val="0"/>
          <w:numId w:val="12"/>
        </w:numPr>
        <w:snapToGrid w:val="0"/>
        <w:spacing w:line="360" w:lineRule="auto"/>
        <w:outlineLvl w:val="2"/>
        <w:rPr>
          <w:rFonts w:ascii="宋体" w:hAnsi="宋体" w:cs="宋体"/>
          <w:b/>
          <w:bCs/>
          <w:highlight w:val="none"/>
        </w:rPr>
      </w:pPr>
      <w:bookmarkStart w:id="209" w:name="_Toc5635"/>
      <w:bookmarkStart w:id="210" w:name="_Toc17356"/>
      <w:bookmarkStart w:id="211" w:name="_Toc6163"/>
      <w:bookmarkStart w:id="212" w:name="_Toc10222"/>
      <w:bookmarkStart w:id="213" w:name="_Toc28983"/>
      <w:r>
        <w:rPr>
          <w:rFonts w:ascii="宋体" w:hAnsi="宋体" w:cs="宋体"/>
          <w:b/>
          <w:bCs/>
          <w:highlight w:val="none"/>
        </w:rPr>
        <w:t>出现以下情形，中止电子交易活动：</w:t>
      </w:r>
      <w:bookmarkEnd w:id="209"/>
      <w:bookmarkEnd w:id="210"/>
      <w:bookmarkEnd w:id="211"/>
      <w:bookmarkEnd w:id="212"/>
      <w:bookmarkEnd w:id="213"/>
    </w:p>
    <w:p w14:paraId="7BB79432">
      <w:pPr>
        <w:numPr>
          <w:ilvl w:val="0"/>
          <w:numId w:val="16"/>
        </w:numPr>
        <w:snapToGrid w:val="0"/>
        <w:spacing w:line="360" w:lineRule="auto"/>
        <w:ind w:left="420" w:leftChars="200"/>
        <w:rPr>
          <w:rFonts w:ascii="宋体" w:hAnsi="宋体" w:cs="宋体"/>
          <w:szCs w:val="22"/>
          <w:highlight w:val="none"/>
        </w:rPr>
      </w:pPr>
      <w:r>
        <w:rPr>
          <w:rFonts w:ascii="宋体" w:hAnsi="宋体" w:cs="宋体"/>
          <w:szCs w:val="22"/>
          <w:highlight w:val="none"/>
        </w:rPr>
        <w:t>电子交易平台发生故障而无法登录访问的；</w:t>
      </w:r>
    </w:p>
    <w:p w14:paraId="511BA127">
      <w:pPr>
        <w:numPr>
          <w:ilvl w:val="0"/>
          <w:numId w:val="16"/>
        </w:numPr>
        <w:snapToGrid w:val="0"/>
        <w:spacing w:line="360" w:lineRule="auto"/>
        <w:ind w:left="420" w:leftChars="200"/>
        <w:rPr>
          <w:rFonts w:ascii="宋体" w:hAnsi="宋体" w:cs="宋体"/>
          <w:szCs w:val="22"/>
          <w:highlight w:val="none"/>
        </w:rPr>
      </w:pPr>
      <w:r>
        <w:rPr>
          <w:rFonts w:ascii="宋体" w:hAnsi="宋体" w:cs="宋体"/>
          <w:szCs w:val="22"/>
          <w:highlight w:val="none"/>
        </w:rPr>
        <w:t>电子交易平台应用或数据库出现错误，不能进行正常操作的；</w:t>
      </w:r>
    </w:p>
    <w:p w14:paraId="7435B7A7">
      <w:pPr>
        <w:numPr>
          <w:ilvl w:val="0"/>
          <w:numId w:val="16"/>
        </w:numPr>
        <w:snapToGrid w:val="0"/>
        <w:spacing w:line="360" w:lineRule="auto"/>
        <w:ind w:left="420" w:leftChars="200"/>
        <w:rPr>
          <w:rFonts w:ascii="宋体" w:hAnsi="宋体" w:cs="宋体"/>
          <w:szCs w:val="22"/>
          <w:highlight w:val="none"/>
        </w:rPr>
      </w:pPr>
      <w:r>
        <w:rPr>
          <w:rFonts w:ascii="宋体" w:hAnsi="宋体" w:cs="宋体"/>
          <w:szCs w:val="22"/>
          <w:highlight w:val="none"/>
        </w:rPr>
        <w:t>电子交易平台发现严重安全漏洞，有潜在泄密危险的；</w:t>
      </w:r>
    </w:p>
    <w:p w14:paraId="59D813F9">
      <w:pPr>
        <w:numPr>
          <w:ilvl w:val="0"/>
          <w:numId w:val="16"/>
        </w:numPr>
        <w:snapToGrid w:val="0"/>
        <w:spacing w:line="360" w:lineRule="auto"/>
        <w:ind w:left="420" w:leftChars="200"/>
        <w:rPr>
          <w:rFonts w:ascii="宋体" w:hAnsi="宋体" w:cs="宋体"/>
          <w:szCs w:val="22"/>
          <w:highlight w:val="none"/>
        </w:rPr>
      </w:pPr>
      <w:r>
        <w:rPr>
          <w:rFonts w:ascii="宋体" w:hAnsi="宋体" w:cs="宋体"/>
          <w:szCs w:val="22"/>
          <w:highlight w:val="none"/>
        </w:rPr>
        <w:t>病毒发作导致不能进行正常操作的；</w:t>
      </w:r>
    </w:p>
    <w:p w14:paraId="33CA5A90">
      <w:pPr>
        <w:numPr>
          <w:ilvl w:val="0"/>
          <w:numId w:val="16"/>
        </w:numPr>
        <w:snapToGrid w:val="0"/>
        <w:spacing w:line="360" w:lineRule="auto"/>
        <w:ind w:left="420" w:leftChars="200"/>
        <w:rPr>
          <w:rFonts w:ascii="宋体" w:hAnsi="宋体" w:cs="宋体"/>
          <w:szCs w:val="22"/>
          <w:highlight w:val="none"/>
        </w:rPr>
      </w:pPr>
      <w:r>
        <w:rPr>
          <w:rFonts w:ascii="宋体" w:hAnsi="宋体" w:cs="宋体"/>
          <w:szCs w:val="22"/>
          <w:highlight w:val="none"/>
        </w:rPr>
        <w:t>其他无法保证电子交易的公平、公正和安全的情况。</w:t>
      </w:r>
    </w:p>
    <w:p w14:paraId="2E2C4156">
      <w:pPr>
        <w:snapToGrid w:val="0"/>
        <w:spacing w:line="360" w:lineRule="auto"/>
        <w:ind w:left="420" w:leftChars="200" w:firstLine="422" w:firstLineChars="200"/>
        <w:rPr>
          <w:rFonts w:ascii="宋体" w:hAnsi="宋体" w:cs="宋体"/>
          <w:b/>
          <w:bCs/>
          <w:szCs w:val="21"/>
          <w:highlight w:val="none"/>
        </w:rPr>
      </w:pPr>
      <w:r>
        <w:rPr>
          <w:rFonts w:ascii="宋体" w:hAnsi="宋体" w:cs="宋体"/>
          <w:b/>
          <w:bCs/>
          <w:szCs w:val="21"/>
          <w:highlight w:val="none"/>
        </w:rPr>
        <w:t>出现上述情形，不影响采购公平、公正性的，采购组织机构可以待上述情形消除后继续组织电子交易活动；若影响或可能影响采购公平、公正性的，则重新采购。</w:t>
      </w:r>
    </w:p>
    <w:p w14:paraId="5C8785B0">
      <w:pPr>
        <w:rPr>
          <w:highlight w:val="none"/>
        </w:rPr>
      </w:pPr>
      <w:bookmarkStart w:id="214" w:name="_Toc3291"/>
      <w:bookmarkStart w:id="215" w:name="_Toc1265"/>
      <w:bookmarkStart w:id="216" w:name="_Toc1309"/>
      <w:bookmarkStart w:id="217" w:name="_Toc19728"/>
      <w:bookmarkStart w:id="218" w:name="_Toc5110"/>
      <w:bookmarkStart w:id="219" w:name="_Toc21604"/>
      <w:bookmarkStart w:id="220" w:name="_Toc27444"/>
    </w:p>
    <w:p w14:paraId="3E7D5724">
      <w:pPr>
        <w:rPr>
          <w:highlight w:val="none"/>
        </w:rPr>
      </w:pPr>
    </w:p>
    <w:p w14:paraId="13C55BA3">
      <w:pPr>
        <w:rPr>
          <w:highlight w:val="none"/>
        </w:rPr>
      </w:pPr>
    </w:p>
    <w:p w14:paraId="54482C5D">
      <w:pPr>
        <w:rPr>
          <w:highlight w:val="none"/>
        </w:rPr>
      </w:pPr>
    </w:p>
    <w:p w14:paraId="0F85736C">
      <w:pPr>
        <w:pStyle w:val="13"/>
        <w:rPr>
          <w:highlight w:val="none"/>
        </w:rPr>
      </w:pPr>
    </w:p>
    <w:p w14:paraId="51E17E07">
      <w:pPr>
        <w:rPr>
          <w:highlight w:val="none"/>
        </w:rPr>
      </w:pPr>
    </w:p>
    <w:p w14:paraId="3E9A8826">
      <w:pPr>
        <w:pStyle w:val="13"/>
        <w:rPr>
          <w:highlight w:val="none"/>
        </w:rPr>
      </w:pPr>
    </w:p>
    <w:p w14:paraId="726CE523">
      <w:pPr>
        <w:rPr>
          <w:highlight w:val="none"/>
        </w:rPr>
      </w:pPr>
    </w:p>
    <w:p w14:paraId="7EB15264">
      <w:pPr>
        <w:pStyle w:val="6"/>
        <w:rPr>
          <w:highlight w:val="none"/>
        </w:rPr>
      </w:pPr>
    </w:p>
    <w:p w14:paraId="0709382F">
      <w:pPr>
        <w:rPr>
          <w:highlight w:val="none"/>
        </w:rPr>
      </w:pPr>
    </w:p>
    <w:p w14:paraId="2BEC7EDC">
      <w:pPr>
        <w:pStyle w:val="13"/>
        <w:rPr>
          <w:highlight w:val="none"/>
        </w:rPr>
      </w:pPr>
    </w:p>
    <w:p w14:paraId="4C0A6A2F">
      <w:pPr>
        <w:pStyle w:val="13"/>
        <w:ind w:left="0" w:leftChars="0" w:firstLine="0"/>
        <w:rPr>
          <w:highlight w:val="none"/>
        </w:rPr>
      </w:pPr>
    </w:p>
    <w:p w14:paraId="08CDDC94">
      <w:pPr>
        <w:pStyle w:val="8"/>
        <w:spacing w:before="156" w:beforeLines="50" w:after="156" w:afterLines="50" w:line="360" w:lineRule="auto"/>
        <w:jc w:val="center"/>
        <w:rPr>
          <w:rFonts w:ascii="宋体" w:hAnsi="宋体" w:cs="宋体"/>
          <w:sz w:val="24"/>
          <w:szCs w:val="24"/>
          <w:highlight w:val="none"/>
        </w:rPr>
      </w:pPr>
      <w:bookmarkStart w:id="221" w:name="_Toc18953"/>
      <w:r>
        <w:rPr>
          <w:rFonts w:ascii="宋体" w:hAnsi="宋体" w:cs="宋体"/>
          <w:bCs w:val="0"/>
          <w:sz w:val="24"/>
          <w:szCs w:val="24"/>
          <w:highlight w:val="none"/>
        </w:rPr>
        <w:t>（五）磋商响应文件的递交</w:t>
      </w:r>
      <w:bookmarkEnd w:id="214"/>
      <w:bookmarkEnd w:id="215"/>
      <w:bookmarkEnd w:id="216"/>
      <w:bookmarkEnd w:id="217"/>
      <w:bookmarkEnd w:id="218"/>
      <w:bookmarkEnd w:id="219"/>
      <w:bookmarkEnd w:id="220"/>
      <w:bookmarkEnd w:id="221"/>
    </w:p>
    <w:p w14:paraId="533701FF">
      <w:pPr>
        <w:numPr>
          <w:ilvl w:val="0"/>
          <w:numId w:val="12"/>
        </w:numPr>
        <w:snapToGrid w:val="0"/>
        <w:spacing w:line="360" w:lineRule="auto"/>
        <w:outlineLvl w:val="2"/>
        <w:rPr>
          <w:rFonts w:ascii="宋体" w:hAnsi="宋体" w:cs="宋体"/>
          <w:b/>
          <w:bCs/>
          <w:sz w:val="24"/>
          <w:szCs w:val="22"/>
          <w:highlight w:val="none"/>
        </w:rPr>
      </w:pPr>
      <w:bookmarkStart w:id="222" w:name="_Toc19248"/>
      <w:bookmarkStart w:id="223" w:name="_Toc8719"/>
      <w:bookmarkStart w:id="224" w:name="_Toc7669"/>
      <w:bookmarkStart w:id="225" w:name="_Toc18594"/>
      <w:bookmarkStart w:id="226" w:name="_Toc22295"/>
      <w:r>
        <w:rPr>
          <w:rFonts w:ascii="宋体" w:hAnsi="宋体" w:cs="宋体"/>
          <w:b/>
          <w:bCs/>
          <w:highlight w:val="none"/>
        </w:rPr>
        <w:t>响应文件的修改（补充）和撤回</w:t>
      </w:r>
      <w:bookmarkEnd w:id="222"/>
      <w:bookmarkEnd w:id="223"/>
      <w:bookmarkEnd w:id="224"/>
      <w:bookmarkEnd w:id="225"/>
      <w:bookmarkEnd w:id="226"/>
    </w:p>
    <w:p w14:paraId="52649ABE">
      <w:pPr>
        <w:snapToGrid w:val="0"/>
        <w:spacing w:line="360" w:lineRule="auto"/>
        <w:ind w:left="823" w:hanging="823" w:hangingChars="392"/>
        <w:rPr>
          <w:rFonts w:ascii="宋体" w:hAnsi="宋体" w:cs="宋体"/>
          <w:szCs w:val="21"/>
          <w:highlight w:val="none"/>
        </w:rPr>
      </w:pPr>
      <w:r>
        <w:rPr>
          <w:rFonts w:ascii="宋体" w:hAnsi="宋体" w:cs="宋体"/>
          <w:szCs w:val="21"/>
          <w:highlight w:val="none"/>
        </w:rPr>
        <w:t>21.1    投标截止时间前可以补充、修改或撤回响应文件。补充或者修改响应文件的，应当先行撤回原文件，补充、修改后重新递交。投标截止时间前未完成递交的，视为撤回响应文件。</w:t>
      </w:r>
    </w:p>
    <w:p w14:paraId="1A99928D">
      <w:pPr>
        <w:snapToGrid w:val="0"/>
        <w:spacing w:line="360" w:lineRule="auto"/>
        <w:ind w:left="823" w:hanging="823" w:hangingChars="392"/>
        <w:rPr>
          <w:rFonts w:ascii="宋体" w:hAnsi="宋体" w:cs="宋体"/>
          <w:szCs w:val="21"/>
          <w:highlight w:val="none"/>
        </w:rPr>
      </w:pPr>
      <w:r>
        <w:rPr>
          <w:rFonts w:ascii="宋体" w:hAnsi="宋体" w:cs="宋体"/>
          <w:szCs w:val="21"/>
          <w:highlight w:val="none"/>
        </w:rPr>
        <w:t>21.2    投标截止时间后，供应商不得修改（补充）或撤回其响应文件。</w:t>
      </w:r>
    </w:p>
    <w:p w14:paraId="745A49F0">
      <w:pPr>
        <w:numPr>
          <w:ilvl w:val="0"/>
          <w:numId w:val="12"/>
        </w:numPr>
        <w:snapToGrid w:val="0"/>
        <w:spacing w:line="360" w:lineRule="auto"/>
        <w:outlineLvl w:val="2"/>
        <w:rPr>
          <w:rFonts w:ascii="宋体" w:hAnsi="宋体" w:cs="宋体"/>
          <w:b/>
          <w:sz w:val="24"/>
          <w:highlight w:val="none"/>
        </w:rPr>
      </w:pPr>
      <w:bookmarkStart w:id="227" w:name="_Toc8538"/>
      <w:bookmarkStart w:id="228" w:name="_Toc16064"/>
      <w:bookmarkStart w:id="229" w:name="_Toc9460"/>
      <w:bookmarkStart w:id="230" w:name="_Toc15794"/>
      <w:bookmarkStart w:id="231" w:name="_Toc18812"/>
      <w:r>
        <w:rPr>
          <w:rFonts w:ascii="宋体" w:hAnsi="宋体" w:cs="宋体"/>
          <w:b/>
          <w:szCs w:val="21"/>
          <w:highlight w:val="none"/>
        </w:rPr>
        <w:t>磋商截止时间</w:t>
      </w:r>
      <w:bookmarkEnd w:id="227"/>
      <w:bookmarkEnd w:id="228"/>
      <w:bookmarkEnd w:id="229"/>
      <w:bookmarkEnd w:id="230"/>
      <w:bookmarkEnd w:id="231"/>
    </w:p>
    <w:p w14:paraId="232B5D2B">
      <w:pPr>
        <w:numPr>
          <w:ilvl w:val="1"/>
          <w:numId w:val="12"/>
        </w:numPr>
        <w:snapToGrid w:val="0"/>
        <w:spacing w:line="360" w:lineRule="auto"/>
        <w:rPr>
          <w:rFonts w:ascii="宋体" w:hAnsi="宋体" w:cs="宋体"/>
          <w:highlight w:val="none"/>
        </w:rPr>
      </w:pPr>
      <w:r>
        <w:rPr>
          <w:rFonts w:ascii="宋体" w:hAnsi="宋体" w:cs="宋体"/>
          <w:szCs w:val="21"/>
          <w:highlight w:val="none"/>
        </w:rPr>
        <w:t>本次采购的磋商开始时间及磋商响应文件递交截止时间：见本磋商文件“竞争性磋商公告”。供应商应当在磋商文件规定的截止时间前完成电子加密响应文件及备份响应文件的递交，截止时间后递交的响应文件，将被拒收。</w:t>
      </w:r>
    </w:p>
    <w:p w14:paraId="1C762350">
      <w:pPr>
        <w:numPr>
          <w:ilvl w:val="1"/>
          <w:numId w:val="12"/>
        </w:numPr>
        <w:snapToGrid w:val="0"/>
        <w:spacing w:line="360" w:lineRule="auto"/>
        <w:rPr>
          <w:rFonts w:ascii="宋体" w:hAnsi="宋体" w:cs="宋体"/>
          <w:highlight w:val="none"/>
        </w:rPr>
      </w:pPr>
      <w:r>
        <w:rPr>
          <w:rFonts w:ascii="宋体" w:hAnsi="宋体" w:cs="宋体"/>
          <w:highlight w:val="none"/>
        </w:rPr>
        <w:t>在推迟了磋商开始时间的情况下，采购代理机构、采购人和磋商供应商受制约的所有权利和义务均应延长至新的截止时间。</w:t>
      </w:r>
    </w:p>
    <w:p w14:paraId="3AE6C153">
      <w:pPr>
        <w:tabs>
          <w:tab w:val="left" w:pos="840"/>
        </w:tabs>
        <w:spacing w:before="156" w:beforeLines="50" w:after="156" w:afterLines="50" w:line="380" w:lineRule="exact"/>
        <w:jc w:val="center"/>
        <w:outlineLvl w:val="9"/>
        <w:rPr>
          <w:rFonts w:ascii="宋体" w:hAnsi="宋体" w:cs="宋体"/>
          <w:sz w:val="24"/>
          <w:szCs w:val="24"/>
          <w:highlight w:val="none"/>
        </w:rPr>
      </w:pPr>
      <w:bookmarkStart w:id="232" w:name="_Toc3194"/>
      <w:bookmarkStart w:id="233" w:name="_Toc29862"/>
    </w:p>
    <w:p w14:paraId="1C0B7E71">
      <w:pPr>
        <w:outlineLvl w:val="9"/>
        <w:rPr>
          <w:rFonts w:ascii="宋体" w:hAnsi="宋体" w:cs="宋体"/>
          <w:sz w:val="24"/>
          <w:highlight w:val="none"/>
        </w:rPr>
      </w:pPr>
    </w:p>
    <w:p w14:paraId="0DBFCF85">
      <w:pPr>
        <w:pStyle w:val="13"/>
        <w:outlineLvl w:val="9"/>
        <w:rPr>
          <w:rFonts w:ascii="宋体" w:hAnsi="宋体" w:cs="宋体"/>
          <w:sz w:val="24"/>
          <w:highlight w:val="none"/>
        </w:rPr>
      </w:pPr>
    </w:p>
    <w:p w14:paraId="6C1364FB">
      <w:pPr>
        <w:outlineLvl w:val="9"/>
        <w:rPr>
          <w:rFonts w:ascii="宋体" w:hAnsi="宋体" w:cs="宋体"/>
          <w:sz w:val="24"/>
          <w:highlight w:val="none"/>
        </w:rPr>
      </w:pPr>
    </w:p>
    <w:p w14:paraId="3E89C220">
      <w:pPr>
        <w:pStyle w:val="13"/>
        <w:outlineLvl w:val="9"/>
        <w:rPr>
          <w:rFonts w:ascii="宋体" w:hAnsi="宋体" w:cs="宋体"/>
          <w:sz w:val="24"/>
          <w:highlight w:val="none"/>
        </w:rPr>
      </w:pPr>
    </w:p>
    <w:p w14:paraId="32A4CC6A">
      <w:pPr>
        <w:outlineLvl w:val="9"/>
        <w:rPr>
          <w:rFonts w:ascii="宋体" w:hAnsi="宋体" w:cs="宋体"/>
          <w:sz w:val="24"/>
          <w:highlight w:val="none"/>
        </w:rPr>
      </w:pPr>
    </w:p>
    <w:p w14:paraId="3DF27F5E">
      <w:pPr>
        <w:pStyle w:val="13"/>
        <w:outlineLvl w:val="9"/>
        <w:rPr>
          <w:rFonts w:ascii="宋体" w:hAnsi="宋体" w:cs="宋体"/>
          <w:sz w:val="24"/>
          <w:highlight w:val="none"/>
        </w:rPr>
      </w:pPr>
    </w:p>
    <w:p w14:paraId="55D35144">
      <w:pPr>
        <w:outlineLvl w:val="9"/>
        <w:rPr>
          <w:rFonts w:ascii="宋体" w:hAnsi="宋体" w:cs="宋体"/>
          <w:sz w:val="24"/>
          <w:highlight w:val="none"/>
        </w:rPr>
      </w:pPr>
    </w:p>
    <w:p w14:paraId="21E07A8C">
      <w:pPr>
        <w:pStyle w:val="13"/>
        <w:outlineLvl w:val="9"/>
        <w:rPr>
          <w:rFonts w:ascii="宋体" w:hAnsi="宋体" w:cs="宋体"/>
          <w:sz w:val="24"/>
          <w:highlight w:val="none"/>
        </w:rPr>
      </w:pPr>
    </w:p>
    <w:p w14:paraId="1EA729E4">
      <w:pPr>
        <w:outlineLvl w:val="9"/>
        <w:rPr>
          <w:rFonts w:ascii="宋体" w:hAnsi="宋体" w:cs="宋体"/>
          <w:sz w:val="24"/>
          <w:highlight w:val="none"/>
        </w:rPr>
      </w:pPr>
    </w:p>
    <w:p w14:paraId="685CA6DD">
      <w:pPr>
        <w:pStyle w:val="13"/>
        <w:outlineLvl w:val="9"/>
        <w:rPr>
          <w:rFonts w:ascii="宋体" w:hAnsi="宋体" w:cs="宋体"/>
          <w:sz w:val="24"/>
          <w:highlight w:val="none"/>
        </w:rPr>
      </w:pPr>
    </w:p>
    <w:p w14:paraId="01D0BDE6">
      <w:pPr>
        <w:outlineLvl w:val="9"/>
        <w:rPr>
          <w:rFonts w:ascii="宋体" w:hAnsi="宋体" w:cs="宋体"/>
          <w:sz w:val="24"/>
          <w:highlight w:val="none"/>
        </w:rPr>
      </w:pPr>
    </w:p>
    <w:p w14:paraId="45D89D93">
      <w:pPr>
        <w:pStyle w:val="13"/>
        <w:outlineLvl w:val="9"/>
        <w:rPr>
          <w:rFonts w:ascii="宋体" w:hAnsi="宋体" w:cs="宋体"/>
          <w:sz w:val="24"/>
          <w:highlight w:val="none"/>
        </w:rPr>
      </w:pPr>
    </w:p>
    <w:p w14:paraId="1802C158">
      <w:pPr>
        <w:outlineLvl w:val="9"/>
        <w:rPr>
          <w:rFonts w:ascii="宋体" w:hAnsi="宋体" w:cs="宋体"/>
          <w:sz w:val="24"/>
          <w:highlight w:val="none"/>
        </w:rPr>
      </w:pPr>
    </w:p>
    <w:p w14:paraId="27D1FFE7">
      <w:pPr>
        <w:pStyle w:val="13"/>
        <w:outlineLvl w:val="9"/>
        <w:rPr>
          <w:highlight w:val="none"/>
        </w:rPr>
      </w:pPr>
    </w:p>
    <w:p w14:paraId="7A5EA157">
      <w:pPr>
        <w:tabs>
          <w:tab w:val="left" w:pos="840"/>
        </w:tabs>
        <w:spacing w:before="156" w:beforeLines="50" w:after="156" w:afterLines="50" w:line="380" w:lineRule="exact"/>
        <w:jc w:val="center"/>
        <w:outlineLvl w:val="9"/>
        <w:rPr>
          <w:rFonts w:ascii="宋体" w:hAnsi="宋体" w:cs="宋体"/>
          <w:sz w:val="24"/>
          <w:szCs w:val="24"/>
          <w:highlight w:val="none"/>
        </w:rPr>
      </w:pPr>
    </w:p>
    <w:p w14:paraId="5D0E3FBB">
      <w:pPr>
        <w:pStyle w:val="13"/>
        <w:rPr>
          <w:highlight w:val="none"/>
        </w:rPr>
      </w:pPr>
    </w:p>
    <w:p w14:paraId="49675021">
      <w:pPr>
        <w:tabs>
          <w:tab w:val="left" w:pos="840"/>
        </w:tabs>
        <w:spacing w:before="156" w:beforeLines="50" w:after="156" w:afterLines="50" w:line="380" w:lineRule="exact"/>
        <w:outlineLvl w:val="9"/>
        <w:rPr>
          <w:rFonts w:ascii="宋体" w:hAnsi="宋体" w:cs="宋体"/>
          <w:sz w:val="24"/>
          <w:szCs w:val="24"/>
          <w:highlight w:val="none"/>
        </w:rPr>
      </w:pPr>
    </w:p>
    <w:p w14:paraId="6DEA09B1">
      <w:pPr>
        <w:tabs>
          <w:tab w:val="left" w:pos="840"/>
        </w:tabs>
        <w:spacing w:before="156" w:beforeLines="50" w:after="156" w:afterLines="50" w:line="380" w:lineRule="exact"/>
        <w:outlineLvl w:val="9"/>
        <w:rPr>
          <w:rFonts w:ascii="宋体" w:hAnsi="宋体" w:cs="宋体"/>
          <w:sz w:val="24"/>
          <w:szCs w:val="24"/>
          <w:highlight w:val="none"/>
        </w:rPr>
      </w:pPr>
    </w:p>
    <w:p w14:paraId="3747734F">
      <w:pPr>
        <w:rPr>
          <w:rFonts w:ascii="宋体" w:hAnsi="宋体" w:cs="宋体"/>
          <w:sz w:val="24"/>
          <w:szCs w:val="24"/>
          <w:highlight w:val="none"/>
        </w:rPr>
      </w:pPr>
    </w:p>
    <w:p w14:paraId="125E9B7C">
      <w:pPr>
        <w:tabs>
          <w:tab w:val="left" w:pos="840"/>
        </w:tabs>
        <w:rPr>
          <w:highlight w:val="none"/>
        </w:rPr>
      </w:pPr>
    </w:p>
    <w:p w14:paraId="2D646A22">
      <w:pPr>
        <w:pStyle w:val="8"/>
        <w:spacing w:before="156" w:beforeLines="50" w:after="156" w:afterLines="50" w:line="360" w:lineRule="auto"/>
        <w:jc w:val="center"/>
        <w:rPr>
          <w:rFonts w:ascii="宋体" w:hAnsi="宋体" w:cs="宋体"/>
          <w:sz w:val="24"/>
          <w:szCs w:val="24"/>
          <w:highlight w:val="none"/>
        </w:rPr>
      </w:pPr>
      <w:bookmarkStart w:id="234" w:name="_Toc29990"/>
      <w:bookmarkStart w:id="235" w:name="_Toc31912"/>
      <w:bookmarkStart w:id="236" w:name="_Toc21398"/>
      <w:bookmarkStart w:id="237" w:name="_Toc31387"/>
      <w:bookmarkStart w:id="238" w:name="_Toc32322"/>
      <w:bookmarkStart w:id="239" w:name="_Toc1310"/>
      <w:r>
        <w:rPr>
          <w:rFonts w:ascii="宋体" w:hAnsi="宋体" w:cs="宋体"/>
          <w:bCs w:val="0"/>
          <w:sz w:val="24"/>
          <w:szCs w:val="24"/>
          <w:highlight w:val="none"/>
        </w:rPr>
        <w:t>（六）磋商与评审</w:t>
      </w:r>
      <w:bookmarkEnd w:id="232"/>
      <w:bookmarkEnd w:id="233"/>
      <w:bookmarkEnd w:id="234"/>
      <w:bookmarkEnd w:id="235"/>
      <w:bookmarkEnd w:id="236"/>
      <w:bookmarkEnd w:id="237"/>
      <w:bookmarkEnd w:id="238"/>
      <w:bookmarkEnd w:id="239"/>
    </w:p>
    <w:p w14:paraId="0E3527A4">
      <w:pPr>
        <w:numPr>
          <w:ilvl w:val="0"/>
          <w:numId w:val="12"/>
        </w:numPr>
        <w:snapToGrid w:val="0"/>
        <w:spacing w:line="360" w:lineRule="auto"/>
        <w:outlineLvl w:val="2"/>
        <w:rPr>
          <w:rFonts w:ascii="宋体" w:hAnsi="宋体" w:cs="宋体"/>
          <w:b/>
          <w:szCs w:val="21"/>
          <w:highlight w:val="none"/>
        </w:rPr>
      </w:pPr>
      <w:bookmarkStart w:id="240" w:name="_Toc25714"/>
      <w:bookmarkStart w:id="241" w:name="_Toc17545"/>
      <w:bookmarkStart w:id="242" w:name="_Toc6651"/>
      <w:bookmarkStart w:id="243" w:name="_Toc30395"/>
      <w:bookmarkStart w:id="244" w:name="_Toc21421"/>
      <w:r>
        <w:rPr>
          <w:rFonts w:ascii="宋体" w:hAnsi="宋体" w:cs="宋体"/>
          <w:b/>
          <w:szCs w:val="21"/>
          <w:highlight w:val="none"/>
        </w:rPr>
        <w:t>磋商</w:t>
      </w:r>
      <w:bookmarkEnd w:id="240"/>
      <w:bookmarkEnd w:id="241"/>
      <w:bookmarkEnd w:id="242"/>
      <w:bookmarkEnd w:id="243"/>
      <w:bookmarkEnd w:id="244"/>
    </w:p>
    <w:p w14:paraId="35982541">
      <w:pPr>
        <w:numPr>
          <w:ilvl w:val="1"/>
          <w:numId w:val="12"/>
        </w:numPr>
        <w:snapToGrid w:val="0"/>
        <w:spacing w:line="360" w:lineRule="auto"/>
        <w:rPr>
          <w:rFonts w:ascii="宋体" w:hAnsi="宋体" w:cs="宋体"/>
          <w:highlight w:val="none"/>
        </w:rPr>
      </w:pPr>
      <w:r>
        <w:rPr>
          <w:rFonts w:ascii="宋体" w:hAnsi="宋体" w:cs="宋体"/>
          <w:highlight w:val="none"/>
        </w:rPr>
        <w:t>磋商时间和地点：见本磋商文件“竞争性磋商公告”。</w:t>
      </w:r>
    </w:p>
    <w:p w14:paraId="1A57886D">
      <w:pPr>
        <w:numPr>
          <w:ilvl w:val="1"/>
          <w:numId w:val="12"/>
        </w:numPr>
        <w:snapToGrid w:val="0"/>
        <w:spacing w:line="360" w:lineRule="auto"/>
        <w:rPr>
          <w:rFonts w:ascii="宋体" w:hAnsi="宋体" w:cs="宋体"/>
          <w:highlight w:val="none"/>
        </w:rPr>
      </w:pPr>
      <w:r>
        <w:rPr>
          <w:rFonts w:ascii="宋体" w:hAnsi="宋体" w:cs="宋体"/>
          <w:szCs w:val="21"/>
          <w:highlight w:val="none"/>
        </w:rPr>
        <w:t>供应商应当在接到解密通知后30分钟内自行完成“电子加密响应文件”的在线解密。</w:t>
      </w:r>
    </w:p>
    <w:p w14:paraId="12C440A5">
      <w:pPr>
        <w:numPr>
          <w:ilvl w:val="0"/>
          <w:numId w:val="12"/>
        </w:numPr>
        <w:snapToGrid w:val="0"/>
        <w:spacing w:line="360" w:lineRule="auto"/>
        <w:outlineLvl w:val="2"/>
        <w:rPr>
          <w:rFonts w:ascii="宋体" w:hAnsi="宋体" w:cs="宋体"/>
          <w:b/>
          <w:highlight w:val="none"/>
        </w:rPr>
      </w:pPr>
      <w:bookmarkStart w:id="245" w:name="_Toc21416"/>
      <w:bookmarkStart w:id="246" w:name="_Toc10029"/>
      <w:bookmarkStart w:id="247" w:name="_Toc30162"/>
      <w:bookmarkStart w:id="248" w:name="_Toc31570"/>
      <w:bookmarkStart w:id="249" w:name="_Toc11884"/>
      <w:r>
        <w:rPr>
          <w:rFonts w:ascii="宋体" w:hAnsi="宋体" w:cs="宋体"/>
          <w:b/>
          <w:highlight w:val="none"/>
        </w:rPr>
        <w:t>开标程序</w:t>
      </w:r>
      <w:bookmarkEnd w:id="245"/>
      <w:bookmarkEnd w:id="246"/>
      <w:bookmarkEnd w:id="247"/>
      <w:bookmarkEnd w:id="248"/>
      <w:bookmarkEnd w:id="249"/>
    </w:p>
    <w:p w14:paraId="76CB6961">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采购代理机构向各供应商发出电子加密响应文件【开始解密】通知，由供应商按磋商文件规定的时间内自行进行响应文件解密。供应商在规定的时间内无法完成已递交的“电子加密响应文件”解密的，如已按规定递交了备份响应文件的，将由采购组织机构按“政府采购云平台”操作规范将备份响应文件上传至“政府采购云平台”，上传成功后，“电子加密响应文件”自动失效。</w:t>
      </w:r>
    </w:p>
    <w:p w14:paraId="5C45A364">
      <w:pPr>
        <w:numPr>
          <w:ilvl w:val="1"/>
          <w:numId w:val="12"/>
        </w:numPr>
        <w:snapToGrid w:val="0"/>
        <w:spacing w:line="360" w:lineRule="auto"/>
        <w:rPr>
          <w:rFonts w:ascii="宋体" w:hAnsi="宋体" w:cs="宋体"/>
          <w:b/>
          <w:bCs/>
          <w:szCs w:val="21"/>
          <w:highlight w:val="none"/>
        </w:rPr>
      </w:pPr>
      <w:r>
        <w:rPr>
          <w:rFonts w:ascii="宋体" w:hAnsi="宋体" w:cs="宋体"/>
          <w:b/>
          <w:bCs/>
          <w:szCs w:val="21"/>
          <w:highlight w:val="none"/>
        </w:rPr>
        <w:t>响应文件解密结束后，各供应商签署《政府采购活动现场确认声明书》，并在15分钟内以扫描件方式发送至代理机构邮箱。</w:t>
      </w:r>
    </w:p>
    <w:p w14:paraId="33041B94">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由代理机构根据法律法规和磋商文件的规定，检查响应文件提供的资格证明文件是否齐全、是否满足磋商文件的要求，若资格审查不符合磋商文件要求，不进入后续评审阶段。</w:t>
      </w:r>
    </w:p>
    <w:p w14:paraId="2213B7A9">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磋商小组对响应文件进行符合性审查，符合性审查不通过的供应商，不再进入后续评审阶段。</w:t>
      </w:r>
    </w:p>
    <w:p w14:paraId="363F50B7">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磋商小组认为需要磋商的，磋商小组与各供应商在线进行磋商并确定最终方案。</w:t>
      </w:r>
    </w:p>
    <w:p w14:paraId="478CE439">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供应商按照磋商文件的变动情况和磋商小组的要求重新提交响应文件。</w:t>
      </w:r>
    </w:p>
    <w:p w14:paraId="2A0605B8">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磋商小组在线要求所有实质性响应供应商进行最后报价。</w:t>
      </w:r>
      <w:r>
        <w:rPr>
          <w:rFonts w:ascii="宋体" w:hAnsi="宋体" w:cs="宋体"/>
          <w:szCs w:val="21"/>
          <w:highlight w:val="none"/>
        </w:rPr>
        <w:tab/>
      </w:r>
    </w:p>
    <w:p w14:paraId="11A82E64">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由磋商小组采用综合评分法对提交最后报价的供应商的响应文件和最后报价进行综合评分。</w:t>
      </w:r>
    </w:p>
    <w:p w14:paraId="78FB6F97">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磋商小组根据综合评分情况，按照评审得分由高到低顺序推荐成交候选供应商。</w:t>
      </w:r>
    </w:p>
    <w:p w14:paraId="5A655AFD">
      <w:pPr>
        <w:numPr>
          <w:ilvl w:val="1"/>
          <w:numId w:val="12"/>
        </w:numPr>
        <w:snapToGrid w:val="0"/>
        <w:spacing w:line="360" w:lineRule="auto"/>
        <w:rPr>
          <w:rFonts w:ascii="宋体" w:hAnsi="宋体" w:cs="宋体"/>
          <w:szCs w:val="21"/>
          <w:highlight w:val="none"/>
        </w:rPr>
      </w:pPr>
      <w:r>
        <w:rPr>
          <w:rFonts w:ascii="宋体" w:hAnsi="宋体" w:cs="宋体"/>
          <w:szCs w:val="21"/>
          <w:highlight w:val="none"/>
        </w:rPr>
        <w:t>在系统上公布评审结果。</w:t>
      </w:r>
    </w:p>
    <w:p w14:paraId="166D9248">
      <w:pPr>
        <w:spacing w:line="360" w:lineRule="auto"/>
        <w:rPr>
          <w:rFonts w:ascii="宋体" w:hAnsi="宋体" w:cs="宋体"/>
          <w:b/>
          <w:bCs/>
          <w:szCs w:val="21"/>
          <w:highlight w:val="none"/>
        </w:rPr>
      </w:pPr>
      <w:r>
        <w:rPr>
          <w:rFonts w:ascii="宋体" w:hAnsi="宋体" w:cs="宋体"/>
          <w:b/>
          <w:bCs/>
          <w:szCs w:val="21"/>
          <w:highlight w:val="none"/>
        </w:rPr>
        <w:t>特别说明：政采云公司如对电子化开标及评审程序有调整的，按调整后的程序操作。</w:t>
      </w:r>
    </w:p>
    <w:p w14:paraId="49C695A6">
      <w:pPr>
        <w:numPr>
          <w:ilvl w:val="0"/>
          <w:numId w:val="12"/>
        </w:numPr>
        <w:spacing w:line="360" w:lineRule="auto"/>
        <w:outlineLvl w:val="2"/>
        <w:rPr>
          <w:rFonts w:ascii="宋体" w:hAnsi="宋体" w:cs="宋体"/>
          <w:b/>
          <w:szCs w:val="21"/>
          <w:highlight w:val="none"/>
        </w:rPr>
      </w:pPr>
      <w:bookmarkStart w:id="250" w:name="_Toc22155"/>
      <w:bookmarkStart w:id="251" w:name="_Toc14180"/>
      <w:bookmarkStart w:id="252" w:name="_Toc8779"/>
      <w:bookmarkStart w:id="253" w:name="_Toc4389"/>
      <w:bookmarkStart w:id="254" w:name="_Toc1306"/>
      <w:r>
        <w:rPr>
          <w:rFonts w:ascii="宋体" w:hAnsi="宋体" w:cs="宋体"/>
          <w:b/>
          <w:szCs w:val="21"/>
          <w:highlight w:val="none"/>
        </w:rPr>
        <w:t>磋商小组</w:t>
      </w:r>
      <w:bookmarkEnd w:id="250"/>
      <w:bookmarkEnd w:id="251"/>
      <w:bookmarkEnd w:id="252"/>
      <w:bookmarkEnd w:id="253"/>
      <w:bookmarkEnd w:id="254"/>
    </w:p>
    <w:p w14:paraId="5FDD52A8">
      <w:pPr>
        <w:numPr>
          <w:ilvl w:val="1"/>
          <w:numId w:val="12"/>
        </w:numPr>
        <w:snapToGrid w:val="0"/>
        <w:spacing w:line="360" w:lineRule="auto"/>
        <w:rPr>
          <w:rFonts w:ascii="宋体" w:hAnsi="宋体" w:cs="宋体"/>
          <w:highlight w:val="none"/>
        </w:rPr>
      </w:pPr>
      <w:r>
        <w:rPr>
          <w:rFonts w:ascii="宋体" w:hAnsi="宋体" w:cs="宋体"/>
          <w:highlight w:val="none"/>
        </w:rPr>
        <w:t>本次采购依法组建磋商小组。磋商小组由采购人的代表和有关专家共三人以上的单数组成，其中专家的人数不得少于成员总数的三分之二。</w:t>
      </w:r>
    </w:p>
    <w:p w14:paraId="61CED241">
      <w:pPr>
        <w:numPr>
          <w:ilvl w:val="0"/>
          <w:numId w:val="12"/>
        </w:numPr>
        <w:spacing w:line="360" w:lineRule="auto"/>
        <w:outlineLvl w:val="2"/>
        <w:rPr>
          <w:rFonts w:ascii="宋体" w:hAnsi="宋体" w:cs="宋体"/>
          <w:b/>
          <w:szCs w:val="21"/>
          <w:highlight w:val="none"/>
        </w:rPr>
      </w:pPr>
      <w:bookmarkStart w:id="255" w:name="_Toc29754"/>
      <w:bookmarkStart w:id="256" w:name="_Toc5260"/>
      <w:bookmarkStart w:id="257" w:name="_Toc16082"/>
      <w:bookmarkStart w:id="258" w:name="_Toc26774"/>
      <w:bookmarkStart w:id="259" w:name="_Toc9101"/>
      <w:r>
        <w:rPr>
          <w:rFonts w:ascii="宋体" w:hAnsi="宋体" w:cs="宋体"/>
          <w:b/>
          <w:szCs w:val="21"/>
          <w:highlight w:val="none"/>
        </w:rPr>
        <w:t>磋商工作程序</w:t>
      </w:r>
      <w:bookmarkEnd w:id="255"/>
      <w:bookmarkEnd w:id="256"/>
      <w:bookmarkEnd w:id="257"/>
      <w:bookmarkEnd w:id="258"/>
      <w:bookmarkEnd w:id="259"/>
    </w:p>
    <w:p w14:paraId="010B03DC">
      <w:pPr>
        <w:snapToGrid w:val="0"/>
        <w:spacing w:line="360" w:lineRule="auto"/>
        <w:ind w:left="823" w:hanging="823" w:hangingChars="392"/>
        <w:rPr>
          <w:rFonts w:ascii="宋体" w:hAnsi="宋体" w:cs="宋体"/>
          <w:szCs w:val="21"/>
          <w:highlight w:val="none"/>
        </w:rPr>
      </w:pPr>
      <w:r>
        <w:rPr>
          <w:rFonts w:ascii="宋体" w:hAnsi="宋体" w:cs="宋体"/>
          <w:szCs w:val="21"/>
          <w:highlight w:val="none"/>
        </w:rPr>
        <w:t>26.1    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r>
        <w:rPr>
          <w:rFonts w:ascii="宋体" w:hAnsi="宋体" w:cs="宋体"/>
          <w:b/>
          <w:bCs/>
          <w:szCs w:val="21"/>
          <w:highlight w:val="none"/>
        </w:rPr>
        <w:t>磋商小组将以书面通过“政府采购云平台”在线询标的形式要求磋商供应商在规定的时间内作出必要的澄清、说明或者补正。磋商供应商的澄清、说明或者补正应当采用书面通过通过“政府采购云平台”在线答复形式提交，并加盖</w:t>
      </w:r>
      <w:r>
        <w:rPr>
          <w:rFonts w:ascii="宋体" w:hAnsi="宋体" w:cs="宋体"/>
          <w:b/>
          <w:bCs/>
          <w:highlight w:val="none"/>
        </w:rPr>
        <w:t>电子签章</w:t>
      </w:r>
      <w:r>
        <w:rPr>
          <w:rFonts w:ascii="宋体" w:hAnsi="宋体" w:cs="宋体"/>
          <w:b/>
          <w:bCs/>
          <w:szCs w:val="21"/>
          <w:highlight w:val="none"/>
        </w:rPr>
        <w:t>，或者由法定代表人或其授权的代表签字。</w:t>
      </w:r>
    </w:p>
    <w:p w14:paraId="0C594859">
      <w:pPr>
        <w:snapToGrid w:val="0"/>
        <w:spacing w:line="360" w:lineRule="auto"/>
        <w:ind w:left="823" w:hanging="823" w:hangingChars="392"/>
        <w:rPr>
          <w:rFonts w:ascii="宋体" w:hAnsi="宋体" w:cs="宋体"/>
          <w:szCs w:val="21"/>
          <w:highlight w:val="none"/>
        </w:rPr>
      </w:pPr>
      <w:r>
        <w:rPr>
          <w:rFonts w:ascii="宋体" w:hAnsi="宋体" w:cs="宋体"/>
          <w:szCs w:val="21"/>
          <w:highlight w:val="none"/>
        </w:rPr>
        <w:t>26.2    磋商小组所有成员集中与单一磋商供应商分别进行磋商。</w:t>
      </w:r>
      <w:r>
        <w:rPr>
          <w:rFonts w:ascii="宋体" w:hAnsi="宋体" w:cs="宋体"/>
          <w:highlight w:val="none"/>
        </w:rPr>
        <w:t>磋商的顺序，按供应商解密响应文件时间的先后顺序进行在线磋商。</w:t>
      </w:r>
      <w:r>
        <w:rPr>
          <w:rFonts w:ascii="宋体" w:hAnsi="宋体" w:cs="宋体"/>
          <w:szCs w:val="21"/>
          <w:highlight w:val="none"/>
        </w:rPr>
        <w:t>在磋商中，磋商的任何一方不得透露与磋商有关的其他磋商供应商的技术资料、价格和其他信息。</w:t>
      </w:r>
    </w:p>
    <w:p w14:paraId="47868A18">
      <w:pPr>
        <w:snapToGrid w:val="0"/>
        <w:spacing w:line="360" w:lineRule="auto"/>
        <w:ind w:left="823" w:hanging="823" w:hangingChars="392"/>
        <w:rPr>
          <w:rFonts w:ascii="宋体" w:hAnsi="宋体" w:cs="宋体"/>
          <w:szCs w:val="21"/>
          <w:highlight w:val="none"/>
        </w:rPr>
      </w:pPr>
      <w:r>
        <w:rPr>
          <w:rFonts w:ascii="宋体" w:hAnsi="宋体" w:cs="宋体"/>
          <w:szCs w:val="21"/>
          <w:highlight w:val="none"/>
        </w:rPr>
        <w:t>26.3    在磋商过程中，磋商小组可以根据磋商文件和磋商情况实质性变动采购需求中的技术、服务要求以及合同草案条款。对磋商文件作出的实质性变动是磋商文件的有效组成部分，供应商应当按照磋商文件的变动情况和磋商小组的要求重新提交响应文件，并由其法定代表人或授权代表签字或者加盖电子签章。由授权代表签字的，应当附法定代表人授权书。供应商为自然人的，应当由本人签字并附身份证明。各供应商提供的磋商响应文件如已完全响应本磋商响应文件技术和服务要求的，经采购人和磋商小组认定后，不再组织逐一磋商。首轮报价不公开。</w:t>
      </w:r>
    </w:p>
    <w:p w14:paraId="42300EA1">
      <w:pPr>
        <w:snapToGrid w:val="0"/>
        <w:spacing w:line="360" w:lineRule="auto"/>
        <w:ind w:left="823" w:hanging="823" w:hangingChars="392"/>
        <w:rPr>
          <w:rFonts w:ascii="宋体" w:hAnsi="宋体" w:cs="宋体"/>
          <w:szCs w:val="21"/>
          <w:highlight w:val="none"/>
        </w:rPr>
      </w:pPr>
      <w:r>
        <w:rPr>
          <w:rFonts w:ascii="宋体" w:hAnsi="宋体" w:cs="宋体"/>
          <w:szCs w:val="21"/>
          <w:highlight w:val="none"/>
        </w:rPr>
        <w:t>26.4    磋商结束后，磋商小组要求所有实质性响应的供应商在规定时间内在线提交最后报价。最后报价是供应商响应文件的有效组成部分。</w:t>
      </w:r>
    </w:p>
    <w:p w14:paraId="48DBEE47">
      <w:pPr>
        <w:snapToGrid w:val="0"/>
        <w:spacing w:line="360" w:lineRule="auto"/>
        <w:ind w:left="823" w:hanging="823" w:hangingChars="392"/>
        <w:rPr>
          <w:rFonts w:ascii="宋体" w:hAnsi="宋体" w:cs="宋体"/>
          <w:szCs w:val="21"/>
          <w:highlight w:val="none"/>
        </w:rPr>
      </w:pPr>
      <w:r>
        <w:rPr>
          <w:rFonts w:ascii="宋体" w:hAnsi="宋体" w:cs="宋体"/>
          <w:szCs w:val="21"/>
          <w:highlight w:val="none"/>
        </w:rPr>
        <w:t>26.5    如磋商小组一致认为某个磋商供应商的报价明显不合理，有降低服务质量、不能诚信履行及不正当竞争的可能时，磋商小组有权通知磋商供应商限期进行解释。若该磋商供应商未在规定期限内做出解释，或做出的解释不合理并拒绝改变，经磋商小组取得一致意见后，可确定拒绝该报价。</w:t>
      </w:r>
    </w:p>
    <w:p w14:paraId="7F420546">
      <w:pPr>
        <w:snapToGrid w:val="0"/>
        <w:spacing w:line="360" w:lineRule="auto"/>
        <w:ind w:left="823" w:hanging="823" w:hangingChars="392"/>
        <w:rPr>
          <w:rFonts w:ascii="宋体" w:hAnsi="宋体" w:cs="宋体"/>
          <w:szCs w:val="21"/>
          <w:highlight w:val="none"/>
        </w:rPr>
      </w:pPr>
      <w:r>
        <w:rPr>
          <w:rFonts w:ascii="宋体" w:hAnsi="宋体" w:cs="宋体"/>
          <w:szCs w:val="21"/>
          <w:highlight w:val="none"/>
        </w:rPr>
        <w:t>26.6    经磋商确定最终采购需求和提交最后报价的供应商后，由磋商小组采用综合评分法对提交最后报价的供应商的响应文件和最后报价进行综合评分。</w:t>
      </w:r>
    </w:p>
    <w:p w14:paraId="42B74739">
      <w:pPr>
        <w:numPr>
          <w:ilvl w:val="0"/>
          <w:numId w:val="12"/>
        </w:numPr>
        <w:spacing w:line="360" w:lineRule="auto"/>
        <w:outlineLvl w:val="2"/>
        <w:rPr>
          <w:rFonts w:ascii="宋体" w:hAnsi="宋体" w:cs="宋体"/>
          <w:b/>
          <w:sz w:val="24"/>
          <w:szCs w:val="22"/>
          <w:highlight w:val="none"/>
        </w:rPr>
      </w:pPr>
      <w:bookmarkStart w:id="260" w:name="_Toc29723"/>
      <w:bookmarkStart w:id="261" w:name="_Toc6911"/>
      <w:bookmarkStart w:id="262" w:name="_Toc27456"/>
      <w:bookmarkStart w:id="263" w:name="_Toc19705"/>
      <w:bookmarkStart w:id="264" w:name="_Toc20307"/>
      <w:r>
        <w:rPr>
          <w:rFonts w:ascii="宋体" w:hAnsi="宋体" w:cs="宋体"/>
          <w:b/>
          <w:highlight w:val="none"/>
        </w:rPr>
        <w:t>评审</w:t>
      </w:r>
      <w:bookmarkEnd w:id="260"/>
      <w:bookmarkEnd w:id="261"/>
      <w:bookmarkEnd w:id="262"/>
      <w:bookmarkEnd w:id="263"/>
      <w:bookmarkEnd w:id="264"/>
      <w:r>
        <w:rPr>
          <w:rFonts w:ascii="宋体" w:hAnsi="宋体" w:cs="宋体"/>
          <w:b/>
          <w:sz w:val="24"/>
          <w:szCs w:val="22"/>
          <w:highlight w:val="none"/>
        </w:rPr>
        <w:t xml:space="preserve"> </w:t>
      </w:r>
    </w:p>
    <w:p w14:paraId="77274448">
      <w:pPr>
        <w:numPr>
          <w:ilvl w:val="1"/>
          <w:numId w:val="12"/>
        </w:numPr>
        <w:tabs>
          <w:tab w:val="left" w:pos="0"/>
        </w:tabs>
        <w:snapToGrid w:val="0"/>
        <w:spacing w:line="360" w:lineRule="auto"/>
        <w:rPr>
          <w:rFonts w:ascii="宋体" w:hAnsi="宋体" w:cs="宋体"/>
          <w:highlight w:val="none"/>
        </w:rPr>
      </w:pPr>
      <w:bookmarkStart w:id="265" w:name="OLE_LINK30"/>
      <w:r>
        <w:rPr>
          <w:rFonts w:ascii="宋体" w:hAnsi="宋体" w:cs="宋体"/>
          <w:highlight w:val="none"/>
        </w:rPr>
        <w:t>资格性检查：采购人或代理机构根据法律法规和磋商文件的规定，检查响应文件提供的资格证明文件是否齐全、是否满足磋商文件的要求。</w:t>
      </w:r>
    </w:p>
    <w:p w14:paraId="47554535">
      <w:pPr>
        <w:numPr>
          <w:ilvl w:val="1"/>
          <w:numId w:val="12"/>
        </w:numPr>
        <w:tabs>
          <w:tab w:val="left" w:pos="0"/>
        </w:tabs>
        <w:snapToGrid w:val="0"/>
        <w:spacing w:line="360" w:lineRule="auto"/>
        <w:rPr>
          <w:rFonts w:ascii="宋体" w:hAnsi="宋体" w:cs="宋体"/>
          <w:szCs w:val="22"/>
          <w:highlight w:val="none"/>
        </w:rPr>
      </w:pPr>
      <w:r>
        <w:rPr>
          <w:rFonts w:ascii="宋体" w:hAnsi="宋体" w:cs="宋体"/>
          <w:szCs w:val="22"/>
          <w:highlight w:val="none"/>
        </w:rPr>
        <w:t>符合性检查</w:t>
      </w:r>
      <w:bookmarkEnd w:id="265"/>
      <w:r>
        <w:rPr>
          <w:rFonts w:ascii="宋体" w:hAnsi="宋体" w:cs="宋体"/>
          <w:szCs w:val="22"/>
          <w:highlight w:val="none"/>
        </w:rPr>
        <w:t>：磋商小组对符合资格的供应商进行符合性审查，以确定是否对磋商文件的实质性要求作出响应。</w:t>
      </w:r>
    </w:p>
    <w:p w14:paraId="7F916D27">
      <w:pPr>
        <w:numPr>
          <w:ilvl w:val="1"/>
          <w:numId w:val="12"/>
        </w:numPr>
        <w:tabs>
          <w:tab w:val="left" w:pos="0"/>
        </w:tabs>
        <w:snapToGrid w:val="0"/>
        <w:spacing w:line="360" w:lineRule="auto"/>
        <w:rPr>
          <w:rFonts w:ascii="宋体" w:hAnsi="宋体" w:cs="宋体"/>
          <w:szCs w:val="22"/>
          <w:highlight w:val="none"/>
        </w:rPr>
      </w:pPr>
      <w:r>
        <w:rPr>
          <w:rFonts w:ascii="宋体" w:hAnsi="宋体" w:cs="宋体"/>
          <w:szCs w:val="22"/>
          <w:highlight w:val="none"/>
        </w:rPr>
        <w:t>▲在评审过程中，响应文件出现但不限于下列情况，按照无效报价处理：</w:t>
      </w:r>
    </w:p>
    <w:p w14:paraId="7B6427C1">
      <w:pPr>
        <w:numPr>
          <w:ilvl w:val="0"/>
          <w:numId w:val="17"/>
        </w:numPr>
        <w:tabs>
          <w:tab w:val="left" w:pos="1060"/>
        </w:tabs>
        <w:spacing w:line="360" w:lineRule="auto"/>
        <w:ind w:left="1045" w:hanging="405"/>
        <w:rPr>
          <w:rFonts w:ascii="宋体" w:hAnsi="宋体" w:cs="宋体"/>
          <w:szCs w:val="21"/>
          <w:highlight w:val="none"/>
        </w:rPr>
      </w:pPr>
      <w:r>
        <w:rPr>
          <w:rFonts w:hint="eastAsia" w:ascii="宋体" w:hAnsi="宋体" w:cs="宋体"/>
          <w:szCs w:val="21"/>
          <w:highlight w:val="none"/>
          <w:lang w:eastAsia="zh-CN"/>
        </w:rPr>
        <w:t>报价不是固定的或超过预算金额的或超过最高限价的</w:t>
      </w:r>
      <w:r>
        <w:rPr>
          <w:rFonts w:ascii="宋体" w:hAnsi="宋体" w:cs="宋体"/>
          <w:szCs w:val="21"/>
          <w:highlight w:val="none"/>
        </w:rPr>
        <w:t>；</w:t>
      </w:r>
    </w:p>
    <w:p w14:paraId="39147426">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未在报价时限内提交最后报价的；</w:t>
      </w:r>
    </w:p>
    <w:p w14:paraId="7679C3DD">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磋商小组认为响应文件未实质性响应磋商文件的要求的；</w:t>
      </w:r>
    </w:p>
    <w:p w14:paraId="4321863D">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报价不是固定的或超过最高限价的；</w:t>
      </w:r>
    </w:p>
    <w:p w14:paraId="1C3AEE4B">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在报价评审中，发现价格计算有误，又不接受磋商小组修正的报价；</w:t>
      </w:r>
    </w:p>
    <w:p w14:paraId="55BA8920">
      <w:pPr>
        <w:numPr>
          <w:ilvl w:val="0"/>
          <w:numId w:val="17"/>
        </w:numPr>
        <w:tabs>
          <w:tab w:val="left" w:pos="1060"/>
        </w:tabs>
        <w:spacing w:line="360" w:lineRule="auto"/>
        <w:ind w:left="1045" w:hanging="405"/>
        <w:rPr>
          <w:rFonts w:ascii="宋体" w:hAnsi="宋体" w:cs="宋体"/>
          <w:highlight w:val="none"/>
        </w:rPr>
      </w:pPr>
      <w:r>
        <w:rPr>
          <w:rFonts w:ascii="宋体" w:hAnsi="宋体" w:cs="宋体"/>
          <w:highlight w:val="none"/>
        </w:rPr>
        <w:t>未提供中小型企业声明函或磋商供应商不属于中小型企业的</w:t>
      </w:r>
      <w:r>
        <w:rPr>
          <w:rFonts w:hint="eastAsia" w:ascii="宋体" w:hAnsi="宋体" w:cs="宋体"/>
          <w:highlight w:val="none"/>
          <w:lang w:eastAsia="zh-CN"/>
        </w:rPr>
        <w:t>；</w:t>
      </w:r>
    </w:p>
    <w:p w14:paraId="4D994634">
      <w:pPr>
        <w:numPr>
          <w:ilvl w:val="0"/>
          <w:numId w:val="17"/>
        </w:numPr>
        <w:tabs>
          <w:tab w:val="left" w:pos="1060"/>
        </w:tabs>
        <w:spacing w:line="360" w:lineRule="auto"/>
        <w:ind w:left="1045" w:hanging="405"/>
        <w:rPr>
          <w:rFonts w:ascii="宋体" w:hAnsi="宋体" w:cs="宋体"/>
          <w:highlight w:val="none"/>
        </w:rPr>
      </w:pPr>
      <w:r>
        <w:rPr>
          <w:rFonts w:ascii="宋体" w:hAnsi="宋体" w:cs="宋体"/>
          <w:szCs w:val="21"/>
          <w:highlight w:val="none"/>
        </w:rPr>
        <w:t>不具备磋商文件中规定资格要求的；</w:t>
      </w:r>
    </w:p>
    <w:p w14:paraId="5DADACE5">
      <w:pPr>
        <w:numPr>
          <w:ilvl w:val="0"/>
          <w:numId w:val="17"/>
        </w:numPr>
        <w:tabs>
          <w:tab w:val="left" w:pos="1060"/>
        </w:tabs>
        <w:spacing w:line="360" w:lineRule="auto"/>
        <w:ind w:left="1045" w:hanging="405"/>
        <w:rPr>
          <w:rFonts w:ascii="宋体" w:hAnsi="宋体" w:cs="宋体"/>
          <w:b w:val="0"/>
          <w:bCs w:val="0"/>
          <w:highlight w:val="none"/>
        </w:rPr>
      </w:pPr>
      <w:r>
        <w:rPr>
          <w:rFonts w:ascii="宋体" w:hAnsi="宋体" w:cs="宋体"/>
          <w:b w:val="0"/>
          <w:bCs w:val="0"/>
          <w:highlight w:val="none"/>
        </w:rPr>
        <w:t>未按规定提供关于满足《中华人民共和国政府采购法》第二十二条规定的承诺函的；</w:t>
      </w:r>
    </w:p>
    <w:p w14:paraId="00AAD938">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投标截止时间止，供应商仅递交了“备份响应文件”而未将电子加密投标文件上传至“政府采购云平台”的；</w:t>
      </w:r>
    </w:p>
    <w:p w14:paraId="453BF9BE">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电子响应文件解密失败的，且未在规定时间内提交备份响应文件的；</w:t>
      </w:r>
    </w:p>
    <w:p w14:paraId="495D48E3">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资格性审查</w:t>
      </w:r>
      <w:r>
        <w:rPr>
          <w:rFonts w:ascii="宋体" w:hAnsi="宋体" w:cs="宋体"/>
          <w:highlight w:val="none"/>
        </w:rPr>
        <w:t>、符合性审查不符合要求的；</w:t>
      </w:r>
    </w:p>
    <w:p w14:paraId="44281670">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存在串标、抬标或弄虚作假情况的；</w:t>
      </w:r>
    </w:p>
    <w:p w14:paraId="081050FD">
      <w:pPr>
        <w:numPr>
          <w:ilvl w:val="0"/>
          <w:numId w:val="17"/>
        </w:numPr>
        <w:tabs>
          <w:tab w:val="left" w:pos="1060"/>
        </w:tabs>
        <w:spacing w:line="360" w:lineRule="auto"/>
        <w:ind w:left="1045" w:hanging="405"/>
        <w:rPr>
          <w:rFonts w:ascii="宋体" w:hAnsi="宋体" w:cs="宋体"/>
          <w:b w:val="0"/>
          <w:bCs w:val="0"/>
          <w:szCs w:val="21"/>
          <w:highlight w:val="none"/>
        </w:rPr>
      </w:pPr>
      <w:r>
        <w:rPr>
          <w:rFonts w:ascii="宋体" w:hAnsi="宋体" w:cs="宋体"/>
          <w:b w:val="0"/>
          <w:bCs w:val="0"/>
          <w:szCs w:val="21"/>
          <w:highlight w:val="none"/>
        </w:rPr>
        <w:t>磋商响应文件中需签字或盖章的地方未加盖磋商供应商单位全称的电子签章，或使用投标专用章、合同章等类似图章代替，或未经法定代表人或其委托代理人签字或盖章；</w:t>
      </w:r>
      <w:r>
        <w:rPr>
          <w:rFonts w:ascii="宋体" w:hAnsi="宋体" w:cs="宋体"/>
          <w:b w:val="0"/>
          <w:bCs w:val="0"/>
          <w:highlight w:val="none"/>
        </w:rPr>
        <w:t xml:space="preserve"> </w:t>
      </w:r>
    </w:p>
    <w:p w14:paraId="73F783B9">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磋商响应文件存在一个或一个以上备选（替代）投标方案的；</w:t>
      </w:r>
    </w:p>
    <w:p w14:paraId="21703407">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在磋商结束前，磋商供应商发生重大变化或变更，未及时告知采购人或不再具备磋商文件规定的资格条件或者其投标影响招标公正性的；</w:t>
      </w:r>
    </w:p>
    <w:p w14:paraId="78C2AF69">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磋商小组认为磋商供应商的报价明显低于其他通过符合性审查供应商的报价，有可能影响产品质量或者不能诚信履约的，应当要求其在规定时间内作出书面说明，必要时提交相关证明材料，供应商不能证明其报价合理性的；</w:t>
      </w:r>
    </w:p>
    <w:p w14:paraId="724B984E">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不是法定代表人未在磋商响应文件中提供有效法定代表人授权委托书的；</w:t>
      </w:r>
    </w:p>
    <w:p w14:paraId="4144F9E8">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bCs/>
          <w:szCs w:val="21"/>
          <w:highlight w:val="none"/>
        </w:rPr>
        <w:t>被列入失信被执行人、重大税收违法案件当事人名单、政府采购严重违法失信行为记录名单的；</w:t>
      </w:r>
    </w:p>
    <w:p w14:paraId="6423F69D">
      <w:pPr>
        <w:numPr>
          <w:ilvl w:val="0"/>
          <w:numId w:val="17"/>
        </w:numPr>
        <w:tabs>
          <w:tab w:val="left" w:pos="1060"/>
        </w:tabs>
        <w:spacing w:line="360" w:lineRule="auto"/>
        <w:ind w:left="1045" w:hanging="405"/>
        <w:rPr>
          <w:rFonts w:ascii="宋体" w:hAnsi="宋体" w:cs="宋体"/>
          <w:szCs w:val="21"/>
          <w:highlight w:val="none"/>
        </w:rPr>
      </w:pPr>
      <w:r>
        <w:rPr>
          <w:rFonts w:ascii="宋体" w:hAnsi="宋体" w:cs="宋体"/>
          <w:szCs w:val="21"/>
          <w:highlight w:val="none"/>
        </w:rPr>
        <w:t>不符合法律、法规和磋商文件中规定的其他实质性要求的。</w:t>
      </w:r>
    </w:p>
    <w:p w14:paraId="29E3487E">
      <w:pPr>
        <w:numPr>
          <w:ilvl w:val="1"/>
          <w:numId w:val="12"/>
        </w:numPr>
        <w:tabs>
          <w:tab w:val="left" w:pos="0"/>
        </w:tabs>
        <w:snapToGrid w:val="0"/>
        <w:spacing w:line="360" w:lineRule="auto"/>
        <w:rPr>
          <w:rFonts w:ascii="宋体" w:hAnsi="宋体" w:cs="宋体"/>
          <w:szCs w:val="22"/>
          <w:highlight w:val="none"/>
        </w:rPr>
      </w:pPr>
      <w:r>
        <w:rPr>
          <w:rFonts w:ascii="宋体" w:hAnsi="宋体" w:cs="宋体"/>
          <w:szCs w:val="22"/>
          <w:highlight w:val="none"/>
        </w:rPr>
        <w:t>提供相同品牌产品且通过资格审查、符合性审查的不同投标人参加同一合同项下投标的，按一家投标人计算，评审后得分最高的同品牌磋商供应商获得成交供应商推荐资格；评审得分相同的，按以下规定确定一个磋商供应商获得成交供应商推荐资格：评审得分相同的，按照投标报价由低到高顺序推荐；评审得分且投标报价相同的，由磋商小组按照商务技术得分由高到低顺序推荐；评审得分、投标报价及商务技术得分均相同时，以政采云响应文件解密先后顺序确定。其他同品牌磋商供应商不作为成交候选人。若项目为非单一产品采购项目，采购人根据项目技术构成、产品价格比重等确定核心产品，并在磋商文件第三部分采购清单中注明。核心产品的数量确定为多个时,所有核心产品均为相同品牌才视为核心产品品牌相同。多家磋商供应商提供的核心产品品牌相同的，按上述规定处理。</w:t>
      </w:r>
    </w:p>
    <w:p w14:paraId="2C8CFF6C">
      <w:pPr>
        <w:numPr>
          <w:ilvl w:val="1"/>
          <w:numId w:val="12"/>
        </w:numPr>
        <w:tabs>
          <w:tab w:val="left" w:pos="0"/>
        </w:tabs>
        <w:snapToGrid w:val="0"/>
        <w:spacing w:line="360" w:lineRule="auto"/>
        <w:rPr>
          <w:rFonts w:ascii="宋体" w:hAnsi="宋体" w:cs="宋体"/>
          <w:szCs w:val="22"/>
          <w:highlight w:val="none"/>
        </w:rPr>
      </w:pPr>
      <w:r>
        <w:rPr>
          <w:rFonts w:ascii="宋体" w:hAnsi="宋体" w:cs="宋体"/>
          <w:szCs w:val="22"/>
          <w:highlight w:val="none"/>
        </w:rPr>
        <w:t xml:space="preserve">澄清有关问题： </w:t>
      </w:r>
    </w:p>
    <w:p w14:paraId="17F93095">
      <w:pPr>
        <w:snapToGrid w:val="0"/>
        <w:spacing w:line="360" w:lineRule="auto"/>
        <w:ind w:left="837" w:hanging="837" w:hangingChars="399"/>
        <w:rPr>
          <w:rFonts w:ascii="宋体" w:hAnsi="宋体" w:cs="宋体"/>
          <w:snapToGrid w:val="0"/>
          <w:szCs w:val="21"/>
          <w:highlight w:val="none"/>
        </w:rPr>
      </w:pPr>
      <w:r>
        <w:rPr>
          <w:rFonts w:ascii="宋体" w:hAnsi="宋体" w:cs="宋体"/>
          <w:snapToGrid w:val="0"/>
          <w:szCs w:val="21"/>
          <w:highlight w:val="none"/>
        </w:rPr>
        <w:t>27.5.1  为有助于对响应文件的审核、评价和比较。磋商小组对资格性检查和符合性检查合格的响应文件进行澄清，对响应文件中含义不明确、同类问题表述不一致或者有明显文字和计算错误的内容，</w:t>
      </w:r>
      <w:r>
        <w:rPr>
          <w:rFonts w:ascii="宋体" w:hAnsi="宋体" w:cs="宋体"/>
          <w:b/>
          <w:bCs/>
          <w:szCs w:val="21"/>
          <w:highlight w:val="none"/>
        </w:rPr>
        <w:t>磋商小组将以书面通过“政府采购云平台”在线询标的形式要求磋商供应商在规定的时间内作出必要的澄清、说明或者补正。磋商供应商的澄清、说明或者补正应当采用书面通过通过“政府采购云平台”在线答复形式提交，并加盖</w:t>
      </w:r>
      <w:r>
        <w:rPr>
          <w:rFonts w:ascii="宋体" w:hAnsi="宋体" w:cs="宋体"/>
          <w:b/>
          <w:bCs/>
          <w:highlight w:val="none"/>
        </w:rPr>
        <w:t>电子签章</w:t>
      </w:r>
      <w:r>
        <w:rPr>
          <w:rFonts w:ascii="宋体" w:hAnsi="宋体" w:cs="宋体"/>
          <w:b/>
          <w:bCs/>
          <w:szCs w:val="21"/>
          <w:highlight w:val="none"/>
        </w:rPr>
        <w:t>，或者由法定代表人或其授权的代表签字。</w:t>
      </w:r>
    </w:p>
    <w:p w14:paraId="1A9122E0">
      <w:pPr>
        <w:numPr>
          <w:ilvl w:val="1"/>
          <w:numId w:val="12"/>
        </w:numPr>
        <w:tabs>
          <w:tab w:val="left" w:pos="0"/>
        </w:tabs>
        <w:snapToGrid w:val="0"/>
        <w:spacing w:line="360" w:lineRule="auto"/>
        <w:rPr>
          <w:rFonts w:ascii="宋体" w:hAnsi="宋体" w:cs="宋体"/>
          <w:szCs w:val="22"/>
          <w:highlight w:val="none"/>
        </w:rPr>
      </w:pPr>
      <w:r>
        <w:rPr>
          <w:rFonts w:ascii="宋体" w:hAnsi="宋体" w:cs="宋体"/>
          <w:szCs w:val="22"/>
          <w:highlight w:val="none"/>
        </w:rPr>
        <w:t>磋商</w:t>
      </w:r>
      <w:r>
        <w:rPr>
          <w:rFonts w:ascii="宋体" w:hAnsi="宋体" w:cs="宋体"/>
          <w:snapToGrid w:val="0"/>
          <w:szCs w:val="21"/>
          <w:highlight w:val="none"/>
        </w:rPr>
        <w:t>小组详细分析、核准价格表，看其是否有计算上或累加上的算术错误，并按本磋商文件第六部分“评定办法”中所明确的原则、修正错误的方法，调整响应文件中的投标报价，并确定评标价。调整后的价格对磋商供应商具有约束力。如果磋商供应商不接受修正后的价格，则其投标将被拒绝。</w:t>
      </w:r>
    </w:p>
    <w:p w14:paraId="29B13495">
      <w:pPr>
        <w:numPr>
          <w:ilvl w:val="1"/>
          <w:numId w:val="12"/>
        </w:numPr>
        <w:tabs>
          <w:tab w:val="left" w:pos="0"/>
        </w:tabs>
        <w:snapToGrid w:val="0"/>
        <w:spacing w:line="360" w:lineRule="auto"/>
        <w:rPr>
          <w:rFonts w:ascii="宋体" w:hAnsi="宋体" w:cs="宋体"/>
          <w:szCs w:val="22"/>
          <w:highlight w:val="none"/>
        </w:rPr>
      </w:pPr>
      <w:r>
        <w:rPr>
          <w:rFonts w:ascii="宋体" w:hAnsi="宋体" w:cs="宋体"/>
          <w:szCs w:val="22"/>
          <w:highlight w:val="none"/>
        </w:rPr>
        <w:t xml:space="preserve">比较与评价：磋商小组按磋商文件中规定的评审方法和标准，对资格性检查和符合性检查合格的响应文件进行比较和评价；磋商小组对响应文件的判定，只依据响应文件内容本身，不依据任何外来证明。   </w:t>
      </w:r>
    </w:p>
    <w:p w14:paraId="63ECE15A">
      <w:pPr>
        <w:numPr>
          <w:ilvl w:val="1"/>
          <w:numId w:val="12"/>
        </w:numPr>
        <w:tabs>
          <w:tab w:val="left" w:pos="0"/>
        </w:tabs>
        <w:snapToGrid w:val="0"/>
        <w:spacing w:line="360" w:lineRule="auto"/>
        <w:rPr>
          <w:rFonts w:ascii="宋体" w:hAnsi="宋体" w:cs="宋体"/>
          <w:szCs w:val="22"/>
          <w:highlight w:val="none"/>
        </w:rPr>
      </w:pPr>
      <w:r>
        <w:rPr>
          <w:rFonts w:ascii="宋体" w:hAnsi="宋体" w:cs="宋体"/>
          <w:szCs w:val="22"/>
          <w:highlight w:val="none"/>
        </w:rPr>
        <w:t>磋商小组认为供应商的报价明显低于其他通过符合性审查供应商的报价，有可能影响产品质量或者不能诚信履约的，</w:t>
      </w:r>
      <w:r>
        <w:rPr>
          <w:rFonts w:ascii="宋体" w:hAnsi="宋体" w:cs="宋体"/>
          <w:szCs w:val="21"/>
          <w:highlight w:val="none"/>
        </w:rPr>
        <w:t>磋商小组有权通知磋商供应商限期进行解释。若该磋商供应商未在规定期限内做出解释，或做出的解释不合理并拒绝改变，经磋商小组取得一致意见后，可确定拒绝该报价。</w:t>
      </w:r>
    </w:p>
    <w:p w14:paraId="608822F0">
      <w:pPr>
        <w:numPr>
          <w:ilvl w:val="1"/>
          <w:numId w:val="12"/>
        </w:numPr>
        <w:tabs>
          <w:tab w:val="left" w:pos="0"/>
        </w:tabs>
        <w:snapToGrid w:val="0"/>
        <w:spacing w:line="360" w:lineRule="auto"/>
        <w:rPr>
          <w:rFonts w:ascii="宋体" w:hAnsi="宋体" w:cs="宋体"/>
          <w:szCs w:val="22"/>
          <w:highlight w:val="none"/>
        </w:rPr>
      </w:pPr>
      <w:r>
        <w:rPr>
          <w:rFonts w:ascii="宋体" w:hAnsi="宋体" w:cs="宋体"/>
          <w:szCs w:val="22"/>
          <w:highlight w:val="none"/>
        </w:rPr>
        <w:t>经磋商确定最终采购需求和提交最后报价的供应商后，由磋商小组采用综合评分法对提交最后报价的供应商的响应文件和最后报价进行综合评分。</w:t>
      </w:r>
    </w:p>
    <w:p w14:paraId="7367B8D4">
      <w:pPr>
        <w:numPr>
          <w:ilvl w:val="1"/>
          <w:numId w:val="12"/>
        </w:numPr>
        <w:tabs>
          <w:tab w:val="left" w:pos="0"/>
        </w:tabs>
        <w:snapToGrid w:val="0"/>
        <w:spacing w:line="360" w:lineRule="auto"/>
        <w:rPr>
          <w:rFonts w:ascii="宋体" w:hAnsi="宋体" w:cs="宋体"/>
          <w:szCs w:val="22"/>
          <w:highlight w:val="none"/>
        </w:rPr>
      </w:pPr>
      <w:r>
        <w:rPr>
          <w:rFonts w:ascii="宋体" w:hAnsi="宋体" w:cs="宋体"/>
          <w:szCs w:val="22"/>
          <w:highlight w:val="none"/>
        </w:rPr>
        <w:t>磋商小组根据综合评分情况，按照评审总得分由高到低顺序推荐成交候选供应商，并编写评审报告。评审总得分相同的，按照最后报价由低到高顺序排列；评审总得分且最后报价相同的，由磋商小组按照商务技术得分由高到低顺序推荐；评审总得分、最后报价及商务技术得分均相同时，以政采云响应文件解密先后顺序确定。</w:t>
      </w:r>
    </w:p>
    <w:p w14:paraId="3E71B910">
      <w:pPr>
        <w:numPr>
          <w:ilvl w:val="0"/>
          <w:numId w:val="12"/>
        </w:numPr>
        <w:spacing w:line="360" w:lineRule="auto"/>
        <w:outlineLvl w:val="2"/>
        <w:rPr>
          <w:rFonts w:ascii="宋体" w:hAnsi="宋体" w:cs="宋体"/>
          <w:b/>
          <w:highlight w:val="none"/>
        </w:rPr>
      </w:pPr>
      <w:bookmarkStart w:id="266" w:name="_Toc4489"/>
      <w:bookmarkStart w:id="267" w:name="_Toc30863"/>
      <w:bookmarkStart w:id="268" w:name="_Toc11620"/>
      <w:bookmarkStart w:id="269" w:name="_Toc27061"/>
      <w:bookmarkStart w:id="270" w:name="_Toc20231"/>
      <w:r>
        <w:rPr>
          <w:rFonts w:ascii="宋体" w:hAnsi="宋体" w:cs="宋体"/>
          <w:b/>
          <w:highlight w:val="none"/>
        </w:rPr>
        <w:t>成交供应商的确定</w:t>
      </w:r>
      <w:bookmarkEnd w:id="266"/>
      <w:bookmarkEnd w:id="267"/>
      <w:bookmarkEnd w:id="268"/>
      <w:bookmarkEnd w:id="269"/>
      <w:bookmarkEnd w:id="270"/>
    </w:p>
    <w:p w14:paraId="5F7A4D2D">
      <w:pPr>
        <w:snapToGrid w:val="0"/>
        <w:spacing w:line="360" w:lineRule="auto"/>
        <w:ind w:left="840" w:hanging="840" w:hangingChars="400"/>
        <w:rPr>
          <w:rFonts w:ascii="宋体" w:hAnsi="宋体" w:cs="宋体"/>
          <w:highlight w:val="none"/>
        </w:rPr>
      </w:pPr>
      <w:r>
        <w:rPr>
          <w:rFonts w:ascii="宋体" w:hAnsi="宋体" w:cs="宋体"/>
          <w:highlight w:val="none"/>
        </w:rPr>
        <w:t>28.1    采购机构按磋商小组的评审结果，确定第一成交预选供应商为成交供应商，当第一成交预选供应商因故不能成交时，可以确定第二成交预选供应商为成交供应商，以此类推。</w:t>
      </w:r>
    </w:p>
    <w:p w14:paraId="58323783">
      <w:pPr>
        <w:snapToGrid w:val="0"/>
        <w:spacing w:line="360" w:lineRule="auto"/>
        <w:ind w:left="840" w:hanging="840" w:hangingChars="400"/>
        <w:rPr>
          <w:rFonts w:ascii="宋体" w:hAnsi="宋体" w:cs="宋体"/>
          <w:highlight w:val="none"/>
        </w:rPr>
      </w:pPr>
      <w:r>
        <w:rPr>
          <w:rFonts w:ascii="宋体" w:hAnsi="宋体" w:cs="宋体"/>
          <w:highlight w:val="none"/>
        </w:rPr>
        <w:t>28.2    采购代理机构在成交供应商确定后2个工作日内，在“温州市公共资源交易网—瑞安市分网”</w:t>
      </w:r>
      <w:r>
        <w:rPr>
          <w:rFonts w:ascii="宋体" w:hAnsi="宋体" w:cs="宋体"/>
          <w:szCs w:val="22"/>
          <w:highlight w:val="none"/>
        </w:rPr>
        <w:t>（www.ruian.gov.cn）</w:t>
      </w:r>
      <w:r>
        <w:rPr>
          <w:rFonts w:ascii="宋体" w:hAnsi="宋体" w:cs="宋体"/>
          <w:highlight w:val="none"/>
        </w:rPr>
        <w:t>及“浙江政府采购网”</w:t>
      </w:r>
      <w:r>
        <w:rPr>
          <w:rFonts w:ascii="宋体" w:hAnsi="宋体" w:cs="宋体"/>
          <w:szCs w:val="22"/>
          <w:highlight w:val="none"/>
        </w:rPr>
        <w:t>（zfcg.czt.zj.gov.cn/）</w:t>
      </w:r>
      <w:r>
        <w:rPr>
          <w:rFonts w:ascii="宋体" w:hAnsi="宋体" w:cs="宋体"/>
          <w:highlight w:val="none"/>
        </w:rPr>
        <w:t>发布成交结果公告，同时向成交供应商发出成交通知书。</w:t>
      </w:r>
    </w:p>
    <w:p w14:paraId="1DA7E491">
      <w:pPr>
        <w:numPr>
          <w:ilvl w:val="0"/>
          <w:numId w:val="12"/>
        </w:numPr>
        <w:spacing w:line="360" w:lineRule="auto"/>
        <w:outlineLvl w:val="2"/>
        <w:rPr>
          <w:rFonts w:ascii="宋体" w:hAnsi="宋体" w:cs="宋体"/>
          <w:b/>
          <w:highlight w:val="none"/>
        </w:rPr>
      </w:pPr>
      <w:bookmarkStart w:id="271" w:name="_Toc26658"/>
      <w:bookmarkStart w:id="272" w:name="_Toc30058"/>
      <w:bookmarkStart w:id="273" w:name="_Toc4070"/>
      <w:bookmarkStart w:id="274" w:name="_Toc5669"/>
      <w:bookmarkStart w:id="275" w:name="_Toc4528"/>
      <w:r>
        <w:rPr>
          <w:rFonts w:ascii="宋体" w:hAnsi="宋体" w:cs="宋体"/>
          <w:b/>
          <w:highlight w:val="none"/>
        </w:rPr>
        <w:t>评标过程保密</w:t>
      </w:r>
      <w:bookmarkEnd w:id="271"/>
      <w:bookmarkEnd w:id="272"/>
      <w:bookmarkEnd w:id="273"/>
      <w:bookmarkEnd w:id="274"/>
      <w:bookmarkEnd w:id="275"/>
    </w:p>
    <w:p w14:paraId="3FF5097E">
      <w:pPr>
        <w:snapToGrid w:val="0"/>
        <w:spacing w:line="360" w:lineRule="auto"/>
        <w:ind w:left="840" w:hanging="840" w:hangingChars="400"/>
        <w:rPr>
          <w:rFonts w:ascii="宋体" w:hAnsi="宋体" w:cs="宋体"/>
          <w:highlight w:val="none"/>
        </w:rPr>
      </w:pPr>
      <w:r>
        <w:rPr>
          <w:rFonts w:ascii="宋体" w:hAnsi="宋体" w:cs="宋体"/>
          <w:highlight w:val="none"/>
        </w:rPr>
        <w:t>29.1    磋商之后，直到授予磋商供应商合同止，凡是属于审查、澄清、评价和比较磋商的有关资料以及授标意向等，均不得向磋商供应商或其他无关的人员透露。</w:t>
      </w:r>
    </w:p>
    <w:p w14:paraId="1D1E14BF">
      <w:pPr>
        <w:numPr>
          <w:ilvl w:val="0"/>
          <w:numId w:val="12"/>
        </w:numPr>
        <w:spacing w:line="360" w:lineRule="auto"/>
        <w:outlineLvl w:val="2"/>
        <w:rPr>
          <w:rFonts w:ascii="宋体" w:hAnsi="宋体" w:cs="宋体"/>
          <w:b/>
          <w:highlight w:val="none"/>
        </w:rPr>
      </w:pPr>
      <w:bookmarkStart w:id="276" w:name="_Toc12275"/>
      <w:bookmarkStart w:id="277" w:name="_Toc24591"/>
      <w:bookmarkStart w:id="278" w:name="_Toc12540"/>
      <w:bookmarkStart w:id="279" w:name="_Toc1384"/>
      <w:bookmarkStart w:id="280" w:name="_Toc16469"/>
      <w:r>
        <w:rPr>
          <w:rFonts w:ascii="宋体" w:hAnsi="宋体" w:cs="宋体"/>
          <w:b/>
          <w:highlight w:val="none"/>
        </w:rPr>
        <w:t>否决任何或所有磋商的权利</w:t>
      </w:r>
      <w:bookmarkEnd w:id="276"/>
      <w:bookmarkEnd w:id="277"/>
      <w:bookmarkEnd w:id="278"/>
      <w:bookmarkEnd w:id="279"/>
      <w:bookmarkEnd w:id="280"/>
    </w:p>
    <w:p w14:paraId="744E0FD2">
      <w:pPr>
        <w:snapToGrid w:val="0"/>
        <w:spacing w:line="360" w:lineRule="auto"/>
        <w:rPr>
          <w:rFonts w:ascii="宋体" w:hAnsi="宋体" w:cs="宋体"/>
          <w:highlight w:val="none"/>
        </w:rPr>
      </w:pPr>
      <w:r>
        <w:rPr>
          <w:rFonts w:ascii="宋体" w:hAnsi="宋体" w:cs="宋体"/>
          <w:highlight w:val="none"/>
        </w:rPr>
        <w:t>30.1    磋商小组经评审，认为所有磋商都不符合磋商文件要求的，可以否决所有磋商。</w:t>
      </w:r>
    </w:p>
    <w:p w14:paraId="2889CB08">
      <w:pPr>
        <w:snapToGrid w:val="0"/>
        <w:spacing w:line="360" w:lineRule="auto"/>
        <w:ind w:left="840" w:hanging="840" w:hangingChars="400"/>
        <w:rPr>
          <w:rFonts w:ascii="宋体" w:hAnsi="宋体" w:cs="宋体"/>
          <w:highlight w:val="none"/>
        </w:rPr>
      </w:pPr>
      <w:r>
        <w:rPr>
          <w:rFonts w:ascii="宋体" w:hAnsi="宋体" w:cs="宋体"/>
          <w:highlight w:val="none"/>
        </w:rPr>
        <w:t>30.2    如果成交预选供应商不能按照磋商文件要求及其磋商响应文件的承诺签订合同或其磋商响应文件与事实不符，影响采购的公平公开及合同的实施，采购人有权在授予合同前任何时候依照法定程序将合同授予成交备选供应商。如果成交备选供应商仍无法签订合同，采购人将依法不接受或拒绝任何磋商，并宣布采购无效，对受影响的磋商供应商不承担任何责任，也无义务向受影响的磋商供应商解释采取这一行动的理由。</w:t>
      </w:r>
    </w:p>
    <w:p w14:paraId="3392F170">
      <w:pPr>
        <w:numPr>
          <w:ilvl w:val="0"/>
          <w:numId w:val="12"/>
        </w:numPr>
        <w:spacing w:line="360" w:lineRule="auto"/>
        <w:outlineLvl w:val="2"/>
        <w:rPr>
          <w:rFonts w:ascii="宋体" w:hAnsi="宋体" w:cs="宋体"/>
          <w:b/>
          <w:highlight w:val="none"/>
        </w:rPr>
      </w:pPr>
      <w:bookmarkStart w:id="281" w:name="_Toc24726"/>
      <w:bookmarkStart w:id="282" w:name="_Toc2511"/>
      <w:bookmarkStart w:id="283" w:name="_Toc32764"/>
      <w:bookmarkStart w:id="284" w:name="_Toc20159"/>
      <w:bookmarkStart w:id="285" w:name="_Toc13704"/>
      <w:r>
        <w:rPr>
          <w:rFonts w:ascii="宋体" w:hAnsi="宋体" w:cs="宋体"/>
          <w:b/>
          <w:highlight w:val="none"/>
        </w:rPr>
        <w:t>质疑与投诉</w:t>
      </w:r>
      <w:bookmarkEnd w:id="281"/>
      <w:bookmarkEnd w:id="282"/>
      <w:bookmarkEnd w:id="283"/>
      <w:bookmarkEnd w:id="284"/>
      <w:bookmarkEnd w:id="285"/>
    </w:p>
    <w:p w14:paraId="7206B407">
      <w:pPr>
        <w:numPr>
          <w:ilvl w:val="1"/>
          <w:numId w:val="12"/>
        </w:numPr>
        <w:snapToGrid w:val="0"/>
        <w:spacing w:line="360" w:lineRule="auto"/>
        <w:rPr>
          <w:rFonts w:ascii="宋体" w:hAnsi="宋体" w:cs="宋体"/>
          <w:highlight w:val="none"/>
        </w:rPr>
      </w:pPr>
      <w:r>
        <w:rPr>
          <w:rFonts w:hint="eastAsia" w:ascii="宋体" w:hAnsi="宋体" w:eastAsia="宋体" w:cs="宋体"/>
          <w:highlight w:val="none"/>
        </w:rPr>
        <w:t>磋商供应商</w:t>
      </w:r>
      <w:r>
        <w:rPr>
          <w:rFonts w:hint="eastAsia" w:ascii="宋体" w:hAnsi="宋体" w:eastAsia="宋体" w:cs="宋体"/>
          <w:highlight w:val="none"/>
          <w:lang w:val="en-US" w:eastAsia="zh-CN"/>
        </w:rPr>
        <w:t>应</w:t>
      </w:r>
      <w:r>
        <w:rPr>
          <w:rFonts w:hint="eastAsia"/>
          <w:highlight w:val="none"/>
        </w:rPr>
        <w:t>在法定质疑期内一次性提出针对同一采购程序环节的质疑</w:t>
      </w:r>
      <w:r>
        <w:rPr>
          <w:rFonts w:hint="eastAsia"/>
          <w:highlight w:val="none"/>
          <w:lang w:eastAsia="zh-CN"/>
        </w:rPr>
        <w:t>。</w:t>
      </w:r>
    </w:p>
    <w:p w14:paraId="621530B5">
      <w:pPr>
        <w:numPr>
          <w:ilvl w:val="1"/>
          <w:numId w:val="12"/>
        </w:numPr>
        <w:snapToGrid w:val="0"/>
        <w:spacing w:line="360" w:lineRule="auto"/>
        <w:rPr>
          <w:rFonts w:ascii="宋体" w:hAnsi="宋体" w:cs="宋体"/>
          <w:highlight w:val="none"/>
        </w:rPr>
      </w:pPr>
      <w:r>
        <w:rPr>
          <w:rFonts w:ascii="宋体" w:hAnsi="宋体" w:cs="宋体"/>
          <w:highlight w:val="none"/>
        </w:rPr>
        <w:t>磋商供应商认为磋商文件、磋商过程和成交结果使自己的合法权益受到损害的，应当在知道或者应知其权益受到损害之日起七个工作日内，以书面形式向采购人、采购代理机构提出质疑。磋商供应商对采购组织单位的质疑答复不满意或者采购组织单位未在规定时间内作出答复的，可以在答复期满后十五个工作日内向同级采购监管部门投诉。</w:t>
      </w:r>
    </w:p>
    <w:p w14:paraId="2348320F">
      <w:pPr>
        <w:numPr>
          <w:ilvl w:val="1"/>
          <w:numId w:val="12"/>
        </w:numPr>
        <w:snapToGrid w:val="0"/>
        <w:spacing w:line="360" w:lineRule="auto"/>
        <w:rPr>
          <w:rFonts w:ascii="宋体" w:hAnsi="宋体" w:cs="宋体"/>
          <w:szCs w:val="22"/>
          <w:highlight w:val="none"/>
        </w:rPr>
      </w:pPr>
      <w:r>
        <w:rPr>
          <w:rFonts w:ascii="宋体" w:hAnsi="宋体" w:cs="宋体"/>
          <w:szCs w:val="22"/>
          <w:highlight w:val="none"/>
        </w:rPr>
        <w:t>质疑、投诉应当采用书面形式，质疑书、投诉书均应明确阐述磋商文件、磋商过程和成交结果中使自己合法权益受到损害的实质性内容，提供相关事实、依据和证据及其来源或线索，便于有关单位调查、答复和处理。</w:t>
      </w:r>
    </w:p>
    <w:p w14:paraId="117677B9">
      <w:pPr>
        <w:numPr>
          <w:ilvl w:val="0"/>
          <w:numId w:val="18"/>
        </w:numPr>
        <w:tabs>
          <w:tab w:val="left" w:pos="425"/>
          <w:tab w:val="left" w:pos="1133"/>
        </w:tabs>
        <w:spacing w:line="360" w:lineRule="auto"/>
        <w:ind w:left="1453" w:leftChars="392" w:hanging="630" w:hangingChars="300"/>
        <w:rPr>
          <w:rFonts w:ascii="宋体" w:hAnsi="宋体" w:cs="宋体"/>
          <w:highlight w:val="none"/>
        </w:rPr>
      </w:pPr>
      <w:r>
        <w:rPr>
          <w:rFonts w:ascii="宋体" w:hAnsi="宋体" w:cs="宋体"/>
          <w:highlight w:val="none"/>
        </w:rPr>
        <w:t>质疑受理机构：浙江综盛项目管理有限公司</w:t>
      </w:r>
    </w:p>
    <w:p w14:paraId="47A3416A">
      <w:pPr>
        <w:tabs>
          <w:tab w:val="left" w:pos="425"/>
          <w:tab w:val="left" w:pos="1133"/>
        </w:tabs>
        <w:spacing w:line="360" w:lineRule="auto"/>
        <w:ind w:left="1418"/>
        <w:rPr>
          <w:rFonts w:ascii="宋体" w:hAnsi="宋体" w:cs="宋体"/>
          <w:highlight w:val="none"/>
        </w:rPr>
      </w:pPr>
      <w:r>
        <w:rPr>
          <w:rFonts w:ascii="宋体" w:hAnsi="宋体" w:cs="宋体"/>
          <w:highlight w:val="none"/>
        </w:rPr>
        <w:t>受理电话：17826851140，传真：65921160</w:t>
      </w:r>
    </w:p>
    <w:p w14:paraId="40E95320">
      <w:pPr>
        <w:numPr>
          <w:ilvl w:val="0"/>
          <w:numId w:val="18"/>
        </w:numPr>
        <w:tabs>
          <w:tab w:val="left" w:pos="425"/>
          <w:tab w:val="left" w:pos="1133"/>
        </w:tabs>
        <w:spacing w:line="360" w:lineRule="auto"/>
        <w:ind w:left="1453" w:leftChars="392" w:hanging="630" w:hangingChars="300"/>
        <w:rPr>
          <w:rFonts w:ascii="宋体" w:hAnsi="宋体" w:cs="宋体"/>
          <w:highlight w:val="none"/>
        </w:rPr>
      </w:pPr>
      <w:r>
        <w:rPr>
          <w:rFonts w:ascii="宋体" w:hAnsi="宋体" w:cs="宋体"/>
          <w:highlight w:val="none"/>
        </w:rPr>
        <w:t>投诉受理机构：</w:t>
      </w:r>
      <w:r>
        <w:rPr>
          <w:rFonts w:hint="eastAsia" w:ascii="宋体" w:hAnsi="宋体" w:cs="宋体"/>
          <w:highlight w:val="none"/>
          <w:lang w:eastAsia="zh-CN"/>
        </w:rPr>
        <w:t>瑞安市财政局（浙江省政府采购行政裁决服务中心（温州））</w:t>
      </w:r>
    </w:p>
    <w:p w14:paraId="5088C39D">
      <w:pPr>
        <w:tabs>
          <w:tab w:val="left" w:pos="425"/>
          <w:tab w:val="left" w:pos="1133"/>
        </w:tabs>
        <w:spacing w:line="360" w:lineRule="auto"/>
        <w:ind w:left="1418"/>
        <w:rPr>
          <w:rFonts w:hint="eastAsia" w:ascii="宋体" w:hAnsi="宋体" w:eastAsia="宋体" w:cs="宋体"/>
          <w:highlight w:val="none"/>
          <w:lang w:eastAsia="zh-CN"/>
        </w:rPr>
      </w:pPr>
      <w:r>
        <w:rPr>
          <w:rFonts w:ascii="宋体" w:hAnsi="宋体" w:cs="宋体"/>
          <w:highlight w:val="none"/>
        </w:rPr>
        <w:t>投诉地址：</w:t>
      </w:r>
      <w:r>
        <w:rPr>
          <w:rFonts w:hint="eastAsia" w:ascii="宋体" w:hAnsi="宋体" w:cs="宋体"/>
          <w:highlight w:val="none"/>
          <w:lang w:eastAsia="zh-CN"/>
        </w:rPr>
        <w:t>温州市鹿城区滨江街道瓯江路展银大厦1606室</w:t>
      </w:r>
    </w:p>
    <w:p w14:paraId="7CF79AC2">
      <w:pPr>
        <w:tabs>
          <w:tab w:val="left" w:pos="425"/>
          <w:tab w:val="left" w:pos="1133"/>
        </w:tabs>
        <w:spacing w:line="360" w:lineRule="auto"/>
        <w:ind w:left="1418"/>
        <w:rPr>
          <w:rFonts w:ascii="宋体" w:hAnsi="宋体" w:cs="宋体"/>
          <w:highlight w:val="none"/>
        </w:rPr>
      </w:pPr>
      <w:r>
        <w:rPr>
          <w:rFonts w:ascii="宋体" w:hAnsi="宋体" w:cs="宋体"/>
          <w:highlight w:val="none"/>
        </w:rPr>
        <w:t>投诉电话：</w:t>
      </w:r>
      <w:r>
        <w:rPr>
          <w:rFonts w:hint="eastAsia" w:ascii="宋体" w:hAnsi="宋体" w:cs="宋体"/>
          <w:highlight w:val="none"/>
        </w:rPr>
        <w:t>0577-85501561，0577-85501562</w:t>
      </w:r>
    </w:p>
    <w:p w14:paraId="67AC1FF5">
      <w:pPr>
        <w:rPr>
          <w:rFonts w:ascii="宋体" w:hAnsi="宋体" w:cs="宋体"/>
          <w:sz w:val="24"/>
          <w:highlight w:val="none"/>
        </w:rPr>
      </w:pPr>
      <w:bookmarkStart w:id="286" w:name="_Toc27017"/>
      <w:bookmarkStart w:id="287" w:name="_Toc11534"/>
      <w:bookmarkStart w:id="508" w:name="_GoBack"/>
      <w:bookmarkEnd w:id="508"/>
    </w:p>
    <w:p w14:paraId="42D3D419">
      <w:pPr>
        <w:pStyle w:val="13"/>
        <w:rPr>
          <w:highlight w:val="none"/>
        </w:rPr>
      </w:pPr>
    </w:p>
    <w:p w14:paraId="4F2FD8DE">
      <w:pPr>
        <w:rPr>
          <w:highlight w:val="none"/>
        </w:rPr>
      </w:pPr>
      <w:bookmarkStart w:id="288" w:name="_Toc28631"/>
      <w:bookmarkStart w:id="289" w:name="_Toc20783"/>
      <w:bookmarkStart w:id="290" w:name="_Toc18788"/>
    </w:p>
    <w:p w14:paraId="0635BF56">
      <w:pPr>
        <w:rPr>
          <w:highlight w:val="none"/>
        </w:rPr>
      </w:pPr>
    </w:p>
    <w:p w14:paraId="15BDA575">
      <w:pPr>
        <w:tabs>
          <w:tab w:val="left" w:pos="840"/>
        </w:tabs>
        <w:rPr>
          <w:highlight w:val="none"/>
        </w:rPr>
      </w:pPr>
    </w:p>
    <w:p w14:paraId="60BB5C2E">
      <w:pPr>
        <w:pStyle w:val="12"/>
        <w:rPr>
          <w:highlight w:val="none"/>
        </w:rPr>
      </w:pPr>
    </w:p>
    <w:p w14:paraId="48CC01C1">
      <w:pPr>
        <w:rPr>
          <w:highlight w:val="none"/>
        </w:rPr>
      </w:pPr>
    </w:p>
    <w:p w14:paraId="1FB4A6C5">
      <w:pPr>
        <w:rPr>
          <w:highlight w:val="none"/>
        </w:rPr>
      </w:pPr>
    </w:p>
    <w:p w14:paraId="24F754C5">
      <w:pPr>
        <w:pStyle w:val="6"/>
        <w:rPr>
          <w:highlight w:val="none"/>
        </w:rPr>
      </w:pPr>
    </w:p>
    <w:p w14:paraId="065F34CC">
      <w:pPr>
        <w:pStyle w:val="8"/>
        <w:spacing w:before="156" w:beforeLines="50" w:after="156" w:afterLines="50" w:line="360" w:lineRule="auto"/>
        <w:jc w:val="center"/>
        <w:rPr>
          <w:rFonts w:ascii="宋体" w:hAnsi="宋体" w:cs="宋体"/>
          <w:sz w:val="24"/>
          <w:szCs w:val="24"/>
          <w:highlight w:val="none"/>
        </w:rPr>
      </w:pPr>
      <w:bookmarkStart w:id="291" w:name="_Toc13178"/>
      <w:bookmarkStart w:id="292" w:name="_Toc30669"/>
      <w:bookmarkStart w:id="293" w:name="_Toc31522"/>
      <w:r>
        <w:rPr>
          <w:rFonts w:ascii="宋体" w:hAnsi="宋体" w:cs="宋体"/>
          <w:bCs w:val="0"/>
          <w:sz w:val="24"/>
          <w:szCs w:val="24"/>
          <w:highlight w:val="none"/>
        </w:rPr>
        <w:t>（七）授予合同</w:t>
      </w:r>
      <w:bookmarkEnd w:id="286"/>
      <w:bookmarkEnd w:id="287"/>
      <w:bookmarkEnd w:id="288"/>
      <w:bookmarkEnd w:id="289"/>
      <w:bookmarkEnd w:id="290"/>
      <w:bookmarkEnd w:id="291"/>
      <w:bookmarkEnd w:id="292"/>
      <w:bookmarkEnd w:id="293"/>
    </w:p>
    <w:p w14:paraId="072DD6C4">
      <w:pPr>
        <w:numPr>
          <w:ilvl w:val="0"/>
          <w:numId w:val="12"/>
        </w:numPr>
        <w:spacing w:line="360" w:lineRule="auto"/>
        <w:outlineLvl w:val="2"/>
        <w:rPr>
          <w:rFonts w:ascii="宋体" w:hAnsi="宋体" w:cs="宋体"/>
          <w:b/>
          <w:highlight w:val="none"/>
        </w:rPr>
      </w:pPr>
      <w:bookmarkStart w:id="294" w:name="_Toc12586"/>
      <w:bookmarkStart w:id="295" w:name="_Toc15108"/>
      <w:bookmarkStart w:id="296" w:name="_Toc6546"/>
      <w:bookmarkStart w:id="297" w:name="_Toc21812"/>
      <w:bookmarkStart w:id="298" w:name="_Toc8237"/>
      <w:r>
        <w:rPr>
          <w:rFonts w:ascii="宋体" w:hAnsi="宋体" w:cs="宋体"/>
          <w:b/>
          <w:highlight w:val="none"/>
        </w:rPr>
        <w:t>成交通知</w:t>
      </w:r>
      <w:bookmarkEnd w:id="294"/>
      <w:bookmarkEnd w:id="295"/>
      <w:bookmarkEnd w:id="296"/>
      <w:bookmarkEnd w:id="297"/>
      <w:bookmarkEnd w:id="298"/>
    </w:p>
    <w:p w14:paraId="293C8502">
      <w:pPr>
        <w:numPr>
          <w:ilvl w:val="1"/>
          <w:numId w:val="12"/>
        </w:numPr>
        <w:spacing w:line="360" w:lineRule="auto"/>
        <w:rPr>
          <w:rFonts w:ascii="宋体" w:hAnsi="宋体" w:cs="宋体"/>
          <w:szCs w:val="22"/>
          <w:highlight w:val="none"/>
        </w:rPr>
      </w:pPr>
      <w:r>
        <w:rPr>
          <w:highlight w:val="none"/>
        </w:rPr>
        <w:t>在磋商有效期期满之前，采购机构将用书面形式向获接受的成交供应商发出书面的《成交通知书》。《成交通知书》将是合同的一个组成部分。</w:t>
      </w:r>
    </w:p>
    <w:p w14:paraId="7E07B307">
      <w:pPr>
        <w:numPr>
          <w:ilvl w:val="0"/>
          <w:numId w:val="12"/>
        </w:numPr>
        <w:spacing w:line="360" w:lineRule="auto"/>
        <w:outlineLvl w:val="2"/>
        <w:rPr>
          <w:rFonts w:ascii="宋体" w:hAnsi="宋体" w:cs="宋体"/>
          <w:b/>
          <w:highlight w:val="none"/>
        </w:rPr>
      </w:pPr>
      <w:bookmarkStart w:id="299" w:name="_Toc31920"/>
      <w:bookmarkStart w:id="300" w:name="_Toc2503"/>
      <w:bookmarkStart w:id="301" w:name="_Toc2160"/>
      <w:bookmarkStart w:id="302" w:name="_Toc17109"/>
      <w:bookmarkStart w:id="303" w:name="_Toc1340"/>
      <w:r>
        <w:rPr>
          <w:rFonts w:ascii="宋体" w:hAnsi="宋体" w:cs="宋体"/>
          <w:b/>
          <w:highlight w:val="none"/>
        </w:rPr>
        <w:t>签订合同</w:t>
      </w:r>
      <w:bookmarkEnd w:id="299"/>
      <w:bookmarkEnd w:id="300"/>
      <w:bookmarkEnd w:id="301"/>
      <w:bookmarkEnd w:id="302"/>
      <w:bookmarkEnd w:id="303"/>
    </w:p>
    <w:p w14:paraId="63BAF864">
      <w:pPr>
        <w:numPr>
          <w:ilvl w:val="1"/>
          <w:numId w:val="12"/>
        </w:numPr>
        <w:spacing w:line="360" w:lineRule="auto"/>
        <w:rPr>
          <w:highlight w:val="none"/>
        </w:rPr>
      </w:pPr>
      <w:r>
        <w:rPr>
          <w:highlight w:val="none"/>
        </w:rPr>
        <w:t>磋商文件、成交供应商的磋商响应文件及其澄清文件等，均为签订经济合同的依据。成交供应商自发出成交通知书后30天内与采购人签订合同。</w:t>
      </w:r>
    </w:p>
    <w:p w14:paraId="213AACEB">
      <w:pPr>
        <w:numPr>
          <w:ilvl w:val="1"/>
          <w:numId w:val="12"/>
        </w:numPr>
        <w:spacing w:line="360" w:lineRule="auto"/>
        <w:rPr>
          <w:highlight w:val="none"/>
        </w:rPr>
      </w:pPr>
      <w:r>
        <w:rPr>
          <w:highlight w:val="none"/>
        </w:rPr>
        <w:t>成交供应商不遵守磋商文件或磋商书的要约、承诺，擅自修改报价或在发出成交通知书30天内，借故拖延、拒签合同者，采购机构即可消该单位的成交权，另选其它磋商供应商成交。</w:t>
      </w:r>
    </w:p>
    <w:p w14:paraId="3295AF19">
      <w:pPr>
        <w:numPr>
          <w:ilvl w:val="1"/>
          <w:numId w:val="12"/>
        </w:numPr>
        <w:spacing w:line="360" w:lineRule="auto"/>
        <w:rPr>
          <w:highlight w:val="none"/>
        </w:rPr>
      </w:pPr>
      <w:r>
        <w:rPr>
          <w:highlight w:val="none"/>
        </w:rPr>
        <w:t>成交供应商不遵守磋商文件或磋商书的要约、承诺，擅自修改报价或在发出成交通知书后，借故拖延、拒签合同者，采购机构取消其成交资格。</w:t>
      </w:r>
    </w:p>
    <w:p w14:paraId="76DC64E6">
      <w:pPr>
        <w:numPr>
          <w:ilvl w:val="1"/>
          <w:numId w:val="12"/>
        </w:numPr>
        <w:spacing w:line="360" w:lineRule="auto"/>
        <w:rPr>
          <w:highlight w:val="none"/>
        </w:rPr>
      </w:pPr>
      <w:r>
        <w:rPr>
          <w:highlight w:val="none"/>
        </w:rPr>
        <w:t>享受扶持政策获得政府采购合同的，小微企业不得将合同分包给大中型企业，中型企业不得将合同分包给大型企业。</w:t>
      </w:r>
    </w:p>
    <w:p w14:paraId="7E654564">
      <w:pPr>
        <w:numPr>
          <w:ilvl w:val="0"/>
          <w:numId w:val="12"/>
        </w:numPr>
        <w:spacing w:line="360" w:lineRule="auto"/>
        <w:outlineLvl w:val="2"/>
        <w:rPr>
          <w:rFonts w:ascii="宋体" w:hAnsi="宋体" w:cs="宋体"/>
          <w:b/>
          <w:highlight w:val="none"/>
        </w:rPr>
      </w:pPr>
      <w:bookmarkStart w:id="304" w:name="_Toc18817"/>
      <w:bookmarkStart w:id="305" w:name="_Toc9311"/>
      <w:bookmarkStart w:id="306" w:name="_Toc15535"/>
      <w:bookmarkStart w:id="307" w:name="_Toc9215"/>
      <w:bookmarkStart w:id="308" w:name="_Toc15678"/>
      <w:r>
        <w:rPr>
          <w:rFonts w:ascii="宋体" w:hAnsi="宋体" w:cs="宋体"/>
          <w:b/>
          <w:highlight w:val="none"/>
        </w:rPr>
        <w:t>代理服务费</w:t>
      </w:r>
      <w:bookmarkEnd w:id="304"/>
      <w:bookmarkEnd w:id="305"/>
      <w:bookmarkEnd w:id="306"/>
      <w:bookmarkEnd w:id="307"/>
      <w:bookmarkEnd w:id="308"/>
    </w:p>
    <w:p w14:paraId="33689E5B">
      <w:pPr>
        <w:spacing w:line="360" w:lineRule="auto"/>
        <w:ind w:left="840" w:leftChars="400" w:firstLine="420" w:firstLineChars="200"/>
        <w:rPr>
          <w:rFonts w:ascii="宋体" w:hAnsi="宋体" w:cs="宋体"/>
          <w:color w:val="000000"/>
          <w:szCs w:val="22"/>
          <w:highlight w:val="none"/>
        </w:rPr>
      </w:pPr>
      <w:r>
        <w:rPr>
          <w:rFonts w:ascii="宋体" w:hAnsi="宋体" w:cs="宋体"/>
          <w:color w:val="000000"/>
          <w:szCs w:val="22"/>
          <w:highlight w:val="none"/>
        </w:rPr>
        <w:t>经采购人和代理人双方协商，本次采购代理服务费由中标供应商支付，代理服务费按《招标代理服务收费管理暂行办法》（计价格[2002]1980号）收费标准</w:t>
      </w:r>
      <w:r>
        <w:rPr>
          <w:rFonts w:hint="eastAsia" w:ascii="宋体" w:hAnsi="宋体" w:cs="宋体"/>
          <w:color w:val="000000"/>
          <w:szCs w:val="22"/>
          <w:highlight w:val="none"/>
          <w:lang w:val="en-US" w:eastAsia="zh-CN"/>
        </w:rPr>
        <w:t>八折</w:t>
      </w:r>
      <w:r>
        <w:rPr>
          <w:rFonts w:ascii="宋体" w:hAnsi="宋体" w:cs="宋体"/>
          <w:color w:val="000000"/>
          <w:szCs w:val="22"/>
          <w:highlight w:val="none"/>
        </w:rPr>
        <w:t>收取，不足捌仟元按捌仟元收取，采购代理服务费不在报价中单列，请报价人在报价时予以考虑。</w:t>
      </w:r>
    </w:p>
    <w:p w14:paraId="2B1946DE">
      <w:pPr>
        <w:spacing w:line="360" w:lineRule="auto"/>
        <w:ind w:left="840" w:leftChars="400" w:firstLine="420" w:firstLineChars="200"/>
        <w:rPr>
          <w:rFonts w:ascii="宋体" w:hAnsi="宋体" w:cs="宋体"/>
          <w:color w:val="000000"/>
          <w:szCs w:val="22"/>
          <w:highlight w:val="none"/>
        </w:rPr>
      </w:pPr>
    </w:p>
    <w:p w14:paraId="2B7F2A95">
      <w:pPr>
        <w:spacing w:line="360" w:lineRule="auto"/>
        <w:ind w:left="840" w:leftChars="400" w:firstLine="420" w:firstLineChars="200"/>
        <w:rPr>
          <w:rFonts w:ascii="宋体" w:hAnsi="宋体" w:cs="宋体"/>
          <w:color w:val="000000"/>
          <w:szCs w:val="22"/>
          <w:highlight w:val="none"/>
        </w:rPr>
      </w:pPr>
    </w:p>
    <w:p w14:paraId="0074CE59">
      <w:pPr>
        <w:spacing w:line="360" w:lineRule="auto"/>
        <w:ind w:left="840" w:leftChars="400" w:firstLine="420" w:firstLineChars="200"/>
        <w:rPr>
          <w:rFonts w:ascii="宋体" w:hAnsi="宋体" w:cs="宋体"/>
          <w:color w:val="000000"/>
          <w:szCs w:val="22"/>
          <w:highlight w:val="none"/>
        </w:rPr>
      </w:pPr>
    </w:p>
    <w:p w14:paraId="724E7756">
      <w:pPr>
        <w:spacing w:line="360" w:lineRule="auto"/>
        <w:ind w:left="840" w:leftChars="400" w:firstLine="420" w:firstLineChars="200"/>
        <w:rPr>
          <w:rFonts w:ascii="宋体" w:hAnsi="宋体" w:cs="宋体"/>
          <w:color w:val="000000"/>
          <w:szCs w:val="22"/>
          <w:highlight w:val="none"/>
        </w:rPr>
      </w:pPr>
    </w:p>
    <w:p w14:paraId="4D301C74">
      <w:pPr>
        <w:spacing w:line="360" w:lineRule="auto"/>
        <w:ind w:left="840" w:leftChars="400" w:firstLine="420" w:firstLineChars="200"/>
        <w:rPr>
          <w:rFonts w:ascii="宋体" w:hAnsi="宋体" w:cs="宋体"/>
          <w:color w:val="000000"/>
          <w:szCs w:val="22"/>
          <w:highlight w:val="none"/>
        </w:rPr>
      </w:pPr>
    </w:p>
    <w:p w14:paraId="3B93D176">
      <w:pPr>
        <w:spacing w:line="360" w:lineRule="auto"/>
        <w:ind w:left="840" w:leftChars="400" w:firstLine="420" w:firstLineChars="200"/>
        <w:rPr>
          <w:rFonts w:ascii="宋体" w:hAnsi="宋体" w:cs="宋体"/>
          <w:color w:val="000000"/>
          <w:szCs w:val="22"/>
          <w:highlight w:val="none"/>
        </w:rPr>
      </w:pPr>
    </w:p>
    <w:p w14:paraId="490245BA">
      <w:pPr>
        <w:spacing w:line="360" w:lineRule="auto"/>
        <w:ind w:left="840" w:leftChars="400" w:firstLine="420" w:firstLineChars="200"/>
        <w:rPr>
          <w:rFonts w:ascii="宋体" w:hAnsi="宋体" w:cs="宋体"/>
          <w:color w:val="000000"/>
          <w:szCs w:val="22"/>
          <w:highlight w:val="none"/>
        </w:rPr>
      </w:pPr>
    </w:p>
    <w:p w14:paraId="3A2C3C5B">
      <w:pPr>
        <w:spacing w:line="360" w:lineRule="auto"/>
        <w:ind w:left="840" w:leftChars="400" w:firstLine="420" w:firstLineChars="200"/>
        <w:rPr>
          <w:rFonts w:ascii="宋体" w:hAnsi="宋体" w:cs="宋体"/>
          <w:color w:val="000000"/>
          <w:szCs w:val="22"/>
          <w:highlight w:val="none"/>
        </w:rPr>
      </w:pPr>
    </w:p>
    <w:p w14:paraId="4CD2FFF3">
      <w:pPr>
        <w:pStyle w:val="6"/>
        <w:rPr>
          <w:rFonts w:ascii="宋体" w:hAnsi="宋体" w:cs="宋体"/>
          <w:color w:val="000000"/>
          <w:szCs w:val="22"/>
          <w:highlight w:val="none"/>
        </w:rPr>
      </w:pPr>
    </w:p>
    <w:p w14:paraId="28F76449">
      <w:pPr>
        <w:rPr>
          <w:rFonts w:ascii="宋体" w:hAnsi="宋体" w:cs="宋体"/>
          <w:color w:val="000000"/>
          <w:szCs w:val="22"/>
          <w:highlight w:val="none"/>
        </w:rPr>
      </w:pPr>
    </w:p>
    <w:p w14:paraId="450D6C66">
      <w:pPr>
        <w:pStyle w:val="8"/>
        <w:spacing w:before="156" w:beforeLines="50" w:after="156" w:afterLines="50" w:line="360" w:lineRule="auto"/>
        <w:jc w:val="center"/>
        <w:rPr>
          <w:rFonts w:ascii="宋体" w:hAnsi="宋体" w:cs="宋体"/>
          <w:sz w:val="24"/>
          <w:szCs w:val="24"/>
          <w:highlight w:val="none"/>
        </w:rPr>
      </w:pPr>
      <w:bookmarkStart w:id="309" w:name="_Toc18482"/>
      <w:bookmarkStart w:id="310" w:name="_Toc26584"/>
      <w:bookmarkStart w:id="311" w:name="_Toc17684"/>
      <w:bookmarkStart w:id="312" w:name="_Toc24351"/>
      <w:bookmarkStart w:id="313" w:name="_Toc7908"/>
      <w:r>
        <w:rPr>
          <w:rFonts w:ascii="宋体" w:hAnsi="宋体" w:cs="宋体"/>
          <w:sz w:val="24"/>
          <w:szCs w:val="24"/>
          <w:highlight w:val="none"/>
        </w:rPr>
        <w:t>（八）履约验收</w:t>
      </w:r>
      <w:bookmarkEnd w:id="309"/>
      <w:bookmarkEnd w:id="310"/>
      <w:bookmarkEnd w:id="311"/>
      <w:bookmarkEnd w:id="312"/>
      <w:bookmarkEnd w:id="313"/>
    </w:p>
    <w:p w14:paraId="341B6EEB">
      <w:pPr>
        <w:numPr>
          <w:ilvl w:val="0"/>
          <w:numId w:val="12"/>
        </w:numPr>
        <w:snapToGrid w:val="0"/>
        <w:spacing w:line="360" w:lineRule="auto"/>
        <w:rPr>
          <w:rFonts w:ascii="宋体" w:hAnsi="宋体" w:cs="宋体"/>
          <w:b/>
          <w:sz w:val="24"/>
          <w:szCs w:val="24"/>
          <w:highlight w:val="none"/>
        </w:rPr>
      </w:pPr>
      <w:r>
        <w:rPr>
          <w:rFonts w:ascii="宋体" w:hAnsi="宋体" w:cs="宋体"/>
          <w:b/>
          <w:sz w:val="24"/>
          <w:szCs w:val="24"/>
          <w:highlight w:val="none"/>
        </w:rPr>
        <w:t>履约验收</w:t>
      </w:r>
    </w:p>
    <w:p w14:paraId="32C05D79">
      <w:pPr>
        <w:numPr>
          <w:ilvl w:val="1"/>
          <w:numId w:val="12"/>
        </w:numPr>
        <w:snapToGrid w:val="0"/>
        <w:spacing w:line="360" w:lineRule="auto"/>
        <w:ind w:left="850" w:hanging="850"/>
        <w:rPr>
          <w:rFonts w:ascii="宋体" w:hAnsi="宋体" w:cs="宋体"/>
          <w:szCs w:val="21"/>
          <w:highlight w:val="none"/>
        </w:rPr>
      </w:pPr>
      <w:r>
        <w:rPr>
          <w:rFonts w:ascii="宋体" w:hAnsi="宋体" w:cs="宋体"/>
          <w:szCs w:val="21"/>
          <w:highlight w:val="none"/>
        </w:rPr>
        <w:t>采购人应当依法组织履约验收工作。采购人应当根据采购项目的具体情况，自行组织项目验收或者委托采购代理机构验收。采购人委托采购代理机构进行履约验收的，应当对验收结果进行书面确认。</w:t>
      </w:r>
    </w:p>
    <w:p w14:paraId="16843E4C">
      <w:pPr>
        <w:numPr>
          <w:ilvl w:val="1"/>
          <w:numId w:val="12"/>
        </w:numPr>
        <w:snapToGrid w:val="0"/>
        <w:spacing w:line="360" w:lineRule="auto"/>
        <w:ind w:left="850" w:hanging="850"/>
        <w:rPr>
          <w:rFonts w:ascii="宋体" w:hAnsi="宋体" w:cs="宋体"/>
          <w:szCs w:val="21"/>
          <w:highlight w:val="none"/>
        </w:rPr>
      </w:pPr>
      <w:r>
        <w:rPr>
          <w:rFonts w:ascii="宋体" w:hAnsi="宋体" w:cs="宋体"/>
          <w:szCs w:val="21"/>
          <w:highlight w:val="none"/>
        </w:rPr>
        <w:t>完整细化编制验收方案。采购人应当根据项目特点制定验收方案，明确履约验收的时间、方式、程序、内容和验收标准等事项。技术复杂、社会影响较大的货物类项目，可以根据需要设置出厂检验、到货检验、安装调试检验、配套服务检验等多重验收环节；服务类项目，可根据项目特点对服务期内的服务实施情况进行分期考核，结合考核情况和服务效果进行验收；工程类项目应当按照行业管理部门规定的标准、方法和内容进行验收。</w:t>
      </w:r>
    </w:p>
    <w:p w14:paraId="26B9D4DA">
      <w:pPr>
        <w:numPr>
          <w:ilvl w:val="1"/>
          <w:numId w:val="12"/>
        </w:numPr>
        <w:snapToGrid w:val="0"/>
        <w:spacing w:line="360" w:lineRule="auto"/>
        <w:ind w:left="850" w:hanging="850"/>
        <w:rPr>
          <w:rFonts w:ascii="宋体" w:hAnsi="宋体" w:cs="Arial"/>
          <w:szCs w:val="21"/>
          <w:highlight w:val="none"/>
        </w:rPr>
      </w:pPr>
      <w:r>
        <w:rPr>
          <w:rFonts w:ascii="宋体" w:hAnsi="宋体" w:cs="宋体"/>
          <w:szCs w:val="21"/>
          <w:highlight w:val="none"/>
        </w:rPr>
        <w:t>完善验收方式。对于采购人和使用人分离的采购项目，应当邀请实际使用人参与验收。采购人可以邀请参加本项目的其他供应商或第三方专业机构及专家参与验收，相关验收意见作为验收书的参考资料。政府向社会公众提供的公共服务项目，验收时应当邀请服务对象参与并出具意见，验收结果应当向社会公告。大型或者复杂的政府采购项目，应当邀请国家认可的质量检测机构参加验收工作。验收方成员应当在验收书上签字，并承担相应的法律责任。如果发现与合同中要求不符，磋商供应商须承担由此发生的一切损失和费用，并接受相应的处理。</w:t>
      </w:r>
    </w:p>
    <w:p w14:paraId="14BCDFA3">
      <w:pPr>
        <w:numPr>
          <w:ilvl w:val="1"/>
          <w:numId w:val="12"/>
        </w:numPr>
        <w:snapToGrid w:val="0"/>
        <w:spacing w:line="360" w:lineRule="auto"/>
        <w:ind w:left="850" w:hanging="850"/>
        <w:rPr>
          <w:rFonts w:ascii="宋体" w:hAnsi="宋体" w:cs="宋体"/>
          <w:szCs w:val="21"/>
          <w:highlight w:val="none"/>
        </w:rPr>
      </w:pPr>
      <w:r>
        <w:rPr>
          <w:rFonts w:ascii="宋体" w:hAnsi="宋体" w:cs="宋体"/>
          <w:szCs w:val="21"/>
          <w:highlight w:val="none"/>
        </w:rPr>
        <w:t>严格按照采购合同开展履约验收。采购人应当成立验收小组，按照采购合同的约定对磋商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w:t>
      </w:r>
    </w:p>
    <w:p w14:paraId="6E068995">
      <w:pPr>
        <w:snapToGrid w:val="0"/>
        <w:spacing w:line="360" w:lineRule="auto"/>
        <w:ind w:firstLine="840" w:firstLineChars="400"/>
        <w:rPr>
          <w:rFonts w:ascii="宋体" w:hAnsi="宋体" w:cs="宋体"/>
          <w:szCs w:val="21"/>
          <w:highlight w:val="none"/>
        </w:rPr>
      </w:pPr>
      <w:r>
        <w:rPr>
          <w:rFonts w:ascii="宋体" w:hAnsi="宋体" w:cs="宋体"/>
          <w:szCs w:val="21"/>
          <w:highlight w:val="none"/>
        </w:rPr>
        <w:t>金支付及履约保证金返还条件挂钩。履约验收的各项资料应当存档备查。</w:t>
      </w:r>
    </w:p>
    <w:p w14:paraId="435FDDBE">
      <w:pPr>
        <w:numPr>
          <w:ilvl w:val="1"/>
          <w:numId w:val="12"/>
        </w:numPr>
        <w:snapToGrid w:val="0"/>
        <w:spacing w:line="360" w:lineRule="auto"/>
        <w:ind w:left="850" w:hanging="850"/>
        <w:rPr>
          <w:rFonts w:ascii="宋体" w:hAnsi="宋体" w:cs="宋体"/>
          <w:szCs w:val="21"/>
          <w:highlight w:val="none"/>
        </w:rPr>
      </w:pPr>
      <w:r>
        <w:rPr>
          <w:rFonts w:ascii="宋体" w:hAnsi="宋体" w:cs="宋体"/>
          <w:szCs w:val="21"/>
          <w:highlight w:val="none"/>
        </w:rPr>
        <w:t>验收合格的项目，采购人将根据采购合同的约定及时向磋商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C9D6CD2">
      <w:pPr>
        <w:tabs>
          <w:tab w:val="left" w:pos="840"/>
        </w:tabs>
        <w:rPr>
          <w:rFonts w:ascii="宋体" w:hAnsi="宋体" w:cs="宋体"/>
          <w:color w:val="000000"/>
          <w:szCs w:val="22"/>
          <w:highlight w:val="none"/>
        </w:rPr>
      </w:pPr>
    </w:p>
    <w:p w14:paraId="6BAED272">
      <w:pPr>
        <w:pStyle w:val="12"/>
        <w:rPr>
          <w:highlight w:val="none"/>
        </w:rPr>
      </w:pPr>
    </w:p>
    <w:p w14:paraId="5916DA61">
      <w:pPr>
        <w:spacing w:line="360" w:lineRule="auto"/>
        <w:rPr>
          <w:rFonts w:ascii="宋体" w:hAnsi="宋体" w:cs="宋体"/>
          <w:color w:val="000000"/>
          <w:szCs w:val="22"/>
          <w:highlight w:val="none"/>
        </w:rPr>
      </w:pPr>
    </w:p>
    <w:p w14:paraId="68B4F8C0">
      <w:pPr>
        <w:keepNext w:val="0"/>
        <w:keepLines w:val="0"/>
        <w:tabs>
          <w:tab w:val="left" w:pos="840"/>
        </w:tabs>
        <w:spacing w:after="156" w:afterLines="50" w:line="400" w:lineRule="exact"/>
        <w:jc w:val="center"/>
        <w:outlineLvl w:val="9"/>
        <w:rPr>
          <w:rFonts w:hAnsi="宋体" w:cs="宋体"/>
          <w:sz w:val="28"/>
          <w:szCs w:val="36"/>
          <w:highlight w:val="none"/>
        </w:rPr>
      </w:pPr>
      <w:bookmarkStart w:id="314" w:name="_Toc14541"/>
      <w:bookmarkStart w:id="315" w:name="_Toc24051"/>
      <w:bookmarkStart w:id="316" w:name="_Toc424"/>
    </w:p>
    <w:p w14:paraId="4E7F36BA">
      <w:pPr>
        <w:pStyle w:val="13"/>
        <w:ind w:left="0" w:leftChars="0" w:firstLine="0"/>
        <w:rPr>
          <w:rFonts w:hAnsi="宋体" w:cs="宋体"/>
          <w:sz w:val="28"/>
          <w:szCs w:val="36"/>
          <w:highlight w:val="none"/>
        </w:rPr>
      </w:pPr>
    </w:p>
    <w:p w14:paraId="1A7B371B">
      <w:pPr>
        <w:pStyle w:val="7"/>
        <w:keepNext w:val="0"/>
        <w:keepLines w:val="0"/>
        <w:spacing w:after="156" w:afterLines="50" w:line="400" w:lineRule="exact"/>
        <w:jc w:val="center"/>
        <w:rPr>
          <w:rFonts w:hAnsi="宋体" w:cs="宋体"/>
          <w:sz w:val="28"/>
          <w:szCs w:val="36"/>
          <w:highlight w:val="none"/>
        </w:rPr>
      </w:pPr>
      <w:r>
        <w:rPr>
          <w:rFonts w:hAnsi="宋体" w:cs="宋体"/>
          <w:sz w:val="28"/>
          <w:szCs w:val="36"/>
          <w:highlight w:val="none"/>
        </w:rPr>
        <w:t>第三部分  竞争性磋商内容及要求</w:t>
      </w:r>
      <w:bookmarkEnd w:id="314"/>
      <w:bookmarkEnd w:id="315"/>
      <w:bookmarkEnd w:id="316"/>
    </w:p>
    <w:p w14:paraId="22FF8839">
      <w:pPr>
        <w:tabs>
          <w:tab w:val="left" w:pos="927"/>
        </w:tabs>
        <w:snapToGrid w:val="0"/>
        <w:spacing w:before="156" w:beforeLines="50" w:after="156" w:afterLines="50" w:line="420" w:lineRule="exact"/>
        <w:jc w:val="center"/>
        <w:outlineLvl w:val="1"/>
        <w:rPr>
          <w:rFonts w:ascii="宋体" w:hAnsi="宋体" w:cs="宋体"/>
          <w:b/>
          <w:sz w:val="24"/>
          <w:highlight w:val="none"/>
        </w:rPr>
      </w:pPr>
      <w:bookmarkStart w:id="317" w:name="_Toc6676"/>
      <w:bookmarkStart w:id="318" w:name="_Toc17649"/>
      <w:bookmarkStart w:id="319" w:name="_Toc23936"/>
      <w:r>
        <w:rPr>
          <w:rFonts w:ascii="宋体" w:hAnsi="宋体" w:cs="宋体"/>
          <w:b/>
          <w:bCs/>
          <w:sz w:val="24"/>
          <w:highlight w:val="none"/>
        </w:rPr>
        <w:t>（一）概述</w:t>
      </w:r>
      <w:bookmarkEnd w:id="317"/>
      <w:bookmarkEnd w:id="318"/>
      <w:bookmarkEnd w:id="319"/>
    </w:p>
    <w:p w14:paraId="0713A6D4">
      <w:pPr>
        <w:spacing w:line="360" w:lineRule="auto"/>
        <w:rPr>
          <w:highlight w:val="none"/>
        </w:rPr>
      </w:pPr>
      <w:r>
        <w:rPr>
          <w:highlight w:val="none"/>
        </w:rPr>
        <w:t>1、每个磋商供应商必须完成采购内容和合同规定义务，不允许只对部分内容进行报价。</w:t>
      </w:r>
    </w:p>
    <w:p w14:paraId="4A2C27B4">
      <w:pPr>
        <w:spacing w:line="360" w:lineRule="auto"/>
        <w:rPr>
          <w:highlight w:val="none"/>
        </w:rPr>
      </w:pPr>
      <w:r>
        <w:rPr>
          <w:highlight w:val="none"/>
        </w:rPr>
        <w:t>2、现场踏勘（如有）：各磋商供应商于磋商截止时间前自行到现场进行踏勘，以获取本次磋商所需的现场资料及数据，磋商人若未到现场踏勘，引起的一切后果均由其自行负责，由此造成投标价的偏差均不予调整。现场踏勘费用自理。</w:t>
      </w:r>
    </w:p>
    <w:p w14:paraId="57B13BC5">
      <w:pPr>
        <w:spacing w:line="360" w:lineRule="auto"/>
        <w:rPr>
          <w:highlight w:val="none"/>
        </w:rPr>
      </w:pPr>
      <w:r>
        <w:rPr>
          <w:highlight w:val="none"/>
        </w:rPr>
        <w:t>3、磋商供应商需按磋商文件的要求完成采购服务工作。按工作顺序提交所需的无论其是否被明细列在合同文件中的所有资料，提供的服务必须满足磋商文件中提出的相关要求。</w:t>
      </w:r>
    </w:p>
    <w:p w14:paraId="357CBCA4">
      <w:pPr>
        <w:spacing w:line="360" w:lineRule="auto"/>
        <w:rPr>
          <w:highlight w:val="none"/>
        </w:rPr>
      </w:pPr>
      <w:r>
        <w:rPr>
          <w:highlight w:val="none"/>
        </w:rPr>
        <w:t>4、在报价之前，磋商供应商须仔细阅读磋商文件，如发现有任何疑问、冲突或技术问题，磋商供应商须在答疑截止时间前以书面形式向采购代理机构提出。逾期采购人不再作答复，有关风险及责任由磋商供应商自行承担。</w:t>
      </w:r>
    </w:p>
    <w:p w14:paraId="2BB94FD3">
      <w:pPr>
        <w:spacing w:line="360" w:lineRule="auto"/>
        <w:rPr>
          <w:highlight w:val="none"/>
        </w:rPr>
      </w:pPr>
      <w:r>
        <w:rPr>
          <w:highlight w:val="none"/>
        </w:rPr>
        <w:t>5、鼓励在采购活动中允许中小企业引入信用担保手段，为中小企业在投标（响应）保证、履约保证等方面提供专业化服务。鼓励中小企业依法合规通过政府采购合同融资。</w:t>
      </w:r>
    </w:p>
    <w:p w14:paraId="63543E94">
      <w:pPr>
        <w:spacing w:line="360" w:lineRule="auto"/>
        <w:rPr>
          <w:highlight w:val="none"/>
        </w:rPr>
      </w:pPr>
      <w:r>
        <w:rPr>
          <w:highlight w:val="none"/>
        </w:rPr>
        <w:t>6、磋商供应商须对磋商文件中各个条款一一给予实质性答复，否则有可能导致作无效标</w:t>
      </w:r>
    </w:p>
    <w:p w14:paraId="5971BC02">
      <w:pPr>
        <w:spacing w:line="360" w:lineRule="auto"/>
        <w:rPr>
          <w:highlight w:val="none"/>
        </w:rPr>
      </w:pPr>
      <w:r>
        <w:rPr>
          <w:highlight w:val="none"/>
        </w:rPr>
        <w:t>处理。</w:t>
      </w:r>
    </w:p>
    <w:p w14:paraId="44599D01">
      <w:pPr>
        <w:spacing w:line="360" w:lineRule="auto"/>
        <w:rPr>
          <w:highlight w:val="none"/>
        </w:rPr>
      </w:pPr>
      <w:r>
        <w:rPr>
          <w:highlight w:val="none"/>
        </w:rPr>
        <w:t>7、此份采购内容及技术要求是磋商文件的一部分，包括所有条款的具体说明及技术要求，磋商供应商需在各自技术和商务占优势的基础上对本次采购的服务（货物或工程）进行报价。</w:t>
      </w:r>
    </w:p>
    <w:p w14:paraId="00AA28E2">
      <w:pPr>
        <w:spacing w:line="360" w:lineRule="auto"/>
        <w:rPr>
          <w:rFonts w:ascii="宋体" w:hAnsi="宋体" w:cs="宋体"/>
          <w:color w:val="000000"/>
          <w:szCs w:val="22"/>
          <w:highlight w:val="none"/>
        </w:rPr>
      </w:pPr>
    </w:p>
    <w:p w14:paraId="05CC602E">
      <w:pPr>
        <w:spacing w:line="360" w:lineRule="auto"/>
        <w:rPr>
          <w:rFonts w:ascii="宋体" w:hAnsi="宋体" w:cs="宋体"/>
          <w:color w:val="000000"/>
          <w:szCs w:val="22"/>
          <w:highlight w:val="none"/>
        </w:rPr>
      </w:pPr>
    </w:p>
    <w:p w14:paraId="2CA98B25">
      <w:pPr>
        <w:spacing w:line="360" w:lineRule="auto"/>
        <w:rPr>
          <w:rFonts w:ascii="宋体" w:hAnsi="宋体" w:cs="宋体"/>
          <w:color w:val="000000"/>
          <w:szCs w:val="22"/>
          <w:highlight w:val="none"/>
        </w:rPr>
      </w:pPr>
    </w:p>
    <w:p w14:paraId="100DC4F3">
      <w:pPr>
        <w:spacing w:line="360" w:lineRule="auto"/>
        <w:rPr>
          <w:rFonts w:ascii="宋体" w:hAnsi="宋体" w:cs="宋体"/>
          <w:color w:val="000000"/>
          <w:szCs w:val="22"/>
          <w:highlight w:val="none"/>
        </w:rPr>
      </w:pPr>
    </w:p>
    <w:p w14:paraId="10910984">
      <w:pPr>
        <w:spacing w:line="360" w:lineRule="auto"/>
        <w:rPr>
          <w:rFonts w:ascii="宋体" w:hAnsi="宋体" w:cs="宋体"/>
          <w:color w:val="000000"/>
          <w:szCs w:val="22"/>
          <w:highlight w:val="none"/>
        </w:rPr>
      </w:pPr>
    </w:p>
    <w:p w14:paraId="62C14C48">
      <w:pPr>
        <w:spacing w:line="360" w:lineRule="auto"/>
        <w:rPr>
          <w:rFonts w:ascii="宋体" w:hAnsi="宋体" w:cs="宋体"/>
          <w:color w:val="000000"/>
          <w:szCs w:val="22"/>
          <w:highlight w:val="none"/>
        </w:rPr>
      </w:pPr>
    </w:p>
    <w:p w14:paraId="1E20C491">
      <w:pPr>
        <w:spacing w:line="360" w:lineRule="auto"/>
        <w:rPr>
          <w:rFonts w:ascii="宋体" w:hAnsi="宋体" w:cs="宋体"/>
          <w:color w:val="000000"/>
          <w:szCs w:val="22"/>
          <w:highlight w:val="none"/>
        </w:rPr>
      </w:pPr>
    </w:p>
    <w:p w14:paraId="3263F5A6">
      <w:pPr>
        <w:pStyle w:val="6"/>
        <w:rPr>
          <w:rFonts w:ascii="宋体" w:hAnsi="宋体" w:cs="宋体"/>
          <w:color w:val="000000"/>
          <w:szCs w:val="22"/>
          <w:highlight w:val="none"/>
        </w:rPr>
      </w:pPr>
    </w:p>
    <w:p w14:paraId="13FF1F48">
      <w:pPr>
        <w:rPr>
          <w:highlight w:val="none"/>
        </w:rPr>
      </w:pPr>
    </w:p>
    <w:p w14:paraId="203D482A">
      <w:pPr>
        <w:spacing w:line="360" w:lineRule="auto"/>
        <w:rPr>
          <w:rFonts w:ascii="宋体" w:hAnsi="宋体" w:cs="宋体"/>
          <w:color w:val="000000"/>
          <w:szCs w:val="22"/>
          <w:highlight w:val="none"/>
        </w:rPr>
      </w:pPr>
    </w:p>
    <w:p w14:paraId="059FED22">
      <w:pPr>
        <w:pStyle w:val="13"/>
        <w:rPr>
          <w:highlight w:val="none"/>
        </w:rPr>
      </w:pPr>
    </w:p>
    <w:p w14:paraId="7422F5F0">
      <w:pPr>
        <w:spacing w:line="360" w:lineRule="auto"/>
        <w:rPr>
          <w:rFonts w:ascii="宋体" w:hAnsi="宋体" w:cs="宋体"/>
          <w:color w:val="000000"/>
          <w:szCs w:val="22"/>
          <w:highlight w:val="none"/>
        </w:rPr>
      </w:pPr>
    </w:p>
    <w:p w14:paraId="5969983A">
      <w:pPr>
        <w:widowControl/>
        <w:tabs>
          <w:tab w:val="left" w:pos="927"/>
        </w:tabs>
        <w:snapToGrid w:val="0"/>
        <w:spacing w:line="360" w:lineRule="auto"/>
        <w:jc w:val="both"/>
        <w:rPr>
          <w:rFonts w:ascii="宋体"/>
          <w:b/>
          <w:bCs/>
          <w:sz w:val="24"/>
          <w:szCs w:val="24"/>
          <w:highlight w:val="none"/>
        </w:rPr>
      </w:pPr>
    </w:p>
    <w:p w14:paraId="0123942A">
      <w:pPr>
        <w:widowControl/>
        <w:tabs>
          <w:tab w:val="left" w:pos="927"/>
        </w:tabs>
        <w:snapToGrid w:val="0"/>
        <w:spacing w:line="360" w:lineRule="auto"/>
        <w:ind w:left="4056" w:leftChars="146" w:hanging="3749" w:hangingChars="1556"/>
        <w:jc w:val="center"/>
        <w:outlineLvl w:val="1"/>
        <w:rPr>
          <w:rFonts w:ascii="宋体" w:hAnsi="宋体" w:eastAsia="宋体" w:cs="宋体"/>
          <w:sz w:val="24"/>
          <w:szCs w:val="24"/>
          <w:highlight w:val="none"/>
        </w:rPr>
      </w:pPr>
      <w:bookmarkStart w:id="320" w:name="_Toc6023"/>
      <w:r>
        <w:rPr>
          <w:rFonts w:ascii="宋体"/>
          <w:b/>
          <w:bCs/>
          <w:sz w:val="24"/>
          <w:szCs w:val="24"/>
          <w:highlight w:val="none"/>
        </w:rPr>
        <w:t>（二）</w:t>
      </w:r>
      <w:r>
        <w:rPr>
          <w:b/>
          <w:bCs/>
          <w:sz w:val="24"/>
          <w:szCs w:val="24"/>
          <w:highlight w:val="none"/>
        </w:rPr>
        <w:t>采购内容及要求</w:t>
      </w:r>
      <w:bookmarkEnd w:id="320"/>
    </w:p>
    <w:p w14:paraId="224EA6C1">
      <w:pPr>
        <w:bidi w:val="0"/>
        <w:spacing w:line="360" w:lineRule="auto"/>
        <w:rPr>
          <w:rFonts w:hint="eastAsia"/>
          <w:highlight w:val="none"/>
          <w:lang w:eastAsia="zh-CN"/>
        </w:rPr>
      </w:pPr>
      <w:r>
        <w:rPr>
          <w:b/>
          <w:bCs/>
          <w:highlight w:val="none"/>
        </w:rPr>
        <w:t>1、项目名称：</w:t>
      </w:r>
      <w:r>
        <w:rPr>
          <w:rFonts w:hint="eastAsia"/>
          <w:highlight w:val="none"/>
          <w:lang w:eastAsia="zh-CN"/>
        </w:rPr>
        <w:t>瑞安市2025年度农村公益电影放映。</w:t>
      </w:r>
    </w:p>
    <w:p w14:paraId="70D47751">
      <w:pPr>
        <w:bidi w:val="0"/>
        <w:spacing w:line="360" w:lineRule="auto"/>
        <w:rPr>
          <w:color w:val="auto"/>
          <w:highlight w:val="none"/>
        </w:rPr>
      </w:pPr>
      <w:r>
        <w:rPr>
          <w:b/>
          <w:bCs/>
          <w:highlight w:val="none"/>
        </w:rPr>
        <w:t>2、项目概况：</w:t>
      </w:r>
      <w:r>
        <w:rPr>
          <w:rFonts w:hint="eastAsia" w:cs="Times New Roman"/>
          <w:highlight w:val="none"/>
        </w:rPr>
        <w:t>根据浙江省财政厅关于印发《浙江省政府向社会力量购买服务指导目录（2015年度）》的通知（浙财预[2014]45号）和浙江省新闻出版广电局、省财政厅《关于政府向社会力量购买农村电影放映服务实施方案的通知》（浙新广发〔2016〕91号）</w:t>
      </w:r>
      <w:r>
        <w:rPr>
          <w:rFonts w:hint="eastAsia" w:cs="Times New Roman"/>
          <w:highlight w:val="none"/>
          <w:lang w:eastAsia="zh-CN"/>
        </w:rPr>
        <w:t>、</w:t>
      </w:r>
      <w:r>
        <w:rPr>
          <w:rFonts w:hint="eastAsia" w:cs="Times New Roman"/>
          <w:highlight w:val="none"/>
          <w:lang w:val="en-US" w:eastAsia="zh-CN"/>
        </w:rPr>
        <w:t>中共浙江省委宣传部</w:t>
      </w:r>
      <w:r>
        <w:rPr>
          <w:rFonts w:hint="eastAsia" w:cs="Times New Roman"/>
          <w:highlight w:val="none"/>
          <w:lang w:eastAsia="zh-CN"/>
        </w:rPr>
        <w:t>《关于转发&lt;农村电影放映服务规范&gt;的通知》（</w:t>
      </w:r>
      <w:r>
        <w:rPr>
          <w:rFonts w:hint="eastAsia" w:cs="Times New Roman"/>
          <w:highlight w:val="none"/>
          <w:lang w:val="en-US" w:eastAsia="zh-CN"/>
        </w:rPr>
        <w:t>2024年4月22日</w:t>
      </w:r>
      <w:r>
        <w:rPr>
          <w:rFonts w:hint="eastAsia" w:cs="Times New Roman"/>
          <w:highlight w:val="none"/>
          <w:lang w:eastAsia="zh-CN"/>
        </w:rPr>
        <w:t>）、</w:t>
      </w:r>
      <w:r>
        <w:rPr>
          <w:rFonts w:hint="eastAsia" w:cs="Times New Roman"/>
          <w:highlight w:val="none"/>
          <w:lang w:val="en-US" w:eastAsia="zh-CN"/>
        </w:rPr>
        <w:t>中共浙江省委宣传部关于印发《深化浙江省电影公共服务改革实施意见》的通知（浙宣</w:t>
      </w:r>
      <w:r>
        <w:rPr>
          <w:rFonts w:hint="eastAsia" w:cs="Times New Roman"/>
          <w:highlight w:val="none"/>
        </w:rPr>
        <w:t>[20</w:t>
      </w:r>
      <w:r>
        <w:rPr>
          <w:rFonts w:hint="eastAsia" w:cs="Times New Roman"/>
          <w:highlight w:val="none"/>
          <w:lang w:val="en-US" w:eastAsia="zh-CN"/>
        </w:rPr>
        <w:t>24</w:t>
      </w:r>
      <w:r>
        <w:rPr>
          <w:rFonts w:hint="eastAsia" w:cs="Times New Roman"/>
          <w:highlight w:val="none"/>
        </w:rPr>
        <w:t>]</w:t>
      </w:r>
      <w:r>
        <w:rPr>
          <w:rFonts w:hint="eastAsia" w:cs="Times New Roman"/>
          <w:highlight w:val="none"/>
          <w:lang w:val="en-US" w:eastAsia="zh-CN"/>
        </w:rPr>
        <w:t>78</w:t>
      </w:r>
      <w:r>
        <w:rPr>
          <w:rFonts w:hint="eastAsia" w:cs="Times New Roman"/>
          <w:highlight w:val="none"/>
        </w:rPr>
        <w:t>号</w:t>
      </w:r>
      <w:r>
        <w:rPr>
          <w:rFonts w:hint="eastAsia" w:cs="Times New Roman"/>
          <w:highlight w:val="none"/>
          <w:lang w:val="en-US" w:eastAsia="zh-CN"/>
        </w:rPr>
        <w:t>）、中共浙江省委宣传部关于做好2025年全省公益电影放映工作的通知</w:t>
      </w:r>
      <w:r>
        <w:rPr>
          <w:rFonts w:hint="eastAsia" w:cs="Times New Roman"/>
          <w:highlight w:val="none"/>
        </w:rPr>
        <w:t>等相关文件要求决定对拟从事我市农村电影公益性放映主体进行竞争性磋商。</w:t>
      </w:r>
    </w:p>
    <w:p w14:paraId="4C1A0AB6">
      <w:pPr>
        <w:bidi w:val="0"/>
        <w:spacing w:line="360" w:lineRule="auto"/>
        <w:rPr>
          <w:b/>
          <w:bCs/>
          <w:highlight w:val="none"/>
        </w:rPr>
      </w:pPr>
      <w:r>
        <w:rPr>
          <w:b/>
          <w:bCs/>
          <w:highlight w:val="none"/>
        </w:rPr>
        <w:t>3、</w:t>
      </w:r>
      <w:r>
        <w:rPr>
          <w:rFonts w:hint="eastAsia"/>
          <w:b/>
          <w:bCs/>
          <w:highlight w:val="none"/>
        </w:rPr>
        <w:t>工作范围及服务要求</w:t>
      </w:r>
      <w:r>
        <w:rPr>
          <w:b/>
          <w:bCs/>
          <w:highlight w:val="none"/>
        </w:rPr>
        <w:t>：</w:t>
      </w:r>
      <w:bookmarkStart w:id="321" w:name="_Toc30229"/>
      <w:bookmarkStart w:id="322" w:name="_Toc25025"/>
    </w:p>
    <w:p w14:paraId="3CBD972C">
      <w:pPr>
        <w:bidi w:val="0"/>
        <w:spacing w:line="360" w:lineRule="auto"/>
        <w:rPr>
          <w:b/>
          <w:bCs/>
          <w:highlight w:val="none"/>
          <w:lang w:val="en-US" w:eastAsia="zh-CN"/>
        </w:rPr>
      </w:pPr>
      <w:r>
        <w:rPr>
          <w:rFonts w:hint="eastAsia"/>
          <w:b/>
          <w:bCs/>
          <w:highlight w:val="none"/>
          <w:lang w:val="en-US" w:eastAsia="zh-CN"/>
        </w:rPr>
        <w:t xml:space="preserve">    细则参照《农村电影放映服务规范》DB33/T 1373—2024，见附件。</w:t>
      </w:r>
    </w:p>
    <w:p w14:paraId="3289058F">
      <w:pPr>
        <w:bidi w:val="0"/>
        <w:spacing w:line="360" w:lineRule="auto"/>
        <w:rPr>
          <w:rFonts w:hint="eastAsia"/>
          <w:b/>
          <w:bCs/>
          <w:highlight w:val="none"/>
        </w:rPr>
      </w:pPr>
      <w:r>
        <w:rPr>
          <w:rFonts w:hint="eastAsia"/>
          <w:b/>
          <w:bCs/>
          <w:highlight w:val="none"/>
          <w:lang w:eastAsia="zh-CN"/>
        </w:rPr>
        <w:t>（</w:t>
      </w:r>
      <w:r>
        <w:rPr>
          <w:rFonts w:hint="eastAsia"/>
          <w:b/>
          <w:bCs/>
          <w:highlight w:val="none"/>
          <w:lang w:val="en-US" w:eastAsia="zh-CN"/>
        </w:rPr>
        <w:t>1</w:t>
      </w:r>
      <w:r>
        <w:rPr>
          <w:rFonts w:hint="eastAsia"/>
          <w:b/>
          <w:bCs/>
          <w:highlight w:val="none"/>
          <w:lang w:eastAsia="zh-CN"/>
        </w:rPr>
        <w:t>）</w:t>
      </w:r>
      <w:r>
        <w:rPr>
          <w:rFonts w:hint="eastAsia"/>
          <w:b/>
          <w:bCs/>
          <w:highlight w:val="none"/>
        </w:rPr>
        <w:t>对农村电影放映服务承接主体要求</w:t>
      </w:r>
    </w:p>
    <w:p w14:paraId="322B96DA">
      <w:pPr>
        <w:bidi w:val="0"/>
        <w:spacing w:line="360" w:lineRule="auto"/>
        <w:rPr>
          <w:rFonts w:hint="eastAsia"/>
          <w:b w:val="0"/>
          <w:bCs w:val="0"/>
          <w:highlight w:val="none"/>
        </w:rPr>
      </w:pPr>
      <w:r>
        <w:rPr>
          <w:rFonts w:hint="eastAsia"/>
          <w:b w:val="0"/>
          <w:bCs w:val="0"/>
          <w:highlight w:val="none"/>
          <w:lang w:val="en-US" w:eastAsia="zh-CN"/>
        </w:rPr>
        <w:t xml:space="preserve">① </w:t>
      </w:r>
      <w:r>
        <w:rPr>
          <w:rFonts w:hint="eastAsia"/>
          <w:b w:val="0"/>
          <w:bCs w:val="0"/>
          <w:highlight w:val="none"/>
        </w:rPr>
        <w:t>具备提供农村电影放映服务所必需的人员和专业技术能力。从事农村电影的经营、管理人员和放映人员应经过培训，了解熟悉数字电影基本知识、运行流程，掌握放映技术和管理规则。</w:t>
      </w:r>
    </w:p>
    <w:p w14:paraId="5B562E39">
      <w:pPr>
        <w:bidi w:val="0"/>
        <w:spacing w:line="360" w:lineRule="auto"/>
        <w:rPr>
          <w:rFonts w:hint="eastAsia"/>
          <w:b/>
          <w:bCs/>
          <w:highlight w:val="none"/>
        </w:rPr>
      </w:pPr>
      <w:r>
        <w:rPr>
          <w:rFonts w:hint="eastAsia"/>
          <w:b w:val="0"/>
          <w:bCs w:val="0"/>
          <w:highlight w:val="none"/>
          <w:lang w:val="en-US" w:eastAsia="zh-CN"/>
        </w:rPr>
        <w:t xml:space="preserve">② </w:t>
      </w:r>
      <w:r>
        <w:rPr>
          <w:rFonts w:hint="eastAsia"/>
          <w:b w:val="0"/>
          <w:bCs w:val="0"/>
          <w:highlight w:val="none"/>
        </w:rPr>
        <w:t>具备提供农村电影放映服务所必需的数字电影流动放映设备。放映设备应符合国家数字电影标准和规范；安装有GPS/GPRS监控模块，并符合《数字电影流动放映监管信息GPS/GPRS接口技术要求和测试方法》（GD/J 029-2010）规定。设备使用方负责落实与监管平台互联互通，完成与监管平台数据传输技术协议对接；完成对接的，可在省内跨区域使用和放映。</w:t>
      </w:r>
    </w:p>
    <w:p w14:paraId="3DCAC447">
      <w:pPr>
        <w:bidi w:val="0"/>
        <w:spacing w:line="360" w:lineRule="auto"/>
        <w:rPr>
          <w:rFonts w:hint="eastAsia"/>
          <w:b w:val="0"/>
          <w:bCs w:val="0"/>
          <w:highlight w:val="none"/>
          <w:lang w:val="en-US" w:eastAsia="zh-CN"/>
        </w:rPr>
      </w:pPr>
      <w:r>
        <w:rPr>
          <w:rFonts w:hint="eastAsia"/>
          <w:b w:val="0"/>
          <w:bCs w:val="0"/>
          <w:highlight w:val="none"/>
          <w:lang w:val="en-US" w:eastAsia="zh-CN"/>
        </w:rPr>
        <w:t>③ 放映设备年限不得超过5年，放映新片数量不得少于30%。</w:t>
      </w:r>
    </w:p>
    <w:p w14:paraId="465A6C64">
      <w:pPr>
        <w:bidi w:val="0"/>
        <w:spacing w:line="360" w:lineRule="auto"/>
        <w:rPr>
          <w:rFonts w:hint="eastAsia"/>
          <w:b w:val="0"/>
          <w:bCs w:val="0"/>
          <w:highlight w:val="none"/>
          <w:lang w:val="en-US" w:eastAsia="zh-CN"/>
        </w:rPr>
      </w:pPr>
      <w:r>
        <w:rPr>
          <w:rFonts w:hint="eastAsia"/>
          <w:b w:val="0"/>
          <w:bCs w:val="0"/>
          <w:highlight w:val="none"/>
          <w:lang w:val="en-US" w:eastAsia="zh-CN"/>
        </w:rPr>
        <w:t>④ 放映场次最高综合单价限价为210元。</w:t>
      </w:r>
    </w:p>
    <w:p w14:paraId="1C25F9C5">
      <w:pPr>
        <w:bidi w:val="0"/>
        <w:spacing w:line="360" w:lineRule="auto"/>
        <w:rPr>
          <w:rFonts w:hint="eastAsia"/>
          <w:b w:val="0"/>
          <w:bCs w:val="0"/>
          <w:highlight w:val="none"/>
          <w:lang w:val="en-US" w:eastAsia="zh-CN"/>
        </w:rPr>
      </w:pPr>
      <w:r>
        <w:rPr>
          <w:rFonts w:hint="eastAsia"/>
          <w:b w:val="0"/>
          <w:bCs w:val="0"/>
          <w:highlight w:val="none"/>
          <w:lang w:val="en-US" w:eastAsia="zh-CN"/>
        </w:rPr>
        <w:t>⑤ 放映时段应在合理时间范围内，不得过早过晚。</w:t>
      </w:r>
    </w:p>
    <w:p w14:paraId="3D6C47E3">
      <w:pPr>
        <w:bidi w:val="0"/>
        <w:spacing w:line="360" w:lineRule="auto"/>
        <w:rPr>
          <w:highlight w:val="none"/>
          <w:lang w:val="en-US" w:eastAsia="zh-CN"/>
        </w:rPr>
      </w:pPr>
      <w:r>
        <w:rPr>
          <w:rFonts w:hint="eastAsia"/>
          <w:b w:val="0"/>
          <w:bCs w:val="0"/>
          <w:highlight w:val="none"/>
          <w:lang w:val="en-US" w:eastAsia="zh-CN"/>
        </w:rPr>
        <w:t>⑥ 观影后及时调查观影人的观影满意度，纳入最终的服务考核。</w:t>
      </w:r>
    </w:p>
    <w:p w14:paraId="4DDAA94A">
      <w:pPr>
        <w:bidi w:val="0"/>
        <w:spacing w:line="360" w:lineRule="auto"/>
        <w:rPr>
          <w:rFonts w:hint="eastAsia"/>
          <w:b/>
          <w:bCs/>
          <w:highlight w:val="none"/>
        </w:rPr>
      </w:pPr>
      <w:r>
        <w:rPr>
          <w:rFonts w:hint="eastAsia"/>
          <w:b/>
          <w:bCs/>
          <w:highlight w:val="none"/>
          <w:lang w:eastAsia="zh-CN"/>
        </w:rPr>
        <w:t>（</w:t>
      </w:r>
      <w:r>
        <w:rPr>
          <w:rFonts w:hint="eastAsia"/>
          <w:b/>
          <w:bCs/>
          <w:highlight w:val="none"/>
          <w:lang w:val="en-US" w:eastAsia="zh-CN"/>
        </w:rPr>
        <w:t>2</w:t>
      </w:r>
      <w:r>
        <w:rPr>
          <w:rFonts w:hint="eastAsia"/>
          <w:b/>
          <w:bCs/>
          <w:highlight w:val="none"/>
          <w:lang w:eastAsia="zh-CN"/>
        </w:rPr>
        <w:t>）</w:t>
      </w:r>
      <w:r>
        <w:rPr>
          <w:rFonts w:hint="eastAsia"/>
          <w:b/>
          <w:bCs/>
          <w:highlight w:val="none"/>
        </w:rPr>
        <w:t>农村电影放映服务质量标准</w:t>
      </w:r>
    </w:p>
    <w:p w14:paraId="0A9A73C8">
      <w:pPr>
        <w:bidi w:val="0"/>
        <w:spacing w:line="360" w:lineRule="auto"/>
        <w:rPr>
          <w:rFonts w:hint="eastAsia"/>
          <w:b w:val="0"/>
          <w:bCs w:val="0"/>
          <w:highlight w:val="none"/>
        </w:rPr>
      </w:pPr>
      <w:r>
        <w:rPr>
          <w:rFonts w:hint="eastAsia"/>
          <w:b w:val="0"/>
          <w:bCs w:val="0"/>
          <w:highlight w:val="none"/>
          <w:lang w:val="en-US" w:eastAsia="zh-CN"/>
        </w:rPr>
        <w:t xml:space="preserve">① </w:t>
      </w:r>
      <w:r>
        <w:rPr>
          <w:rFonts w:hint="eastAsia"/>
          <w:b w:val="0"/>
          <w:bCs w:val="0"/>
          <w:highlight w:val="none"/>
        </w:rPr>
        <w:t>放映场次的统计标准</w:t>
      </w:r>
    </w:p>
    <w:p w14:paraId="4FBE2079">
      <w:pPr>
        <w:bidi w:val="0"/>
        <w:spacing w:line="360" w:lineRule="auto"/>
        <w:rPr>
          <w:rFonts w:hint="eastAsia"/>
          <w:b w:val="0"/>
          <w:bCs w:val="0"/>
          <w:highlight w:val="none"/>
        </w:rPr>
      </w:pPr>
      <w:r>
        <w:rPr>
          <w:rFonts w:hint="eastAsia"/>
          <w:b w:val="0"/>
          <w:bCs w:val="0"/>
          <w:highlight w:val="none"/>
        </w:rPr>
        <w:t>（1）有效场次认定标准：</w:t>
      </w:r>
    </w:p>
    <w:p w14:paraId="68F408BF">
      <w:pPr>
        <w:bidi w:val="0"/>
        <w:spacing w:line="360" w:lineRule="auto"/>
        <w:rPr>
          <w:rFonts w:hint="eastAsia"/>
          <w:b w:val="0"/>
          <w:bCs w:val="0"/>
          <w:highlight w:val="none"/>
        </w:rPr>
      </w:pPr>
      <w:r>
        <w:rPr>
          <w:rFonts w:hint="eastAsia"/>
          <w:b w:val="0"/>
          <w:bCs w:val="0"/>
          <w:highlight w:val="none"/>
        </w:rPr>
        <w:t>a.完整放映故事片、纪录片、科教片等各类政府购买场次影片；</w:t>
      </w:r>
    </w:p>
    <w:p w14:paraId="79CE5F83">
      <w:pPr>
        <w:bidi w:val="0"/>
        <w:spacing w:line="360" w:lineRule="auto"/>
        <w:rPr>
          <w:rFonts w:hint="eastAsia"/>
          <w:b w:val="0"/>
          <w:bCs w:val="0"/>
          <w:highlight w:val="none"/>
        </w:rPr>
      </w:pPr>
      <w:r>
        <w:rPr>
          <w:rFonts w:hint="eastAsia"/>
          <w:b w:val="0"/>
          <w:bCs w:val="0"/>
          <w:highlight w:val="none"/>
          <w:lang w:val="en-US" w:eastAsia="zh-CN"/>
        </w:rPr>
        <w:t>b.片库内30分钟（含）以下的影片确定为短片，90分钟（含）以上的影片确定为长片，按照3部短片计1部长片的算法，每部短片计0.33场。31-59分钟影片计为0.6场，60分钟（含）-89分钟影片计为0.8场。长片为90分钟为1场计算，时长每增加10分钟，计一档为0.1场，增加时长不足10分钟的仍按照下一档计算，以此类推。（具体详见附件2）</w:t>
      </w:r>
    </w:p>
    <w:p w14:paraId="68497A0E">
      <w:pPr>
        <w:bidi w:val="0"/>
        <w:spacing w:line="360" w:lineRule="auto"/>
        <w:rPr>
          <w:rFonts w:hint="eastAsia"/>
          <w:b w:val="0"/>
          <w:bCs w:val="0"/>
          <w:highlight w:val="none"/>
        </w:rPr>
      </w:pPr>
      <w:r>
        <w:rPr>
          <w:rFonts w:hint="eastAsia"/>
          <w:b w:val="0"/>
          <w:bCs w:val="0"/>
          <w:highlight w:val="none"/>
        </w:rPr>
        <w:t>（2）无效场次认定标准：</w:t>
      </w:r>
    </w:p>
    <w:p w14:paraId="404ED936">
      <w:pPr>
        <w:bidi w:val="0"/>
        <w:spacing w:line="360" w:lineRule="auto"/>
        <w:rPr>
          <w:rFonts w:hint="eastAsia"/>
          <w:b w:val="0"/>
          <w:bCs w:val="0"/>
          <w:highlight w:val="none"/>
        </w:rPr>
      </w:pPr>
      <w:r>
        <w:rPr>
          <w:rFonts w:hint="eastAsia"/>
          <w:b w:val="0"/>
          <w:bCs w:val="0"/>
          <w:highlight w:val="none"/>
        </w:rPr>
        <w:t>a.未完整放映故事片、纪录片、科教片等各类政府购买场次影片的；</w:t>
      </w:r>
    </w:p>
    <w:p w14:paraId="6791B2CA">
      <w:pPr>
        <w:bidi w:val="0"/>
        <w:spacing w:line="360" w:lineRule="auto"/>
        <w:rPr>
          <w:rFonts w:hint="eastAsia"/>
          <w:b w:val="0"/>
          <w:bCs w:val="0"/>
          <w:highlight w:val="none"/>
        </w:rPr>
      </w:pPr>
      <w:r>
        <w:rPr>
          <w:rFonts w:hint="eastAsia"/>
          <w:b w:val="0"/>
          <w:bCs w:val="0"/>
          <w:highlight w:val="none"/>
        </w:rPr>
        <w:t>b.不使用GPS／GPRS监控终端进行放映的；</w:t>
      </w:r>
    </w:p>
    <w:p w14:paraId="4C7620A5">
      <w:pPr>
        <w:bidi w:val="0"/>
        <w:spacing w:line="360" w:lineRule="auto"/>
        <w:rPr>
          <w:rFonts w:hint="eastAsia"/>
          <w:b w:val="0"/>
          <w:bCs w:val="0"/>
          <w:highlight w:val="none"/>
        </w:rPr>
      </w:pPr>
      <w:r>
        <w:rPr>
          <w:rFonts w:hint="eastAsia"/>
          <w:b w:val="0"/>
          <w:bCs w:val="0"/>
          <w:highlight w:val="none"/>
        </w:rPr>
        <w:t>c.其他违规行为产生的放映场次。</w:t>
      </w:r>
    </w:p>
    <w:p w14:paraId="47550CE0">
      <w:pPr>
        <w:bidi w:val="0"/>
        <w:spacing w:line="360" w:lineRule="auto"/>
        <w:rPr>
          <w:rFonts w:hint="eastAsia" w:eastAsia="宋体"/>
          <w:b w:val="0"/>
          <w:bCs w:val="0"/>
          <w:highlight w:val="none"/>
          <w:lang w:eastAsia="zh-CN"/>
        </w:rPr>
      </w:pPr>
      <w:r>
        <w:rPr>
          <w:rFonts w:hint="eastAsia"/>
          <w:b w:val="0"/>
          <w:bCs w:val="0"/>
          <w:highlight w:val="none"/>
          <w:lang w:val="en-US" w:eastAsia="zh-CN"/>
        </w:rPr>
        <w:t xml:space="preserve">② </w:t>
      </w:r>
      <w:r>
        <w:rPr>
          <w:rFonts w:hint="eastAsia"/>
          <w:b w:val="0"/>
          <w:bCs w:val="0"/>
          <w:highlight w:val="none"/>
        </w:rPr>
        <w:t>场次的影片，由全省农村电影统一供片的中标发行单位提供，严禁放映未取得《电影片公映许可证》影片和音像制品。通过浙影通改版，打通全省农村数字电影GPS/GPRS监管平台和“浙影通”平台。除向乡镇、城市商业影院购买的公共服务场次由各地统计后以“一月一报”的方式上报，其余公益场次全部通过GPS/GPRS监管平台纳入浙影通数字化监管</w:t>
      </w:r>
      <w:r>
        <w:rPr>
          <w:rFonts w:hint="eastAsia"/>
          <w:b w:val="0"/>
          <w:bCs w:val="0"/>
          <w:highlight w:val="none"/>
          <w:lang w:eastAsia="zh-CN"/>
        </w:rPr>
        <w:t>。</w:t>
      </w:r>
    </w:p>
    <w:p w14:paraId="6999BF5A">
      <w:pPr>
        <w:bidi w:val="0"/>
        <w:spacing w:line="360" w:lineRule="auto"/>
        <w:rPr>
          <w:rFonts w:hint="eastAsia"/>
          <w:b w:val="0"/>
          <w:bCs w:val="0"/>
          <w:highlight w:val="none"/>
        </w:rPr>
      </w:pPr>
      <w:r>
        <w:rPr>
          <w:rFonts w:hint="eastAsia"/>
          <w:b w:val="0"/>
          <w:bCs w:val="0"/>
          <w:highlight w:val="none"/>
          <w:lang w:val="en-US" w:eastAsia="zh-CN"/>
        </w:rPr>
        <w:t xml:space="preserve">③ </w:t>
      </w:r>
      <w:r>
        <w:rPr>
          <w:rFonts w:hint="eastAsia"/>
          <w:b w:val="0"/>
          <w:bCs w:val="0"/>
          <w:highlight w:val="none"/>
        </w:rPr>
        <w:t>自觉服从所在地农村电影管理部门管理。按管理部门要求，及时制定放映计划，根据气候、农民群众观影需求等因素，合理安排放映时间和放映场地，报所在地农村电影管理部门备案。结合重要节假日及所在地党委政府的主题宣传需要，配合做好相关宣传放映工作。</w:t>
      </w:r>
    </w:p>
    <w:p w14:paraId="2322293D">
      <w:pPr>
        <w:bidi w:val="0"/>
        <w:spacing w:line="360" w:lineRule="auto"/>
        <w:rPr>
          <w:rFonts w:hint="eastAsia"/>
          <w:b w:val="0"/>
          <w:bCs w:val="0"/>
          <w:highlight w:val="none"/>
        </w:rPr>
      </w:pPr>
      <w:r>
        <w:rPr>
          <w:rFonts w:hint="eastAsia"/>
          <w:b w:val="0"/>
          <w:bCs w:val="0"/>
          <w:highlight w:val="none"/>
          <w:lang w:val="en-US" w:eastAsia="zh-CN"/>
        </w:rPr>
        <w:t xml:space="preserve">④ </w:t>
      </w:r>
      <w:r>
        <w:rPr>
          <w:rFonts w:hint="eastAsia"/>
          <w:b w:val="0"/>
          <w:bCs w:val="0"/>
          <w:highlight w:val="none"/>
        </w:rPr>
        <w:t>定期组织农村群众观影需求调查，提倡采用菜单式预约放映服务机制。</w:t>
      </w:r>
    </w:p>
    <w:p w14:paraId="650FF8E5">
      <w:pPr>
        <w:bidi w:val="0"/>
        <w:spacing w:line="360" w:lineRule="auto"/>
        <w:rPr>
          <w:rFonts w:hint="eastAsia"/>
          <w:b w:val="0"/>
          <w:bCs w:val="0"/>
          <w:highlight w:val="none"/>
        </w:rPr>
      </w:pPr>
      <w:r>
        <w:rPr>
          <w:rFonts w:hint="eastAsia"/>
          <w:b w:val="0"/>
          <w:bCs w:val="0"/>
          <w:highlight w:val="none"/>
          <w:lang w:val="en-US" w:eastAsia="zh-CN"/>
        </w:rPr>
        <w:t xml:space="preserve">⑤ </w:t>
      </w:r>
      <w:r>
        <w:rPr>
          <w:rFonts w:hint="eastAsia"/>
          <w:b w:val="0"/>
          <w:bCs w:val="0"/>
          <w:highlight w:val="none"/>
        </w:rPr>
        <w:t>完整放映故事片、纪录片、科教片等各类政府购买场次影片以及各级政府公益宣传广告（禁止播放自主经营广告）。完整放映全省农村电影统一供片中标发行单位组织的映前广告。</w:t>
      </w:r>
    </w:p>
    <w:p w14:paraId="4E4C35FF">
      <w:pPr>
        <w:bidi w:val="0"/>
        <w:spacing w:line="360" w:lineRule="auto"/>
        <w:rPr>
          <w:rFonts w:hint="eastAsia"/>
          <w:b w:val="0"/>
          <w:bCs w:val="0"/>
          <w:highlight w:val="none"/>
        </w:rPr>
      </w:pPr>
      <w:r>
        <w:rPr>
          <w:rFonts w:hint="eastAsia"/>
          <w:b w:val="0"/>
          <w:bCs w:val="0"/>
          <w:highlight w:val="none"/>
          <w:lang w:val="en-US" w:eastAsia="zh-CN"/>
        </w:rPr>
        <w:t xml:space="preserve">⑥ </w:t>
      </w:r>
      <w:r>
        <w:rPr>
          <w:rFonts w:hint="eastAsia"/>
          <w:b w:val="0"/>
          <w:bCs w:val="0"/>
          <w:highlight w:val="none"/>
        </w:rPr>
        <w:t>政府购买场次不得向农村群众收费。政府购买场次以外，鼓励面向市场开展有偿放映服务，根据《财政部国家发展改革委 国土资源部 住房城乡建设部 中国人民银行 国家税务总局 新闻出版广电总局关于支持电影发展若干经济政策的通知》（财教[2014]56号），电影放映企业在农村的电影放映收入享受税收优惠政策。</w:t>
      </w:r>
    </w:p>
    <w:p w14:paraId="13DDA115">
      <w:pPr>
        <w:bidi w:val="0"/>
        <w:spacing w:line="360" w:lineRule="auto"/>
        <w:rPr>
          <w:rFonts w:hint="eastAsia"/>
          <w:b w:val="0"/>
          <w:bCs w:val="0"/>
          <w:highlight w:val="none"/>
        </w:rPr>
      </w:pPr>
      <w:r>
        <w:rPr>
          <w:rFonts w:hint="eastAsia"/>
          <w:b w:val="0"/>
          <w:bCs w:val="0"/>
          <w:highlight w:val="none"/>
          <w:lang w:val="en-US" w:eastAsia="zh-CN"/>
        </w:rPr>
        <w:t xml:space="preserve">⑦ </w:t>
      </w:r>
      <w:r>
        <w:rPr>
          <w:rFonts w:hint="eastAsia"/>
          <w:b w:val="0"/>
          <w:bCs w:val="0"/>
          <w:highlight w:val="none"/>
        </w:rPr>
        <w:t>建立电影放映公示制度。加强映前宣传和现场宣传活动，向农民群众提前告知电影放映时间、放映地点、影片片名等信息。为提高群众观影体验、培养观影习惯，由目前“流动露天放映为主”向“室内固定放映和室外流动放映并行”的放映模式转变，将农村文化礼堂、社区文化家园、新时代文明实践场所、校园军营园区观影点、各类公共文化空间等纳入固定放映点，相对固定放映时间，培养固定观影人群，提高群众观影体验。</w:t>
      </w:r>
    </w:p>
    <w:p w14:paraId="07F1D5F5">
      <w:pPr>
        <w:bidi w:val="0"/>
        <w:spacing w:line="360" w:lineRule="auto"/>
        <w:rPr>
          <w:rFonts w:hint="eastAsia"/>
          <w:b w:val="0"/>
          <w:bCs w:val="0"/>
          <w:highlight w:val="none"/>
        </w:rPr>
      </w:pPr>
      <w:r>
        <w:rPr>
          <w:rFonts w:hint="eastAsia"/>
          <w:b w:val="0"/>
          <w:bCs w:val="0"/>
          <w:highlight w:val="none"/>
          <w:lang w:val="en-US" w:eastAsia="zh-CN"/>
        </w:rPr>
        <w:t xml:space="preserve">⑧ </w:t>
      </w:r>
      <w:r>
        <w:rPr>
          <w:rFonts w:hint="eastAsia"/>
          <w:b w:val="0"/>
          <w:bCs w:val="0"/>
          <w:highlight w:val="none"/>
        </w:rPr>
        <w:t>严格遵守数字电影放映操作规程。选择安全合适的放映场地，确保建筑物、消防、用电等安全，严防安全事故发生。</w:t>
      </w:r>
    </w:p>
    <w:p w14:paraId="608B009C">
      <w:pPr>
        <w:bidi w:val="0"/>
        <w:spacing w:line="360" w:lineRule="auto"/>
        <w:rPr>
          <w:rFonts w:hint="eastAsia"/>
          <w:b/>
          <w:bCs/>
          <w:highlight w:val="none"/>
        </w:rPr>
      </w:pPr>
      <w:r>
        <w:rPr>
          <w:rFonts w:hint="eastAsia"/>
          <w:b w:val="0"/>
          <w:bCs w:val="0"/>
          <w:highlight w:val="none"/>
          <w:lang w:val="en-US" w:eastAsia="zh-CN"/>
        </w:rPr>
        <w:t xml:space="preserve">⑨ </w:t>
      </w:r>
      <w:r>
        <w:rPr>
          <w:rFonts w:hint="eastAsia"/>
          <w:b w:val="0"/>
          <w:bCs w:val="0"/>
          <w:highlight w:val="none"/>
        </w:rPr>
        <w:t>加强放映设备维护保养。声音、图像质量良好，投影机输出光通量不少于2900流明，投影机灯泡累计使用时间不超过1200小时。银幕应洁净平整，宽高比16：9，有效宽度不少于4m。避免放映过程中发生故障和技术责任事故，因设备故障造成的无效放映场次，不得超过政府购买年度场次5%（以省监管平台监测数据为准）。</w:t>
      </w:r>
    </w:p>
    <w:p w14:paraId="6A7E33AB">
      <w:pPr>
        <w:bidi w:val="0"/>
        <w:spacing w:line="360" w:lineRule="auto"/>
        <w:rPr>
          <w:b/>
          <w:bCs/>
          <w:highlight w:val="none"/>
          <w:lang w:val="en-US" w:eastAsia="zh-CN"/>
        </w:rPr>
      </w:pPr>
      <w:r>
        <w:rPr>
          <w:rFonts w:hint="eastAsia"/>
          <w:b w:val="0"/>
          <w:bCs w:val="0"/>
          <w:highlight w:val="none"/>
          <w:lang w:val="en-US" w:eastAsia="zh-CN"/>
        </w:rPr>
        <w:t>⑩ 计划分配时实现村（社）放映覆盖率≥98%，非公益性影片订购场次占年度场次比例≥65%，同时鼓励在合情合理范围内适度向需求量大的放映点倾斜。</w:t>
      </w:r>
    </w:p>
    <w:p w14:paraId="185183EE">
      <w:pPr>
        <w:bidi w:val="0"/>
        <w:spacing w:line="360" w:lineRule="auto"/>
        <w:rPr>
          <w:rFonts w:hint="eastAsia"/>
          <w:b/>
          <w:bCs/>
          <w:highlight w:val="none"/>
        </w:rPr>
      </w:pPr>
      <w:r>
        <w:rPr>
          <w:rFonts w:hint="eastAsia"/>
          <w:b/>
          <w:bCs/>
          <w:highlight w:val="none"/>
          <w:lang w:eastAsia="zh-CN"/>
        </w:rPr>
        <w:t>（</w:t>
      </w:r>
      <w:r>
        <w:rPr>
          <w:rFonts w:hint="eastAsia"/>
          <w:b/>
          <w:bCs/>
          <w:highlight w:val="none"/>
          <w:lang w:val="en-US" w:eastAsia="zh-CN"/>
        </w:rPr>
        <w:t>3</w:t>
      </w:r>
      <w:r>
        <w:rPr>
          <w:rFonts w:hint="eastAsia"/>
          <w:b/>
          <w:bCs/>
          <w:highlight w:val="none"/>
          <w:lang w:eastAsia="zh-CN"/>
        </w:rPr>
        <w:t>）</w:t>
      </w:r>
      <w:r>
        <w:rPr>
          <w:rFonts w:hint="eastAsia"/>
          <w:b/>
          <w:bCs/>
          <w:highlight w:val="none"/>
        </w:rPr>
        <w:t>对农村电影放映服务要求</w:t>
      </w:r>
    </w:p>
    <w:p w14:paraId="18C1CC6C">
      <w:pPr>
        <w:bidi w:val="0"/>
        <w:spacing w:line="360" w:lineRule="auto"/>
        <w:rPr>
          <w:rFonts w:hint="eastAsia"/>
          <w:b w:val="0"/>
          <w:bCs w:val="0"/>
          <w:highlight w:val="none"/>
        </w:rPr>
      </w:pPr>
      <w:r>
        <w:rPr>
          <w:rFonts w:hint="eastAsia"/>
          <w:b w:val="0"/>
          <w:bCs w:val="0"/>
          <w:highlight w:val="none"/>
          <w:lang w:val="en-US" w:eastAsia="zh-CN"/>
        </w:rPr>
        <w:t xml:space="preserve">① </w:t>
      </w:r>
      <w:r>
        <w:rPr>
          <w:rFonts w:hint="eastAsia"/>
          <w:b w:val="0"/>
          <w:bCs w:val="0"/>
          <w:highlight w:val="none"/>
        </w:rPr>
        <w:t>数字放映设备由成交供应商负责。</w:t>
      </w:r>
    </w:p>
    <w:p w14:paraId="35653BFD">
      <w:pPr>
        <w:bidi w:val="0"/>
        <w:spacing w:line="360" w:lineRule="auto"/>
        <w:rPr>
          <w:rFonts w:hint="eastAsia"/>
          <w:b w:val="0"/>
          <w:bCs w:val="0"/>
          <w:highlight w:val="none"/>
        </w:rPr>
      </w:pPr>
      <w:r>
        <w:rPr>
          <w:rFonts w:hint="eastAsia"/>
          <w:b w:val="0"/>
          <w:bCs w:val="0"/>
          <w:highlight w:val="none"/>
          <w:lang w:val="en-US" w:eastAsia="zh-CN"/>
        </w:rPr>
        <w:t xml:space="preserve">② </w:t>
      </w:r>
      <w:r>
        <w:rPr>
          <w:rFonts w:hint="eastAsia"/>
          <w:b w:val="0"/>
          <w:bCs w:val="0"/>
          <w:highlight w:val="none"/>
        </w:rPr>
        <w:t>编制放映年度计划、月度计划，月计划要具体乡镇、村，放映点、放映时间、放映影片和放映员等。月度放映计划应在上月底报中共瑞安市委宣传部备案。</w:t>
      </w:r>
    </w:p>
    <w:p w14:paraId="7DEA92E8">
      <w:pPr>
        <w:bidi w:val="0"/>
        <w:spacing w:line="360" w:lineRule="auto"/>
        <w:rPr>
          <w:rFonts w:hint="eastAsia"/>
          <w:b w:val="0"/>
          <w:bCs w:val="0"/>
          <w:highlight w:val="none"/>
        </w:rPr>
      </w:pPr>
      <w:r>
        <w:rPr>
          <w:rFonts w:hint="eastAsia"/>
          <w:b w:val="0"/>
          <w:bCs w:val="0"/>
          <w:highlight w:val="none"/>
          <w:lang w:val="en-US" w:eastAsia="zh-CN"/>
        </w:rPr>
        <w:t xml:space="preserve">③ </w:t>
      </w:r>
      <w:r>
        <w:rPr>
          <w:rFonts w:hint="eastAsia"/>
          <w:b w:val="0"/>
          <w:bCs w:val="0"/>
          <w:highlight w:val="none"/>
        </w:rPr>
        <w:t>成交供应商要采取多种形式进行农村电影公益放映的宣传，做好映前公示，设置公益电影放映宣传公示牌，要在拟放映的行政村采取多种方式进行映前公示，公示内容包括：放映地点，放映时间，放映影片名，放映员姓名，放映员联系电话，院线公司电话，投诉电话等，并在公示的基础上组织好观众。</w:t>
      </w:r>
    </w:p>
    <w:p w14:paraId="25533BF6">
      <w:pPr>
        <w:bidi w:val="0"/>
        <w:spacing w:line="360" w:lineRule="auto"/>
        <w:rPr>
          <w:rFonts w:hint="eastAsia"/>
          <w:b w:val="0"/>
          <w:bCs w:val="0"/>
          <w:highlight w:val="none"/>
        </w:rPr>
      </w:pPr>
      <w:r>
        <w:rPr>
          <w:rFonts w:hint="eastAsia"/>
          <w:b w:val="0"/>
          <w:bCs w:val="0"/>
          <w:highlight w:val="none"/>
          <w:lang w:val="en-US" w:eastAsia="zh-CN"/>
        </w:rPr>
        <w:t xml:space="preserve">④ </w:t>
      </w:r>
      <w:r>
        <w:rPr>
          <w:rFonts w:hint="eastAsia"/>
          <w:b w:val="0"/>
          <w:bCs w:val="0"/>
          <w:highlight w:val="none"/>
        </w:rPr>
        <w:t>加强对放映设备的使用管理，做到设备始终处于良好状态。</w:t>
      </w:r>
    </w:p>
    <w:p w14:paraId="12E4305D">
      <w:pPr>
        <w:bidi w:val="0"/>
        <w:spacing w:line="360" w:lineRule="auto"/>
        <w:rPr>
          <w:rFonts w:hint="eastAsia"/>
          <w:b w:val="0"/>
          <w:bCs w:val="0"/>
          <w:highlight w:val="none"/>
        </w:rPr>
      </w:pPr>
      <w:r>
        <w:rPr>
          <w:rFonts w:hint="eastAsia"/>
          <w:b w:val="0"/>
          <w:bCs w:val="0"/>
          <w:highlight w:val="none"/>
          <w:lang w:val="en-US" w:eastAsia="zh-CN"/>
        </w:rPr>
        <w:t xml:space="preserve">⑤ </w:t>
      </w:r>
      <w:r>
        <w:rPr>
          <w:rFonts w:hint="eastAsia"/>
          <w:b w:val="0"/>
          <w:bCs w:val="0"/>
          <w:highlight w:val="none"/>
        </w:rPr>
        <w:t>加强对放映队、放映人员的管理和培训，每年集中培训不少于4次。</w:t>
      </w:r>
    </w:p>
    <w:p w14:paraId="77BDD856">
      <w:pPr>
        <w:bidi w:val="0"/>
        <w:spacing w:line="360" w:lineRule="auto"/>
        <w:rPr>
          <w:rFonts w:hint="eastAsia"/>
          <w:b w:val="0"/>
          <w:bCs w:val="0"/>
          <w:highlight w:val="none"/>
        </w:rPr>
      </w:pPr>
      <w:r>
        <w:rPr>
          <w:rFonts w:hint="eastAsia"/>
          <w:b w:val="0"/>
          <w:bCs w:val="0"/>
          <w:highlight w:val="none"/>
          <w:lang w:val="en-US" w:eastAsia="zh-CN"/>
        </w:rPr>
        <w:t xml:space="preserve">⑥ </w:t>
      </w:r>
      <w:r>
        <w:rPr>
          <w:rFonts w:hint="eastAsia"/>
          <w:b w:val="0"/>
          <w:bCs w:val="0"/>
          <w:highlight w:val="none"/>
        </w:rPr>
        <w:t>放映过程的质量管理：采取多种手段保障放映数量和质量，一是使用省电影监管平台数据对放映过程进行有效监控。二是如实及时上报放映登记回执单，且回执单须得到村、乡镇（街道)负责人签字认可。三是按时向中共瑞安市委宣传部报送当月放映场次情况 。</w:t>
      </w:r>
    </w:p>
    <w:p w14:paraId="41A5D4F3">
      <w:pPr>
        <w:bidi w:val="0"/>
        <w:spacing w:line="360" w:lineRule="auto"/>
        <w:rPr>
          <w:rFonts w:hint="eastAsia"/>
          <w:b w:val="0"/>
          <w:bCs w:val="0"/>
          <w:highlight w:val="none"/>
        </w:rPr>
      </w:pPr>
      <w:r>
        <w:rPr>
          <w:rFonts w:hint="eastAsia"/>
          <w:b w:val="0"/>
          <w:bCs w:val="0"/>
          <w:highlight w:val="none"/>
          <w:lang w:val="en-US" w:eastAsia="zh-CN"/>
        </w:rPr>
        <w:t xml:space="preserve">⑦ </w:t>
      </w:r>
      <w:r>
        <w:rPr>
          <w:rFonts w:hint="eastAsia"/>
          <w:b w:val="0"/>
          <w:bCs w:val="0"/>
          <w:highlight w:val="none"/>
        </w:rPr>
        <w:t>统一编制订片计划，做好影片的订购供片工作，尽量选订适合农村群众喜欢看、爱看的新片，采取公益影片和非公益性影片相结合的选订方式。</w:t>
      </w:r>
    </w:p>
    <w:p w14:paraId="33E0FA65">
      <w:pPr>
        <w:bidi w:val="0"/>
        <w:spacing w:line="360" w:lineRule="auto"/>
        <w:rPr>
          <w:rFonts w:hint="eastAsia"/>
          <w:b/>
          <w:bCs/>
          <w:highlight w:val="none"/>
        </w:rPr>
      </w:pPr>
      <w:r>
        <w:rPr>
          <w:rFonts w:hint="eastAsia"/>
          <w:b w:val="0"/>
          <w:bCs w:val="0"/>
          <w:highlight w:val="none"/>
          <w:lang w:val="en-US" w:eastAsia="zh-CN"/>
        </w:rPr>
        <w:t xml:space="preserve">⑧ </w:t>
      </w:r>
      <w:r>
        <w:rPr>
          <w:rFonts w:hint="eastAsia"/>
          <w:b w:val="0"/>
          <w:bCs w:val="0"/>
          <w:highlight w:val="none"/>
        </w:rPr>
        <w:t>放映安全管理：做好放映影片的控制管理，不得放映未取得电影公映许可证和来源不明的影片，放映主体作为影片放映工作的安全责任主体，要加强放映场地内的安全管控。</w:t>
      </w:r>
    </w:p>
    <w:p w14:paraId="0307FE27">
      <w:pPr>
        <w:bidi w:val="0"/>
        <w:spacing w:line="360" w:lineRule="auto"/>
        <w:rPr>
          <w:b/>
          <w:bCs/>
          <w:highlight w:val="none"/>
        </w:rPr>
      </w:pPr>
      <w:r>
        <w:rPr>
          <w:rFonts w:hint="eastAsia"/>
          <w:b/>
          <w:bCs/>
          <w:highlight w:val="none"/>
          <w:lang w:eastAsia="zh-CN"/>
        </w:rPr>
        <w:t>（</w:t>
      </w:r>
      <w:r>
        <w:rPr>
          <w:rFonts w:hint="eastAsia"/>
          <w:b/>
          <w:bCs/>
          <w:highlight w:val="none"/>
          <w:lang w:val="en-US" w:eastAsia="zh-CN"/>
        </w:rPr>
        <w:t>4</w:t>
      </w:r>
      <w:r>
        <w:rPr>
          <w:rFonts w:hint="eastAsia"/>
          <w:b/>
          <w:bCs/>
          <w:highlight w:val="none"/>
          <w:lang w:eastAsia="zh-CN"/>
        </w:rPr>
        <w:t>）</w:t>
      </w:r>
      <w:r>
        <w:rPr>
          <w:rFonts w:hint="eastAsia"/>
          <w:b/>
          <w:bCs/>
          <w:highlight w:val="none"/>
        </w:rPr>
        <w:t>服务期限：</w:t>
      </w:r>
      <w:r>
        <w:rPr>
          <w:rFonts w:hint="eastAsia"/>
          <w:b w:val="0"/>
          <w:bCs w:val="0"/>
          <w:highlight w:val="none"/>
          <w:lang w:val="en-US" w:eastAsia="zh-CN"/>
        </w:rPr>
        <w:t>壹</w:t>
      </w:r>
      <w:r>
        <w:rPr>
          <w:rFonts w:hint="eastAsia"/>
          <w:b w:val="0"/>
          <w:bCs w:val="0"/>
          <w:highlight w:val="none"/>
        </w:rPr>
        <w:t>年。</w:t>
      </w:r>
    </w:p>
    <w:p w14:paraId="35A83230">
      <w:pPr>
        <w:bidi w:val="0"/>
        <w:spacing w:line="360" w:lineRule="auto"/>
        <w:rPr>
          <w:rFonts w:hint="eastAsia"/>
          <w:b/>
          <w:bCs/>
          <w:highlight w:val="none"/>
        </w:rPr>
      </w:pPr>
      <w:r>
        <w:rPr>
          <w:rFonts w:hint="eastAsia"/>
          <w:b/>
          <w:bCs/>
          <w:highlight w:val="none"/>
          <w:lang w:val="en-US" w:eastAsia="zh-CN"/>
        </w:rPr>
        <w:t>4、</w:t>
      </w:r>
      <w:r>
        <w:rPr>
          <w:rFonts w:hint="eastAsia"/>
          <w:b/>
          <w:bCs/>
          <w:highlight w:val="none"/>
        </w:rPr>
        <w:t>报价要求：</w:t>
      </w:r>
    </w:p>
    <w:p w14:paraId="1952AA3C">
      <w:pPr>
        <w:bidi w:val="0"/>
        <w:spacing w:line="360" w:lineRule="auto"/>
        <w:rPr>
          <w:rFonts w:hint="eastAsia"/>
          <w:b w:val="0"/>
          <w:bCs w:val="0"/>
          <w:highlight w:val="none"/>
        </w:rPr>
      </w:pPr>
      <w:r>
        <w:rPr>
          <w:rFonts w:hint="eastAsia"/>
          <w:b w:val="0"/>
          <w:bCs w:val="0"/>
          <w:highlight w:val="none"/>
          <w:lang w:val="en-US" w:eastAsia="zh-CN"/>
        </w:rPr>
        <w:t xml:space="preserve">① </w:t>
      </w:r>
      <w:r>
        <w:rPr>
          <w:rFonts w:hint="eastAsia"/>
          <w:b w:val="0"/>
          <w:bCs w:val="0"/>
          <w:highlight w:val="none"/>
        </w:rPr>
        <w:t>放映员劳务费（片库内30分钟（含）以下的影片确定为短片，90分钟（含）以上的影片确定为长片，按照3部短片计1部长片的算法，每部短片计0.33场。31-59分钟影片计为0.6场，60分钟（含）-89分钟影片计为0.8场。长片为90分钟为1场计算，时长每增加10分钟，计一档为0.1场，增加时长不足10分钟的仍按照下一档计算，以此类推。）由成交供应商支付，费用包含在投标报价中，投标供应商需结合瑞安市实际情况，给出合理的报价。</w:t>
      </w:r>
    </w:p>
    <w:p w14:paraId="24055844">
      <w:pPr>
        <w:bidi w:val="0"/>
        <w:spacing w:line="360" w:lineRule="auto"/>
        <w:rPr>
          <w:rFonts w:hint="eastAsia"/>
          <w:b w:val="0"/>
          <w:bCs w:val="0"/>
          <w:highlight w:val="none"/>
        </w:rPr>
      </w:pPr>
      <w:r>
        <w:rPr>
          <w:rFonts w:hint="eastAsia"/>
          <w:b w:val="0"/>
          <w:bCs w:val="0"/>
          <w:highlight w:val="none"/>
          <w:lang w:val="en-US" w:eastAsia="zh-CN"/>
        </w:rPr>
        <w:t xml:space="preserve">② </w:t>
      </w:r>
      <w:r>
        <w:rPr>
          <w:rFonts w:hint="eastAsia"/>
          <w:b w:val="0"/>
          <w:bCs w:val="0"/>
          <w:highlight w:val="none"/>
        </w:rPr>
        <w:t>放映人员人身意外保险：成交供应商必须为放映员购买人身意外保险，保额不低于50万（死亡、残疾），费用包含在投标报价中。</w:t>
      </w:r>
    </w:p>
    <w:p w14:paraId="38277816">
      <w:pPr>
        <w:bidi w:val="0"/>
        <w:spacing w:line="360" w:lineRule="auto"/>
        <w:rPr>
          <w:rFonts w:hint="eastAsia"/>
          <w:b w:val="0"/>
          <w:bCs w:val="0"/>
          <w:highlight w:val="none"/>
        </w:rPr>
      </w:pPr>
      <w:r>
        <w:rPr>
          <w:rFonts w:hint="eastAsia"/>
          <w:b w:val="0"/>
          <w:bCs w:val="0"/>
          <w:highlight w:val="none"/>
          <w:lang w:val="en-US" w:eastAsia="zh-CN"/>
        </w:rPr>
        <w:t xml:space="preserve">③ </w:t>
      </w:r>
      <w:r>
        <w:rPr>
          <w:rFonts w:hint="eastAsia"/>
          <w:b w:val="0"/>
          <w:bCs w:val="0"/>
          <w:highlight w:val="none"/>
        </w:rPr>
        <w:t>投标供应商必须严格执行国家税务相关规定，依法按时缴纳各类税金，费用包含在投标报价内。各投标供应商报价时应根据自身须上缴的税费进行报价。</w:t>
      </w:r>
    </w:p>
    <w:p w14:paraId="204E3FE3">
      <w:pPr>
        <w:bidi w:val="0"/>
        <w:spacing w:line="360" w:lineRule="auto"/>
        <w:rPr>
          <w:rFonts w:hint="eastAsia"/>
          <w:b w:val="0"/>
          <w:bCs w:val="0"/>
          <w:highlight w:val="none"/>
        </w:rPr>
      </w:pPr>
      <w:r>
        <w:rPr>
          <w:rFonts w:hint="eastAsia"/>
          <w:b w:val="0"/>
          <w:bCs w:val="0"/>
          <w:highlight w:val="none"/>
          <w:lang w:val="en-US" w:eastAsia="zh-CN"/>
        </w:rPr>
        <w:t xml:space="preserve">④ </w:t>
      </w:r>
      <w:r>
        <w:rPr>
          <w:rFonts w:hint="eastAsia"/>
          <w:b w:val="0"/>
          <w:bCs w:val="0"/>
          <w:highlight w:val="none"/>
        </w:rPr>
        <w:t>放映设备由成交供应商负责。</w:t>
      </w:r>
    </w:p>
    <w:p w14:paraId="6C4E1F57">
      <w:pPr>
        <w:bidi w:val="0"/>
        <w:spacing w:line="360" w:lineRule="auto"/>
        <w:rPr>
          <w:rFonts w:hint="eastAsia"/>
          <w:b w:val="0"/>
          <w:bCs w:val="0"/>
          <w:highlight w:val="none"/>
        </w:rPr>
      </w:pPr>
      <w:r>
        <w:rPr>
          <w:rFonts w:hint="eastAsia"/>
          <w:b w:val="0"/>
          <w:bCs w:val="0"/>
          <w:highlight w:val="none"/>
          <w:lang w:val="en-US" w:eastAsia="zh-CN"/>
        </w:rPr>
        <w:t xml:space="preserve">⑤ </w:t>
      </w:r>
      <w:r>
        <w:rPr>
          <w:rFonts w:hint="eastAsia"/>
          <w:b w:val="0"/>
          <w:bCs w:val="0"/>
          <w:highlight w:val="none"/>
        </w:rPr>
        <w:t>所有设备使用过程中所涉及的运行费、维护保养费（维护、维修、更新等）等由成交供应商承担，费用包含在投标报价中。</w:t>
      </w:r>
    </w:p>
    <w:p w14:paraId="1AD40BC0">
      <w:pPr>
        <w:bidi w:val="0"/>
        <w:spacing w:line="360" w:lineRule="auto"/>
        <w:rPr>
          <w:highlight w:val="none"/>
        </w:rPr>
      </w:pPr>
      <w:r>
        <w:rPr>
          <w:rFonts w:hint="eastAsia"/>
          <w:b w:val="0"/>
          <w:bCs w:val="0"/>
          <w:highlight w:val="none"/>
          <w:lang w:val="en-US" w:eastAsia="zh-CN"/>
        </w:rPr>
        <w:t xml:space="preserve">⑥ </w:t>
      </w:r>
      <w:r>
        <w:rPr>
          <w:rFonts w:hint="eastAsia"/>
          <w:b w:val="0"/>
          <w:bCs w:val="0"/>
          <w:highlight w:val="none"/>
        </w:rPr>
        <w:t>其他相关费用。</w:t>
      </w:r>
    </w:p>
    <w:bookmarkEnd w:id="321"/>
    <w:bookmarkEnd w:id="322"/>
    <w:p w14:paraId="09B90696">
      <w:pPr>
        <w:spacing w:line="360" w:lineRule="auto"/>
        <w:rPr>
          <w:rFonts w:eastAsia="宋体"/>
          <w:b/>
          <w:bCs/>
          <w:highlight w:val="none"/>
        </w:rPr>
      </w:pPr>
      <w:bookmarkStart w:id="323" w:name="_Toc5774"/>
      <w:bookmarkStart w:id="324" w:name="_Toc6481"/>
      <w:bookmarkStart w:id="325" w:name="_Toc482111286"/>
      <w:r>
        <w:rPr>
          <w:rFonts w:hint="eastAsia"/>
          <w:b/>
          <w:bCs/>
          <w:highlight w:val="none"/>
          <w:lang w:val="en-US" w:eastAsia="zh-CN"/>
        </w:rPr>
        <w:t>5</w:t>
      </w:r>
      <w:r>
        <w:rPr>
          <w:b/>
          <w:bCs/>
          <w:highlight w:val="none"/>
        </w:rPr>
        <w:t>、</w:t>
      </w:r>
      <w:bookmarkEnd w:id="323"/>
      <w:bookmarkEnd w:id="324"/>
      <w:bookmarkEnd w:id="325"/>
      <w:r>
        <w:rPr>
          <w:b/>
          <w:bCs/>
          <w:highlight w:val="none"/>
        </w:rPr>
        <w:t>商务要求：</w:t>
      </w:r>
    </w:p>
    <w:p w14:paraId="67A2A100">
      <w:pPr>
        <w:pStyle w:val="13"/>
        <w:widowControl/>
        <w:spacing w:after="0" w:line="360" w:lineRule="auto"/>
        <w:ind w:left="0" w:leftChars="0"/>
        <w:rPr>
          <w:rFonts w:ascii="宋体" w:hAnsi="宋体" w:cs="宋体"/>
          <w:szCs w:val="21"/>
          <w:highlight w:val="none"/>
        </w:rPr>
      </w:pPr>
      <w:bookmarkStart w:id="326" w:name="_Toc25032"/>
      <w:bookmarkStart w:id="327" w:name="_Toc482111287"/>
      <w:bookmarkStart w:id="328" w:name="_Toc19123"/>
      <w:r>
        <w:rPr>
          <w:rFonts w:ascii="宋体" w:hAnsi="宋体" w:cs="宋体"/>
          <w:szCs w:val="21"/>
          <w:highlight w:val="none"/>
        </w:rPr>
        <w:t>①</w:t>
      </w:r>
      <w:r>
        <w:rPr>
          <w:rFonts w:hint="eastAsia" w:ascii="宋体" w:hAnsi="宋体" w:cs="宋体"/>
          <w:szCs w:val="21"/>
          <w:highlight w:val="none"/>
          <w:lang w:val="en-US" w:eastAsia="zh-CN"/>
        </w:rPr>
        <w:t xml:space="preserve"> </w:t>
      </w:r>
      <w:r>
        <w:rPr>
          <w:rFonts w:hint="eastAsia" w:ascii="宋体" w:hAnsi="宋体" w:cs="宋体"/>
          <w:szCs w:val="21"/>
          <w:highlight w:val="none"/>
        </w:rPr>
        <w:t>磋商供应商的报价应为承包完成本次采购需完成全部工作所发生的所有费用，并承担一切风险责任。包含劳务费、保险、运行费、培训费、宣传费、监督检查、放映设备维护更新、合理的管理费用（含采购代理费）、风险（保险、处理一切伤亡事故等费用）、税费等其他一切费用。投标报价为最终报价，投标供应商不得再要求追加任何费用。</w:t>
      </w:r>
    </w:p>
    <w:p w14:paraId="5CD9F810">
      <w:pPr>
        <w:pStyle w:val="13"/>
        <w:widowControl/>
        <w:spacing w:after="0" w:line="360" w:lineRule="auto"/>
        <w:ind w:left="0" w:leftChars="0"/>
        <w:rPr>
          <w:rFonts w:ascii="宋体" w:hAnsi="宋体" w:cs="宋体"/>
          <w:szCs w:val="21"/>
          <w:highlight w:val="none"/>
        </w:rPr>
      </w:pPr>
      <w:r>
        <w:rPr>
          <w:rFonts w:hint="eastAsia" w:ascii="宋体" w:hAnsi="宋体" w:cs="宋体"/>
          <w:szCs w:val="21"/>
          <w:highlight w:val="none"/>
          <w:lang w:val="en-US" w:eastAsia="zh-CN"/>
        </w:rPr>
        <w:t>②</w:t>
      </w:r>
      <w:r>
        <w:rPr>
          <w:rFonts w:ascii="宋体" w:hAnsi="宋体" w:cs="宋体"/>
          <w:szCs w:val="21"/>
          <w:highlight w:val="none"/>
        </w:rPr>
        <w:t xml:space="preserve"> 如出现违法违规等行动的，采购人有权终止合同；</w:t>
      </w:r>
    </w:p>
    <w:p w14:paraId="57BA0523">
      <w:pPr>
        <w:pStyle w:val="13"/>
        <w:widowControl/>
        <w:spacing w:after="0" w:line="360" w:lineRule="auto"/>
        <w:ind w:left="0" w:leftChars="0"/>
        <w:rPr>
          <w:rFonts w:hint="eastAsia" w:ascii="宋体" w:hAnsi="宋体" w:eastAsia="宋体" w:cs="宋体"/>
          <w:szCs w:val="21"/>
          <w:highlight w:val="none"/>
          <w:lang w:eastAsia="zh-CN"/>
        </w:rPr>
      </w:pPr>
      <w:r>
        <w:rPr>
          <w:rFonts w:hint="eastAsia" w:ascii="宋体" w:hAnsi="宋体" w:cs="宋体"/>
          <w:szCs w:val="21"/>
          <w:highlight w:val="none"/>
          <w:lang w:val="en-US" w:eastAsia="zh-CN"/>
        </w:rPr>
        <w:t>③</w:t>
      </w:r>
      <w:r>
        <w:rPr>
          <w:rFonts w:ascii="宋体" w:hAnsi="宋体" w:cs="宋体"/>
          <w:szCs w:val="21"/>
          <w:highlight w:val="none"/>
        </w:rPr>
        <w:t xml:space="preserve"> 如出现引起恶劣社会影响的行为，采购人有权终止合同</w:t>
      </w:r>
      <w:r>
        <w:rPr>
          <w:rFonts w:hint="eastAsia" w:ascii="宋体" w:hAnsi="宋体" w:cs="宋体"/>
          <w:szCs w:val="21"/>
          <w:highlight w:val="none"/>
          <w:lang w:eastAsia="zh-CN"/>
        </w:rPr>
        <w:t>；</w:t>
      </w:r>
    </w:p>
    <w:p w14:paraId="05488761">
      <w:pPr>
        <w:pStyle w:val="13"/>
        <w:widowControl/>
        <w:spacing w:after="0" w:line="360" w:lineRule="auto"/>
        <w:ind w:left="0" w:leftChars="0"/>
        <w:rPr>
          <w:rFonts w:hint="eastAsia" w:ascii="宋体" w:hAnsi="宋体" w:cs="宋体"/>
          <w:szCs w:val="21"/>
          <w:highlight w:val="none"/>
          <w:lang w:val="en-US" w:eastAsia="zh-CN"/>
        </w:rPr>
      </w:pPr>
      <w:r>
        <w:rPr>
          <w:rFonts w:hint="eastAsia" w:ascii="宋体" w:hAnsi="宋体" w:cs="宋体"/>
          <w:szCs w:val="21"/>
          <w:highlight w:val="none"/>
          <w:lang w:val="en-US" w:eastAsia="zh-CN"/>
        </w:rPr>
        <w:t>④ 服务期限：自合同签订之日起壹年。</w:t>
      </w:r>
    </w:p>
    <w:p w14:paraId="489B61BD">
      <w:pPr>
        <w:pStyle w:val="13"/>
        <w:widowControl/>
        <w:spacing w:after="0" w:line="360" w:lineRule="auto"/>
        <w:ind w:left="0" w:leftChars="0" w:firstLine="0"/>
        <w:rPr>
          <w:rFonts w:hint="eastAsia" w:ascii="宋体" w:hAnsi="宋体" w:cs="宋体"/>
          <w:szCs w:val="21"/>
          <w:highlight w:val="none"/>
          <w:lang w:val="en-US" w:eastAsia="zh-CN"/>
        </w:rPr>
      </w:pPr>
      <w:r>
        <w:rPr>
          <w:rFonts w:hint="eastAsia" w:ascii="宋体" w:hAnsi="宋体" w:cs="宋体"/>
          <w:szCs w:val="21"/>
          <w:highlight w:val="none"/>
          <w:lang w:val="en-US" w:eastAsia="zh-CN"/>
        </w:rPr>
        <w:t>A. 本项目为单价合同，如服务期限未到，财政预算价已支付完毕，合同生效至本次财政预算价支付完毕止；如服务期限已到，财政预算价未使用完，则合同生效至本项目服务期限完毕止。</w:t>
      </w:r>
    </w:p>
    <w:p w14:paraId="747334B4">
      <w:pPr>
        <w:pStyle w:val="13"/>
        <w:widowControl/>
        <w:spacing w:after="0" w:line="360" w:lineRule="auto"/>
        <w:ind w:left="0" w:leftChars="0" w:firstLine="0"/>
        <w:rPr>
          <w:rFonts w:hint="eastAsia" w:ascii="宋体" w:hAnsi="宋体" w:cs="宋体"/>
          <w:szCs w:val="21"/>
          <w:highlight w:val="none"/>
          <w:lang w:val="en-US" w:eastAsia="zh-CN"/>
        </w:rPr>
      </w:pPr>
      <w:r>
        <w:rPr>
          <w:rFonts w:hint="eastAsia" w:ascii="宋体" w:hAnsi="宋体" w:cs="宋体"/>
          <w:szCs w:val="21"/>
          <w:highlight w:val="none"/>
          <w:lang w:val="en-US" w:eastAsia="zh-CN"/>
        </w:rPr>
        <w:t>B. 若成交供应商有违约行为，采购人有权单方面解除合同。</w:t>
      </w:r>
    </w:p>
    <w:p w14:paraId="67098E42">
      <w:pPr>
        <w:pStyle w:val="13"/>
        <w:widowControl/>
        <w:spacing w:after="0" w:line="360" w:lineRule="auto"/>
        <w:ind w:left="0" w:leftChars="0"/>
        <w:rPr>
          <w:rFonts w:hint="eastAsia" w:ascii="宋体" w:hAnsi="宋体" w:eastAsia="宋体" w:cs="宋体"/>
          <w:szCs w:val="21"/>
          <w:highlight w:val="none"/>
          <w:lang w:eastAsia="zh-CN"/>
        </w:rPr>
      </w:pPr>
      <w:r>
        <w:rPr>
          <w:rFonts w:hint="eastAsia"/>
          <w:b w:val="0"/>
          <w:bCs w:val="0"/>
          <w:highlight w:val="none"/>
          <w:lang w:val="en-US" w:eastAsia="zh-CN"/>
        </w:rPr>
        <w:t>⑤</w:t>
      </w:r>
      <w:r>
        <w:rPr>
          <w:rFonts w:ascii="宋体" w:hAnsi="宋体" w:cs="宋体"/>
          <w:szCs w:val="21"/>
          <w:highlight w:val="none"/>
        </w:rPr>
        <w:t xml:space="preserve"> 最终结算以实际情况为准</w:t>
      </w:r>
      <w:r>
        <w:rPr>
          <w:rFonts w:hint="eastAsia" w:ascii="宋体" w:hAnsi="宋体" w:cs="宋体"/>
          <w:szCs w:val="21"/>
          <w:highlight w:val="none"/>
          <w:lang w:eastAsia="zh-CN"/>
        </w:rPr>
        <w:t>；</w:t>
      </w:r>
    </w:p>
    <w:p w14:paraId="3469E976">
      <w:pPr>
        <w:spacing w:line="360" w:lineRule="auto"/>
        <w:rPr>
          <w:highlight w:val="none"/>
        </w:rPr>
      </w:pPr>
      <w:r>
        <w:rPr>
          <w:rFonts w:hint="eastAsia"/>
          <w:b/>
          <w:bCs/>
          <w:highlight w:val="none"/>
          <w:lang w:val="en-US" w:eastAsia="zh-CN"/>
        </w:rPr>
        <w:t xml:space="preserve">⑥ </w:t>
      </w:r>
      <w:r>
        <w:rPr>
          <w:b/>
          <w:bCs/>
          <w:highlight w:val="none"/>
        </w:rPr>
        <w:t>本项目</w:t>
      </w:r>
      <w:r>
        <w:rPr>
          <w:rFonts w:hint="eastAsia"/>
          <w:b/>
          <w:bCs/>
          <w:highlight w:val="none"/>
        </w:rPr>
        <w:t>最高综合单价限价为210元</w:t>
      </w:r>
      <w:r>
        <w:rPr>
          <w:b/>
          <w:bCs/>
          <w:highlight w:val="none"/>
        </w:rPr>
        <w:t>，投标</w:t>
      </w:r>
      <w:r>
        <w:rPr>
          <w:rFonts w:hint="eastAsia"/>
          <w:b/>
          <w:bCs/>
          <w:highlight w:val="none"/>
          <w:lang w:val="en-US" w:eastAsia="zh-CN"/>
        </w:rPr>
        <w:t>最高综合单价超过210元</w:t>
      </w:r>
      <w:r>
        <w:rPr>
          <w:b/>
          <w:bCs/>
          <w:highlight w:val="none"/>
        </w:rPr>
        <w:t>或未填写的，其磋商响应文件按无效标处理。</w:t>
      </w:r>
    </w:p>
    <w:p w14:paraId="714310E7">
      <w:pPr>
        <w:spacing w:line="360" w:lineRule="auto"/>
        <w:rPr>
          <w:rFonts w:hint="eastAsia" w:eastAsia="宋体"/>
          <w:b/>
          <w:bCs/>
          <w:highlight w:val="none"/>
          <w:lang w:eastAsia="zh-CN"/>
        </w:rPr>
      </w:pPr>
      <w:bookmarkStart w:id="329" w:name="_Toc22663"/>
      <w:r>
        <w:rPr>
          <w:rFonts w:hint="eastAsia"/>
          <w:b/>
          <w:bCs/>
          <w:highlight w:val="none"/>
          <w:lang w:val="en-US" w:eastAsia="zh-CN"/>
        </w:rPr>
        <w:t>6</w:t>
      </w:r>
      <w:r>
        <w:rPr>
          <w:b/>
          <w:bCs/>
          <w:highlight w:val="none"/>
        </w:rPr>
        <w:t>、</w:t>
      </w:r>
      <w:bookmarkEnd w:id="326"/>
      <w:bookmarkEnd w:id="327"/>
      <w:bookmarkEnd w:id="328"/>
      <w:bookmarkEnd w:id="329"/>
      <w:r>
        <w:rPr>
          <w:rFonts w:hint="eastAsia"/>
          <w:b/>
          <w:bCs/>
          <w:highlight w:val="none"/>
        </w:rPr>
        <w:t>考核标准</w:t>
      </w:r>
      <w:r>
        <w:rPr>
          <w:rFonts w:hint="eastAsia"/>
          <w:b/>
          <w:bCs/>
          <w:highlight w:val="none"/>
          <w:lang w:eastAsia="zh-CN"/>
        </w:rPr>
        <w:t>：</w:t>
      </w:r>
    </w:p>
    <w:p w14:paraId="6D52A749">
      <w:pPr>
        <w:bidi w:val="0"/>
        <w:spacing w:line="360" w:lineRule="auto"/>
        <w:rPr>
          <w:rFonts w:hint="eastAsia"/>
          <w:highlight w:val="none"/>
          <w:lang w:val="en-US" w:eastAsia="zh-CN"/>
        </w:rPr>
      </w:pPr>
      <w:r>
        <w:rPr>
          <w:rFonts w:hint="eastAsia"/>
          <w:highlight w:val="none"/>
          <w:lang w:val="en-US" w:eastAsia="zh-CN"/>
        </w:rPr>
        <w:t>① 依据《浙江省农村电影放映监管实施细则》。</w:t>
      </w:r>
    </w:p>
    <w:p w14:paraId="2424158D">
      <w:pPr>
        <w:bidi w:val="0"/>
        <w:spacing w:line="360" w:lineRule="auto"/>
        <w:rPr>
          <w:rFonts w:hint="eastAsia"/>
          <w:highlight w:val="none"/>
          <w:lang w:val="en-US" w:eastAsia="zh-CN"/>
        </w:rPr>
      </w:pPr>
      <w:r>
        <w:rPr>
          <w:rFonts w:hint="eastAsia"/>
          <w:highlight w:val="none"/>
          <w:lang w:val="en-US" w:eastAsia="zh-CN"/>
        </w:rPr>
        <w:t>② 依据中共浙江省委宣传部《关于转发&lt;农村电影放映服务规范&gt;的通知》落实情况作为服务质量评价。</w:t>
      </w:r>
    </w:p>
    <w:p w14:paraId="680F845A">
      <w:pPr>
        <w:pStyle w:val="2"/>
        <w:rPr>
          <w:rFonts w:hint="eastAsia"/>
          <w:highlight w:val="none"/>
          <w:lang w:val="en-US" w:eastAsia="zh-CN"/>
        </w:rPr>
      </w:pPr>
    </w:p>
    <w:p w14:paraId="43333B15">
      <w:pPr>
        <w:pStyle w:val="5"/>
        <w:rPr>
          <w:rFonts w:hint="eastAsia"/>
          <w:highlight w:val="none"/>
          <w:lang w:val="en-US" w:eastAsia="zh-CN"/>
        </w:rPr>
      </w:pPr>
    </w:p>
    <w:p w14:paraId="6B4C597F">
      <w:pPr>
        <w:pStyle w:val="6"/>
        <w:rPr>
          <w:rFonts w:hint="eastAsia"/>
          <w:highlight w:val="none"/>
          <w:lang w:val="en-US" w:eastAsia="zh-CN"/>
        </w:rPr>
      </w:pPr>
    </w:p>
    <w:p w14:paraId="1EFF6891">
      <w:pPr>
        <w:rPr>
          <w:rFonts w:hint="eastAsia"/>
          <w:highlight w:val="none"/>
          <w:lang w:val="en-US" w:eastAsia="zh-CN"/>
        </w:rPr>
      </w:pPr>
    </w:p>
    <w:p w14:paraId="441EC1D7">
      <w:pPr>
        <w:pStyle w:val="2"/>
        <w:rPr>
          <w:rFonts w:hint="eastAsia"/>
          <w:highlight w:val="none"/>
          <w:lang w:val="en-US" w:eastAsia="zh-CN"/>
        </w:rPr>
      </w:pPr>
    </w:p>
    <w:p w14:paraId="6BC0AB04">
      <w:pPr>
        <w:pStyle w:val="5"/>
        <w:rPr>
          <w:rFonts w:hint="eastAsia"/>
          <w:highlight w:val="none"/>
          <w:lang w:val="en-US" w:eastAsia="zh-CN"/>
        </w:rPr>
      </w:pPr>
    </w:p>
    <w:p w14:paraId="6E7D2A1C">
      <w:pPr>
        <w:rPr>
          <w:rFonts w:hint="eastAsia"/>
          <w:highlight w:val="none"/>
          <w:lang w:val="en-US" w:eastAsia="zh-CN"/>
        </w:rPr>
      </w:pPr>
    </w:p>
    <w:p w14:paraId="166299B7">
      <w:pPr>
        <w:pStyle w:val="2"/>
        <w:rPr>
          <w:b/>
          <w:bCs/>
          <w:sz w:val="22"/>
          <w:szCs w:val="24"/>
          <w:highlight w:val="none"/>
          <w:lang w:val="en-US"/>
        </w:rPr>
      </w:pPr>
      <w:r>
        <w:rPr>
          <w:rFonts w:hint="eastAsia"/>
          <w:b/>
          <w:bCs/>
          <w:sz w:val="22"/>
          <w:szCs w:val="24"/>
          <w:highlight w:val="none"/>
          <w:lang w:val="en-US" w:eastAsia="zh-CN"/>
        </w:rPr>
        <w:t>附件1：</w:t>
      </w:r>
    </w:p>
    <w:p w14:paraId="76557E80">
      <w:pPr>
        <w:pStyle w:val="8"/>
        <w:spacing w:before="0" w:after="0" w:line="360" w:lineRule="auto"/>
        <w:jc w:val="center"/>
        <w:rPr>
          <w:rFonts w:hint="eastAsia"/>
          <w:sz w:val="21"/>
          <w:szCs w:val="21"/>
          <w:highlight w:val="none"/>
        </w:rPr>
        <w:sectPr>
          <w:headerReference r:id="rId6" w:type="default"/>
          <w:footerReference r:id="rId7" w:type="default"/>
          <w:pgSz w:w="11906" w:h="16838"/>
          <w:pgMar w:top="1440" w:right="1800" w:bottom="1440" w:left="1800" w:header="851" w:footer="992" w:gutter="0"/>
          <w:cols w:space="425" w:num="1"/>
          <w:docGrid w:type="lines" w:linePitch="312" w:charSpace="0"/>
        </w:sectPr>
      </w:pPr>
      <w:bookmarkStart w:id="330" w:name="_Toc413201523"/>
      <w:bookmarkStart w:id="331" w:name="_Toc2760050"/>
      <w:bookmarkStart w:id="332" w:name="_Toc411166783"/>
      <w:bookmarkStart w:id="333" w:name="_Toc470529948"/>
      <w:bookmarkStart w:id="334" w:name="_Toc18282"/>
      <w:bookmarkStart w:id="335" w:name="_Toc15203"/>
      <w:bookmarkStart w:id="336" w:name="_Toc482111288"/>
      <w:bookmarkStart w:id="337" w:name="_Toc19116"/>
      <w:r>
        <w:rPr>
          <w:rFonts w:hint="eastAsia"/>
          <w:sz w:val="21"/>
          <w:szCs w:val="21"/>
          <w:highlight w:val="none"/>
        </w:rPr>
        <w:drawing>
          <wp:inline distT="0" distB="0" distL="114300" distR="114300">
            <wp:extent cx="5736590" cy="8105775"/>
            <wp:effectExtent l="0" t="0" r="16510" b="8889"/>
            <wp:docPr id="6" name="图片 6" descr="关于转发《农村电影放映服务规范》的通知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关于转发《农村电影放映服务规范》的通知_00"/>
                    <pic:cNvPicPr>
                      <a:picLocks noChangeAspect="1"/>
                    </pic:cNvPicPr>
                  </pic:nvPicPr>
                  <pic:blipFill>
                    <a:blip r:embed="rId9"/>
                    <a:stretch>
                      <a:fillRect/>
                    </a:stretch>
                  </pic:blipFill>
                  <pic:spPr>
                    <a:xfrm>
                      <a:off x="0" y="0"/>
                      <a:ext cx="5736590" cy="8106409"/>
                    </a:xfrm>
                    <a:prstGeom prst="rect">
                      <a:avLst/>
                    </a:prstGeom>
                    <a:noFill/>
                    <a:ln w="9525" cap="flat" cmpd="sng">
                      <a:noFill/>
                      <a:prstDash val="solid"/>
                      <a:miter/>
                    </a:ln>
                  </pic:spPr>
                </pic:pic>
              </a:graphicData>
            </a:graphic>
          </wp:inline>
        </w:drawing>
      </w:r>
      <w:r>
        <w:rPr>
          <w:rFonts w:hint="eastAsia"/>
          <w:sz w:val="21"/>
          <w:szCs w:val="21"/>
          <w:highlight w:val="none"/>
        </w:rPr>
        <w:drawing>
          <wp:inline distT="0" distB="0" distL="114300" distR="114300">
            <wp:extent cx="5736590" cy="8105775"/>
            <wp:effectExtent l="0" t="0" r="16510" b="8889"/>
            <wp:docPr id="7" name="图片 7" descr="关于转发《农村电影放映服务规范》的通知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关于转发《农村电影放映服务规范》的通知_01"/>
                    <pic:cNvPicPr>
                      <a:picLocks noChangeAspect="1"/>
                    </pic:cNvPicPr>
                  </pic:nvPicPr>
                  <pic:blipFill>
                    <a:blip r:embed="rId10"/>
                    <a:stretch>
                      <a:fillRect/>
                    </a:stretch>
                  </pic:blipFill>
                  <pic:spPr>
                    <a:xfrm>
                      <a:off x="0" y="0"/>
                      <a:ext cx="5736590" cy="8106409"/>
                    </a:xfrm>
                    <a:prstGeom prst="rect">
                      <a:avLst/>
                    </a:prstGeom>
                    <a:noFill/>
                    <a:ln w="9525" cap="flat" cmpd="sng">
                      <a:noFill/>
                      <a:prstDash val="solid"/>
                      <a:miter/>
                    </a:ln>
                  </pic:spPr>
                </pic:pic>
              </a:graphicData>
            </a:graphic>
          </wp:inline>
        </w:drawing>
      </w:r>
      <w:r>
        <w:rPr>
          <w:rFonts w:hint="eastAsia"/>
          <w:sz w:val="21"/>
          <w:szCs w:val="21"/>
          <w:highlight w:val="none"/>
        </w:rPr>
        <w:drawing>
          <wp:inline distT="0" distB="0" distL="114300" distR="114300">
            <wp:extent cx="5736590" cy="8105775"/>
            <wp:effectExtent l="0" t="0" r="16510" b="8889"/>
            <wp:docPr id="8" name="图片 8" descr="关于转发《农村电影放映服务规范》的通知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关于转发《农村电影放映服务规范》的通知_02"/>
                    <pic:cNvPicPr>
                      <a:picLocks noChangeAspect="1"/>
                    </pic:cNvPicPr>
                  </pic:nvPicPr>
                  <pic:blipFill>
                    <a:blip r:embed="rId11"/>
                    <a:stretch>
                      <a:fillRect/>
                    </a:stretch>
                  </pic:blipFill>
                  <pic:spPr>
                    <a:xfrm>
                      <a:off x="0" y="0"/>
                      <a:ext cx="5736590" cy="8106409"/>
                    </a:xfrm>
                    <a:prstGeom prst="rect">
                      <a:avLst/>
                    </a:prstGeom>
                    <a:noFill/>
                    <a:ln w="9525" cap="flat" cmpd="sng">
                      <a:noFill/>
                      <a:prstDash val="solid"/>
                      <a:miter/>
                    </a:ln>
                  </pic:spPr>
                </pic:pic>
              </a:graphicData>
            </a:graphic>
          </wp:inline>
        </w:drawing>
      </w:r>
      <w:r>
        <w:rPr>
          <w:rFonts w:hint="eastAsia"/>
          <w:sz w:val="21"/>
          <w:szCs w:val="21"/>
          <w:highlight w:val="none"/>
        </w:rPr>
        <w:drawing>
          <wp:inline distT="0" distB="0" distL="114300" distR="114300">
            <wp:extent cx="5736590" cy="8105775"/>
            <wp:effectExtent l="0" t="0" r="16510" b="8889"/>
            <wp:docPr id="9" name="图片 9" descr="关于转发《农村电影放映服务规范》的通知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关于转发《农村电影放映服务规范》的通知_03"/>
                    <pic:cNvPicPr>
                      <a:picLocks noChangeAspect="1"/>
                    </pic:cNvPicPr>
                  </pic:nvPicPr>
                  <pic:blipFill>
                    <a:blip r:embed="rId12"/>
                    <a:stretch>
                      <a:fillRect/>
                    </a:stretch>
                  </pic:blipFill>
                  <pic:spPr>
                    <a:xfrm>
                      <a:off x="0" y="0"/>
                      <a:ext cx="5736590" cy="8106409"/>
                    </a:xfrm>
                    <a:prstGeom prst="rect">
                      <a:avLst/>
                    </a:prstGeom>
                    <a:noFill/>
                    <a:ln w="9525" cap="flat" cmpd="sng">
                      <a:noFill/>
                      <a:prstDash val="solid"/>
                      <a:miter/>
                    </a:ln>
                  </pic:spPr>
                </pic:pic>
              </a:graphicData>
            </a:graphic>
          </wp:inline>
        </w:drawing>
      </w:r>
      <w:r>
        <w:rPr>
          <w:rFonts w:hint="eastAsia"/>
          <w:sz w:val="21"/>
          <w:szCs w:val="21"/>
          <w:highlight w:val="none"/>
        </w:rPr>
        <w:drawing>
          <wp:inline distT="0" distB="0" distL="114300" distR="114300">
            <wp:extent cx="5736590" cy="8105775"/>
            <wp:effectExtent l="0" t="0" r="16510" b="8889"/>
            <wp:docPr id="10" name="图片 10" descr="关于转发《农村电影放映服务规范》的通知_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关于转发《农村电影放映服务规范》的通知_04"/>
                    <pic:cNvPicPr>
                      <a:picLocks noChangeAspect="1"/>
                    </pic:cNvPicPr>
                  </pic:nvPicPr>
                  <pic:blipFill>
                    <a:blip r:embed="rId13"/>
                    <a:stretch>
                      <a:fillRect/>
                    </a:stretch>
                  </pic:blipFill>
                  <pic:spPr>
                    <a:xfrm>
                      <a:off x="0" y="0"/>
                      <a:ext cx="5736590" cy="8106409"/>
                    </a:xfrm>
                    <a:prstGeom prst="rect">
                      <a:avLst/>
                    </a:prstGeom>
                    <a:noFill/>
                    <a:ln w="9525" cap="flat" cmpd="sng">
                      <a:noFill/>
                      <a:prstDash val="solid"/>
                      <a:miter/>
                    </a:ln>
                  </pic:spPr>
                </pic:pic>
              </a:graphicData>
            </a:graphic>
          </wp:inline>
        </w:drawing>
      </w:r>
      <w:r>
        <w:rPr>
          <w:rFonts w:hint="eastAsia"/>
          <w:sz w:val="21"/>
          <w:szCs w:val="21"/>
          <w:highlight w:val="none"/>
        </w:rPr>
        <w:drawing>
          <wp:inline distT="0" distB="0" distL="114300" distR="114300">
            <wp:extent cx="5736590" cy="8105775"/>
            <wp:effectExtent l="0" t="0" r="16510" b="8889"/>
            <wp:docPr id="11" name="图片 11" descr="关于转发《农村电影放映服务规范》的通知_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关于转发《农村电影放映服务规范》的通知_05"/>
                    <pic:cNvPicPr>
                      <a:picLocks noChangeAspect="1"/>
                    </pic:cNvPicPr>
                  </pic:nvPicPr>
                  <pic:blipFill>
                    <a:blip r:embed="rId14"/>
                    <a:stretch>
                      <a:fillRect/>
                    </a:stretch>
                  </pic:blipFill>
                  <pic:spPr>
                    <a:xfrm>
                      <a:off x="0" y="0"/>
                      <a:ext cx="5736590" cy="8106409"/>
                    </a:xfrm>
                    <a:prstGeom prst="rect">
                      <a:avLst/>
                    </a:prstGeom>
                    <a:noFill/>
                    <a:ln w="9525" cap="flat" cmpd="sng">
                      <a:noFill/>
                      <a:prstDash val="solid"/>
                      <a:miter/>
                    </a:ln>
                  </pic:spPr>
                </pic:pic>
              </a:graphicData>
            </a:graphic>
          </wp:inline>
        </w:drawing>
      </w:r>
      <w:r>
        <w:rPr>
          <w:rFonts w:hint="eastAsia"/>
          <w:sz w:val="21"/>
          <w:szCs w:val="21"/>
          <w:highlight w:val="none"/>
        </w:rPr>
        <w:drawing>
          <wp:inline distT="0" distB="0" distL="114300" distR="114300">
            <wp:extent cx="5736590" cy="8105775"/>
            <wp:effectExtent l="0" t="0" r="16510" b="8889"/>
            <wp:docPr id="12" name="图片 12" descr="关于转发《农村电影放映服务规范》的通知_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关于转发《农村电影放映服务规范》的通知_06"/>
                    <pic:cNvPicPr>
                      <a:picLocks noChangeAspect="1"/>
                    </pic:cNvPicPr>
                  </pic:nvPicPr>
                  <pic:blipFill>
                    <a:blip r:embed="rId15"/>
                    <a:stretch>
                      <a:fillRect/>
                    </a:stretch>
                  </pic:blipFill>
                  <pic:spPr>
                    <a:xfrm>
                      <a:off x="0" y="0"/>
                      <a:ext cx="5736590" cy="8106409"/>
                    </a:xfrm>
                    <a:prstGeom prst="rect">
                      <a:avLst/>
                    </a:prstGeom>
                    <a:noFill/>
                    <a:ln w="9525" cap="flat" cmpd="sng">
                      <a:noFill/>
                      <a:prstDash val="solid"/>
                      <a:miter/>
                    </a:ln>
                  </pic:spPr>
                </pic:pic>
              </a:graphicData>
            </a:graphic>
          </wp:inline>
        </w:drawing>
      </w:r>
      <w:r>
        <w:rPr>
          <w:rFonts w:hint="eastAsia"/>
          <w:sz w:val="21"/>
          <w:szCs w:val="21"/>
          <w:highlight w:val="none"/>
        </w:rPr>
        <w:drawing>
          <wp:inline distT="0" distB="0" distL="114300" distR="114300">
            <wp:extent cx="5736590" cy="8105775"/>
            <wp:effectExtent l="0" t="0" r="16510" b="8889"/>
            <wp:docPr id="13" name="图片 13" descr="关于转发《农村电影放映服务规范》的通知_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关于转发《农村电影放映服务规范》的通知_07"/>
                    <pic:cNvPicPr>
                      <a:picLocks noChangeAspect="1"/>
                    </pic:cNvPicPr>
                  </pic:nvPicPr>
                  <pic:blipFill>
                    <a:blip r:embed="rId16"/>
                    <a:stretch>
                      <a:fillRect/>
                    </a:stretch>
                  </pic:blipFill>
                  <pic:spPr>
                    <a:xfrm>
                      <a:off x="0" y="0"/>
                      <a:ext cx="5736590" cy="8106409"/>
                    </a:xfrm>
                    <a:prstGeom prst="rect">
                      <a:avLst/>
                    </a:prstGeom>
                    <a:noFill/>
                    <a:ln w="9525" cap="flat" cmpd="sng">
                      <a:noFill/>
                      <a:prstDash val="solid"/>
                      <a:miter/>
                    </a:ln>
                  </pic:spPr>
                </pic:pic>
              </a:graphicData>
            </a:graphic>
          </wp:inline>
        </w:drawing>
      </w:r>
      <w:r>
        <w:rPr>
          <w:rFonts w:hint="eastAsia"/>
          <w:sz w:val="21"/>
          <w:szCs w:val="21"/>
          <w:highlight w:val="none"/>
        </w:rPr>
        <w:drawing>
          <wp:inline distT="0" distB="0" distL="114300" distR="114300">
            <wp:extent cx="5736590" cy="8105775"/>
            <wp:effectExtent l="0" t="0" r="3810" b="8889"/>
            <wp:docPr id="14" name="图片 14" descr="关于转发《农村电影放映服务规范》的通知_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关于转发《农村电影放映服务规范》的通知_08"/>
                    <pic:cNvPicPr>
                      <a:picLocks noChangeAspect="1"/>
                    </pic:cNvPicPr>
                  </pic:nvPicPr>
                  <pic:blipFill>
                    <a:blip r:embed="rId17"/>
                    <a:stretch>
                      <a:fillRect/>
                    </a:stretch>
                  </pic:blipFill>
                  <pic:spPr>
                    <a:xfrm>
                      <a:off x="0" y="0"/>
                      <a:ext cx="5736590" cy="8106409"/>
                    </a:xfrm>
                    <a:prstGeom prst="rect">
                      <a:avLst/>
                    </a:prstGeom>
                    <a:noFill/>
                    <a:ln w="9525" cap="flat" cmpd="sng">
                      <a:noFill/>
                      <a:prstDash val="solid"/>
                      <a:miter/>
                    </a:ln>
                  </pic:spPr>
                </pic:pic>
              </a:graphicData>
            </a:graphic>
          </wp:inline>
        </w:drawing>
      </w:r>
    </w:p>
    <w:p w14:paraId="01DD48A0">
      <w:pPr>
        <w:rPr>
          <w:rFonts w:hint="eastAsia"/>
          <w:b/>
          <w:bCs/>
          <w:highlight w:val="none"/>
          <w:lang w:val="en-US" w:eastAsia="zh-CN"/>
        </w:rPr>
      </w:pPr>
      <w:r>
        <w:rPr>
          <w:rFonts w:hint="eastAsia"/>
          <w:b/>
          <w:bCs/>
          <w:highlight w:val="none"/>
          <w:lang w:val="en-US" w:eastAsia="zh-CN"/>
        </w:rPr>
        <w:t>附件2：</w:t>
      </w:r>
    </w:p>
    <w:p w14:paraId="79623622">
      <w:pPr>
        <w:rPr>
          <w:rFonts w:eastAsia="宋体"/>
          <w:highlight w:val="none"/>
          <w:lang w:val="en-US" w:eastAsia="zh-CN"/>
        </w:rPr>
        <w:sectPr>
          <w:pgSz w:w="11906" w:h="16838"/>
          <w:pgMar w:top="1440" w:right="1800" w:bottom="1440" w:left="1800" w:header="851" w:footer="992" w:gutter="0"/>
          <w:cols w:space="425" w:num="1"/>
          <w:docGrid w:type="lines" w:linePitch="312" w:charSpace="0"/>
        </w:sectPr>
      </w:pPr>
      <w:r>
        <w:rPr>
          <w:rFonts w:eastAsia="宋体"/>
          <w:highlight w:val="none"/>
          <w:lang w:val="en-US" w:eastAsia="zh-CN"/>
        </w:rPr>
        <w:drawing>
          <wp:inline distT="0" distB="0" distL="114300" distR="114300">
            <wp:extent cx="5293360" cy="7905115"/>
            <wp:effectExtent l="0" t="0" r="2540" b="6985"/>
            <wp:docPr id="15" name="图片 15" descr="daf45dd7ae635b7720408dd04dff88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daf45dd7ae635b7720408dd04dff88d"/>
                    <pic:cNvPicPr>
                      <a:picLocks noChangeAspect="1"/>
                    </pic:cNvPicPr>
                  </pic:nvPicPr>
                  <pic:blipFill>
                    <a:blip r:embed="rId18"/>
                    <a:srcRect l="8481" t="15833" r="6721" b="12928"/>
                    <a:stretch>
                      <a:fillRect/>
                    </a:stretch>
                  </pic:blipFill>
                  <pic:spPr>
                    <a:xfrm>
                      <a:off x="0" y="0"/>
                      <a:ext cx="5293360" cy="7905115"/>
                    </a:xfrm>
                    <a:prstGeom prst="rect">
                      <a:avLst/>
                    </a:prstGeom>
                    <a:noFill/>
                    <a:ln w="9525" cap="flat" cmpd="sng">
                      <a:noFill/>
                      <a:prstDash val="solid"/>
                      <a:miter/>
                    </a:ln>
                  </pic:spPr>
                </pic:pic>
              </a:graphicData>
            </a:graphic>
          </wp:inline>
        </w:drawing>
      </w:r>
    </w:p>
    <w:p w14:paraId="67F56665">
      <w:pPr>
        <w:pStyle w:val="8"/>
        <w:spacing w:before="0" w:after="0" w:line="360" w:lineRule="auto"/>
        <w:rPr>
          <w:rFonts w:hint="eastAsia" w:eastAsia="宋体"/>
          <w:sz w:val="21"/>
          <w:szCs w:val="21"/>
          <w:highlight w:val="none"/>
          <w:lang w:eastAsia="zh-CN"/>
        </w:rPr>
      </w:pPr>
      <w:r>
        <w:rPr>
          <w:rFonts w:hint="eastAsia"/>
          <w:b/>
          <w:bCs w:val="0"/>
          <w:sz w:val="21"/>
          <w:szCs w:val="21"/>
          <w:highlight w:val="none"/>
          <w:lang w:val="en-US" w:eastAsia="zh-CN"/>
        </w:rPr>
        <w:t>7、</w:t>
      </w:r>
      <w:r>
        <w:rPr>
          <w:rFonts w:hint="eastAsia"/>
          <w:b/>
          <w:bCs w:val="0"/>
          <w:sz w:val="21"/>
          <w:szCs w:val="21"/>
          <w:highlight w:val="none"/>
        </w:rPr>
        <w:t>其他特别要求及说明</w:t>
      </w:r>
      <w:bookmarkEnd w:id="330"/>
      <w:bookmarkEnd w:id="331"/>
      <w:bookmarkEnd w:id="332"/>
      <w:bookmarkEnd w:id="333"/>
      <w:r>
        <w:rPr>
          <w:rFonts w:hint="eastAsia"/>
          <w:b/>
          <w:bCs w:val="0"/>
          <w:sz w:val="21"/>
          <w:szCs w:val="21"/>
          <w:highlight w:val="none"/>
          <w:lang w:eastAsia="zh-CN"/>
        </w:rPr>
        <w:t>：</w:t>
      </w:r>
    </w:p>
    <w:p w14:paraId="2357DF49">
      <w:pPr>
        <w:spacing w:line="360" w:lineRule="auto"/>
        <w:rPr>
          <w:rFonts w:ascii="宋体" w:hAnsi="宋体" w:cs="Arial"/>
          <w:szCs w:val="21"/>
          <w:highlight w:val="none"/>
        </w:rPr>
      </w:pPr>
      <w:r>
        <w:rPr>
          <w:rFonts w:hint="eastAsia" w:ascii="宋体" w:hAnsi="宋体" w:cs="Arial"/>
          <w:szCs w:val="21"/>
          <w:highlight w:val="none"/>
          <w:lang w:val="en-US" w:eastAsia="zh-CN"/>
        </w:rPr>
        <w:t xml:space="preserve">① </w:t>
      </w:r>
      <w:r>
        <w:rPr>
          <w:rFonts w:ascii="宋体" w:hAnsi="宋体" w:cs="Arial"/>
          <w:szCs w:val="21"/>
          <w:highlight w:val="none"/>
        </w:rPr>
        <w:t>合同期内</w:t>
      </w:r>
      <w:r>
        <w:rPr>
          <w:rFonts w:hint="eastAsia" w:ascii="宋体" w:hAnsi="宋体" w:cs="Arial"/>
          <w:szCs w:val="21"/>
          <w:highlight w:val="none"/>
        </w:rPr>
        <w:t>中标单位所属人员、</w:t>
      </w:r>
      <w:r>
        <w:rPr>
          <w:rFonts w:ascii="宋体" w:hAnsi="宋体" w:cs="Arial"/>
          <w:szCs w:val="21"/>
          <w:highlight w:val="none"/>
        </w:rPr>
        <w:t>如发生各种意外事故全部责任由</w:t>
      </w:r>
      <w:r>
        <w:rPr>
          <w:rFonts w:hint="eastAsia" w:ascii="宋体" w:hAnsi="宋体" w:cs="Arial"/>
          <w:szCs w:val="21"/>
          <w:highlight w:val="none"/>
        </w:rPr>
        <w:t>中标</w:t>
      </w:r>
      <w:r>
        <w:rPr>
          <w:rFonts w:ascii="宋体" w:hAnsi="宋体" w:cs="Arial"/>
          <w:szCs w:val="21"/>
          <w:highlight w:val="none"/>
        </w:rPr>
        <w:t>单位承担，依照法律法规妥善处理。</w:t>
      </w:r>
    </w:p>
    <w:p w14:paraId="3E6AC95D">
      <w:pPr>
        <w:spacing w:line="360" w:lineRule="auto"/>
        <w:rPr>
          <w:rFonts w:ascii="宋体" w:hAnsi="宋体" w:cs="Arial"/>
          <w:szCs w:val="21"/>
          <w:highlight w:val="none"/>
        </w:rPr>
      </w:pPr>
      <w:r>
        <w:rPr>
          <w:rFonts w:hint="eastAsia" w:ascii="宋体" w:hAnsi="宋体" w:cs="Arial"/>
          <w:szCs w:val="21"/>
          <w:highlight w:val="none"/>
          <w:lang w:val="en-US" w:eastAsia="zh-CN"/>
        </w:rPr>
        <w:t xml:space="preserve">② </w:t>
      </w:r>
      <w:r>
        <w:rPr>
          <w:rFonts w:ascii="宋体" w:hAnsi="宋体" w:cs="Arial"/>
          <w:szCs w:val="21"/>
          <w:highlight w:val="none"/>
        </w:rPr>
        <w:t>投标前，各投标</w:t>
      </w:r>
      <w:r>
        <w:rPr>
          <w:rFonts w:hint="eastAsia" w:ascii="宋体" w:hAnsi="宋体" w:cs="Arial"/>
          <w:szCs w:val="21"/>
          <w:highlight w:val="none"/>
        </w:rPr>
        <w:t>供应商应</w:t>
      </w:r>
      <w:r>
        <w:rPr>
          <w:rFonts w:ascii="宋体" w:hAnsi="宋体" w:cs="Arial"/>
          <w:szCs w:val="21"/>
          <w:highlight w:val="none"/>
        </w:rPr>
        <w:t>自行勘察现场，以获取制定各种方案所需的现场勘查资料。</w:t>
      </w:r>
    </w:p>
    <w:p w14:paraId="624E5A95">
      <w:pPr>
        <w:spacing w:line="360" w:lineRule="auto"/>
        <w:rPr>
          <w:rFonts w:ascii="宋体" w:hAnsi="宋体" w:cs="Arial"/>
          <w:szCs w:val="21"/>
          <w:highlight w:val="none"/>
        </w:rPr>
      </w:pPr>
      <w:r>
        <w:rPr>
          <w:rFonts w:hint="eastAsia" w:ascii="宋体" w:hAnsi="宋体" w:cs="Arial"/>
          <w:szCs w:val="21"/>
          <w:highlight w:val="none"/>
          <w:lang w:val="en-US" w:eastAsia="zh-CN"/>
        </w:rPr>
        <w:t xml:space="preserve">③ </w:t>
      </w:r>
      <w:r>
        <w:rPr>
          <w:rFonts w:ascii="宋体" w:hAnsi="宋体" w:cs="Arial"/>
          <w:szCs w:val="21"/>
          <w:highlight w:val="none"/>
        </w:rPr>
        <w:t>本项目不得分包、转包，未经</w:t>
      </w:r>
      <w:r>
        <w:rPr>
          <w:rFonts w:hint="eastAsia" w:ascii="宋体" w:hAnsi="宋体" w:cs="Arial"/>
          <w:szCs w:val="21"/>
          <w:highlight w:val="none"/>
        </w:rPr>
        <w:t>采购人</w:t>
      </w:r>
      <w:r>
        <w:rPr>
          <w:rFonts w:ascii="宋体" w:hAnsi="宋体" w:cs="Arial"/>
          <w:szCs w:val="21"/>
          <w:highlight w:val="none"/>
        </w:rPr>
        <w:t>允许</w:t>
      </w:r>
      <w:r>
        <w:rPr>
          <w:rFonts w:hint="eastAsia" w:ascii="宋体" w:hAnsi="宋体" w:cs="Arial"/>
          <w:szCs w:val="21"/>
          <w:highlight w:val="none"/>
        </w:rPr>
        <w:t>也</w:t>
      </w:r>
      <w:r>
        <w:rPr>
          <w:rFonts w:ascii="宋体" w:hAnsi="宋体" w:cs="Arial"/>
          <w:szCs w:val="21"/>
          <w:highlight w:val="none"/>
        </w:rPr>
        <w:t>不得更换项目管理人员，否则，</w:t>
      </w:r>
      <w:r>
        <w:rPr>
          <w:rFonts w:hint="eastAsia" w:ascii="宋体" w:hAnsi="宋体" w:cs="Arial"/>
          <w:szCs w:val="21"/>
          <w:highlight w:val="none"/>
        </w:rPr>
        <w:t>采购人</w:t>
      </w:r>
      <w:r>
        <w:rPr>
          <w:rFonts w:ascii="宋体" w:hAnsi="宋体" w:cs="Arial"/>
          <w:szCs w:val="21"/>
          <w:highlight w:val="none"/>
        </w:rPr>
        <w:t>有权取消合同</w:t>
      </w:r>
      <w:r>
        <w:rPr>
          <w:rFonts w:hint="eastAsia" w:ascii="宋体" w:hAnsi="宋体" w:cs="Arial"/>
          <w:szCs w:val="21"/>
          <w:highlight w:val="none"/>
        </w:rPr>
        <w:t>并罚没全部履约保证金；如果出现上述情况但合同还未签订或履约保证金尚未缴纳的，将被取消中标资格。</w:t>
      </w:r>
    </w:p>
    <w:p w14:paraId="11E96C03">
      <w:pPr>
        <w:spacing w:line="360" w:lineRule="auto"/>
        <w:rPr>
          <w:rFonts w:ascii="宋体" w:hAnsi="宋体" w:cs="Arial"/>
          <w:szCs w:val="21"/>
          <w:highlight w:val="none"/>
        </w:rPr>
      </w:pPr>
      <w:r>
        <w:rPr>
          <w:rFonts w:hint="eastAsia" w:ascii="宋体" w:hAnsi="宋体" w:cs="Arial"/>
          <w:szCs w:val="21"/>
          <w:highlight w:val="none"/>
          <w:lang w:val="en-US" w:eastAsia="zh-CN"/>
        </w:rPr>
        <w:t xml:space="preserve">④ </w:t>
      </w:r>
      <w:r>
        <w:rPr>
          <w:rFonts w:ascii="宋体" w:hAnsi="宋体" w:cs="Arial"/>
          <w:szCs w:val="21"/>
          <w:highlight w:val="none"/>
        </w:rPr>
        <w:t>投标供应商中标后应在</w:t>
      </w:r>
      <w:r>
        <w:rPr>
          <w:rFonts w:hint="eastAsia" w:ascii="宋体" w:hAnsi="宋体" w:cs="Arial"/>
          <w:szCs w:val="21"/>
          <w:highlight w:val="none"/>
        </w:rPr>
        <w:t>合同签订前</w:t>
      </w:r>
      <w:r>
        <w:rPr>
          <w:rFonts w:ascii="宋体" w:hAnsi="宋体" w:cs="Arial"/>
          <w:szCs w:val="21"/>
          <w:highlight w:val="none"/>
        </w:rPr>
        <w:t>向采购人提供有实力履行合同的证明文件，包括人员落实情况，企业内部管理方案等，并缴纳履约保证金。</w:t>
      </w:r>
    </w:p>
    <w:p w14:paraId="5E671310">
      <w:pPr>
        <w:spacing w:line="360" w:lineRule="auto"/>
        <w:rPr>
          <w:rFonts w:ascii="宋体" w:hAnsi="宋体" w:cs="Arial"/>
          <w:szCs w:val="21"/>
          <w:highlight w:val="none"/>
        </w:rPr>
      </w:pPr>
      <w:r>
        <w:rPr>
          <w:rFonts w:hint="eastAsia" w:ascii="宋体" w:hAnsi="宋体" w:cs="Arial"/>
          <w:szCs w:val="21"/>
          <w:highlight w:val="none"/>
          <w:lang w:val="en-US" w:eastAsia="zh-CN"/>
        </w:rPr>
        <w:t xml:space="preserve">⑤ </w:t>
      </w:r>
      <w:r>
        <w:rPr>
          <w:rFonts w:hint="eastAsia" w:ascii="宋体" w:hAnsi="宋体" w:cs="Arial"/>
          <w:szCs w:val="21"/>
          <w:highlight w:val="none"/>
        </w:rPr>
        <w:t>成交供应商要自觉接受各级电影主管部门的监督、管理，加强并规范对下属农村放映队（员）的管理，保质保量完成农村电影公益放映场次，加强对放映过程的质量控制，并按相关规定编制审核和上报各类报表，不得偷报瞒报、弄虚作假。</w:t>
      </w:r>
    </w:p>
    <w:p w14:paraId="5EEC6AD2">
      <w:pPr>
        <w:spacing w:line="360" w:lineRule="auto"/>
        <w:rPr>
          <w:rFonts w:ascii="宋体" w:hAnsi="宋体" w:cs="Arial"/>
          <w:szCs w:val="21"/>
          <w:highlight w:val="none"/>
        </w:rPr>
      </w:pPr>
      <w:r>
        <w:rPr>
          <w:rFonts w:hint="eastAsia" w:ascii="宋体" w:hAnsi="宋体" w:cs="Arial"/>
          <w:szCs w:val="21"/>
          <w:highlight w:val="none"/>
          <w:lang w:val="en-US" w:eastAsia="zh-CN"/>
        </w:rPr>
        <w:t xml:space="preserve">⑥ </w:t>
      </w:r>
      <w:r>
        <w:rPr>
          <w:rFonts w:hint="eastAsia" w:ascii="宋体" w:hAnsi="宋体" w:cs="Arial"/>
          <w:szCs w:val="21"/>
          <w:highlight w:val="none"/>
        </w:rPr>
        <w:t>成交供应商加强与采购人的沟通联络，及时建立公益电影放映联络站，编制瑞安市农村公益电影放映方案并报主管部门备案。</w:t>
      </w:r>
    </w:p>
    <w:p w14:paraId="34AED566">
      <w:pPr>
        <w:spacing w:line="360" w:lineRule="auto"/>
        <w:rPr>
          <w:rFonts w:ascii="宋体" w:hAnsi="宋体" w:cs="Arial"/>
          <w:szCs w:val="21"/>
          <w:highlight w:val="none"/>
        </w:rPr>
      </w:pPr>
      <w:r>
        <w:rPr>
          <w:rFonts w:hint="eastAsia" w:ascii="宋体" w:hAnsi="宋体" w:cs="Arial"/>
          <w:szCs w:val="21"/>
          <w:highlight w:val="none"/>
          <w:lang w:val="en-US" w:eastAsia="zh-CN"/>
        </w:rPr>
        <w:t xml:space="preserve">⑦ </w:t>
      </w:r>
      <w:r>
        <w:rPr>
          <w:rFonts w:hint="eastAsia" w:ascii="宋体" w:hAnsi="宋体" w:cs="Arial"/>
          <w:szCs w:val="21"/>
          <w:highlight w:val="none"/>
        </w:rPr>
        <w:t>成交供应商要建立技术服务队伍，及时对放映设备进行维修保养，确保放映设备合格率达100%以上。</w:t>
      </w:r>
    </w:p>
    <w:p w14:paraId="668EC241">
      <w:pPr>
        <w:spacing w:line="360" w:lineRule="auto"/>
        <w:rPr>
          <w:rFonts w:ascii="宋体" w:hAnsi="宋体" w:cs="Arial"/>
          <w:szCs w:val="21"/>
          <w:highlight w:val="none"/>
        </w:rPr>
      </w:pPr>
      <w:r>
        <w:rPr>
          <w:rFonts w:hint="eastAsia" w:ascii="宋体" w:hAnsi="宋体" w:cs="Arial"/>
          <w:szCs w:val="21"/>
          <w:highlight w:val="none"/>
          <w:lang w:val="en-US" w:eastAsia="zh-CN"/>
        </w:rPr>
        <w:t xml:space="preserve">⑧ </w:t>
      </w:r>
      <w:r>
        <w:rPr>
          <w:rFonts w:hint="eastAsia" w:ascii="宋体" w:hAnsi="宋体" w:cs="Arial"/>
          <w:szCs w:val="21"/>
          <w:highlight w:val="none"/>
        </w:rPr>
        <w:t>成交供应商必须按月完成放映任务，年度任务必须在当年完成。</w:t>
      </w:r>
    </w:p>
    <w:p w14:paraId="02E5B649">
      <w:pPr>
        <w:spacing w:line="360" w:lineRule="auto"/>
        <w:rPr>
          <w:rFonts w:ascii="宋体" w:hAnsi="宋体" w:cs="Arial"/>
          <w:szCs w:val="21"/>
          <w:highlight w:val="none"/>
        </w:rPr>
      </w:pPr>
      <w:r>
        <w:rPr>
          <w:rFonts w:hint="eastAsia" w:ascii="宋体" w:hAnsi="宋体" w:cs="Arial"/>
          <w:szCs w:val="21"/>
          <w:highlight w:val="none"/>
          <w:lang w:val="en-US" w:eastAsia="zh-CN"/>
        </w:rPr>
        <w:t xml:space="preserve">⑨ </w:t>
      </w:r>
      <w:r>
        <w:rPr>
          <w:rFonts w:hint="eastAsia" w:ascii="宋体" w:hAnsi="宋体" w:cs="Arial"/>
          <w:szCs w:val="21"/>
          <w:highlight w:val="none"/>
        </w:rPr>
        <w:t>成交供应商不能按合同完成年度放映场次任务，或群众投诉多等情况出现，采购人有权取消合同罚没全部履约保证金，并自行选择承包单位，直至剩余合同期满后再重新组织采购。</w:t>
      </w:r>
    </w:p>
    <w:p w14:paraId="52D3CCB8">
      <w:pPr>
        <w:spacing w:line="360" w:lineRule="auto"/>
        <w:rPr>
          <w:highlight w:val="none"/>
        </w:rPr>
      </w:pPr>
      <w:r>
        <w:rPr>
          <w:rFonts w:hint="eastAsia" w:ascii="宋体" w:hAnsi="宋体" w:cs="Arial"/>
          <w:szCs w:val="21"/>
          <w:highlight w:val="none"/>
          <w:lang w:val="en-US" w:eastAsia="zh-CN"/>
        </w:rPr>
        <w:t xml:space="preserve">⑩ </w:t>
      </w:r>
      <w:r>
        <w:rPr>
          <w:rFonts w:hint="eastAsia"/>
          <w:highlight w:val="none"/>
        </w:rPr>
        <w:t>成交供应商要根据上级主管部门的要求做好“浙影通”平台的贯通和点播工作，协助采购人完成年度相关考核任务，确保在温州各县（市、区）此项考核排名前列。</w:t>
      </w:r>
    </w:p>
    <w:p w14:paraId="19530DB9">
      <w:pPr>
        <w:pStyle w:val="8"/>
        <w:spacing w:before="0" w:after="0" w:line="360" w:lineRule="auto"/>
        <w:rPr>
          <w:rFonts w:hint="eastAsia" w:ascii="宋体" w:hAnsi="宋体" w:eastAsia="宋体"/>
          <w:b w:val="0"/>
          <w:sz w:val="21"/>
          <w:szCs w:val="21"/>
          <w:highlight w:val="none"/>
          <w:lang w:eastAsia="zh-CN"/>
        </w:rPr>
      </w:pPr>
      <w:bookmarkStart w:id="338" w:name="_Toc2760051"/>
      <w:bookmarkStart w:id="339" w:name="_Toc470529949"/>
      <w:r>
        <w:rPr>
          <w:rFonts w:hint="eastAsia" w:ascii="宋体" w:hAnsi="宋体"/>
          <w:b/>
          <w:bCs w:val="0"/>
          <w:sz w:val="21"/>
          <w:szCs w:val="21"/>
          <w:highlight w:val="none"/>
          <w:lang w:val="en-US" w:eastAsia="zh-CN"/>
        </w:rPr>
        <w:t>8、</w:t>
      </w:r>
      <w:bookmarkEnd w:id="338"/>
      <w:bookmarkEnd w:id="339"/>
      <w:r>
        <w:rPr>
          <w:rFonts w:hint="eastAsia" w:ascii="宋体" w:hAnsi="宋体"/>
          <w:b/>
          <w:bCs w:val="0"/>
          <w:sz w:val="21"/>
          <w:szCs w:val="21"/>
          <w:highlight w:val="none"/>
        </w:rPr>
        <w:t>付款方式</w:t>
      </w:r>
      <w:r>
        <w:rPr>
          <w:rFonts w:hint="eastAsia" w:ascii="宋体" w:hAnsi="宋体"/>
          <w:b/>
          <w:bCs w:val="0"/>
          <w:sz w:val="21"/>
          <w:szCs w:val="21"/>
          <w:highlight w:val="none"/>
          <w:lang w:eastAsia="zh-CN"/>
        </w:rPr>
        <w:t>：</w:t>
      </w:r>
    </w:p>
    <w:p w14:paraId="66885D02">
      <w:pPr>
        <w:autoSpaceDE w:val="0"/>
        <w:autoSpaceDN w:val="0"/>
        <w:adjustRightInd w:val="0"/>
        <w:spacing w:line="360" w:lineRule="auto"/>
        <w:ind w:right="-2"/>
        <w:textAlignment w:val="bottom"/>
        <w:rPr>
          <w:rFonts w:ascii="宋体" w:hAnsi="宋体" w:cs="宋体"/>
          <w:b w:val="0"/>
          <w:bCs/>
          <w:szCs w:val="21"/>
          <w:highlight w:val="none"/>
        </w:rPr>
      </w:pPr>
      <w:bookmarkStart w:id="340" w:name="_Toc2760052"/>
      <w:r>
        <w:rPr>
          <w:rFonts w:hint="eastAsia" w:ascii="宋体" w:hAnsi="宋体" w:cs="Arial"/>
          <w:b w:val="0"/>
          <w:bCs/>
          <w:szCs w:val="21"/>
          <w:highlight w:val="none"/>
          <w:lang w:val="en-US" w:eastAsia="zh-CN"/>
        </w:rPr>
        <w:t>（1）</w:t>
      </w:r>
      <w:r>
        <w:rPr>
          <w:rFonts w:hint="eastAsia" w:ascii="宋体" w:hAnsi="宋体" w:cs="Arial"/>
          <w:b w:val="0"/>
          <w:bCs/>
          <w:szCs w:val="21"/>
          <w:highlight w:val="none"/>
        </w:rPr>
        <w:t>合同签订后5个工作日内，成交供应商以银行转账/转帐支票/银行汇票/银行、保险公司出具的保函形式向采购人提供</w:t>
      </w:r>
      <w:r>
        <w:rPr>
          <w:rFonts w:hint="eastAsia" w:ascii="宋体" w:hAnsi="宋体" w:cs="Arial"/>
          <w:b w:val="0"/>
          <w:bCs/>
          <w:szCs w:val="21"/>
          <w:highlight w:val="none"/>
          <w:lang w:val="en-US" w:eastAsia="zh-CN"/>
        </w:rPr>
        <w:t>合同价款</w:t>
      </w:r>
      <w:r>
        <w:rPr>
          <w:rFonts w:hint="eastAsia" w:ascii="宋体" w:hAnsi="宋体" w:cs="Arial"/>
          <w:b w:val="0"/>
          <w:bCs/>
          <w:szCs w:val="21"/>
          <w:highlight w:val="none"/>
        </w:rPr>
        <w:t>1%的履约担保。</w:t>
      </w:r>
    </w:p>
    <w:p w14:paraId="5C9E3970">
      <w:pPr>
        <w:spacing w:line="360" w:lineRule="auto"/>
        <w:rPr>
          <w:rFonts w:ascii="宋体" w:hAnsi="宋体" w:cs="宋体"/>
          <w:szCs w:val="21"/>
          <w:highlight w:val="none"/>
        </w:rPr>
      </w:pPr>
      <w:r>
        <w:rPr>
          <w:rFonts w:hint="eastAsia" w:ascii="宋体" w:hAnsi="宋体" w:eastAsia="宋体" w:cs="宋体"/>
          <w:b/>
          <w:bCs/>
          <w:szCs w:val="21"/>
          <w:highlight w:val="none"/>
        </w:rPr>
        <w:t>◎</w:t>
      </w:r>
      <w:r>
        <w:rPr>
          <w:rFonts w:hint="eastAsia" w:ascii="宋体" w:hAnsi="宋体" w:cs="宋体"/>
          <w:szCs w:val="21"/>
          <w:highlight w:val="none"/>
        </w:rPr>
        <w:t>采用银行转账、转帐支票、银行汇票形式提交的，应满足以下几个条件：</w:t>
      </w:r>
    </w:p>
    <w:p w14:paraId="49960F6C">
      <w:pPr>
        <w:spacing w:line="360" w:lineRule="auto"/>
        <w:ind w:firstLine="210" w:firstLineChars="100"/>
        <w:rPr>
          <w:rFonts w:ascii="宋体" w:hAnsi="宋体"/>
          <w:szCs w:val="21"/>
          <w:highlight w:val="none"/>
          <w:lang w:val="zh-CN"/>
        </w:rPr>
      </w:pPr>
      <w:r>
        <w:rPr>
          <w:rFonts w:hint="eastAsia" w:ascii="宋体" w:hAnsi="宋体"/>
          <w:szCs w:val="21"/>
          <w:highlight w:val="none"/>
          <w:lang w:val="zh-CN"/>
        </w:rPr>
        <w:t>①应当从成交供应商基本户转出；</w:t>
      </w:r>
    </w:p>
    <w:p w14:paraId="582DE686">
      <w:pPr>
        <w:spacing w:line="360" w:lineRule="auto"/>
        <w:ind w:firstLine="210" w:firstLineChars="100"/>
        <w:rPr>
          <w:rFonts w:ascii="宋体" w:hAnsi="宋体" w:cs="宋体"/>
          <w:szCs w:val="21"/>
          <w:highlight w:val="none"/>
        </w:rPr>
      </w:pPr>
      <w:r>
        <w:rPr>
          <w:rFonts w:hint="eastAsia" w:ascii="宋体" w:hAnsi="宋体"/>
          <w:szCs w:val="21"/>
          <w:highlight w:val="none"/>
          <w:lang w:val="zh-CN"/>
        </w:rPr>
        <w:t>②</w:t>
      </w:r>
      <w:r>
        <w:rPr>
          <w:rFonts w:hint="eastAsia" w:ascii="宋体" w:hAnsi="宋体" w:cs="宋体"/>
          <w:szCs w:val="21"/>
          <w:highlight w:val="none"/>
        </w:rPr>
        <w:t>履约担保的退还时间：待</w:t>
      </w:r>
      <w:r>
        <w:rPr>
          <w:rFonts w:hint="eastAsia" w:ascii="宋体" w:hAnsi="宋体" w:cs="宋体"/>
          <w:b/>
          <w:bCs/>
          <w:szCs w:val="21"/>
          <w:highlight w:val="none"/>
          <w:u w:val="single"/>
          <w:lang w:val="en-US" w:eastAsia="zh-CN"/>
        </w:rPr>
        <w:t>合同履约完毕7日内</w:t>
      </w:r>
      <w:r>
        <w:rPr>
          <w:rFonts w:hint="eastAsia" w:ascii="宋体" w:hAnsi="宋体" w:cs="宋体"/>
          <w:szCs w:val="21"/>
          <w:highlight w:val="none"/>
        </w:rPr>
        <w:t>予以无息退还。</w:t>
      </w:r>
    </w:p>
    <w:p w14:paraId="69787C3D">
      <w:pPr>
        <w:spacing w:line="360" w:lineRule="auto"/>
        <w:rPr>
          <w:rFonts w:ascii="宋体" w:hAnsi="宋体" w:cs="宋体"/>
          <w:szCs w:val="21"/>
          <w:highlight w:val="none"/>
        </w:rPr>
      </w:pPr>
      <w:r>
        <w:rPr>
          <w:rFonts w:hint="eastAsia" w:ascii="宋体" w:hAnsi="宋体" w:eastAsia="宋体" w:cs="宋体"/>
          <w:b/>
          <w:bCs/>
          <w:szCs w:val="21"/>
          <w:highlight w:val="none"/>
        </w:rPr>
        <w:t>◎</w:t>
      </w:r>
      <w:r>
        <w:rPr>
          <w:rFonts w:hint="eastAsia" w:ascii="宋体" w:hAnsi="宋体" w:cs="宋体"/>
          <w:szCs w:val="21"/>
          <w:highlight w:val="none"/>
        </w:rPr>
        <w:t>采用保函形式提交履约担保的，应满足以下几个条件：</w:t>
      </w:r>
    </w:p>
    <w:p w14:paraId="1DA40EE8">
      <w:pPr>
        <w:spacing w:line="360" w:lineRule="auto"/>
        <w:ind w:left="210" w:leftChars="100" w:firstLine="0"/>
        <w:rPr>
          <w:rFonts w:ascii="宋体" w:hAnsi="宋体" w:cs="宋体"/>
          <w:szCs w:val="21"/>
          <w:highlight w:val="none"/>
        </w:rPr>
      </w:pPr>
      <w:r>
        <w:rPr>
          <w:rFonts w:hint="eastAsia" w:ascii="宋体" w:hAnsi="宋体" w:cs="宋体"/>
          <w:szCs w:val="21"/>
          <w:highlight w:val="none"/>
          <w:lang w:val="en-US" w:eastAsia="zh-CN"/>
        </w:rPr>
        <w:t xml:space="preserve">① </w:t>
      </w:r>
      <w:r>
        <w:rPr>
          <w:rFonts w:hint="eastAsia" w:ascii="宋体" w:hAnsi="宋体" w:cs="宋体"/>
          <w:szCs w:val="21"/>
          <w:highlight w:val="none"/>
        </w:rPr>
        <w:t>为见索即付保函：即在成交供应商没有实施合同或者未履行合同义务时，采购人不需要出具任何证明和理由，只要看到成交供应商违约，就可对保函进行收兑。</w:t>
      </w:r>
    </w:p>
    <w:p w14:paraId="771FF6F3">
      <w:pPr>
        <w:spacing w:line="360" w:lineRule="auto"/>
        <w:ind w:firstLine="210" w:firstLineChars="100"/>
        <w:rPr>
          <w:rFonts w:ascii="宋体" w:hAnsi="宋体" w:cs="宋体"/>
          <w:szCs w:val="21"/>
          <w:highlight w:val="none"/>
        </w:rPr>
      </w:pPr>
      <w:r>
        <w:rPr>
          <w:rFonts w:hint="eastAsia" w:ascii="宋体" w:hAnsi="宋体" w:cs="宋体"/>
          <w:szCs w:val="21"/>
          <w:highlight w:val="none"/>
        </w:rPr>
        <w:t>②保函期限：自合同生效之日起至</w:t>
      </w:r>
      <w:r>
        <w:rPr>
          <w:rFonts w:hint="eastAsia" w:ascii="宋体" w:hAnsi="宋体" w:cs="宋体"/>
          <w:b/>
          <w:bCs/>
          <w:szCs w:val="21"/>
          <w:highlight w:val="none"/>
          <w:u w:val="single"/>
          <w:lang w:val="en-US" w:eastAsia="zh-CN"/>
        </w:rPr>
        <w:t>合同履约完毕</w:t>
      </w:r>
      <w:r>
        <w:rPr>
          <w:rFonts w:hint="eastAsia" w:ascii="宋体" w:hAnsi="宋体" w:cs="宋体"/>
          <w:szCs w:val="21"/>
          <w:highlight w:val="none"/>
        </w:rPr>
        <w:t>之日止。</w:t>
      </w:r>
    </w:p>
    <w:p w14:paraId="285458A4">
      <w:pPr>
        <w:spacing w:line="360" w:lineRule="auto"/>
        <w:ind w:left="210" w:leftChars="100" w:firstLine="0"/>
        <w:rPr>
          <w:rFonts w:ascii="宋体" w:hAnsi="宋体" w:cs="宋体"/>
          <w:szCs w:val="21"/>
          <w:highlight w:val="none"/>
        </w:rPr>
      </w:pPr>
      <w:r>
        <w:rPr>
          <w:rFonts w:hint="eastAsia" w:ascii="宋体" w:hAnsi="宋体" w:cs="宋体"/>
          <w:szCs w:val="21"/>
          <w:highlight w:val="none"/>
        </w:rPr>
        <w:t>③如果由于服务期延误或保函出具机构要求分期出具保函的，则在前一份保函有效期满之日1个月前必须重新出具相同内容的保函。</w:t>
      </w:r>
    </w:p>
    <w:p w14:paraId="7775D8F7">
      <w:pPr>
        <w:widowControl w:val="0"/>
        <w:spacing w:line="360" w:lineRule="auto"/>
        <w:rPr>
          <w:rFonts w:hint="eastAsia" w:ascii="宋体" w:hAnsi="宋体" w:eastAsia="宋体" w:cs="宋体"/>
          <w:highlight w:val="none"/>
          <w:u w:val="single"/>
        </w:rPr>
      </w:pPr>
      <w:r>
        <w:rPr>
          <w:rFonts w:hint="eastAsia" w:ascii="宋体" w:hAnsi="宋体" w:eastAsia="宋体" w:cs="宋体"/>
          <w:highlight w:val="none"/>
          <w:lang w:eastAsia="zh-CN"/>
        </w:rPr>
        <w:t>（</w:t>
      </w:r>
      <w:r>
        <w:rPr>
          <w:rFonts w:hint="eastAsia" w:ascii="宋体" w:hAnsi="宋体" w:eastAsia="宋体" w:cs="宋体"/>
          <w:highlight w:val="none"/>
          <w:lang w:val="en-US" w:eastAsia="zh-CN"/>
        </w:rPr>
        <w:t>2</w:t>
      </w:r>
      <w:r>
        <w:rPr>
          <w:rFonts w:hint="eastAsia" w:ascii="宋体" w:hAnsi="宋体" w:eastAsia="宋体" w:cs="宋体"/>
          <w:highlight w:val="none"/>
          <w:lang w:eastAsia="zh-CN"/>
        </w:rPr>
        <w:t>）</w:t>
      </w:r>
      <w:r>
        <w:rPr>
          <w:rFonts w:hint="eastAsia" w:ascii="宋体" w:hAnsi="宋体" w:eastAsia="宋体" w:cs="宋体"/>
          <w:highlight w:val="none"/>
        </w:rPr>
        <w:t>预付款支付比例或金额：</w:t>
      </w:r>
      <w:r>
        <w:rPr>
          <w:rFonts w:hint="eastAsia" w:ascii="宋体" w:hAnsi="宋体" w:eastAsia="宋体" w:cs="宋体"/>
          <w:highlight w:val="none"/>
          <w:u w:val="single"/>
        </w:rPr>
        <w:t>合同</w:t>
      </w:r>
      <w:r>
        <w:rPr>
          <w:rFonts w:hint="eastAsia" w:ascii="宋体" w:hAnsi="宋体" w:eastAsia="宋体" w:cs="宋体"/>
          <w:highlight w:val="none"/>
          <w:u w:val="single"/>
          <w:lang w:val="en-US" w:eastAsia="zh-CN"/>
        </w:rPr>
        <w:t>生效以及具备实施条件</w:t>
      </w:r>
      <w:r>
        <w:rPr>
          <w:rFonts w:hint="eastAsia" w:ascii="宋体" w:hAnsi="宋体" w:eastAsia="宋体" w:cs="宋体"/>
          <w:highlight w:val="none"/>
          <w:u w:val="single"/>
        </w:rPr>
        <w:t>后7个工作日内，采购人向成交供应商支付合同价款的</w:t>
      </w:r>
      <w:r>
        <w:rPr>
          <w:rFonts w:hint="eastAsia" w:ascii="宋体" w:hAnsi="宋体" w:eastAsia="宋体" w:cs="宋体"/>
          <w:highlight w:val="none"/>
          <w:u w:val="single"/>
          <w:lang w:val="en-US" w:eastAsia="zh-CN"/>
        </w:rPr>
        <w:t>4</w:t>
      </w:r>
      <w:r>
        <w:rPr>
          <w:rFonts w:hint="eastAsia" w:ascii="宋体" w:hAnsi="宋体" w:eastAsia="宋体" w:cs="宋体"/>
          <w:highlight w:val="none"/>
          <w:u w:val="single"/>
        </w:rPr>
        <w:t>0%的预付款</w:t>
      </w:r>
      <w:r>
        <w:rPr>
          <w:rFonts w:hint="eastAsia" w:ascii="宋体" w:hAnsi="宋体" w:eastAsia="宋体" w:cs="宋体"/>
          <w:b/>
          <w:bCs/>
          <w:spacing w:val="-4"/>
          <w:highlight w:val="none"/>
          <w:u w:val="single"/>
        </w:rPr>
        <w:t>。（根据浙财采监[2022]3号文件执行，在签订合同时，成交供应商明确表示无需预付款或者主动要求降低预付款比例的，采购人可不适用前述规定预付款）</w:t>
      </w:r>
    </w:p>
    <w:p w14:paraId="3A63BC1F">
      <w:pPr>
        <w:bidi w:val="0"/>
        <w:spacing w:line="360" w:lineRule="auto"/>
        <w:rPr>
          <w:rFonts w:hint="eastAsia"/>
          <w:highlight w:val="none"/>
          <w:u w:val="single"/>
        </w:rPr>
      </w:pPr>
      <w:r>
        <w:rPr>
          <w:rFonts w:hint="eastAsia"/>
          <w:highlight w:val="none"/>
        </w:rPr>
        <w:t>预付款扣回的方式：</w:t>
      </w:r>
      <w:r>
        <w:rPr>
          <w:rFonts w:hint="eastAsia"/>
          <w:highlight w:val="none"/>
          <w:u w:val="single"/>
        </w:rPr>
        <w:t>在支付第一</w:t>
      </w:r>
      <w:r>
        <w:rPr>
          <w:rFonts w:hint="eastAsia"/>
          <w:highlight w:val="none"/>
          <w:u w:val="single"/>
          <w:lang w:val="en-US" w:eastAsia="zh-CN"/>
        </w:rPr>
        <w:t>个季度服务费</w:t>
      </w:r>
      <w:r>
        <w:rPr>
          <w:rFonts w:hint="eastAsia"/>
          <w:highlight w:val="none"/>
          <w:u w:val="single"/>
        </w:rPr>
        <w:t>中扣回，若当期</w:t>
      </w:r>
      <w:r>
        <w:rPr>
          <w:rFonts w:hint="eastAsia"/>
          <w:highlight w:val="none"/>
          <w:u w:val="single"/>
          <w:lang w:val="en-US" w:eastAsia="zh-CN"/>
        </w:rPr>
        <w:t>服务费</w:t>
      </w:r>
      <w:r>
        <w:rPr>
          <w:rFonts w:hint="eastAsia"/>
          <w:highlight w:val="none"/>
          <w:u w:val="single"/>
        </w:rPr>
        <w:t>不足扣回预付款金额的，则剩余部分累计至下一</w:t>
      </w:r>
      <w:r>
        <w:rPr>
          <w:rFonts w:hint="eastAsia"/>
          <w:highlight w:val="none"/>
          <w:u w:val="single"/>
          <w:lang w:val="en-US" w:eastAsia="zh-CN"/>
        </w:rPr>
        <w:t>季度</w:t>
      </w:r>
      <w:r>
        <w:rPr>
          <w:rFonts w:hint="eastAsia"/>
          <w:highlight w:val="none"/>
          <w:u w:val="single"/>
        </w:rPr>
        <w:t>扣回。</w:t>
      </w:r>
    </w:p>
    <w:p w14:paraId="73DAC4CD">
      <w:pPr>
        <w:pStyle w:val="8"/>
        <w:spacing w:before="0" w:after="0" w:line="360" w:lineRule="auto"/>
        <w:rPr>
          <w:rFonts w:hint="eastAsia" w:ascii="宋体" w:hAnsi="宋体"/>
          <w:sz w:val="21"/>
          <w:szCs w:val="21"/>
          <w:highlight w:val="none"/>
        </w:rPr>
      </w:pPr>
      <w:r>
        <w:rPr>
          <w:rFonts w:hint="eastAsia"/>
          <w:sz w:val="21"/>
          <w:szCs w:val="21"/>
          <w:highlight w:val="none"/>
          <w:lang w:eastAsia="zh-CN"/>
        </w:rPr>
        <w:t>（</w:t>
      </w:r>
      <w:r>
        <w:rPr>
          <w:rFonts w:hint="eastAsia" w:ascii="宋体" w:hAnsi="宋体" w:eastAsia="宋体" w:cs="宋体"/>
          <w:sz w:val="21"/>
          <w:szCs w:val="21"/>
          <w:highlight w:val="none"/>
          <w:lang w:val="en-US" w:eastAsia="zh-CN"/>
        </w:rPr>
        <w:t>3</w:t>
      </w:r>
      <w:r>
        <w:rPr>
          <w:rFonts w:hint="eastAsia"/>
          <w:sz w:val="21"/>
          <w:szCs w:val="21"/>
          <w:highlight w:val="none"/>
          <w:lang w:eastAsia="zh-CN"/>
        </w:rPr>
        <w:t>）</w:t>
      </w:r>
      <w:r>
        <w:rPr>
          <w:rFonts w:hint="eastAsia"/>
          <w:sz w:val="21"/>
          <w:szCs w:val="21"/>
          <w:highlight w:val="none"/>
        </w:rPr>
        <w:t>本项目采用固定单价合同，最终结算以甲方确认的实际发生的服务内容，结合相应的中标综合</w:t>
      </w:r>
      <w:r>
        <w:rPr>
          <w:rFonts w:hint="eastAsia" w:ascii="宋体" w:hAnsi="宋体" w:eastAsia="宋体" w:cs="宋体"/>
          <w:sz w:val="21"/>
          <w:szCs w:val="21"/>
          <w:highlight w:val="none"/>
        </w:rPr>
        <w:t>单价予以结算，按</w:t>
      </w:r>
      <w:r>
        <w:rPr>
          <w:rFonts w:hint="eastAsia" w:ascii="宋体" w:hAnsi="宋体" w:eastAsia="宋体" w:cs="宋体"/>
          <w:sz w:val="21"/>
          <w:szCs w:val="21"/>
          <w:highlight w:val="none"/>
          <w:lang w:val="en-US" w:eastAsia="zh-CN"/>
        </w:rPr>
        <w:t>季度</w:t>
      </w:r>
      <w:r>
        <w:rPr>
          <w:rFonts w:hint="eastAsia" w:ascii="宋体" w:hAnsi="宋体" w:eastAsia="宋体" w:cs="宋体"/>
          <w:sz w:val="21"/>
          <w:szCs w:val="21"/>
          <w:highlight w:val="none"/>
        </w:rPr>
        <w:t>付费，每季有效放映场次累计资金在下一个季度的第一个月支付</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每次乙方向甲方提供国家规定的100%的税收发票及无条件按甲方要求提供费用结算所需的相关书面材料</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甲方</w:t>
      </w:r>
      <w:r>
        <w:rPr>
          <w:rFonts w:hint="eastAsia" w:ascii="宋体" w:hAnsi="宋体" w:eastAsia="宋体" w:cs="宋体"/>
          <w:sz w:val="21"/>
          <w:szCs w:val="21"/>
          <w:highlight w:val="none"/>
          <w:lang w:val="en-US" w:eastAsia="zh-CN"/>
        </w:rPr>
        <w:t>自收到发票后七个工作日内</w:t>
      </w:r>
      <w:r>
        <w:rPr>
          <w:rFonts w:hint="eastAsia" w:ascii="宋体" w:hAnsi="宋体" w:eastAsia="宋体" w:cs="宋体"/>
          <w:sz w:val="21"/>
          <w:szCs w:val="21"/>
          <w:highlight w:val="none"/>
        </w:rPr>
        <w:t>向乙方</w:t>
      </w:r>
      <w:r>
        <w:rPr>
          <w:rFonts w:hint="eastAsia" w:ascii="宋体" w:hAnsi="宋体" w:eastAsia="宋体" w:cs="宋体"/>
          <w:sz w:val="21"/>
          <w:szCs w:val="21"/>
          <w:highlight w:val="none"/>
          <w:lang w:val="en-US" w:eastAsia="zh-CN"/>
        </w:rPr>
        <w:t>支付相关</w:t>
      </w:r>
      <w:r>
        <w:rPr>
          <w:rFonts w:hint="eastAsia" w:ascii="宋体" w:hAnsi="宋体" w:eastAsia="宋体" w:cs="宋体"/>
          <w:sz w:val="21"/>
          <w:szCs w:val="21"/>
          <w:highlight w:val="none"/>
        </w:rPr>
        <w:t>费</w:t>
      </w:r>
      <w:r>
        <w:rPr>
          <w:rFonts w:hint="eastAsia" w:ascii="宋体" w:hAnsi="宋体" w:eastAsia="宋体" w:cs="宋体"/>
          <w:sz w:val="21"/>
          <w:szCs w:val="21"/>
          <w:highlight w:val="none"/>
          <w:lang w:val="en-US" w:eastAsia="zh-CN"/>
        </w:rPr>
        <w:t>用</w:t>
      </w:r>
      <w:r>
        <w:rPr>
          <w:rFonts w:hint="eastAsia" w:ascii="宋体" w:hAnsi="宋体" w:eastAsia="宋体" w:cs="宋体"/>
          <w:sz w:val="21"/>
          <w:szCs w:val="21"/>
          <w:highlight w:val="none"/>
        </w:rPr>
        <w:t>（相关罚款从当</w:t>
      </w:r>
      <w:r>
        <w:rPr>
          <w:rFonts w:hint="eastAsia" w:ascii="宋体" w:hAnsi="宋体" w:eastAsia="宋体" w:cs="宋体"/>
          <w:sz w:val="21"/>
          <w:szCs w:val="21"/>
          <w:highlight w:val="none"/>
          <w:lang w:eastAsia="zh-CN"/>
        </w:rPr>
        <w:t>月</w:t>
      </w:r>
      <w:r>
        <w:rPr>
          <w:rFonts w:hint="eastAsia" w:ascii="宋体" w:hAnsi="宋体" w:eastAsia="宋体" w:cs="宋体"/>
          <w:sz w:val="21"/>
          <w:szCs w:val="21"/>
          <w:highlight w:val="none"/>
        </w:rPr>
        <w:t>服务费中直接扣除）</w:t>
      </w:r>
    </w:p>
    <w:p w14:paraId="6460ABE6">
      <w:pPr>
        <w:pStyle w:val="8"/>
        <w:spacing w:before="0" w:after="0" w:line="360" w:lineRule="auto"/>
        <w:rPr>
          <w:rFonts w:hint="eastAsia" w:ascii="宋体" w:hAnsi="宋体" w:eastAsia="宋体"/>
          <w:b/>
          <w:bCs w:val="0"/>
          <w:sz w:val="21"/>
          <w:szCs w:val="21"/>
          <w:highlight w:val="none"/>
          <w:lang w:eastAsia="zh-CN"/>
        </w:rPr>
      </w:pPr>
      <w:r>
        <w:rPr>
          <w:rFonts w:hint="eastAsia" w:ascii="宋体" w:hAnsi="宋体"/>
          <w:b/>
          <w:bCs w:val="0"/>
          <w:sz w:val="21"/>
          <w:szCs w:val="21"/>
          <w:highlight w:val="none"/>
          <w:lang w:val="en-US" w:eastAsia="zh-CN"/>
        </w:rPr>
        <w:t>9、</w:t>
      </w:r>
      <w:r>
        <w:rPr>
          <w:rFonts w:hint="eastAsia" w:ascii="宋体" w:hAnsi="宋体"/>
          <w:b/>
          <w:bCs w:val="0"/>
          <w:sz w:val="21"/>
          <w:szCs w:val="21"/>
          <w:highlight w:val="none"/>
        </w:rPr>
        <w:t>其他</w:t>
      </w:r>
      <w:bookmarkEnd w:id="340"/>
      <w:r>
        <w:rPr>
          <w:rFonts w:hint="eastAsia" w:ascii="宋体" w:hAnsi="宋体"/>
          <w:b/>
          <w:bCs w:val="0"/>
          <w:sz w:val="21"/>
          <w:szCs w:val="21"/>
          <w:highlight w:val="none"/>
          <w:lang w:eastAsia="zh-CN"/>
        </w:rPr>
        <w:t>：</w:t>
      </w:r>
    </w:p>
    <w:p w14:paraId="54C3E86F">
      <w:pPr>
        <w:spacing w:line="360" w:lineRule="auto"/>
        <w:rPr>
          <w:rFonts w:ascii="宋体" w:hAnsi="宋体"/>
          <w:b w:val="0"/>
          <w:bCs/>
          <w:szCs w:val="21"/>
          <w:highlight w:val="none"/>
        </w:rPr>
      </w:pPr>
      <w:r>
        <w:rPr>
          <w:rFonts w:hint="eastAsia" w:ascii="宋体" w:hAnsi="宋体"/>
          <w:b w:val="0"/>
          <w:bCs/>
          <w:szCs w:val="21"/>
          <w:highlight w:val="none"/>
          <w:lang w:val="en-US" w:eastAsia="zh-CN"/>
        </w:rPr>
        <w:t xml:space="preserve">① </w:t>
      </w:r>
      <w:r>
        <w:rPr>
          <w:rFonts w:hint="eastAsia" w:ascii="宋体" w:hAnsi="宋体"/>
          <w:b w:val="0"/>
          <w:bCs/>
          <w:szCs w:val="21"/>
          <w:highlight w:val="none"/>
        </w:rPr>
        <w:t>本次采购年度放映任务有效场次为</w:t>
      </w:r>
      <w:r>
        <w:rPr>
          <w:rFonts w:hint="eastAsia" w:ascii="宋体" w:hAnsi="宋体"/>
          <w:b w:val="0"/>
          <w:bCs/>
          <w:szCs w:val="21"/>
          <w:highlight w:val="none"/>
          <w:lang w:val="en-US" w:eastAsia="zh-CN"/>
        </w:rPr>
        <w:t>6168</w:t>
      </w:r>
      <w:r>
        <w:rPr>
          <w:rFonts w:hint="eastAsia" w:ascii="宋体" w:hAnsi="宋体"/>
          <w:b w:val="0"/>
          <w:bCs/>
          <w:szCs w:val="21"/>
          <w:highlight w:val="none"/>
        </w:rPr>
        <w:t>场，年度内放映场次考核计划任务必须完成。</w:t>
      </w:r>
    </w:p>
    <w:p w14:paraId="75D4B4E3">
      <w:pPr>
        <w:spacing w:line="360" w:lineRule="auto"/>
        <w:rPr>
          <w:rFonts w:ascii="宋体" w:hAnsi="宋体"/>
          <w:b w:val="0"/>
          <w:bCs/>
          <w:szCs w:val="21"/>
          <w:highlight w:val="none"/>
        </w:rPr>
      </w:pPr>
      <w:r>
        <w:rPr>
          <w:rFonts w:hint="eastAsia" w:ascii="宋体" w:hAnsi="宋体"/>
          <w:b w:val="0"/>
          <w:bCs/>
          <w:szCs w:val="21"/>
          <w:highlight w:val="none"/>
          <w:lang w:val="en-US" w:eastAsia="zh-CN"/>
        </w:rPr>
        <w:t xml:space="preserve">② </w:t>
      </w:r>
      <w:r>
        <w:rPr>
          <w:rFonts w:hint="eastAsia" w:ascii="宋体" w:hAnsi="宋体"/>
          <w:b w:val="0"/>
          <w:bCs/>
          <w:szCs w:val="21"/>
          <w:highlight w:val="none"/>
        </w:rPr>
        <w:t>本次采购成交供应商需按中标单价支付本项目招标前已放映的202</w:t>
      </w:r>
      <w:r>
        <w:rPr>
          <w:rFonts w:hint="eastAsia" w:ascii="宋体" w:hAnsi="宋体"/>
          <w:b w:val="0"/>
          <w:bCs/>
          <w:szCs w:val="21"/>
          <w:highlight w:val="none"/>
          <w:lang w:val="en-US" w:eastAsia="zh-CN"/>
        </w:rPr>
        <w:t>5</w:t>
      </w:r>
      <w:r>
        <w:rPr>
          <w:rFonts w:hint="eastAsia" w:ascii="宋体" w:hAnsi="宋体"/>
          <w:b w:val="0"/>
          <w:bCs/>
          <w:szCs w:val="21"/>
          <w:highlight w:val="none"/>
        </w:rPr>
        <w:t>年度的场次费用（及时支付给承担已播放的电影公司）。</w:t>
      </w:r>
    </w:p>
    <w:tbl>
      <w:tblPr>
        <w:tblStyle w:val="25"/>
        <w:tblW w:w="8310"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042"/>
        <w:gridCol w:w="2376"/>
        <w:gridCol w:w="2486"/>
        <w:gridCol w:w="2406"/>
      </w:tblGrid>
      <w:tr w14:paraId="529F3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60" w:hRule="atLeast"/>
        </w:trPr>
        <w:tc>
          <w:tcPr>
            <w:tcW w:w="1042" w:type="dxa"/>
            <w:shd w:val="clear" w:color="auto" w:fill="auto"/>
            <w:vAlign w:val="center"/>
          </w:tcPr>
          <w:p w14:paraId="62B598C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序号</w:t>
            </w:r>
          </w:p>
        </w:tc>
        <w:tc>
          <w:tcPr>
            <w:tcW w:w="2376" w:type="dxa"/>
            <w:shd w:val="clear" w:color="auto" w:fill="auto"/>
            <w:vAlign w:val="center"/>
          </w:tcPr>
          <w:p w14:paraId="15E7708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乡镇街道名称</w:t>
            </w:r>
          </w:p>
        </w:tc>
        <w:tc>
          <w:tcPr>
            <w:tcW w:w="2486" w:type="dxa"/>
            <w:shd w:val="clear" w:color="auto" w:fill="auto"/>
            <w:vAlign w:val="center"/>
          </w:tcPr>
          <w:p w14:paraId="782A04E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202</w:t>
            </w:r>
            <w:r>
              <w:rPr>
                <w:rFonts w:hint="eastAsia" w:ascii="宋体" w:hAnsi="宋体" w:cs="宋体"/>
                <w:i w:val="0"/>
                <w:iCs w:val="0"/>
                <w:color w:val="000000"/>
                <w:kern w:val="0"/>
                <w:sz w:val="21"/>
                <w:szCs w:val="21"/>
                <w:highlight w:val="none"/>
                <w:u w:val="none"/>
                <w:lang w:val="en-US" w:eastAsia="zh-CN"/>
              </w:rPr>
              <w:t>5</w:t>
            </w:r>
            <w:r>
              <w:rPr>
                <w:rFonts w:hint="eastAsia" w:ascii="宋体" w:hAnsi="宋体" w:eastAsia="宋体" w:cs="宋体"/>
                <w:i w:val="0"/>
                <w:iCs w:val="0"/>
                <w:color w:val="000000"/>
                <w:kern w:val="0"/>
                <w:sz w:val="21"/>
                <w:szCs w:val="21"/>
                <w:highlight w:val="none"/>
                <w:u w:val="none"/>
                <w:lang w:val="en-US" w:eastAsia="zh-CN"/>
              </w:rPr>
              <w:t>年拟计划放映场次</w:t>
            </w:r>
          </w:p>
        </w:tc>
        <w:tc>
          <w:tcPr>
            <w:tcW w:w="2406" w:type="dxa"/>
            <w:shd w:val="clear" w:color="auto" w:fill="auto"/>
            <w:vAlign w:val="center"/>
          </w:tcPr>
          <w:p w14:paraId="43E750D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备注</w:t>
            </w:r>
          </w:p>
        </w:tc>
      </w:tr>
      <w:tr w14:paraId="0533C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621192C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w:t>
            </w:r>
          </w:p>
        </w:tc>
        <w:tc>
          <w:tcPr>
            <w:tcW w:w="2376" w:type="dxa"/>
            <w:tcBorders>
              <w:left w:val="single" w:color="auto" w:sz="4" w:space="0"/>
            </w:tcBorders>
            <w:shd w:val="clear" w:color="auto" w:fill="auto"/>
            <w:noWrap/>
            <w:vAlign w:val="center"/>
          </w:tcPr>
          <w:p w14:paraId="21C034E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塘下镇（塘下新区）</w:t>
            </w:r>
          </w:p>
        </w:tc>
        <w:tc>
          <w:tcPr>
            <w:tcW w:w="2486" w:type="dxa"/>
            <w:tcBorders>
              <w:left w:val="single" w:color="auto" w:sz="4" w:space="0"/>
            </w:tcBorders>
            <w:shd w:val="clear" w:color="auto" w:fill="auto"/>
            <w:vAlign w:val="center"/>
          </w:tcPr>
          <w:p w14:paraId="721895A2">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1044</w:t>
            </w:r>
          </w:p>
        </w:tc>
        <w:tc>
          <w:tcPr>
            <w:tcW w:w="2406" w:type="dxa"/>
            <w:vMerge w:val="restart"/>
            <w:tcBorders>
              <w:left w:val="single" w:color="auto" w:sz="4" w:space="0"/>
            </w:tcBorders>
            <w:shd w:val="clear" w:color="auto" w:fill="auto"/>
            <w:vAlign w:val="center"/>
          </w:tcPr>
          <w:p w14:paraId="785F661B">
            <w:pPr>
              <w:keepNext w:val="0"/>
              <w:keepLines w:val="0"/>
              <w:widowControl/>
              <w:suppressLineNumbers w:val="0"/>
              <w:ind w:left="0" w:firstLine="420" w:firstLineChars="200"/>
              <w:jc w:val="left"/>
              <w:textAlignment w:val="center"/>
              <w:rPr>
                <w:rFonts w:hint="eastAsia" w:ascii="宋体" w:hAnsi="宋体" w:eastAsia="宋体" w:cs="宋体"/>
                <w:i w:val="0"/>
                <w:iCs w:val="0"/>
                <w:color w:val="000000"/>
                <w:sz w:val="21"/>
                <w:szCs w:val="21"/>
                <w:highlight w:val="none"/>
                <w:u w:val="none"/>
              </w:rPr>
            </w:pPr>
            <w:r>
              <w:rPr>
                <w:rFonts w:ascii="宋体" w:hAnsi="宋体" w:eastAsia="宋体" w:cs="宋体"/>
                <w:i w:val="0"/>
                <w:iCs w:val="0"/>
                <w:color w:val="000000"/>
                <w:sz w:val="21"/>
                <w:szCs w:val="21"/>
                <w:highlight w:val="none"/>
                <w:u w:val="none"/>
              </w:rPr>
              <w:t>计划放映场次计算说明：每个乡镇街道2025年拟计划放映场次依据（按村、社区一年12场测算）根据各地放映的实际需求，经市委宣传部同意后可作适当调整。</w:t>
            </w:r>
          </w:p>
        </w:tc>
      </w:tr>
      <w:tr w14:paraId="71C15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7BBB179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2</w:t>
            </w:r>
          </w:p>
        </w:tc>
        <w:tc>
          <w:tcPr>
            <w:tcW w:w="2376" w:type="dxa"/>
            <w:tcBorders>
              <w:left w:val="single" w:color="auto" w:sz="4" w:space="0"/>
            </w:tcBorders>
            <w:shd w:val="clear" w:color="auto" w:fill="auto"/>
            <w:noWrap/>
            <w:vAlign w:val="center"/>
          </w:tcPr>
          <w:p w14:paraId="60DEE6A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陶山镇</w:t>
            </w:r>
          </w:p>
        </w:tc>
        <w:tc>
          <w:tcPr>
            <w:tcW w:w="2486" w:type="dxa"/>
            <w:tcBorders>
              <w:left w:val="single" w:color="auto" w:sz="4" w:space="0"/>
            </w:tcBorders>
            <w:shd w:val="clear" w:color="auto" w:fill="auto"/>
            <w:vAlign w:val="center"/>
          </w:tcPr>
          <w:p w14:paraId="268F5B18">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564</w:t>
            </w:r>
          </w:p>
        </w:tc>
        <w:tc>
          <w:tcPr>
            <w:tcW w:w="2406" w:type="dxa"/>
            <w:vMerge w:val="continue"/>
            <w:tcBorders>
              <w:left w:val="single" w:color="auto" w:sz="4" w:space="0"/>
            </w:tcBorders>
            <w:shd w:val="clear" w:color="auto" w:fill="auto"/>
            <w:vAlign w:val="center"/>
          </w:tcPr>
          <w:p w14:paraId="0066FAEB">
            <w:pPr>
              <w:rPr>
                <w:highlight w:val="none"/>
              </w:rPr>
            </w:pPr>
          </w:p>
        </w:tc>
      </w:tr>
      <w:tr w14:paraId="7A62A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1042" w:type="dxa"/>
            <w:shd w:val="clear" w:color="auto" w:fill="auto"/>
            <w:noWrap/>
            <w:vAlign w:val="center"/>
          </w:tcPr>
          <w:p w14:paraId="0913F53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3</w:t>
            </w:r>
          </w:p>
        </w:tc>
        <w:tc>
          <w:tcPr>
            <w:tcW w:w="2376" w:type="dxa"/>
            <w:tcBorders>
              <w:left w:val="single" w:color="auto" w:sz="4" w:space="0"/>
            </w:tcBorders>
            <w:shd w:val="clear" w:color="auto" w:fill="auto"/>
            <w:noWrap/>
            <w:vAlign w:val="center"/>
          </w:tcPr>
          <w:p w14:paraId="60EB818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桐浦镇</w:t>
            </w:r>
          </w:p>
        </w:tc>
        <w:tc>
          <w:tcPr>
            <w:tcW w:w="2486" w:type="dxa"/>
            <w:tcBorders>
              <w:left w:val="single" w:color="auto" w:sz="4" w:space="0"/>
            </w:tcBorders>
            <w:shd w:val="clear" w:color="auto" w:fill="auto"/>
            <w:vAlign w:val="center"/>
          </w:tcPr>
          <w:p w14:paraId="6A91167F">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252</w:t>
            </w:r>
          </w:p>
        </w:tc>
        <w:tc>
          <w:tcPr>
            <w:tcW w:w="2406" w:type="dxa"/>
            <w:vMerge w:val="continue"/>
            <w:tcBorders>
              <w:left w:val="single" w:color="auto" w:sz="4" w:space="0"/>
            </w:tcBorders>
            <w:shd w:val="clear" w:color="auto" w:fill="auto"/>
            <w:vAlign w:val="center"/>
          </w:tcPr>
          <w:p w14:paraId="2B1613B1">
            <w:pPr>
              <w:rPr>
                <w:highlight w:val="none"/>
              </w:rPr>
            </w:pPr>
          </w:p>
        </w:tc>
      </w:tr>
      <w:tr w14:paraId="220B6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1042" w:type="dxa"/>
            <w:shd w:val="clear" w:color="auto" w:fill="auto"/>
            <w:noWrap/>
            <w:vAlign w:val="center"/>
          </w:tcPr>
          <w:p w14:paraId="4A7C335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4</w:t>
            </w:r>
          </w:p>
        </w:tc>
        <w:tc>
          <w:tcPr>
            <w:tcW w:w="2376" w:type="dxa"/>
            <w:tcBorders>
              <w:left w:val="single" w:color="auto" w:sz="4" w:space="0"/>
            </w:tcBorders>
            <w:shd w:val="clear" w:color="auto" w:fill="auto"/>
            <w:noWrap/>
            <w:vAlign w:val="center"/>
          </w:tcPr>
          <w:p w14:paraId="2FF682D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湖岭镇</w:t>
            </w:r>
          </w:p>
        </w:tc>
        <w:tc>
          <w:tcPr>
            <w:tcW w:w="2486" w:type="dxa"/>
            <w:tcBorders>
              <w:left w:val="single" w:color="auto" w:sz="4" w:space="0"/>
            </w:tcBorders>
            <w:shd w:val="clear" w:color="auto" w:fill="auto"/>
            <w:vAlign w:val="center"/>
          </w:tcPr>
          <w:p w14:paraId="4B24901C">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360</w:t>
            </w:r>
          </w:p>
        </w:tc>
        <w:tc>
          <w:tcPr>
            <w:tcW w:w="2406" w:type="dxa"/>
            <w:vMerge w:val="continue"/>
            <w:tcBorders>
              <w:left w:val="single" w:color="auto" w:sz="4" w:space="0"/>
            </w:tcBorders>
            <w:shd w:val="clear" w:color="auto" w:fill="auto"/>
            <w:vAlign w:val="center"/>
          </w:tcPr>
          <w:p w14:paraId="3085E9F1">
            <w:pPr>
              <w:rPr>
                <w:highlight w:val="none"/>
              </w:rPr>
            </w:pPr>
          </w:p>
        </w:tc>
      </w:tr>
      <w:tr w14:paraId="4B9C5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1042" w:type="dxa"/>
            <w:shd w:val="clear" w:color="auto" w:fill="auto"/>
            <w:noWrap/>
            <w:vAlign w:val="center"/>
          </w:tcPr>
          <w:p w14:paraId="75DB8C7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5</w:t>
            </w:r>
          </w:p>
        </w:tc>
        <w:tc>
          <w:tcPr>
            <w:tcW w:w="2376" w:type="dxa"/>
            <w:tcBorders>
              <w:left w:val="single" w:color="auto" w:sz="4" w:space="0"/>
            </w:tcBorders>
            <w:shd w:val="clear" w:color="auto" w:fill="auto"/>
            <w:noWrap/>
            <w:vAlign w:val="center"/>
          </w:tcPr>
          <w:p w14:paraId="137340F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林川镇</w:t>
            </w:r>
          </w:p>
        </w:tc>
        <w:tc>
          <w:tcPr>
            <w:tcW w:w="2486" w:type="dxa"/>
            <w:tcBorders>
              <w:left w:val="single" w:color="auto" w:sz="4" w:space="0"/>
            </w:tcBorders>
            <w:shd w:val="clear" w:color="auto" w:fill="auto"/>
            <w:vAlign w:val="center"/>
          </w:tcPr>
          <w:p w14:paraId="0EA3A665">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168</w:t>
            </w:r>
          </w:p>
        </w:tc>
        <w:tc>
          <w:tcPr>
            <w:tcW w:w="2406" w:type="dxa"/>
            <w:vMerge w:val="continue"/>
            <w:tcBorders>
              <w:left w:val="single" w:color="auto" w:sz="4" w:space="0"/>
            </w:tcBorders>
            <w:shd w:val="clear" w:color="auto" w:fill="auto"/>
            <w:vAlign w:val="center"/>
          </w:tcPr>
          <w:p w14:paraId="78D36BA8">
            <w:pPr>
              <w:rPr>
                <w:highlight w:val="none"/>
              </w:rPr>
            </w:pPr>
          </w:p>
        </w:tc>
      </w:tr>
      <w:tr w14:paraId="13C5D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1042" w:type="dxa"/>
            <w:shd w:val="clear" w:color="auto" w:fill="auto"/>
            <w:noWrap/>
            <w:vAlign w:val="center"/>
          </w:tcPr>
          <w:p w14:paraId="0C8F24C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6</w:t>
            </w:r>
          </w:p>
        </w:tc>
        <w:tc>
          <w:tcPr>
            <w:tcW w:w="2376" w:type="dxa"/>
            <w:tcBorders>
              <w:left w:val="single" w:color="auto" w:sz="4" w:space="0"/>
            </w:tcBorders>
            <w:shd w:val="clear" w:color="auto" w:fill="auto"/>
            <w:noWrap/>
            <w:vAlign w:val="center"/>
          </w:tcPr>
          <w:p w14:paraId="34B6C42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芳庄乡</w:t>
            </w:r>
          </w:p>
        </w:tc>
        <w:tc>
          <w:tcPr>
            <w:tcW w:w="2486" w:type="dxa"/>
            <w:tcBorders>
              <w:left w:val="single" w:color="auto" w:sz="4" w:space="0"/>
            </w:tcBorders>
            <w:shd w:val="clear" w:color="auto" w:fill="auto"/>
            <w:vAlign w:val="center"/>
          </w:tcPr>
          <w:p w14:paraId="54FDC6B5">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96</w:t>
            </w:r>
          </w:p>
        </w:tc>
        <w:tc>
          <w:tcPr>
            <w:tcW w:w="2406" w:type="dxa"/>
            <w:vMerge w:val="continue"/>
            <w:tcBorders>
              <w:left w:val="single" w:color="auto" w:sz="4" w:space="0"/>
            </w:tcBorders>
            <w:shd w:val="clear" w:color="auto" w:fill="auto"/>
            <w:vAlign w:val="center"/>
          </w:tcPr>
          <w:p w14:paraId="27ECBEAA">
            <w:pPr>
              <w:rPr>
                <w:highlight w:val="none"/>
              </w:rPr>
            </w:pPr>
          </w:p>
        </w:tc>
      </w:tr>
      <w:tr w14:paraId="6CD52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PrEx>
        <w:trPr>
          <w:trHeight w:val="400" w:hRule="atLeast"/>
        </w:trPr>
        <w:tc>
          <w:tcPr>
            <w:tcW w:w="1042" w:type="dxa"/>
            <w:shd w:val="clear" w:color="auto" w:fill="auto"/>
            <w:noWrap/>
            <w:vAlign w:val="center"/>
          </w:tcPr>
          <w:p w14:paraId="0FA23A9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7</w:t>
            </w:r>
          </w:p>
        </w:tc>
        <w:tc>
          <w:tcPr>
            <w:tcW w:w="2376" w:type="dxa"/>
            <w:tcBorders>
              <w:left w:val="single" w:color="auto" w:sz="4" w:space="0"/>
            </w:tcBorders>
            <w:shd w:val="clear" w:color="auto" w:fill="auto"/>
            <w:noWrap/>
            <w:vAlign w:val="center"/>
          </w:tcPr>
          <w:p w14:paraId="485897B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马屿镇</w:t>
            </w:r>
          </w:p>
        </w:tc>
        <w:tc>
          <w:tcPr>
            <w:tcW w:w="2486" w:type="dxa"/>
            <w:tcBorders>
              <w:left w:val="single" w:color="auto" w:sz="4" w:space="0"/>
            </w:tcBorders>
            <w:shd w:val="clear" w:color="auto" w:fill="auto"/>
            <w:vAlign w:val="center"/>
          </w:tcPr>
          <w:p w14:paraId="63BDCFA9">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732</w:t>
            </w:r>
          </w:p>
        </w:tc>
        <w:tc>
          <w:tcPr>
            <w:tcW w:w="2406" w:type="dxa"/>
            <w:vMerge w:val="continue"/>
            <w:tcBorders>
              <w:left w:val="single" w:color="auto" w:sz="4" w:space="0"/>
            </w:tcBorders>
            <w:shd w:val="clear" w:color="auto" w:fill="auto"/>
            <w:vAlign w:val="center"/>
          </w:tcPr>
          <w:p w14:paraId="461BFE78">
            <w:pPr>
              <w:rPr>
                <w:highlight w:val="none"/>
              </w:rPr>
            </w:pPr>
          </w:p>
        </w:tc>
      </w:tr>
      <w:tr w14:paraId="7238E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69C3A2A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8</w:t>
            </w:r>
          </w:p>
        </w:tc>
        <w:tc>
          <w:tcPr>
            <w:tcW w:w="2376" w:type="dxa"/>
            <w:tcBorders>
              <w:left w:val="single" w:color="auto" w:sz="4" w:space="0"/>
            </w:tcBorders>
            <w:shd w:val="clear" w:color="auto" w:fill="auto"/>
            <w:noWrap/>
            <w:vAlign w:val="center"/>
          </w:tcPr>
          <w:p w14:paraId="3A20C57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曹村镇</w:t>
            </w:r>
          </w:p>
        </w:tc>
        <w:tc>
          <w:tcPr>
            <w:tcW w:w="2486" w:type="dxa"/>
            <w:tcBorders>
              <w:left w:val="single" w:color="auto" w:sz="4" w:space="0"/>
            </w:tcBorders>
            <w:shd w:val="clear" w:color="auto" w:fill="auto"/>
            <w:vAlign w:val="center"/>
          </w:tcPr>
          <w:p w14:paraId="44F62184">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168</w:t>
            </w:r>
          </w:p>
        </w:tc>
        <w:tc>
          <w:tcPr>
            <w:tcW w:w="2406" w:type="dxa"/>
            <w:vMerge w:val="continue"/>
            <w:tcBorders>
              <w:left w:val="single" w:color="auto" w:sz="4" w:space="0"/>
            </w:tcBorders>
            <w:shd w:val="clear" w:color="auto" w:fill="auto"/>
            <w:vAlign w:val="center"/>
          </w:tcPr>
          <w:p w14:paraId="16C1146A">
            <w:pPr>
              <w:rPr>
                <w:highlight w:val="none"/>
              </w:rPr>
            </w:pPr>
          </w:p>
        </w:tc>
      </w:tr>
      <w:tr w14:paraId="0C815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5CF8FED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9</w:t>
            </w:r>
          </w:p>
        </w:tc>
        <w:tc>
          <w:tcPr>
            <w:tcW w:w="2376" w:type="dxa"/>
            <w:tcBorders>
              <w:left w:val="single" w:color="auto" w:sz="4" w:space="0"/>
            </w:tcBorders>
            <w:shd w:val="clear" w:color="auto" w:fill="auto"/>
            <w:noWrap/>
            <w:vAlign w:val="center"/>
          </w:tcPr>
          <w:p w14:paraId="3D09B07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高楼镇</w:t>
            </w:r>
          </w:p>
        </w:tc>
        <w:tc>
          <w:tcPr>
            <w:tcW w:w="2486" w:type="dxa"/>
            <w:tcBorders>
              <w:left w:val="single" w:color="auto" w:sz="4" w:space="0"/>
            </w:tcBorders>
            <w:shd w:val="clear" w:color="auto" w:fill="auto"/>
            <w:vAlign w:val="center"/>
          </w:tcPr>
          <w:p w14:paraId="67E876D0">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468</w:t>
            </w:r>
          </w:p>
        </w:tc>
        <w:tc>
          <w:tcPr>
            <w:tcW w:w="2406" w:type="dxa"/>
            <w:vMerge w:val="continue"/>
            <w:tcBorders>
              <w:left w:val="single" w:color="auto" w:sz="4" w:space="0"/>
            </w:tcBorders>
            <w:shd w:val="clear" w:color="auto" w:fill="auto"/>
            <w:vAlign w:val="center"/>
          </w:tcPr>
          <w:p w14:paraId="758E9F6A">
            <w:pPr>
              <w:rPr>
                <w:highlight w:val="none"/>
              </w:rPr>
            </w:pPr>
          </w:p>
        </w:tc>
      </w:tr>
      <w:tr w14:paraId="7151B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001DB67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10</w:t>
            </w:r>
          </w:p>
        </w:tc>
        <w:tc>
          <w:tcPr>
            <w:tcW w:w="2376" w:type="dxa"/>
            <w:tcBorders>
              <w:left w:val="single" w:color="auto" w:sz="4" w:space="0"/>
            </w:tcBorders>
            <w:shd w:val="clear" w:color="auto" w:fill="auto"/>
            <w:noWrap/>
            <w:vAlign w:val="center"/>
          </w:tcPr>
          <w:p w14:paraId="5BF7C55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平阳坑镇</w:t>
            </w:r>
          </w:p>
        </w:tc>
        <w:tc>
          <w:tcPr>
            <w:tcW w:w="2486" w:type="dxa"/>
            <w:tcBorders>
              <w:left w:val="single" w:color="auto" w:sz="4" w:space="0"/>
            </w:tcBorders>
            <w:shd w:val="clear" w:color="auto" w:fill="auto"/>
            <w:vAlign w:val="center"/>
          </w:tcPr>
          <w:p w14:paraId="21C624FE">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96</w:t>
            </w:r>
          </w:p>
        </w:tc>
        <w:tc>
          <w:tcPr>
            <w:tcW w:w="2406" w:type="dxa"/>
            <w:vMerge w:val="continue"/>
            <w:tcBorders>
              <w:left w:val="single" w:color="auto" w:sz="4" w:space="0"/>
            </w:tcBorders>
            <w:shd w:val="clear" w:color="auto" w:fill="auto"/>
            <w:vAlign w:val="center"/>
          </w:tcPr>
          <w:p w14:paraId="4145F8D8">
            <w:pPr>
              <w:rPr>
                <w:highlight w:val="none"/>
              </w:rPr>
            </w:pPr>
          </w:p>
        </w:tc>
      </w:tr>
      <w:tr w14:paraId="753B3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34172E3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11</w:t>
            </w:r>
          </w:p>
        </w:tc>
        <w:tc>
          <w:tcPr>
            <w:tcW w:w="2376" w:type="dxa"/>
            <w:tcBorders>
              <w:left w:val="single" w:color="auto" w:sz="4" w:space="0"/>
            </w:tcBorders>
            <w:shd w:val="clear" w:color="auto" w:fill="auto"/>
            <w:noWrap/>
            <w:vAlign w:val="center"/>
          </w:tcPr>
          <w:p w14:paraId="51ECD85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安阳街道</w:t>
            </w:r>
          </w:p>
        </w:tc>
        <w:tc>
          <w:tcPr>
            <w:tcW w:w="2486" w:type="dxa"/>
            <w:tcBorders>
              <w:left w:val="single" w:color="auto" w:sz="4" w:space="0"/>
            </w:tcBorders>
            <w:shd w:val="clear" w:color="auto" w:fill="auto"/>
            <w:vAlign w:val="center"/>
          </w:tcPr>
          <w:p w14:paraId="543657ED">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192</w:t>
            </w:r>
          </w:p>
        </w:tc>
        <w:tc>
          <w:tcPr>
            <w:tcW w:w="2406" w:type="dxa"/>
            <w:vMerge w:val="continue"/>
            <w:tcBorders>
              <w:left w:val="single" w:color="auto" w:sz="4" w:space="0"/>
            </w:tcBorders>
            <w:shd w:val="clear" w:color="auto" w:fill="auto"/>
            <w:vAlign w:val="center"/>
          </w:tcPr>
          <w:p w14:paraId="6A006C7C">
            <w:pPr>
              <w:rPr>
                <w:highlight w:val="none"/>
              </w:rPr>
            </w:pPr>
          </w:p>
        </w:tc>
      </w:tr>
      <w:tr w14:paraId="056F6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1042" w:type="dxa"/>
            <w:shd w:val="clear" w:color="auto" w:fill="auto"/>
            <w:noWrap/>
            <w:vAlign w:val="center"/>
          </w:tcPr>
          <w:p w14:paraId="60315B3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12</w:t>
            </w:r>
          </w:p>
        </w:tc>
        <w:tc>
          <w:tcPr>
            <w:tcW w:w="2376" w:type="dxa"/>
            <w:tcBorders>
              <w:left w:val="single" w:color="auto" w:sz="4" w:space="0"/>
            </w:tcBorders>
            <w:shd w:val="clear" w:color="auto" w:fill="auto"/>
            <w:noWrap/>
            <w:vAlign w:val="center"/>
          </w:tcPr>
          <w:p w14:paraId="2F27FDB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玉海街道</w:t>
            </w:r>
          </w:p>
        </w:tc>
        <w:tc>
          <w:tcPr>
            <w:tcW w:w="2486" w:type="dxa"/>
            <w:tcBorders>
              <w:left w:val="single" w:color="auto" w:sz="4" w:space="0"/>
            </w:tcBorders>
            <w:shd w:val="clear" w:color="auto" w:fill="auto"/>
            <w:vAlign w:val="center"/>
          </w:tcPr>
          <w:p w14:paraId="35E14F65">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120</w:t>
            </w:r>
          </w:p>
        </w:tc>
        <w:tc>
          <w:tcPr>
            <w:tcW w:w="2406" w:type="dxa"/>
            <w:vMerge w:val="continue"/>
            <w:tcBorders>
              <w:left w:val="single" w:color="auto" w:sz="4" w:space="0"/>
            </w:tcBorders>
            <w:shd w:val="clear" w:color="auto" w:fill="auto"/>
            <w:vAlign w:val="center"/>
          </w:tcPr>
          <w:p w14:paraId="7E85E643">
            <w:pPr>
              <w:rPr>
                <w:highlight w:val="none"/>
              </w:rPr>
            </w:pPr>
          </w:p>
        </w:tc>
      </w:tr>
      <w:tr w14:paraId="365D6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4B0AB90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13</w:t>
            </w:r>
          </w:p>
        </w:tc>
        <w:tc>
          <w:tcPr>
            <w:tcW w:w="2376" w:type="dxa"/>
            <w:tcBorders>
              <w:left w:val="single" w:color="auto" w:sz="4" w:space="0"/>
            </w:tcBorders>
            <w:shd w:val="clear" w:color="auto" w:fill="auto"/>
            <w:noWrap/>
            <w:vAlign w:val="center"/>
          </w:tcPr>
          <w:p w14:paraId="22E1FFD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锦湖街道</w:t>
            </w:r>
          </w:p>
        </w:tc>
        <w:tc>
          <w:tcPr>
            <w:tcW w:w="2486" w:type="dxa"/>
            <w:tcBorders>
              <w:left w:val="single" w:color="auto" w:sz="4" w:space="0"/>
            </w:tcBorders>
            <w:shd w:val="clear" w:color="auto" w:fill="auto"/>
            <w:vAlign w:val="center"/>
          </w:tcPr>
          <w:p w14:paraId="012EBBF2">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96</w:t>
            </w:r>
          </w:p>
        </w:tc>
        <w:tc>
          <w:tcPr>
            <w:tcW w:w="2406" w:type="dxa"/>
            <w:vMerge w:val="continue"/>
            <w:tcBorders>
              <w:left w:val="single" w:color="auto" w:sz="4" w:space="0"/>
            </w:tcBorders>
            <w:shd w:val="clear" w:color="auto" w:fill="auto"/>
            <w:vAlign w:val="center"/>
          </w:tcPr>
          <w:p w14:paraId="5227322C">
            <w:pPr>
              <w:rPr>
                <w:highlight w:val="none"/>
              </w:rPr>
            </w:pPr>
          </w:p>
        </w:tc>
      </w:tr>
      <w:tr w14:paraId="3503C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76578A2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14</w:t>
            </w:r>
          </w:p>
        </w:tc>
        <w:tc>
          <w:tcPr>
            <w:tcW w:w="2376" w:type="dxa"/>
            <w:tcBorders>
              <w:left w:val="single" w:color="auto" w:sz="4" w:space="0"/>
            </w:tcBorders>
            <w:shd w:val="clear" w:color="auto" w:fill="auto"/>
            <w:noWrap/>
            <w:vAlign w:val="center"/>
          </w:tcPr>
          <w:p w14:paraId="041341C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潘岱街道</w:t>
            </w:r>
          </w:p>
        </w:tc>
        <w:tc>
          <w:tcPr>
            <w:tcW w:w="2486" w:type="dxa"/>
            <w:tcBorders>
              <w:left w:val="single" w:color="auto" w:sz="4" w:space="0"/>
            </w:tcBorders>
            <w:shd w:val="clear" w:color="auto" w:fill="auto"/>
            <w:vAlign w:val="center"/>
          </w:tcPr>
          <w:p w14:paraId="43383F2D">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60</w:t>
            </w:r>
          </w:p>
        </w:tc>
        <w:tc>
          <w:tcPr>
            <w:tcW w:w="2406" w:type="dxa"/>
            <w:vMerge w:val="continue"/>
            <w:tcBorders>
              <w:left w:val="single" w:color="auto" w:sz="4" w:space="0"/>
            </w:tcBorders>
            <w:shd w:val="clear" w:color="auto" w:fill="auto"/>
            <w:vAlign w:val="center"/>
          </w:tcPr>
          <w:p w14:paraId="5668EA0E">
            <w:pPr>
              <w:rPr>
                <w:highlight w:val="none"/>
              </w:rPr>
            </w:pPr>
          </w:p>
        </w:tc>
      </w:tr>
      <w:tr w14:paraId="687D3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497B8B0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15</w:t>
            </w:r>
          </w:p>
        </w:tc>
        <w:tc>
          <w:tcPr>
            <w:tcW w:w="2376" w:type="dxa"/>
            <w:tcBorders>
              <w:left w:val="single" w:color="auto" w:sz="4" w:space="0"/>
            </w:tcBorders>
            <w:shd w:val="clear" w:color="auto" w:fill="auto"/>
            <w:noWrap/>
            <w:vAlign w:val="center"/>
          </w:tcPr>
          <w:p w14:paraId="2EB523C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东山街道</w:t>
            </w:r>
          </w:p>
        </w:tc>
        <w:tc>
          <w:tcPr>
            <w:tcW w:w="2486" w:type="dxa"/>
            <w:tcBorders>
              <w:left w:val="single" w:color="auto" w:sz="4" w:space="0"/>
            </w:tcBorders>
            <w:shd w:val="clear" w:color="auto" w:fill="auto"/>
            <w:vAlign w:val="center"/>
          </w:tcPr>
          <w:p w14:paraId="43ADA380">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84</w:t>
            </w:r>
          </w:p>
        </w:tc>
        <w:tc>
          <w:tcPr>
            <w:tcW w:w="2406" w:type="dxa"/>
            <w:vMerge w:val="continue"/>
            <w:tcBorders>
              <w:left w:val="single" w:color="auto" w:sz="4" w:space="0"/>
            </w:tcBorders>
            <w:shd w:val="clear" w:color="auto" w:fill="auto"/>
            <w:vAlign w:val="center"/>
          </w:tcPr>
          <w:p w14:paraId="69EBB7E3">
            <w:pPr>
              <w:rPr>
                <w:highlight w:val="none"/>
              </w:rPr>
            </w:pPr>
          </w:p>
        </w:tc>
      </w:tr>
      <w:tr w14:paraId="53352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4919272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16</w:t>
            </w:r>
          </w:p>
        </w:tc>
        <w:tc>
          <w:tcPr>
            <w:tcW w:w="2376" w:type="dxa"/>
            <w:tcBorders>
              <w:left w:val="single" w:color="auto" w:sz="4" w:space="0"/>
            </w:tcBorders>
            <w:shd w:val="clear" w:color="auto" w:fill="auto"/>
            <w:noWrap/>
            <w:vAlign w:val="center"/>
          </w:tcPr>
          <w:p w14:paraId="7C05D26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北麂乡</w:t>
            </w:r>
          </w:p>
        </w:tc>
        <w:tc>
          <w:tcPr>
            <w:tcW w:w="2486" w:type="dxa"/>
            <w:tcBorders>
              <w:left w:val="single" w:color="auto" w:sz="4" w:space="0"/>
            </w:tcBorders>
            <w:shd w:val="clear" w:color="auto" w:fill="auto"/>
            <w:vAlign w:val="center"/>
          </w:tcPr>
          <w:p w14:paraId="10C7ED40">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48</w:t>
            </w:r>
          </w:p>
        </w:tc>
        <w:tc>
          <w:tcPr>
            <w:tcW w:w="2406" w:type="dxa"/>
            <w:vMerge w:val="continue"/>
            <w:tcBorders>
              <w:left w:val="single" w:color="auto" w:sz="4" w:space="0"/>
            </w:tcBorders>
            <w:shd w:val="clear" w:color="auto" w:fill="auto"/>
            <w:vAlign w:val="center"/>
          </w:tcPr>
          <w:p w14:paraId="2AA66438">
            <w:pPr>
              <w:rPr>
                <w:highlight w:val="none"/>
              </w:rPr>
            </w:pPr>
          </w:p>
        </w:tc>
      </w:tr>
      <w:tr w14:paraId="03867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52D6C21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17</w:t>
            </w:r>
          </w:p>
        </w:tc>
        <w:tc>
          <w:tcPr>
            <w:tcW w:w="2376" w:type="dxa"/>
            <w:tcBorders>
              <w:left w:val="single" w:color="auto" w:sz="4" w:space="0"/>
            </w:tcBorders>
            <w:shd w:val="clear" w:color="auto" w:fill="auto"/>
            <w:noWrap/>
            <w:vAlign w:val="center"/>
          </w:tcPr>
          <w:p w14:paraId="407358B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上望街道</w:t>
            </w:r>
          </w:p>
        </w:tc>
        <w:tc>
          <w:tcPr>
            <w:tcW w:w="2486" w:type="dxa"/>
            <w:tcBorders>
              <w:left w:val="single" w:color="auto" w:sz="4" w:space="0"/>
            </w:tcBorders>
            <w:shd w:val="clear" w:color="auto" w:fill="auto"/>
            <w:vAlign w:val="center"/>
          </w:tcPr>
          <w:p w14:paraId="708E7875">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216</w:t>
            </w:r>
          </w:p>
        </w:tc>
        <w:tc>
          <w:tcPr>
            <w:tcW w:w="2406" w:type="dxa"/>
            <w:vMerge w:val="continue"/>
            <w:tcBorders>
              <w:left w:val="single" w:color="auto" w:sz="4" w:space="0"/>
            </w:tcBorders>
            <w:shd w:val="clear" w:color="auto" w:fill="auto"/>
            <w:vAlign w:val="center"/>
          </w:tcPr>
          <w:p w14:paraId="07A1C902">
            <w:pPr>
              <w:rPr>
                <w:highlight w:val="none"/>
              </w:rPr>
            </w:pPr>
          </w:p>
        </w:tc>
      </w:tr>
      <w:tr w14:paraId="0CDE7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43297C4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18</w:t>
            </w:r>
          </w:p>
        </w:tc>
        <w:tc>
          <w:tcPr>
            <w:tcW w:w="2376" w:type="dxa"/>
            <w:tcBorders>
              <w:left w:val="single" w:color="auto" w:sz="4" w:space="0"/>
            </w:tcBorders>
            <w:shd w:val="clear" w:color="auto" w:fill="auto"/>
            <w:noWrap/>
            <w:vAlign w:val="center"/>
          </w:tcPr>
          <w:p w14:paraId="0032971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莘塍街道</w:t>
            </w:r>
          </w:p>
        </w:tc>
        <w:tc>
          <w:tcPr>
            <w:tcW w:w="2486" w:type="dxa"/>
            <w:tcBorders>
              <w:left w:val="single" w:color="auto" w:sz="4" w:space="0"/>
            </w:tcBorders>
            <w:shd w:val="clear" w:color="auto" w:fill="auto"/>
            <w:vAlign w:val="center"/>
          </w:tcPr>
          <w:p w14:paraId="03DCDE1B">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228</w:t>
            </w:r>
          </w:p>
        </w:tc>
        <w:tc>
          <w:tcPr>
            <w:tcW w:w="2406" w:type="dxa"/>
            <w:vMerge w:val="continue"/>
            <w:tcBorders>
              <w:left w:val="single" w:color="auto" w:sz="4" w:space="0"/>
            </w:tcBorders>
            <w:shd w:val="clear" w:color="auto" w:fill="auto"/>
            <w:vAlign w:val="center"/>
          </w:tcPr>
          <w:p w14:paraId="54958B8A">
            <w:pPr>
              <w:rPr>
                <w:highlight w:val="none"/>
              </w:rPr>
            </w:pPr>
          </w:p>
        </w:tc>
      </w:tr>
      <w:tr w14:paraId="3984B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1042" w:type="dxa"/>
            <w:shd w:val="clear" w:color="auto" w:fill="auto"/>
            <w:noWrap/>
            <w:vAlign w:val="center"/>
          </w:tcPr>
          <w:p w14:paraId="3EC9335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19</w:t>
            </w:r>
          </w:p>
        </w:tc>
        <w:tc>
          <w:tcPr>
            <w:tcW w:w="2376" w:type="dxa"/>
            <w:tcBorders>
              <w:left w:val="single" w:color="auto" w:sz="4" w:space="0"/>
            </w:tcBorders>
            <w:shd w:val="clear" w:color="auto" w:fill="auto"/>
            <w:noWrap/>
            <w:vAlign w:val="center"/>
          </w:tcPr>
          <w:p w14:paraId="2D06BDA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汀田街道</w:t>
            </w:r>
          </w:p>
        </w:tc>
        <w:tc>
          <w:tcPr>
            <w:tcW w:w="2486" w:type="dxa"/>
            <w:tcBorders>
              <w:left w:val="single" w:color="auto" w:sz="4" w:space="0"/>
            </w:tcBorders>
            <w:shd w:val="clear" w:color="auto" w:fill="auto"/>
            <w:vAlign w:val="center"/>
          </w:tcPr>
          <w:p w14:paraId="056E3F49">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300</w:t>
            </w:r>
          </w:p>
        </w:tc>
        <w:tc>
          <w:tcPr>
            <w:tcW w:w="2406" w:type="dxa"/>
            <w:vMerge w:val="continue"/>
            <w:tcBorders>
              <w:left w:val="single" w:color="auto" w:sz="4" w:space="0"/>
            </w:tcBorders>
            <w:shd w:val="clear" w:color="auto" w:fill="auto"/>
            <w:vAlign w:val="center"/>
          </w:tcPr>
          <w:p w14:paraId="168AC4E0">
            <w:pPr>
              <w:rPr>
                <w:highlight w:val="none"/>
              </w:rPr>
            </w:pPr>
          </w:p>
        </w:tc>
      </w:tr>
      <w:tr w14:paraId="24996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00FAEAB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20</w:t>
            </w:r>
          </w:p>
        </w:tc>
        <w:tc>
          <w:tcPr>
            <w:tcW w:w="2376" w:type="dxa"/>
            <w:tcBorders>
              <w:left w:val="single" w:color="auto" w:sz="4" w:space="0"/>
            </w:tcBorders>
            <w:shd w:val="clear" w:color="auto" w:fill="auto"/>
            <w:noWrap/>
            <w:vAlign w:val="center"/>
          </w:tcPr>
          <w:p w14:paraId="516AFFD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飞云街道</w:t>
            </w:r>
          </w:p>
        </w:tc>
        <w:tc>
          <w:tcPr>
            <w:tcW w:w="2486" w:type="dxa"/>
            <w:tcBorders>
              <w:left w:val="single" w:color="auto" w:sz="4" w:space="0"/>
            </w:tcBorders>
            <w:shd w:val="clear" w:color="auto" w:fill="auto"/>
            <w:vAlign w:val="center"/>
          </w:tcPr>
          <w:p w14:paraId="42EE6ED5">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228</w:t>
            </w:r>
          </w:p>
        </w:tc>
        <w:tc>
          <w:tcPr>
            <w:tcW w:w="2406" w:type="dxa"/>
            <w:vMerge w:val="continue"/>
            <w:tcBorders>
              <w:left w:val="single" w:color="auto" w:sz="4" w:space="0"/>
            </w:tcBorders>
            <w:shd w:val="clear" w:color="auto" w:fill="auto"/>
            <w:vAlign w:val="center"/>
          </w:tcPr>
          <w:p w14:paraId="7C34114C">
            <w:pPr>
              <w:rPr>
                <w:highlight w:val="none"/>
              </w:rPr>
            </w:pPr>
          </w:p>
        </w:tc>
      </w:tr>
      <w:tr w14:paraId="51010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3D9C476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21</w:t>
            </w:r>
          </w:p>
        </w:tc>
        <w:tc>
          <w:tcPr>
            <w:tcW w:w="2376" w:type="dxa"/>
            <w:tcBorders>
              <w:left w:val="single" w:color="auto" w:sz="4" w:space="0"/>
            </w:tcBorders>
            <w:shd w:val="clear" w:color="auto" w:fill="auto"/>
            <w:noWrap/>
            <w:vAlign w:val="center"/>
          </w:tcPr>
          <w:p w14:paraId="0EE3BED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云周街道</w:t>
            </w:r>
          </w:p>
        </w:tc>
        <w:tc>
          <w:tcPr>
            <w:tcW w:w="2486" w:type="dxa"/>
            <w:tcBorders>
              <w:left w:val="single" w:color="auto" w:sz="4" w:space="0"/>
            </w:tcBorders>
            <w:shd w:val="clear" w:color="auto" w:fill="auto"/>
            <w:vAlign w:val="center"/>
          </w:tcPr>
          <w:p w14:paraId="2F47CA01">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156</w:t>
            </w:r>
          </w:p>
        </w:tc>
        <w:tc>
          <w:tcPr>
            <w:tcW w:w="2406" w:type="dxa"/>
            <w:vMerge w:val="continue"/>
            <w:tcBorders>
              <w:left w:val="single" w:color="auto" w:sz="4" w:space="0"/>
            </w:tcBorders>
            <w:shd w:val="clear" w:color="auto" w:fill="auto"/>
            <w:vAlign w:val="center"/>
          </w:tcPr>
          <w:p w14:paraId="6512950A">
            <w:pPr>
              <w:rPr>
                <w:highlight w:val="none"/>
              </w:rPr>
            </w:pPr>
          </w:p>
        </w:tc>
      </w:tr>
      <w:tr w14:paraId="36C35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3F2D6A8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22</w:t>
            </w:r>
          </w:p>
        </w:tc>
        <w:tc>
          <w:tcPr>
            <w:tcW w:w="2376" w:type="dxa"/>
            <w:tcBorders>
              <w:left w:val="single" w:color="auto" w:sz="4" w:space="0"/>
            </w:tcBorders>
            <w:shd w:val="clear" w:color="auto" w:fill="auto"/>
            <w:noWrap/>
            <w:vAlign w:val="center"/>
          </w:tcPr>
          <w:p w14:paraId="5D3208A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仙降街道</w:t>
            </w:r>
          </w:p>
        </w:tc>
        <w:tc>
          <w:tcPr>
            <w:tcW w:w="2486" w:type="dxa"/>
            <w:tcBorders>
              <w:left w:val="single" w:color="auto" w:sz="4" w:space="0"/>
            </w:tcBorders>
            <w:shd w:val="clear" w:color="auto" w:fill="auto"/>
            <w:vAlign w:val="center"/>
          </w:tcPr>
          <w:p w14:paraId="37B7BF84">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288</w:t>
            </w:r>
          </w:p>
        </w:tc>
        <w:tc>
          <w:tcPr>
            <w:tcW w:w="2406" w:type="dxa"/>
            <w:vMerge w:val="continue"/>
            <w:tcBorders>
              <w:left w:val="single" w:color="auto" w:sz="4" w:space="0"/>
            </w:tcBorders>
            <w:shd w:val="clear" w:color="auto" w:fill="auto"/>
            <w:vAlign w:val="center"/>
          </w:tcPr>
          <w:p w14:paraId="38C4888B">
            <w:pPr>
              <w:rPr>
                <w:highlight w:val="none"/>
              </w:rPr>
            </w:pPr>
          </w:p>
        </w:tc>
      </w:tr>
      <w:tr w14:paraId="2B97D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trPr>
        <w:tc>
          <w:tcPr>
            <w:tcW w:w="1042" w:type="dxa"/>
            <w:shd w:val="clear" w:color="auto" w:fill="auto"/>
            <w:noWrap/>
            <w:vAlign w:val="center"/>
          </w:tcPr>
          <w:p w14:paraId="09EF237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23</w:t>
            </w:r>
          </w:p>
        </w:tc>
        <w:tc>
          <w:tcPr>
            <w:tcW w:w="2376" w:type="dxa"/>
            <w:tcBorders>
              <w:left w:val="single" w:color="auto" w:sz="4" w:space="0"/>
            </w:tcBorders>
            <w:shd w:val="clear" w:color="auto" w:fill="auto"/>
            <w:noWrap/>
            <w:vAlign w:val="center"/>
          </w:tcPr>
          <w:p w14:paraId="00DA656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南滨街道</w:t>
            </w:r>
          </w:p>
        </w:tc>
        <w:tc>
          <w:tcPr>
            <w:tcW w:w="2486" w:type="dxa"/>
            <w:tcBorders>
              <w:left w:val="single" w:color="auto" w:sz="4" w:space="0"/>
            </w:tcBorders>
            <w:shd w:val="clear" w:color="auto" w:fill="auto"/>
            <w:vAlign w:val="center"/>
          </w:tcPr>
          <w:p w14:paraId="3DAF3577">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204</w:t>
            </w:r>
          </w:p>
        </w:tc>
        <w:tc>
          <w:tcPr>
            <w:tcW w:w="2406" w:type="dxa"/>
            <w:vMerge w:val="continue"/>
            <w:tcBorders>
              <w:left w:val="single" w:color="auto" w:sz="4" w:space="0"/>
            </w:tcBorders>
            <w:shd w:val="clear" w:color="auto" w:fill="auto"/>
            <w:vAlign w:val="center"/>
          </w:tcPr>
          <w:p w14:paraId="0DF7748E">
            <w:pPr>
              <w:rPr>
                <w:highlight w:val="none"/>
              </w:rPr>
            </w:pPr>
          </w:p>
        </w:tc>
      </w:tr>
      <w:tr w14:paraId="16FFF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3418" w:type="dxa"/>
            <w:gridSpan w:val="2"/>
            <w:shd w:val="clear" w:color="auto" w:fill="auto"/>
            <w:noWrap/>
            <w:vAlign w:val="center"/>
          </w:tcPr>
          <w:p w14:paraId="687232F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rPr>
              <w:t>合计</w:t>
            </w:r>
          </w:p>
        </w:tc>
        <w:tc>
          <w:tcPr>
            <w:tcW w:w="2486" w:type="dxa"/>
            <w:tcBorders>
              <w:left w:val="single" w:color="auto" w:sz="4" w:space="0"/>
            </w:tcBorders>
            <w:shd w:val="clear" w:color="auto" w:fill="auto"/>
            <w:vAlign w:val="center"/>
          </w:tcPr>
          <w:p w14:paraId="1B4361C4">
            <w:pPr>
              <w:jc w:val="center"/>
              <w:rPr>
                <w:rFonts w:hint="eastAsia" w:ascii="宋体" w:hAnsi="宋体" w:eastAsia="宋体" w:cs="宋体"/>
                <w:i w:val="0"/>
                <w:iCs w:val="0"/>
                <w:color w:val="000000"/>
                <w:sz w:val="21"/>
                <w:szCs w:val="21"/>
                <w:highlight w:val="none"/>
                <w:u w:val="none"/>
              </w:rPr>
            </w:pPr>
            <w:r>
              <w:rPr>
                <w:rFonts w:ascii="宋体" w:eastAsia="宋体" w:cs="Arial"/>
                <w:color w:val="000000"/>
                <w:sz w:val="21"/>
                <w:highlight w:val="none"/>
              </w:rPr>
              <w:t>6168</w:t>
            </w:r>
          </w:p>
        </w:tc>
        <w:tc>
          <w:tcPr>
            <w:tcW w:w="2406" w:type="dxa"/>
            <w:vMerge w:val="continue"/>
            <w:tcBorders>
              <w:left w:val="single" w:color="auto" w:sz="4" w:space="0"/>
            </w:tcBorders>
            <w:shd w:val="clear" w:color="auto" w:fill="auto"/>
            <w:vAlign w:val="center"/>
          </w:tcPr>
          <w:p w14:paraId="09730CA4">
            <w:pPr>
              <w:rPr>
                <w:highlight w:val="none"/>
              </w:rPr>
            </w:pPr>
          </w:p>
        </w:tc>
      </w:tr>
    </w:tbl>
    <w:p w14:paraId="38480C72">
      <w:pPr>
        <w:rPr>
          <w:highlight w:val="none"/>
        </w:rPr>
      </w:pPr>
    </w:p>
    <w:bookmarkEnd w:id="334"/>
    <w:bookmarkEnd w:id="335"/>
    <w:bookmarkEnd w:id="336"/>
    <w:bookmarkEnd w:id="337"/>
    <w:p w14:paraId="57069007">
      <w:pPr>
        <w:spacing w:line="360" w:lineRule="auto"/>
        <w:ind w:firstLine="420" w:firstLineChars="200"/>
        <w:rPr>
          <w:rFonts w:hint="eastAsia" w:ascii="宋体" w:hAnsi="宋体" w:eastAsia="宋体" w:cs="宋体"/>
          <w:highlight w:val="none"/>
          <w:u w:val="none"/>
          <w:lang w:eastAsia="zh-CN"/>
        </w:rPr>
      </w:pPr>
    </w:p>
    <w:p w14:paraId="46FA36DF">
      <w:pPr>
        <w:bidi w:val="0"/>
        <w:spacing w:line="360" w:lineRule="auto"/>
        <w:rPr>
          <w:highlight w:val="none"/>
        </w:rPr>
      </w:pPr>
    </w:p>
    <w:p w14:paraId="098C83AF">
      <w:pPr>
        <w:pStyle w:val="7"/>
        <w:keepNext w:val="0"/>
        <w:keepLines w:val="0"/>
        <w:pageBreakBefore/>
        <w:spacing w:before="312" w:beforeLines="100" w:after="312" w:afterLines="100" w:line="360" w:lineRule="auto"/>
        <w:jc w:val="center"/>
        <w:rPr>
          <w:rFonts w:hAnsi="宋体" w:cs="宋体"/>
          <w:b w:val="0"/>
          <w:sz w:val="28"/>
          <w:szCs w:val="36"/>
          <w:highlight w:val="none"/>
        </w:rPr>
      </w:pPr>
      <w:bookmarkStart w:id="341" w:name="_Toc5321"/>
      <w:r>
        <w:rPr>
          <w:rFonts w:hAnsi="宋体" w:cs="宋体"/>
          <w:sz w:val="28"/>
          <w:szCs w:val="36"/>
          <w:highlight w:val="none"/>
        </w:rPr>
        <w:t>第四部分   合同条款</w:t>
      </w:r>
      <w:bookmarkEnd w:id="341"/>
    </w:p>
    <w:p w14:paraId="46A2AE40">
      <w:pPr>
        <w:pStyle w:val="3"/>
        <w:snapToGrid w:val="0"/>
        <w:spacing w:line="360" w:lineRule="auto"/>
        <w:ind w:left="210" w:leftChars="100"/>
        <w:rPr>
          <w:rFonts w:hAnsi="宋体"/>
          <w:szCs w:val="21"/>
          <w:highlight w:val="none"/>
        </w:rPr>
      </w:pPr>
      <w:r>
        <w:rPr>
          <w:rFonts w:hint="eastAsia" w:hAnsi="宋体"/>
          <w:szCs w:val="21"/>
          <w:highlight w:val="none"/>
        </w:rPr>
        <w:t xml:space="preserve">采购人： </w:t>
      </w:r>
    </w:p>
    <w:p w14:paraId="41BA50B4">
      <w:pPr>
        <w:pStyle w:val="3"/>
        <w:snapToGrid w:val="0"/>
        <w:spacing w:line="360" w:lineRule="auto"/>
        <w:ind w:left="210" w:leftChars="100"/>
        <w:rPr>
          <w:rFonts w:hAnsi="宋体"/>
          <w:szCs w:val="21"/>
          <w:highlight w:val="none"/>
        </w:rPr>
      </w:pPr>
      <w:r>
        <w:rPr>
          <w:rFonts w:hint="eastAsia" w:hAnsi="宋体"/>
          <w:szCs w:val="21"/>
          <w:highlight w:val="none"/>
        </w:rPr>
        <w:t xml:space="preserve">成交供应商： </w:t>
      </w:r>
    </w:p>
    <w:p w14:paraId="62175EBE">
      <w:pPr>
        <w:pStyle w:val="3"/>
        <w:snapToGrid w:val="0"/>
        <w:spacing w:line="360" w:lineRule="auto"/>
        <w:ind w:left="210" w:leftChars="100" w:firstLine="570"/>
        <w:rPr>
          <w:rFonts w:hAnsi="宋体"/>
          <w:szCs w:val="21"/>
          <w:highlight w:val="none"/>
        </w:rPr>
      </w:pPr>
      <w:r>
        <w:rPr>
          <w:rFonts w:hint="eastAsia" w:hAnsi="宋体"/>
          <w:szCs w:val="21"/>
          <w:highlight w:val="none"/>
        </w:rPr>
        <w:t>双方经协商，就成交供应商向采购人提供</w:t>
      </w:r>
      <w:r>
        <w:rPr>
          <w:rFonts w:hint="eastAsia" w:hAnsi="宋体"/>
          <w:szCs w:val="21"/>
          <w:highlight w:val="none"/>
          <w:lang w:eastAsia="zh-CN"/>
        </w:rPr>
        <w:t>瑞安市2025年度农村公益电影放映</w:t>
      </w:r>
      <w:r>
        <w:rPr>
          <w:rFonts w:hint="eastAsia" w:hAnsi="宋体"/>
          <w:szCs w:val="21"/>
          <w:highlight w:val="none"/>
        </w:rPr>
        <w:t>服务事宜达成以下条款：</w:t>
      </w:r>
    </w:p>
    <w:p w14:paraId="3CEA2A4A">
      <w:pPr>
        <w:snapToGrid w:val="0"/>
        <w:spacing w:line="360" w:lineRule="auto"/>
        <w:ind w:left="210" w:leftChars="100"/>
        <w:rPr>
          <w:rFonts w:ascii="宋体" w:hAnsi="宋体"/>
          <w:szCs w:val="21"/>
          <w:highlight w:val="none"/>
        </w:rPr>
      </w:pPr>
      <w:r>
        <w:rPr>
          <w:rFonts w:hint="eastAsia" w:ascii="宋体" w:hAnsi="宋体"/>
          <w:b/>
          <w:bCs/>
          <w:szCs w:val="21"/>
          <w:highlight w:val="none"/>
        </w:rPr>
        <w:t>第一条：内容和承包期限</w:t>
      </w:r>
    </w:p>
    <w:p w14:paraId="62B113BA">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lang w:eastAsia="zh-CN"/>
        </w:rPr>
        <w:t>瑞安市2025年度农村公益电影放映</w:t>
      </w:r>
      <w:r>
        <w:rPr>
          <w:rFonts w:hint="eastAsia" w:ascii="宋体" w:hAnsi="宋体"/>
          <w:szCs w:val="21"/>
          <w:highlight w:val="none"/>
        </w:rPr>
        <w:t>，</w:t>
      </w:r>
      <w:r>
        <w:rPr>
          <w:rFonts w:hint="eastAsia" w:ascii="宋体" w:hAnsi="宋体" w:cs="Arial"/>
          <w:szCs w:val="21"/>
          <w:highlight w:val="none"/>
        </w:rPr>
        <w:t>合同期限自</w:t>
      </w:r>
      <w:r>
        <w:rPr>
          <w:rFonts w:ascii="宋体" w:hAnsi="宋体" w:cs="Arial"/>
          <w:szCs w:val="21"/>
          <w:highlight w:val="none"/>
          <w:u w:val="single"/>
        </w:rPr>
        <w:t xml:space="preserve">      </w:t>
      </w:r>
      <w:r>
        <w:rPr>
          <w:rFonts w:ascii="宋体" w:hAnsi="宋体" w:cs="Arial"/>
          <w:szCs w:val="21"/>
          <w:highlight w:val="none"/>
        </w:rPr>
        <w:t>年</w:t>
      </w:r>
      <w:r>
        <w:rPr>
          <w:rFonts w:ascii="宋体" w:hAnsi="宋体" w:cs="Arial"/>
          <w:szCs w:val="21"/>
          <w:highlight w:val="none"/>
          <w:u w:val="single"/>
        </w:rPr>
        <w:t xml:space="preserve">    </w:t>
      </w:r>
      <w:r>
        <w:rPr>
          <w:rFonts w:ascii="宋体" w:hAnsi="宋体" w:cs="Arial"/>
          <w:szCs w:val="21"/>
          <w:highlight w:val="none"/>
        </w:rPr>
        <w:t>月</w:t>
      </w:r>
      <w:r>
        <w:rPr>
          <w:rFonts w:ascii="宋体" w:hAnsi="宋体" w:cs="Arial"/>
          <w:szCs w:val="21"/>
          <w:highlight w:val="none"/>
          <w:u w:val="single"/>
        </w:rPr>
        <w:t xml:space="preserve">    </w:t>
      </w:r>
      <w:r>
        <w:rPr>
          <w:rFonts w:ascii="宋体" w:hAnsi="宋体" w:cs="Arial"/>
          <w:szCs w:val="21"/>
          <w:highlight w:val="none"/>
        </w:rPr>
        <w:t>日起至</w:t>
      </w:r>
      <w:r>
        <w:rPr>
          <w:rFonts w:ascii="宋体" w:hAnsi="宋体" w:cs="Arial"/>
          <w:szCs w:val="21"/>
          <w:highlight w:val="none"/>
          <w:u w:val="single"/>
        </w:rPr>
        <w:t xml:space="preserve">      </w:t>
      </w:r>
      <w:r>
        <w:rPr>
          <w:rFonts w:ascii="宋体" w:hAnsi="宋体" w:cs="Arial"/>
          <w:szCs w:val="21"/>
          <w:highlight w:val="none"/>
        </w:rPr>
        <w:t>年</w:t>
      </w:r>
      <w:r>
        <w:rPr>
          <w:rFonts w:ascii="宋体" w:hAnsi="宋体" w:cs="Arial"/>
          <w:szCs w:val="21"/>
          <w:highlight w:val="none"/>
          <w:u w:val="single"/>
        </w:rPr>
        <w:t xml:space="preserve">    </w:t>
      </w:r>
      <w:r>
        <w:rPr>
          <w:rFonts w:ascii="宋体" w:hAnsi="宋体" w:cs="Arial"/>
          <w:szCs w:val="21"/>
          <w:highlight w:val="none"/>
        </w:rPr>
        <w:t>月</w:t>
      </w:r>
      <w:r>
        <w:rPr>
          <w:rFonts w:ascii="宋体" w:hAnsi="宋体" w:cs="Arial"/>
          <w:szCs w:val="21"/>
          <w:highlight w:val="none"/>
          <w:u w:val="single"/>
        </w:rPr>
        <w:t xml:space="preserve">     </w:t>
      </w:r>
      <w:r>
        <w:rPr>
          <w:rFonts w:ascii="宋体" w:hAnsi="宋体" w:cs="Arial"/>
          <w:szCs w:val="21"/>
          <w:highlight w:val="none"/>
        </w:rPr>
        <w:t>日止</w:t>
      </w:r>
      <w:r>
        <w:rPr>
          <w:rFonts w:hint="eastAsia" w:ascii="宋体" w:hAnsi="宋体"/>
          <w:szCs w:val="21"/>
          <w:highlight w:val="none"/>
        </w:rPr>
        <w:t>。</w:t>
      </w:r>
    </w:p>
    <w:p w14:paraId="52D691BD">
      <w:pPr>
        <w:snapToGrid w:val="0"/>
        <w:spacing w:line="360" w:lineRule="auto"/>
        <w:ind w:left="210" w:leftChars="100"/>
        <w:rPr>
          <w:rFonts w:ascii="宋体" w:hAnsi="宋体"/>
          <w:szCs w:val="21"/>
          <w:highlight w:val="none"/>
        </w:rPr>
      </w:pPr>
      <w:r>
        <w:rPr>
          <w:rFonts w:hint="eastAsia" w:ascii="宋体" w:hAnsi="宋体"/>
          <w:b/>
          <w:bCs/>
          <w:szCs w:val="21"/>
          <w:highlight w:val="none"/>
        </w:rPr>
        <w:t>第二条：合同价</w:t>
      </w:r>
    </w:p>
    <w:p w14:paraId="172D803A">
      <w:pPr>
        <w:pStyle w:val="45"/>
        <w:spacing w:line="360" w:lineRule="auto"/>
        <w:ind w:left="210" w:leftChars="100" w:firstLine="420" w:firstLineChars="0"/>
        <w:rPr>
          <w:rFonts w:ascii="Arial" w:hAnsi="Arial" w:eastAsia="新宋体" w:cs="Arial"/>
          <w:highlight w:val="none"/>
        </w:rPr>
      </w:pPr>
      <w:r>
        <w:rPr>
          <w:rFonts w:ascii="Arial" w:hAnsi="新宋体" w:eastAsia="新宋体" w:cs="Arial"/>
          <w:highlight w:val="none"/>
        </w:rPr>
        <w:t>本项目</w:t>
      </w:r>
      <w:r>
        <w:rPr>
          <w:rFonts w:hint="eastAsia" w:ascii="Arial" w:hAnsi="新宋体" w:eastAsia="新宋体" w:cs="Arial"/>
          <w:highlight w:val="none"/>
        </w:rPr>
        <w:t>合同</w:t>
      </w:r>
      <w:r>
        <w:rPr>
          <w:rFonts w:hint="eastAsia" w:hAnsi="宋体"/>
          <w:highlight w:val="none"/>
        </w:rPr>
        <w:t>单价为</w:t>
      </w:r>
      <w:r>
        <w:rPr>
          <w:rFonts w:hint="eastAsia" w:ascii="Arial" w:hAnsi="新宋体" w:eastAsia="新宋体" w:cs="Arial"/>
          <w:highlight w:val="none"/>
        </w:rPr>
        <w:t>人民币</w:t>
      </w:r>
      <w:r>
        <w:rPr>
          <w:rFonts w:hint="eastAsia" w:hAnsi="宋体"/>
          <w:highlight w:val="none"/>
          <w:u w:val="single"/>
        </w:rPr>
        <w:t xml:space="preserve">           </w:t>
      </w:r>
      <w:r>
        <w:rPr>
          <w:rFonts w:hint="eastAsia" w:hAnsi="宋体"/>
          <w:highlight w:val="none"/>
        </w:rPr>
        <w:t>元/场，根据上级任务要求执行，结算时最终根据实际放映场次乘以单价进行计算。</w:t>
      </w:r>
    </w:p>
    <w:p w14:paraId="2B5C4FCE">
      <w:pPr>
        <w:snapToGrid w:val="0"/>
        <w:spacing w:line="360" w:lineRule="auto"/>
        <w:ind w:left="210" w:leftChars="100"/>
        <w:rPr>
          <w:rFonts w:ascii="宋体" w:hAnsi="宋体"/>
          <w:szCs w:val="21"/>
          <w:highlight w:val="none"/>
        </w:rPr>
      </w:pPr>
      <w:r>
        <w:rPr>
          <w:rFonts w:hint="eastAsia" w:ascii="宋体" w:hAnsi="宋体"/>
          <w:b/>
          <w:bCs/>
          <w:szCs w:val="21"/>
          <w:highlight w:val="none"/>
        </w:rPr>
        <w:t>第三条：采购人责任条款</w:t>
      </w:r>
    </w:p>
    <w:p w14:paraId="4024D4C3">
      <w:pPr>
        <w:snapToGrid w:val="0"/>
        <w:spacing w:line="360" w:lineRule="auto"/>
        <w:ind w:left="210" w:leftChars="100" w:firstLine="420" w:firstLineChars="200"/>
        <w:rPr>
          <w:rFonts w:ascii="宋体" w:hAnsi="宋体"/>
          <w:szCs w:val="21"/>
          <w:highlight w:val="none"/>
        </w:rPr>
      </w:pPr>
      <w:r>
        <w:rPr>
          <w:rFonts w:hint="eastAsia" w:ascii="宋体" w:hAnsi="宋体"/>
          <w:szCs w:val="21"/>
          <w:highlight w:val="none"/>
        </w:rPr>
        <w:t>1、提供考核办法。</w:t>
      </w:r>
    </w:p>
    <w:p w14:paraId="75AE1B83">
      <w:pPr>
        <w:snapToGrid w:val="0"/>
        <w:spacing w:line="360" w:lineRule="auto"/>
        <w:ind w:left="210" w:leftChars="100" w:firstLine="420" w:firstLineChars="200"/>
        <w:rPr>
          <w:rFonts w:ascii="宋体" w:hAnsi="宋体"/>
          <w:szCs w:val="21"/>
          <w:highlight w:val="none"/>
        </w:rPr>
      </w:pPr>
      <w:r>
        <w:rPr>
          <w:rFonts w:hint="eastAsia" w:ascii="宋体" w:hAnsi="宋体"/>
          <w:szCs w:val="21"/>
          <w:highlight w:val="none"/>
        </w:rPr>
        <w:t>2、组织对供应商提供服务的考核。</w:t>
      </w:r>
    </w:p>
    <w:p w14:paraId="1CAE518F">
      <w:pPr>
        <w:snapToGrid w:val="0"/>
        <w:spacing w:line="360" w:lineRule="auto"/>
        <w:ind w:left="210" w:leftChars="100" w:firstLine="420" w:firstLineChars="200"/>
        <w:rPr>
          <w:rFonts w:ascii="宋体" w:hAnsi="宋体"/>
          <w:szCs w:val="21"/>
          <w:highlight w:val="none"/>
        </w:rPr>
      </w:pPr>
      <w:r>
        <w:rPr>
          <w:rFonts w:hint="eastAsia" w:ascii="宋体" w:hAnsi="宋体"/>
          <w:szCs w:val="21"/>
          <w:highlight w:val="none"/>
        </w:rPr>
        <w:t>3、按合同约定支付合同款项。</w:t>
      </w:r>
    </w:p>
    <w:p w14:paraId="24CB59A4">
      <w:pPr>
        <w:snapToGrid w:val="0"/>
        <w:spacing w:line="360" w:lineRule="auto"/>
        <w:ind w:left="210" w:leftChars="100" w:firstLine="420" w:firstLineChars="200"/>
        <w:rPr>
          <w:rFonts w:ascii="宋体" w:hAnsi="宋体"/>
          <w:szCs w:val="21"/>
          <w:highlight w:val="none"/>
        </w:rPr>
      </w:pPr>
      <w:r>
        <w:rPr>
          <w:rFonts w:hint="eastAsia" w:ascii="宋体" w:hAnsi="宋体"/>
          <w:szCs w:val="21"/>
          <w:highlight w:val="none"/>
        </w:rPr>
        <w:t>4、如遇突发事件，协调供应商在实施过程中与其他部门的关系。</w:t>
      </w:r>
    </w:p>
    <w:p w14:paraId="19D8A68B">
      <w:pPr>
        <w:snapToGrid w:val="0"/>
        <w:spacing w:line="360" w:lineRule="auto"/>
        <w:ind w:left="210" w:leftChars="100"/>
        <w:rPr>
          <w:rFonts w:ascii="宋体" w:hAnsi="宋体"/>
          <w:szCs w:val="21"/>
          <w:highlight w:val="none"/>
        </w:rPr>
      </w:pPr>
      <w:r>
        <w:rPr>
          <w:rFonts w:hint="eastAsia" w:ascii="宋体" w:hAnsi="宋体"/>
          <w:b/>
          <w:bCs/>
          <w:szCs w:val="21"/>
          <w:highlight w:val="none"/>
        </w:rPr>
        <w:t>第四条：成交供应商责任条款</w:t>
      </w:r>
    </w:p>
    <w:p w14:paraId="1BA1AC68">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1、按磋商文件、磋商响应文件、考核办法及有关要求提供服务。</w:t>
      </w:r>
    </w:p>
    <w:p w14:paraId="27E306C7">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2、遇到突发事件或自然灾害，必须服从采购人指挥与安排。协助采购人调查、处理有关投诉，并根据采购人要求及时处理。</w:t>
      </w:r>
    </w:p>
    <w:p w14:paraId="6CE7E197">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3、</w:t>
      </w:r>
      <w:r>
        <w:rPr>
          <w:rFonts w:ascii="宋体" w:hAnsi="宋体"/>
          <w:szCs w:val="21"/>
          <w:highlight w:val="none"/>
        </w:rPr>
        <w:t>完成</w:t>
      </w:r>
      <w:r>
        <w:rPr>
          <w:rFonts w:hint="eastAsia" w:ascii="宋体" w:hAnsi="宋体"/>
          <w:szCs w:val="21"/>
          <w:highlight w:val="none"/>
        </w:rPr>
        <w:t>采购人</w:t>
      </w:r>
      <w:r>
        <w:rPr>
          <w:rFonts w:ascii="宋体" w:hAnsi="宋体"/>
          <w:szCs w:val="21"/>
          <w:highlight w:val="none"/>
        </w:rPr>
        <w:t>交办的</w:t>
      </w:r>
      <w:r>
        <w:rPr>
          <w:rFonts w:hint="eastAsia" w:ascii="宋体" w:hAnsi="宋体"/>
          <w:szCs w:val="21"/>
          <w:highlight w:val="none"/>
        </w:rPr>
        <w:t>任务或其他的</w:t>
      </w:r>
      <w:r>
        <w:rPr>
          <w:rFonts w:ascii="宋体" w:hAnsi="宋体"/>
          <w:szCs w:val="21"/>
          <w:highlight w:val="none"/>
        </w:rPr>
        <w:t>突击性任务。</w:t>
      </w:r>
    </w:p>
    <w:p w14:paraId="63CA048F">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4、</w:t>
      </w:r>
      <w:r>
        <w:rPr>
          <w:rFonts w:ascii="宋体" w:hAnsi="宋体"/>
          <w:szCs w:val="21"/>
          <w:highlight w:val="none"/>
        </w:rPr>
        <w:t>必须加强安全工作，发生任何事故，均由</w:t>
      </w:r>
      <w:r>
        <w:rPr>
          <w:rFonts w:hint="eastAsia" w:ascii="宋体" w:hAnsi="宋体"/>
          <w:szCs w:val="21"/>
          <w:highlight w:val="none"/>
        </w:rPr>
        <w:t>成交供应商</w:t>
      </w:r>
      <w:r>
        <w:rPr>
          <w:rFonts w:ascii="宋体" w:hAnsi="宋体"/>
          <w:szCs w:val="21"/>
          <w:highlight w:val="none"/>
        </w:rPr>
        <w:t>负责处理。</w:t>
      </w:r>
    </w:p>
    <w:p w14:paraId="37E8F19F">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5、</w:t>
      </w:r>
      <w:r>
        <w:rPr>
          <w:rFonts w:ascii="宋体" w:hAnsi="宋体"/>
          <w:szCs w:val="21"/>
          <w:highlight w:val="none"/>
        </w:rPr>
        <w:t>加强管理，确保人员工资待遇的落实情况。</w:t>
      </w:r>
    </w:p>
    <w:p w14:paraId="206E2B7A">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6、根据上级主管部门的要求做好“浙影通”平台的贯通和点播工作，协助采购人完成年度相关考核任务，确保在温州各县（市、区）此项考核排名前列。</w:t>
      </w:r>
    </w:p>
    <w:p w14:paraId="02D3C1E1">
      <w:pPr>
        <w:snapToGrid w:val="0"/>
        <w:spacing w:line="360" w:lineRule="auto"/>
        <w:ind w:left="210" w:leftChars="100"/>
        <w:rPr>
          <w:rFonts w:ascii="宋体" w:hAnsi="宋体"/>
          <w:b/>
          <w:bCs/>
          <w:szCs w:val="21"/>
          <w:highlight w:val="none"/>
        </w:rPr>
      </w:pPr>
      <w:r>
        <w:rPr>
          <w:rFonts w:hint="eastAsia" w:ascii="宋体" w:hAnsi="宋体"/>
          <w:b/>
          <w:bCs/>
          <w:szCs w:val="21"/>
          <w:highlight w:val="none"/>
        </w:rPr>
        <w:t>第五条：履约保证金</w:t>
      </w:r>
    </w:p>
    <w:p w14:paraId="4147E53D">
      <w:pPr>
        <w:snapToGrid w:val="0"/>
        <w:spacing w:line="360" w:lineRule="auto"/>
        <w:ind w:left="210" w:leftChars="100" w:firstLine="315" w:firstLineChars="150"/>
        <w:rPr>
          <w:rFonts w:hint="eastAsia" w:ascii="宋体" w:hAnsi="宋体"/>
          <w:szCs w:val="21"/>
          <w:highlight w:val="none"/>
        </w:rPr>
      </w:pPr>
      <w:r>
        <w:rPr>
          <w:rFonts w:hint="eastAsia" w:ascii="宋体" w:hAnsi="宋体"/>
          <w:szCs w:val="21"/>
          <w:highlight w:val="none"/>
        </w:rPr>
        <w:t>合同签订后5个工作日内，成交供应商以银行转账/转帐支票/银行汇票/银行、保险公司出具的保函形式向采购人提供合同价款1%的履约担保。</w:t>
      </w:r>
    </w:p>
    <w:p w14:paraId="02C03160">
      <w:pPr>
        <w:snapToGrid w:val="0"/>
        <w:spacing w:line="360" w:lineRule="auto"/>
        <w:ind w:left="210" w:leftChars="100" w:firstLine="315" w:firstLineChars="150"/>
        <w:rPr>
          <w:rFonts w:hint="eastAsia" w:ascii="宋体" w:hAnsi="宋体"/>
          <w:szCs w:val="21"/>
          <w:highlight w:val="none"/>
        </w:rPr>
      </w:pPr>
      <w:r>
        <w:rPr>
          <w:rFonts w:hint="eastAsia" w:ascii="宋体" w:hAnsi="宋体"/>
          <w:szCs w:val="21"/>
          <w:highlight w:val="none"/>
        </w:rPr>
        <w:t>◎采用银行转账、转帐支票、银行汇票形式提交的，应满足以下几个条件：</w:t>
      </w:r>
    </w:p>
    <w:p w14:paraId="58672313">
      <w:pPr>
        <w:snapToGrid w:val="0"/>
        <w:spacing w:line="360" w:lineRule="auto"/>
        <w:ind w:left="210" w:leftChars="100" w:firstLine="315" w:firstLineChars="150"/>
        <w:rPr>
          <w:rFonts w:hint="eastAsia" w:ascii="宋体" w:hAnsi="宋体"/>
          <w:szCs w:val="21"/>
          <w:highlight w:val="none"/>
        </w:rPr>
      </w:pPr>
      <w:r>
        <w:rPr>
          <w:rFonts w:hint="eastAsia" w:ascii="宋体" w:hAnsi="宋体"/>
          <w:szCs w:val="21"/>
          <w:highlight w:val="none"/>
        </w:rPr>
        <w:t>①应当从成交供应商基本户转出；</w:t>
      </w:r>
    </w:p>
    <w:p w14:paraId="3E647AF7">
      <w:pPr>
        <w:snapToGrid w:val="0"/>
        <w:spacing w:line="360" w:lineRule="auto"/>
        <w:ind w:left="210" w:leftChars="100" w:firstLine="315" w:firstLineChars="150"/>
        <w:rPr>
          <w:rFonts w:hint="eastAsia" w:ascii="宋体" w:hAnsi="宋体"/>
          <w:szCs w:val="21"/>
          <w:highlight w:val="none"/>
        </w:rPr>
      </w:pPr>
      <w:r>
        <w:rPr>
          <w:rFonts w:hint="eastAsia" w:ascii="宋体" w:hAnsi="宋体"/>
          <w:szCs w:val="21"/>
          <w:highlight w:val="none"/>
        </w:rPr>
        <w:t>②履约担保的退还时间：待合同履约完毕7日内予以无息退还。</w:t>
      </w:r>
    </w:p>
    <w:p w14:paraId="0DA40377">
      <w:pPr>
        <w:snapToGrid w:val="0"/>
        <w:spacing w:line="360" w:lineRule="auto"/>
        <w:ind w:left="210" w:leftChars="100" w:firstLine="315" w:firstLineChars="150"/>
        <w:rPr>
          <w:rFonts w:hint="eastAsia" w:ascii="宋体" w:hAnsi="宋体"/>
          <w:szCs w:val="21"/>
          <w:highlight w:val="none"/>
        </w:rPr>
      </w:pPr>
      <w:r>
        <w:rPr>
          <w:rFonts w:hint="eastAsia" w:ascii="宋体" w:hAnsi="宋体"/>
          <w:szCs w:val="21"/>
          <w:highlight w:val="none"/>
        </w:rPr>
        <w:t>◎采用保函形式提交履约担保的，应满足以下几个条件：</w:t>
      </w:r>
    </w:p>
    <w:p w14:paraId="24A0967A">
      <w:pPr>
        <w:snapToGrid w:val="0"/>
        <w:spacing w:line="360" w:lineRule="auto"/>
        <w:ind w:left="210" w:leftChars="100" w:firstLine="315" w:firstLineChars="150"/>
        <w:rPr>
          <w:rFonts w:hint="eastAsia" w:ascii="宋体" w:hAnsi="宋体"/>
          <w:szCs w:val="21"/>
          <w:highlight w:val="none"/>
        </w:rPr>
      </w:pPr>
      <w:r>
        <w:rPr>
          <w:rFonts w:hint="eastAsia" w:ascii="宋体" w:hAnsi="宋体"/>
          <w:szCs w:val="21"/>
          <w:highlight w:val="none"/>
        </w:rPr>
        <w:t>① 为见索即付保函：即在成交供应商没有实施合同或者未履行合同义务时，采购人不需要出具任何证明和理由，只要看到成交供应商违约，就可对保函进行收兑。</w:t>
      </w:r>
    </w:p>
    <w:p w14:paraId="190F198F">
      <w:pPr>
        <w:snapToGrid w:val="0"/>
        <w:spacing w:line="360" w:lineRule="auto"/>
        <w:ind w:left="210" w:leftChars="100" w:firstLine="315" w:firstLineChars="150"/>
        <w:rPr>
          <w:rFonts w:hint="eastAsia" w:ascii="宋体" w:hAnsi="宋体"/>
          <w:szCs w:val="21"/>
          <w:highlight w:val="none"/>
        </w:rPr>
      </w:pPr>
      <w:r>
        <w:rPr>
          <w:rFonts w:hint="eastAsia" w:ascii="宋体" w:hAnsi="宋体"/>
          <w:szCs w:val="21"/>
          <w:highlight w:val="none"/>
        </w:rPr>
        <w:t>②保函期限：自合同生效之日起至合同履约完毕之日止。</w:t>
      </w:r>
    </w:p>
    <w:p w14:paraId="72DC45D6">
      <w:pPr>
        <w:snapToGrid w:val="0"/>
        <w:spacing w:line="360" w:lineRule="auto"/>
        <w:ind w:left="210" w:leftChars="100" w:firstLine="315" w:firstLineChars="150"/>
        <w:rPr>
          <w:rFonts w:ascii="宋体" w:hAnsi="宋体"/>
          <w:szCs w:val="21"/>
          <w:highlight w:val="none"/>
        </w:rPr>
      </w:pPr>
      <w:r>
        <w:rPr>
          <w:rFonts w:hint="eastAsia" w:ascii="宋体" w:hAnsi="宋体"/>
          <w:szCs w:val="21"/>
          <w:highlight w:val="none"/>
        </w:rPr>
        <w:t>③如果由于服务期延误或保函出具机构要求分期出具保函的，则在前一份保函有效期满之日1个月前必须重新出具相同内容的保函。</w:t>
      </w:r>
    </w:p>
    <w:p w14:paraId="1BCF2491">
      <w:pPr>
        <w:snapToGrid w:val="0"/>
        <w:spacing w:line="360" w:lineRule="auto"/>
        <w:ind w:left="210" w:leftChars="100"/>
        <w:rPr>
          <w:rFonts w:ascii="宋体" w:hAnsi="宋体"/>
          <w:szCs w:val="21"/>
          <w:highlight w:val="none"/>
        </w:rPr>
      </w:pPr>
      <w:r>
        <w:rPr>
          <w:rFonts w:hint="eastAsia" w:ascii="宋体" w:hAnsi="宋体"/>
          <w:b/>
          <w:bCs/>
          <w:szCs w:val="21"/>
          <w:highlight w:val="none"/>
        </w:rPr>
        <w:t>第六条</w:t>
      </w:r>
      <w:r>
        <w:rPr>
          <w:rFonts w:hint="eastAsia" w:ascii="宋体" w:hAnsi="宋体"/>
          <w:b/>
          <w:bCs/>
          <w:szCs w:val="21"/>
          <w:highlight w:val="none"/>
          <w:lang w:eastAsia="zh-CN"/>
        </w:rPr>
        <w:t>：</w:t>
      </w:r>
      <w:r>
        <w:rPr>
          <w:rFonts w:hint="eastAsia" w:ascii="宋体" w:hAnsi="宋体"/>
          <w:b/>
          <w:bCs/>
          <w:szCs w:val="21"/>
          <w:highlight w:val="none"/>
        </w:rPr>
        <w:t>付款方式</w:t>
      </w:r>
    </w:p>
    <w:p w14:paraId="349B0453">
      <w:pPr>
        <w:snapToGrid w:val="0"/>
        <w:spacing w:line="360" w:lineRule="auto"/>
        <w:ind w:left="210" w:leftChars="100" w:firstLine="420" w:firstLineChars="200"/>
        <w:rPr>
          <w:rFonts w:hint="eastAsia" w:ascii="宋体"/>
          <w:szCs w:val="21"/>
          <w:highlight w:val="none"/>
        </w:rPr>
      </w:pPr>
      <w:r>
        <w:rPr>
          <w:rFonts w:hint="eastAsia" w:ascii="宋体"/>
          <w:szCs w:val="21"/>
          <w:highlight w:val="none"/>
        </w:rPr>
        <w:t>1、预付款：预付款支付比例或金额：合同生效以及具备实施条件后7个工作日内，采购人向成交供应商支付合同价款的40%的预付款。（根据浙财采监[2022]3号文件执行，在签订合同时，成交供应商明确表示无需预付款或者主动要求降低预付款比例的，采购人可不适用前述规定预付款）</w:t>
      </w:r>
    </w:p>
    <w:p w14:paraId="663B221A">
      <w:pPr>
        <w:snapToGrid w:val="0"/>
        <w:spacing w:line="360" w:lineRule="auto"/>
        <w:ind w:left="210" w:leftChars="100" w:firstLine="420" w:firstLineChars="200"/>
        <w:rPr>
          <w:rFonts w:ascii="宋体"/>
          <w:szCs w:val="21"/>
          <w:highlight w:val="none"/>
        </w:rPr>
      </w:pPr>
      <w:r>
        <w:rPr>
          <w:rFonts w:hint="eastAsia" w:ascii="宋体"/>
          <w:szCs w:val="21"/>
          <w:highlight w:val="none"/>
          <w:lang w:val="en-US" w:eastAsia="zh-CN"/>
        </w:rPr>
        <w:t>2、</w:t>
      </w:r>
      <w:r>
        <w:rPr>
          <w:rFonts w:hint="eastAsia" w:ascii="宋体"/>
          <w:szCs w:val="21"/>
          <w:highlight w:val="none"/>
        </w:rPr>
        <w:t>预付款扣回的方式：在支付第一个季度</w:t>
      </w:r>
      <w:r>
        <w:rPr>
          <w:rFonts w:hint="eastAsia" w:ascii="宋体"/>
          <w:szCs w:val="21"/>
          <w:highlight w:val="none"/>
          <w:lang w:val="en-US" w:eastAsia="zh-CN"/>
        </w:rPr>
        <w:t>烦人</w:t>
      </w:r>
      <w:r>
        <w:rPr>
          <w:rFonts w:hint="eastAsia" w:ascii="宋体"/>
          <w:szCs w:val="21"/>
          <w:highlight w:val="none"/>
        </w:rPr>
        <w:t>服务费中扣回，若当期服务费不足扣回预付款金额的，则剩余部分累计至下一季度扣回。</w:t>
      </w:r>
    </w:p>
    <w:p w14:paraId="7C20A3A8">
      <w:pPr>
        <w:snapToGrid w:val="0"/>
        <w:spacing w:line="360" w:lineRule="auto"/>
        <w:ind w:left="210" w:leftChars="100" w:firstLine="420" w:firstLineChars="200"/>
        <w:rPr>
          <w:rFonts w:ascii="宋体"/>
          <w:szCs w:val="21"/>
          <w:highlight w:val="none"/>
        </w:rPr>
      </w:pPr>
      <w:r>
        <w:rPr>
          <w:rFonts w:hint="eastAsia" w:ascii="宋体"/>
          <w:szCs w:val="21"/>
          <w:highlight w:val="none"/>
        </w:rPr>
        <w:t>2、付款方式：本项目采用固定单价合同，最终结算以甲方确认的实际发生的服务内容，结合相应的中标综合单价予以结算，按季度付费，每季有效放映场次累计资金在下一个季度的第一个月支付。每次乙方向甲方提供国家规定的100%的税收发票及无条件按甲方要求提供费用结算所需的相关书面材料，甲方自收到发票后七个工作日内向乙方支付相关费用（相关罚款从当月服务费中直接扣除）</w:t>
      </w:r>
    </w:p>
    <w:p w14:paraId="2A54513B">
      <w:pPr>
        <w:snapToGrid w:val="0"/>
        <w:spacing w:line="360" w:lineRule="auto"/>
        <w:ind w:left="210" w:leftChars="100"/>
        <w:rPr>
          <w:rFonts w:ascii="宋体" w:hAnsi="宋体"/>
          <w:szCs w:val="21"/>
          <w:highlight w:val="none"/>
        </w:rPr>
      </w:pPr>
      <w:r>
        <w:rPr>
          <w:rFonts w:hint="eastAsia" w:ascii="宋体" w:hAnsi="宋体"/>
          <w:b/>
          <w:bCs/>
          <w:szCs w:val="21"/>
          <w:highlight w:val="none"/>
        </w:rPr>
        <w:t>第七条：违约中止合同及赔偿</w:t>
      </w:r>
    </w:p>
    <w:p w14:paraId="77EBBAD5">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1、采购人发现成交供应商做法与磋商文件要求不符合的或不履行其磋商响应文件的承诺有权单方面终止全部或部分合同，并保留进一步追究成交供应商责任的权利（包括经济赔偿）。</w:t>
      </w:r>
    </w:p>
    <w:p w14:paraId="587BEB26">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2、成交供应商如要提前中止合同，需提</w:t>
      </w:r>
      <w:r>
        <w:rPr>
          <w:rFonts w:ascii="宋体" w:hAnsi="宋体"/>
          <w:szCs w:val="21"/>
          <w:highlight w:val="none"/>
        </w:rPr>
        <w:t>前3个月，并征得</w:t>
      </w:r>
      <w:r>
        <w:rPr>
          <w:rFonts w:hint="eastAsia" w:ascii="宋体" w:hAnsi="宋体"/>
          <w:szCs w:val="21"/>
          <w:highlight w:val="none"/>
        </w:rPr>
        <w:t>采购人同意，否则按合同执行。</w:t>
      </w:r>
    </w:p>
    <w:p w14:paraId="040D0F5C">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3、除不可抗力外以，如发生成交供应商不能履行合同义务，或采购人发生中途终止合同等情况，应及时以书面形式通知对方。双方应本着友好的态度进行协商，妥善解决。</w:t>
      </w:r>
    </w:p>
    <w:p w14:paraId="715E6CAE">
      <w:pPr>
        <w:snapToGrid w:val="0"/>
        <w:spacing w:line="360" w:lineRule="auto"/>
        <w:ind w:left="210" w:leftChars="100"/>
        <w:rPr>
          <w:rFonts w:ascii="宋体" w:hAnsi="宋体"/>
          <w:b/>
          <w:bCs/>
          <w:szCs w:val="21"/>
          <w:highlight w:val="none"/>
        </w:rPr>
      </w:pPr>
      <w:r>
        <w:rPr>
          <w:rFonts w:hint="eastAsia" w:ascii="宋体" w:hAnsi="宋体"/>
          <w:b/>
          <w:bCs/>
          <w:szCs w:val="21"/>
          <w:highlight w:val="none"/>
        </w:rPr>
        <w:t>第八条：破产终止合同</w:t>
      </w:r>
    </w:p>
    <w:p w14:paraId="31C2A2CB">
      <w:pPr>
        <w:snapToGrid w:val="0"/>
        <w:spacing w:line="360" w:lineRule="auto"/>
        <w:ind w:left="210" w:leftChars="100" w:firstLine="315" w:firstLineChars="150"/>
        <w:rPr>
          <w:rFonts w:ascii="宋体" w:hAnsi="宋体"/>
          <w:szCs w:val="21"/>
          <w:highlight w:val="none"/>
        </w:rPr>
      </w:pPr>
      <w:r>
        <w:rPr>
          <w:rFonts w:hint="eastAsia" w:ascii="宋体" w:hAnsi="宋体"/>
          <w:szCs w:val="21"/>
          <w:highlight w:val="none"/>
        </w:rPr>
        <w:t>如果成交供应商破产或无清偿能力时，采购人可在任何时候以书面通知成交供应商终止合同。该终止合同将不损害或影响采购人已经采取或将要采取的补救措施的权利。</w:t>
      </w:r>
    </w:p>
    <w:p w14:paraId="29CCEF2F">
      <w:pPr>
        <w:snapToGrid w:val="0"/>
        <w:spacing w:line="360" w:lineRule="auto"/>
        <w:ind w:left="210" w:leftChars="100"/>
        <w:rPr>
          <w:rFonts w:ascii="宋体" w:hAnsi="宋体"/>
          <w:szCs w:val="21"/>
          <w:highlight w:val="none"/>
        </w:rPr>
      </w:pPr>
      <w:r>
        <w:rPr>
          <w:rFonts w:hint="eastAsia" w:ascii="宋体" w:hAnsi="宋体"/>
          <w:b/>
          <w:bCs/>
          <w:szCs w:val="21"/>
          <w:highlight w:val="none"/>
        </w:rPr>
        <w:t>第九条：仲裁</w:t>
      </w:r>
    </w:p>
    <w:p w14:paraId="525D471D">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1、双方在执行合同中所发生的一切争议，应通过协商解决。如协商不成，应向采购人法定地址所在仲裁机构提交仲裁，也可直接向采购人法定地址所在人民法院起诉。</w:t>
      </w:r>
    </w:p>
    <w:p w14:paraId="4DBC3999">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2、在仲裁期间，除正在进行仲裁的部份外，本合同其他部份应继续执行．</w:t>
      </w:r>
    </w:p>
    <w:p w14:paraId="69FE0286">
      <w:pPr>
        <w:snapToGrid w:val="0"/>
        <w:spacing w:line="360" w:lineRule="auto"/>
        <w:ind w:left="210" w:leftChars="100" w:firstLine="401" w:firstLineChars="191"/>
        <w:rPr>
          <w:rFonts w:ascii="宋体" w:hAnsi="宋体"/>
          <w:szCs w:val="21"/>
          <w:highlight w:val="none"/>
        </w:rPr>
      </w:pPr>
      <w:r>
        <w:rPr>
          <w:rFonts w:hint="eastAsia" w:ascii="宋体" w:hAnsi="宋体"/>
          <w:szCs w:val="21"/>
          <w:highlight w:val="none"/>
        </w:rPr>
        <w:t>3、仲裁费用除仲裁机构另有裁决外，由败诉方承担。</w:t>
      </w:r>
    </w:p>
    <w:p w14:paraId="22B39A80">
      <w:pPr>
        <w:snapToGrid w:val="0"/>
        <w:spacing w:line="360" w:lineRule="auto"/>
        <w:ind w:left="210" w:leftChars="100"/>
        <w:rPr>
          <w:rFonts w:ascii="宋体" w:hAnsi="宋体"/>
          <w:szCs w:val="21"/>
          <w:highlight w:val="none"/>
        </w:rPr>
      </w:pPr>
      <w:r>
        <w:rPr>
          <w:rFonts w:hint="eastAsia" w:ascii="宋体" w:hAnsi="宋体"/>
          <w:b/>
          <w:bCs/>
          <w:szCs w:val="21"/>
          <w:highlight w:val="none"/>
        </w:rPr>
        <w:t>第十条：合同转让和分包</w:t>
      </w:r>
    </w:p>
    <w:p w14:paraId="461DC075">
      <w:pPr>
        <w:snapToGrid w:val="0"/>
        <w:spacing w:line="360" w:lineRule="auto"/>
        <w:ind w:left="210" w:leftChars="100"/>
        <w:rPr>
          <w:rFonts w:ascii="宋体" w:hAnsi="宋体"/>
          <w:szCs w:val="21"/>
          <w:highlight w:val="none"/>
        </w:rPr>
      </w:pPr>
      <w:r>
        <w:rPr>
          <w:rFonts w:hint="eastAsia" w:ascii="宋体" w:hAnsi="宋体"/>
          <w:szCs w:val="21"/>
          <w:highlight w:val="none"/>
        </w:rPr>
        <w:t xml:space="preserve">    除采购人事先书面同意外，成交供应商不得转让和分包其应履行的合同义务。</w:t>
      </w:r>
    </w:p>
    <w:p w14:paraId="1E3F1CC5">
      <w:pPr>
        <w:snapToGrid w:val="0"/>
        <w:spacing w:line="360" w:lineRule="auto"/>
        <w:ind w:left="210" w:leftChars="100"/>
        <w:rPr>
          <w:rFonts w:ascii="宋体" w:hAnsi="宋体"/>
          <w:szCs w:val="21"/>
          <w:highlight w:val="none"/>
        </w:rPr>
      </w:pPr>
      <w:r>
        <w:rPr>
          <w:rFonts w:hint="eastAsia" w:ascii="宋体" w:hAnsi="宋体"/>
          <w:b/>
          <w:bCs/>
          <w:szCs w:val="21"/>
          <w:highlight w:val="none"/>
        </w:rPr>
        <w:t>第十一条：合同生效</w:t>
      </w:r>
    </w:p>
    <w:p w14:paraId="7862E85B">
      <w:pPr>
        <w:pStyle w:val="3"/>
        <w:snapToGrid w:val="0"/>
        <w:spacing w:line="360" w:lineRule="auto"/>
        <w:ind w:left="210" w:leftChars="100" w:firstLine="482"/>
        <w:rPr>
          <w:rFonts w:hAnsi="宋体"/>
          <w:szCs w:val="21"/>
          <w:highlight w:val="none"/>
        </w:rPr>
      </w:pPr>
      <w:r>
        <w:rPr>
          <w:rFonts w:hint="eastAsia" w:hAnsi="宋体"/>
          <w:szCs w:val="21"/>
          <w:highlight w:val="none"/>
        </w:rPr>
        <w:t>1、如上述文件与本合同有不符之处，以有利于采购人的为准。</w:t>
      </w:r>
    </w:p>
    <w:p w14:paraId="17769301">
      <w:pPr>
        <w:pStyle w:val="3"/>
        <w:snapToGrid w:val="0"/>
        <w:spacing w:line="360" w:lineRule="auto"/>
        <w:ind w:left="210" w:leftChars="100" w:firstLine="482"/>
        <w:rPr>
          <w:rFonts w:hAnsi="宋体"/>
          <w:szCs w:val="21"/>
          <w:highlight w:val="none"/>
        </w:rPr>
      </w:pPr>
      <w:r>
        <w:rPr>
          <w:rFonts w:hint="eastAsia" w:hAnsi="宋体"/>
          <w:szCs w:val="21"/>
          <w:highlight w:val="none"/>
        </w:rPr>
        <w:t>2、本合同在采购人收到成交供应商提交的履约保证金后，且经双方法定代表人或授权代表签署，双方加盖印章后生效。</w:t>
      </w:r>
    </w:p>
    <w:p w14:paraId="2CB52358">
      <w:pPr>
        <w:snapToGrid w:val="0"/>
        <w:spacing w:line="360" w:lineRule="auto"/>
        <w:ind w:left="210" w:leftChars="100"/>
        <w:rPr>
          <w:rFonts w:ascii="宋体" w:hAnsi="宋体"/>
          <w:szCs w:val="21"/>
          <w:highlight w:val="none"/>
        </w:rPr>
      </w:pPr>
      <w:r>
        <w:rPr>
          <w:rFonts w:hint="eastAsia" w:ascii="宋体" w:hAnsi="宋体"/>
          <w:b/>
          <w:bCs/>
          <w:szCs w:val="21"/>
          <w:highlight w:val="none"/>
        </w:rPr>
        <w:t>第十二条：合同修改</w:t>
      </w:r>
    </w:p>
    <w:p w14:paraId="7C895CB2">
      <w:pPr>
        <w:snapToGrid w:val="0"/>
        <w:spacing w:line="360" w:lineRule="auto"/>
        <w:ind w:left="210" w:leftChars="100" w:firstLine="480"/>
        <w:rPr>
          <w:rFonts w:ascii="宋体" w:hAnsi="宋体"/>
          <w:szCs w:val="21"/>
          <w:highlight w:val="none"/>
        </w:rPr>
      </w:pPr>
      <w:r>
        <w:rPr>
          <w:rFonts w:hint="eastAsia" w:ascii="宋体" w:hAnsi="宋体"/>
          <w:szCs w:val="21"/>
          <w:highlight w:val="none"/>
        </w:rPr>
        <w:t>除了双方签署书面修改合同，并成为本合同不可分割的一部分之外，本合同条件不得有任何变化或修改。</w:t>
      </w:r>
    </w:p>
    <w:p w14:paraId="7F097D30">
      <w:pPr>
        <w:pStyle w:val="3"/>
        <w:snapToGrid w:val="0"/>
        <w:spacing w:line="360" w:lineRule="auto"/>
        <w:ind w:left="210" w:leftChars="100"/>
        <w:rPr>
          <w:rFonts w:hAnsi="宋体"/>
          <w:szCs w:val="21"/>
          <w:highlight w:val="none"/>
        </w:rPr>
      </w:pPr>
      <w:r>
        <w:rPr>
          <w:rFonts w:hint="eastAsia" w:hAnsi="宋体"/>
          <w:b/>
          <w:bCs/>
          <w:szCs w:val="21"/>
          <w:highlight w:val="none"/>
        </w:rPr>
        <w:t>第十三条 合同附件</w:t>
      </w:r>
    </w:p>
    <w:p w14:paraId="54525CF2">
      <w:pPr>
        <w:snapToGrid w:val="0"/>
        <w:spacing w:line="360" w:lineRule="auto"/>
        <w:ind w:left="210" w:leftChars="100"/>
        <w:textAlignment w:val="baseline"/>
        <w:rPr>
          <w:rFonts w:ascii="宋体" w:hAnsi="宋体"/>
          <w:szCs w:val="21"/>
          <w:highlight w:val="none"/>
        </w:rPr>
      </w:pPr>
      <w:r>
        <w:rPr>
          <w:rFonts w:hint="eastAsia" w:ascii="宋体" w:hAnsi="宋体"/>
          <w:szCs w:val="21"/>
          <w:highlight w:val="none"/>
        </w:rPr>
        <w:t xml:space="preserve">    下列文件与本合同具有同等法律效力：</w:t>
      </w:r>
    </w:p>
    <w:p w14:paraId="291A559D">
      <w:pPr>
        <w:snapToGrid w:val="0"/>
        <w:spacing w:line="360" w:lineRule="auto"/>
        <w:ind w:left="210" w:leftChars="100" w:firstLine="411" w:firstLineChars="196"/>
        <w:textAlignment w:val="baseline"/>
        <w:rPr>
          <w:rFonts w:ascii="宋体" w:hAnsi="宋体"/>
          <w:szCs w:val="21"/>
          <w:highlight w:val="none"/>
        </w:rPr>
      </w:pPr>
      <w:r>
        <w:rPr>
          <w:rFonts w:hint="eastAsia" w:ascii="宋体" w:hAnsi="宋体"/>
          <w:szCs w:val="21"/>
          <w:highlight w:val="none"/>
        </w:rPr>
        <w:t>1、采购人的磋商文件与补充文件；</w:t>
      </w:r>
    </w:p>
    <w:p w14:paraId="113FA8B5">
      <w:pPr>
        <w:snapToGrid w:val="0"/>
        <w:spacing w:line="360" w:lineRule="auto"/>
        <w:ind w:left="210" w:leftChars="100" w:firstLine="411" w:firstLineChars="196"/>
        <w:textAlignment w:val="baseline"/>
        <w:rPr>
          <w:rFonts w:ascii="宋体" w:hAnsi="宋体"/>
          <w:szCs w:val="21"/>
          <w:highlight w:val="none"/>
        </w:rPr>
      </w:pPr>
      <w:r>
        <w:rPr>
          <w:rFonts w:hint="eastAsia" w:ascii="宋体" w:hAnsi="宋体"/>
          <w:szCs w:val="21"/>
          <w:highlight w:val="none"/>
        </w:rPr>
        <w:t>2、成交供应商磋商响应文件；</w:t>
      </w:r>
    </w:p>
    <w:p w14:paraId="197E523E">
      <w:pPr>
        <w:pStyle w:val="3"/>
        <w:snapToGrid w:val="0"/>
        <w:spacing w:line="360" w:lineRule="auto"/>
        <w:ind w:left="210" w:leftChars="100" w:firstLine="308" w:firstLineChars="147"/>
        <w:textAlignment w:val="baseline"/>
        <w:rPr>
          <w:rFonts w:hAnsi="宋体"/>
          <w:szCs w:val="21"/>
          <w:highlight w:val="none"/>
        </w:rPr>
      </w:pPr>
      <w:r>
        <w:rPr>
          <w:rFonts w:hint="eastAsia" w:hAnsi="宋体"/>
          <w:szCs w:val="21"/>
          <w:highlight w:val="none"/>
        </w:rPr>
        <w:t xml:space="preserve"> 3、询标纪要和承诺书；</w:t>
      </w:r>
    </w:p>
    <w:p w14:paraId="4FDE4F5D">
      <w:pPr>
        <w:snapToGrid w:val="0"/>
        <w:spacing w:line="360" w:lineRule="auto"/>
        <w:ind w:left="210" w:leftChars="100" w:firstLine="420" w:firstLineChars="200"/>
        <w:textAlignment w:val="baseline"/>
        <w:rPr>
          <w:rFonts w:ascii="宋体" w:hAnsi="宋体"/>
          <w:szCs w:val="21"/>
          <w:highlight w:val="none"/>
        </w:rPr>
      </w:pPr>
      <w:r>
        <w:rPr>
          <w:rFonts w:hint="eastAsia" w:ascii="宋体" w:hAnsi="宋体"/>
          <w:szCs w:val="21"/>
          <w:highlight w:val="none"/>
        </w:rPr>
        <w:t>4、中标通知书。</w:t>
      </w:r>
    </w:p>
    <w:p w14:paraId="4DD1F876">
      <w:pPr>
        <w:spacing w:line="360" w:lineRule="auto"/>
        <w:ind w:left="210" w:leftChars="100"/>
        <w:rPr>
          <w:rFonts w:ascii="宋体" w:hAnsi="宋体" w:cs="Arial"/>
          <w:szCs w:val="21"/>
          <w:highlight w:val="none"/>
        </w:rPr>
      </w:pPr>
      <w:r>
        <w:rPr>
          <w:rFonts w:ascii="宋体" w:hAnsi="宋体" w:cs="Arial"/>
          <w:b/>
          <w:bCs/>
          <w:szCs w:val="21"/>
          <w:highlight w:val="none"/>
        </w:rPr>
        <w:t>第十</w:t>
      </w:r>
      <w:r>
        <w:rPr>
          <w:rFonts w:hint="eastAsia" w:ascii="宋体" w:hAnsi="宋体" w:cs="Arial"/>
          <w:b/>
          <w:bCs/>
          <w:szCs w:val="21"/>
          <w:highlight w:val="none"/>
        </w:rPr>
        <w:t>四</w:t>
      </w:r>
      <w:r>
        <w:rPr>
          <w:rFonts w:ascii="宋体" w:hAnsi="宋体" w:cs="Arial"/>
          <w:b/>
          <w:bCs/>
          <w:szCs w:val="21"/>
          <w:highlight w:val="none"/>
        </w:rPr>
        <w:t>条  合同的解释</w:t>
      </w:r>
    </w:p>
    <w:p w14:paraId="199AFA3E">
      <w:pPr>
        <w:spacing w:line="360" w:lineRule="auto"/>
        <w:ind w:left="210" w:leftChars="100" w:firstLine="420" w:firstLineChars="200"/>
        <w:rPr>
          <w:rFonts w:ascii="宋体" w:hAnsi="宋体" w:cs="Arial"/>
          <w:szCs w:val="21"/>
          <w:highlight w:val="none"/>
        </w:rPr>
      </w:pPr>
      <w:r>
        <w:rPr>
          <w:rFonts w:ascii="宋体" w:hAnsi="宋体" w:cs="Arial"/>
          <w:szCs w:val="21"/>
          <w:highlight w:val="none"/>
        </w:rPr>
        <w:t xml:space="preserve">本合同的解释权在中共瑞安市委宣传部。         </w:t>
      </w:r>
    </w:p>
    <w:p w14:paraId="046E4C31">
      <w:pPr>
        <w:spacing w:line="360" w:lineRule="auto"/>
        <w:ind w:left="210" w:leftChars="100"/>
        <w:rPr>
          <w:rFonts w:ascii="宋体" w:hAnsi="宋体" w:cs="Arial"/>
          <w:szCs w:val="21"/>
          <w:highlight w:val="none"/>
        </w:rPr>
      </w:pPr>
      <w:r>
        <w:rPr>
          <w:rFonts w:ascii="宋体" w:hAnsi="宋体" w:cs="Arial"/>
          <w:b/>
          <w:bCs/>
          <w:szCs w:val="21"/>
          <w:highlight w:val="none"/>
        </w:rPr>
        <w:t>第十</w:t>
      </w:r>
      <w:r>
        <w:rPr>
          <w:rFonts w:hint="eastAsia" w:ascii="宋体" w:hAnsi="宋体" w:cs="Arial"/>
          <w:b/>
          <w:bCs/>
          <w:szCs w:val="21"/>
          <w:highlight w:val="none"/>
          <w:lang w:val="en-US" w:eastAsia="zh-CN"/>
        </w:rPr>
        <w:t>五</w:t>
      </w:r>
      <w:r>
        <w:rPr>
          <w:rFonts w:ascii="宋体" w:hAnsi="宋体" w:cs="Arial"/>
          <w:b/>
          <w:bCs/>
          <w:szCs w:val="21"/>
          <w:highlight w:val="none"/>
        </w:rPr>
        <w:t>条  合同的份数</w:t>
      </w:r>
    </w:p>
    <w:p w14:paraId="6253D848">
      <w:pPr>
        <w:spacing w:line="360" w:lineRule="auto"/>
        <w:ind w:left="210" w:leftChars="100" w:firstLine="420" w:firstLineChars="200"/>
        <w:rPr>
          <w:rFonts w:ascii="宋体" w:hAnsi="宋体" w:cs="Arial"/>
          <w:szCs w:val="21"/>
          <w:highlight w:val="none"/>
        </w:rPr>
      </w:pPr>
      <w:r>
        <w:rPr>
          <w:rFonts w:ascii="宋体" w:hAnsi="宋体" w:cs="Arial"/>
          <w:szCs w:val="21"/>
          <w:highlight w:val="none"/>
        </w:rPr>
        <w:t>本合同一式伍份，双方各执</w:t>
      </w:r>
      <w:r>
        <w:rPr>
          <w:rFonts w:hint="eastAsia" w:ascii="宋体" w:hAnsi="宋体" w:cs="Arial"/>
          <w:szCs w:val="21"/>
          <w:highlight w:val="none"/>
          <w:lang w:val="en-US" w:eastAsia="zh-CN"/>
        </w:rPr>
        <w:t>贰</w:t>
      </w:r>
      <w:r>
        <w:rPr>
          <w:rFonts w:ascii="宋体" w:hAnsi="宋体" w:cs="Arial"/>
          <w:szCs w:val="21"/>
          <w:highlight w:val="none"/>
        </w:rPr>
        <w:t>份，</w:t>
      </w:r>
      <w:r>
        <w:rPr>
          <w:rFonts w:hint="eastAsia" w:ascii="宋体" w:hAnsi="宋体" w:cs="Arial"/>
          <w:szCs w:val="21"/>
          <w:highlight w:val="none"/>
        </w:rPr>
        <w:t>交</w:t>
      </w:r>
      <w:r>
        <w:rPr>
          <w:rFonts w:hint="eastAsia" w:ascii="宋体" w:hAnsi="宋体" w:cs="Arial"/>
          <w:szCs w:val="21"/>
          <w:highlight w:val="none"/>
          <w:lang w:val="en-US" w:eastAsia="zh-CN"/>
        </w:rPr>
        <w:t>壹</w:t>
      </w:r>
      <w:r>
        <w:rPr>
          <w:rFonts w:hint="eastAsia" w:ascii="宋体" w:hAnsi="宋体" w:cs="Arial"/>
          <w:szCs w:val="21"/>
          <w:highlight w:val="none"/>
        </w:rPr>
        <w:t>份代理公司备案</w:t>
      </w:r>
      <w:r>
        <w:rPr>
          <w:rFonts w:ascii="宋体" w:hAnsi="宋体" w:cs="Arial"/>
          <w:szCs w:val="21"/>
          <w:highlight w:val="none"/>
        </w:rPr>
        <w:t>，具有同等法律效力，自双方签字盖章后生效。</w:t>
      </w:r>
    </w:p>
    <w:p w14:paraId="3C169A61">
      <w:pPr>
        <w:spacing w:line="360" w:lineRule="auto"/>
        <w:ind w:left="210" w:leftChars="100" w:firstLine="630" w:firstLineChars="300"/>
        <w:rPr>
          <w:rFonts w:ascii="宋体" w:hAnsi="宋体" w:cs="Arial"/>
          <w:szCs w:val="21"/>
          <w:highlight w:val="none"/>
        </w:rPr>
      </w:pPr>
    </w:p>
    <w:p w14:paraId="17042C8C">
      <w:pPr>
        <w:spacing w:line="360" w:lineRule="auto"/>
        <w:ind w:left="210" w:leftChars="100" w:firstLine="630" w:firstLineChars="300"/>
        <w:rPr>
          <w:rFonts w:ascii="宋体" w:hAnsi="宋体" w:cs="Arial"/>
          <w:szCs w:val="21"/>
          <w:highlight w:val="none"/>
        </w:rPr>
      </w:pPr>
      <w:r>
        <w:rPr>
          <w:rFonts w:hint="eastAsia" w:ascii="宋体" w:hAnsi="宋体" w:cs="Arial"/>
          <w:szCs w:val="21"/>
          <w:highlight w:val="none"/>
        </w:rPr>
        <w:t>采购人</w:t>
      </w:r>
      <w:r>
        <w:rPr>
          <w:rFonts w:ascii="宋体" w:hAnsi="宋体" w:cs="Arial"/>
          <w:szCs w:val="21"/>
          <w:highlight w:val="none"/>
        </w:rPr>
        <w:t xml:space="preserve">：（印章）                 </w:t>
      </w:r>
      <w:r>
        <w:rPr>
          <w:rFonts w:hint="eastAsia" w:ascii="宋体" w:hAnsi="宋体" w:cs="Arial"/>
          <w:szCs w:val="21"/>
          <w:highlight w:val="none"/>
        </w:rPr>
        <w:t xml:space="preserve">  </w:t>
      </w:r>
      <w:r>
        <w:rPr>
          <w:rFonts w:ascii="宋体" w:hAnsi="宋体" w:cs="Arial"/>
          <w:szCs w:val="21"/>
          <w:highlight w:val="none"/>
        </w:rPr>
        <w:t xml:space="preserve"> </w:t>
      </w:r>
      <w:r>
        <w:rPr>
          <w:rFonts w:hint="eastAsia" w:ascii="宋体" w:hAnsi="宋体" w:cs="Arial"/>
          <w:szCs w:val="21"/>
          <w:highlight w:val="none"/>
        </w:rPr>
        <w:t xml:space="preserve"> 成交供应商</w:t>
      </w:r>
      <w:r>
        <w:rPr>
          <w:rFonts w:ascii="宋体" w:hAnsi="宋体" w:cs="Arial"/>
          <w:szCs w:val="21"/>
          <w:highlight w:val="none"/>
        </w:rPr>
        <w:t>：（印章）</w:t>
      </w:r>
    </w:p>
    <w:p w14:paraId="2082240E">
      <w:pPr>
        <w:spacing w:line="360" w:lineRule="auto"/>
        <w:ind w:left="210" w:leftChars="100"/>
        <w:rPr>
          <w:rFonts w:ascii="宋体" w:hAnsi="宋体" w:cs="Arial"/>
          <w:szCs w:val="21"/>
          <w:highlight w:val="none"/>
        </w:rPr>
      </w:pPr>
      <w:r>
        <w:rPr>
          <w:rFonts w:ascii="宋体" w:hAnsi="宋体" w:cs="Arial"/>
          <w:szCs w:val="21"/>
          <w:highlight w:val="none"/>
        </w:rPr>
        <w:t xml:space="preserve">      全权代表：（签字）                   全权代表：（签字）</w:t>
      </w:r>
    </w:p>
    <w:p w14:paraId="1F77409B">
      <w:pPr>
        <w:spacing w:line="360" w:lineRule="auto"/>
        <w:ind w:left="210" w:leftChars="100" w:firstLine="630" w:firstLineChars="300"/>
        <w:rPr>
          <w:rFonts w:ascii="宋体" w:hAnsi="宋体" w:cs="Arial"/>
          <w:szCs w:val="21"/>
          <w:highlight w:val="none"/>
        </w:rPr>
      </w:pPr>
      <w:r>
        <w:rPr>
          <w:rFonts w:ascii="宋体" w:hAnsi="宋体" w:cs="Arial"/>
          <w:szCs w:val="21"/>
          <w:highlight w:val="none"/>
        </w:rPr>
        <w:t>地    址：                           地    址：</w:t>
      </w:r>
    </w:p>
    <w:p w14:paraId="55AFEECB">
      <w:pPr>
        <w:spacing w:line="360" w:lineRule="auto"/>
        <w:ind w:left="210" w:leftChars="100" w:firstLine="630" w:firstLineChars="300"/>
        <w:rPr>
          <w:rFonts w:ascii="宋体" w:hAnsi="宋体" w:cs="Arial"/>
          <w:szCs w:val="21"/>
          <w:highlight w:val="none"/>
        </w:rPr>
      </w:pPr>
      <w:r>
        <w:rPr>
          <w:rFonts w:ascii="宋体" w:hAnsi="宋体" w:cs="Arial"/>
          <w:szCs w:val="21"/>
          <w:highlight w:val="none"/>
        </w:rPr>
        <w:t>邮政编码：                           邮政编码：</w:t>
      </w:r>
    </w:p>
    <w:p w14:paraId="0BE328B0">
      <w:pPr>
        <w:spacing w:line="360" w:lineRule="auto"/>
        <w:ind w:left="210" w:leftChars="100" w:firstLine="630" w:firstLineChars="300"/>
        <w:rPr>
          <w:rFonts w:ascii="宋体" w:hAnsi="宋体" w:cs="Arial"/>
          <w:szCs w:val="21"/>
          <w:highlight w:val="none"/>
        </w:rPr>
      </w:pPr>
      <w:r>
        <w:rPr>
          <w:rFonts w:ascii="宋体" w:hAnsi="宋体" w:cs="Arial"/>
          <w:szCs w:val="21"/>
          <w:highlight w:val="none"/>
        </w:rPr>
        <w:t>电    话：                           电    话：</w:t>
      </w:r>
    </w:p>
    <w:p w14:paraId="356EE6ED">
      <w:pPr>
        <w:spacing w:line="360" w:lineRule="auto"/>
        <w:ind w:left="210" w:leftChars="100" w:firstLine="630" w:firstLineChars="300"/>
        <w:rPr>
          <w:rFonts w:ascii="宋体" w:hAnsi="宋体" w:cs="Arial"/>
          <w:szCs w:val="21"/>
          <w:highlight w:val="none"/>
        </w:rPr>
      </w:pPr>
      <w:r>
        <w:rPr>
          <w:rFonts w:ascii="宋体" w:hAnsi="宋体" w:cs="Arial"/>
          <w:szCs w:val="21"/>
          <w:highlight w:val="none"/>
        </w:rPr>
        <w:t>传    真：                           传    真：</w:t>
      </w:r>
    </w:p>
    <w:p w14:paraId="0D7AF30F">
      <w:pPr>
        <w:spacing w:line="360" w:lineRule="auto"/>
        <w:ind w:left="210" w:leftChars="100" w:firstLine="630" w:firstLineChars="300"/>
        <w:rPr>
          <w:rFonts w:ascii="宋体" w:hAnsi="宋体" w:cs="Arial"/>
          <w:szCs w:val="21"/>
          <w:highlight w:val="none"/>
        </w:rPr>
      </w:pPr>
      <w:r>
        <w:rPr>
          <w:rFonts w:ascii="宋体" w:hAnsi="宋体" w:cs="Arial"/>
          <w:szCs w:val="21"/>
          <w:highlight w:val="none"/>
        </w:rPr>
        <w:t>开户银行：                           开户银行：</w:t>
      </w:r>
    </w:p>
    <w:p w14:paraId="1D8B1A4A">
      <w:pPr>
        <w:snapToGrid w:val="0"/>
        <w:spacing w:line="360" w:lineRule="auto"/>
        <w:ind w:firstLine="840" w:firstLineChars="400"/>
        <w:rPr>
          <w:rFonts w:hint="eastAsia" w:eastAsia="宋体"/>
          <w:spacing w:val="10"/>
          <w:sz w:val="24"/>
          <w:szCs w:val="24"/>
          <w:highlight w:val="none"/>
          <w:lang w:eastAsia="zh-CN"/>
        </w:rPr>
      </w:pPr>
      <w:r>
        <w:rPr>
          <w:rFonts w:ascii="宋体" w:hAnsi="宋体" w:cs="Arial"/>
          <w:szCs w:val="21"/>
          <w:highlight w:val="none"/>
        </w:rPr>
        <w:t>帐    号：                           帐    号</w:t>
      </w:r>
      <w:r>
        <w:rPr>
          <w:rFonts w:hint="eastAsia" w:ascii="宋体" w:hAnsi="宋体" w:cs="Arial"/>
          <w:szCs w:val="21"/>
          <w:highlight w:val="none"/>
          <w:lang w:eastAsia="zh-CN"/>
        </w:rPr>
        <w:t>：</w:t>
      </w:r>
    </w:p>
    <w:p w14:paraId="6E887945">
      <w:pPr>
        <w:bidi w:val="0"/>
        <w:spacing w:line="360" w:lineRule="auto"/>
        <w:ind w:firstLine="420" w:firstLineChars="200"/>
        <w:rPr>
          <w:rFonts w:hint="eastAsia"/>
          <w:highlight w:val="none"/>
          <w:lang w:eastAsia="zh-CN"/>
        </w:rPr>
      </w:pPr>
    </w:p>
    <w:p w14:paraId="15686953">
      <w:pPr>
        <w:bidi w:val="0"/>
        <w:spacing w:line="360" w:lineRule="auto"/>
        <w:ind w:firstLine="420" w:firstLineChars="200"/>
        <w:rPr>
          <w:rFonts w:hint="eastAsia" w:ascii="宋体" w:hAnsi="宋体" w:eastAsia="宋体"/>
          <w:b/>
          <w:bCs/>
          <w:highlight w:val="none"/>
          <w:lang w:eastAsia="zh-CN"/>
        </w:rPr>
      </w:pPr>
      <w:r>
        <w:rPr>
          <w:rFonts w:hint="eastAsia"/>
          <w:highlight w:val="none"/>
          <w:lang w:eastAsia="zh-CN"/>
        </w:rPr>
        <w:t>注：1.上述条款仅供参考，具体以中标供应商与招标人所签定正式合同为准。</w:t>
      </w:r>
    </w:p>
    <w:p w14:paraId="4E7ACC2D">
      <w:pPr>
        <w:adjustRightInd w:val="0"/>
        <w:snapToGrid w:val="0"/>
        <w:spacing w:line="460" w:lineRule="exact"/>
        <w:rPr>
          <w:rFonts w:ascii="宋体" w:hAnsi="宋体"/>
          <w:b/>
          <w:sz w:val="24"/>
          <w:szCs w:val="24"/>
          <w:highlight w:val="none"/>
        </w:rPr>
      </w:pPr>
    </w:p>
    <w:p w14:paraId="068ED881">
      <w:pPr>
        <w:adjustRightInd w:val="0"/>
        <w:snapToGrid w:val="0"/>
        <w:spacing w:line="460" w:lineRule="exact"/>
        <w:rPr>
          <w:rFonts w:ascii="宋体" w:hAnsi="宋体"/>
          <w:b/>
          <w:sz w:val="24"/>
          <w:szCs w:val="24"/>
          <w:highlight w:val="none"/>
        </w:rPr>
      </w:pPr>
      <w:r>
        <w:rPr>
          <w:rFonts w:ascii="宋体" w:hAnsi="宋体"/>
          <w:b/>
          <w:sz w:val="24"/>
          <w:szCs w:val="24"/>
          <w:highlight w:val="none"/>
        </w:rPr>
        <w:t>附件:</w:t>
      </w:r>
    </w:p>
    <w:p w14:paraId="420EC1B4">
      <w:pPr>
        <w:snapToGrid w:val="0"/>
        <w:spacing w:before="156" w:beforeLines="50" w:after="156" w:afterLines="50"/>
        <w:jc w:val="center"/>
        <w:rPr>
          <w:rFonts w:eastAsia="黑体"/>
          <w:sz w:val="30"/>
          <w:szCs w:val="30"/>
          <w:highlight w:val="none"/>
        </w:rPr>
      </w:pPr>
      <w:r>
        <w:rPr>
          <w:highlight w:val="none"/>
        </w:rPr>
        <mc:AlternateContent>
          <mc:Choice Requires="wps">
            <w:drawing>
              <wp:anchor distT="0" distB="0" distL="114300" distR="114300" simplePos="0" relativeHeight="251659264" behindDoc="0" locked="0" layoutInCell="1" allowOverlap="1">
                <wp:simplePos x="0" y="0"/>
                <wp:positionH relativeFrom="column">
                  <wp:posOffset>4640580</wp:posOffset>
                </wp:positionH>
                <wp:positionV relativeFrom="paragraph">
                  <wp:posOffset>78105</wp:posOffset>
                </wp:positionV>
                <wp:extent cx="1209675" cy="285115"/>
                <wp:effectExtent l="0" t="0" r="9525" b="635"/>
                <wp:wrapNone/>
                <wp:docPr id="1" name="文本框 1"/>
                <wp:cNvGraphicFramePr/>
                <a:graphic xmlns:a="http://schemas.openxmlformats.org/drawingml/2006/main">
                  <a:graphicData uri="http://schemas.microsoft.com/office/word/2010/wordprocessingShape">
                    <wps:wsp>
                      <wps:cNvSpPr/>
                      <wps:spPr>
                        <a:xfrm>
                          <a:off x="0" y="0"/>
                          <a:ext cx="1209675" cy="285115"/>
                        </a:xfrm>
                        <a:prstGeom prst="rect">
                          <a:avLst/>
                        </a:prstGeom>
                        <a:solidFill>
                          <a:srgbClr val="FFFFFF"/>
                        </a:solidFill>
                        <a:ln cap="flat" cmpd="sng">
                          <a:noFill/>
                          <a:prstDash val="solid"/>
                          <a:round/>
                        </a:ln>
                      </wps:spPr>
                      <wps:txbx>
                        <w:txbxContent>
                          <w:p w14:paraId="237E8F3A">
                            <w:pPr>
                              <w:spacing w:line="320" w:lineRule="exact"/>
                            </w:pPr>
                            <w:r>
                              <w:rPr>
                                <w:rFonts w:eastAsia="黑体"/>
                                <w:sz w:val="24"/>
                              </w:rPr>
                              <w:t>NO：</w:t>
                            </w:r>
                          </w:p>
                        </w:txbxContent>
                      </wps:txbx>
                      <wps:bodyPr vert="horz" wrap="square" lIns="91440" tIns="45720" rIns="91440" bIns="45720" anchor="t" anchorCtr="0" upright="1">
                        <a:noAutofit/>
                      </wps:bodyPr>
                    </wps:wsp>
                  </a:graphicData>
                </a:graphic>
              </wp:anchor>
            </w:drawing>
          </mc:Choice>
          <mc:Fallback>
            <w:pict>
              <v:rect id="文本框 1" o:spid="_x0000_s1026" o:spt="1" style="position:absolute;left:0pt;margin-left:365.4pt;margin-top:6.15pt;height:22.45pt;width:95.25pt;z-index:251659264;mso-width-relative:page;mso-height-relative:page;" fillcolor="#FFFFFF" filled="t" stroked="f" coordsize="21600,21600" o:gfxdata="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uL1v/1wAAAAkBAAAP&#10;AAAAAAAAAAEAIAAAACIAAABkcnMvZG93bnJldi54bWxQSwECFAAUAAAACACHTuJARfCo0BkCAAAn&#10;BAAADgAAAAAAAAABACAAAAAmAQAAZHJzL2Uyb0RvYy54bWxQSwUGAAAAAAYABgBZAQAAsQUAAAAA&#10;">
                <v:fill on="t" focussize="0,0"/>
                <v:stroke on="f" joinstyle="round"/>
                <v:imagedata o:title=""/>
                <o:lock v:ext="edit" aspectratio="f"/>
                <v:textbox>
                  <w:txbxContent>
                    <w:p w14:paraId="237E8F3A">
                      <w:pPr>
                        <w:spacing w:line="320" w:lineRule="exact"/>
                      </w:pPr>
                      <w:r>
                        <w:rPr>
                          <w:rFonts w:eastAsia="黑体"/>
                          <w:sz w:val="24"/>
                        </w:rPr>
                        <w:t>NO：</w:t>
                      </w:r>
                    </w:p>
                  </w:txbxContent>
                </v:textbox>
              </v:rect>
            </w:pict>
          </mc:Fallback>
        </mc:AlternateContent>
      </w:r>
      <w:r>
        <w:rPr>
          <w:rFonts w:eastAsia="黑体"/>
          <w:sz w:val="30"/>
          <w:szCs w:val="30"/>
          <w:highlight w:val="none"/>
        </w:rPr>
        <w:t>瑞安市政府采购项目诚信评价反馈表</w:t>
      </w:r>
    </w:p>
    <w:tbl>
      <w:tblPr>
        <w:tblStyle w:val="25"/>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
        <w:gridCol w:w="1301"/>
        <w:gridCol w:w="2824"/>
        <w:gridCol w:w="9"/>
        <w:gridCol w:w="1598"/>
        <w:gridCol w:w="3090"/>
      </w:tblGrid>
      <w:tr w14:paraId="14C85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jc w:val="center"/>
        </w:trPr>
        <w:tc>
          <w:tcPr>
            <w:tcW w:w="1765" w:type="dxa"/>
            <w:gridSpan w:val="2"/>
            <w:vAlign w:val="center"/>
          </w:tcPr>
          <w:p w14:paraId="591EDC3B">
            <w:pPr>
              <w:jc w:val="center"/>
              <w:rPr>
                <w:highlight w:val="none"/>
              </w:rPr>
            </w:pPr>
            <w:r>
              <w:rPr>
                <w:highlight w:val="none"/>
              </w:rPr>
              <w:t>采购人</w:t>
            </w:r>
          </w:p>
        </w:tc>
        <w:tc>
          <w:tcPr>
            <w:tcW w:w="2824" w:type="dxa"/>
            <w:vAlign w:val="center"/>
          </w:tcPr>
          <w:p w14:paraId="49F3EF6D">
            <w:pPr>
              <w:jc w:val="center"/>
              <w:rPr>
                <w:highlight w:val="none"/>
              </w:rPr>
            </w:pPr>
          </w:p>
        </w:tc>
        <w:tc>
          <w:tcPr>
            <w:tcW w:w="1607" w:type="dxa"/>
            <w:gridSpan w:val="2"/>
            <w:vAlign w:val="center"/>
          </w:tcPr>
          <w:p w14:paraId="6BFB592F">
            <w:pPr>
              <w:jc w:val="center"/>
              <w:rPr>
                <w:highlight w:val="none"/>
              </w:rPr>
            </w:pPr>
            <w:r>
              <w:rPr>
                <w:highlight w:val="none"/>
              </w:rPr>
              <w:t>联系方式</w:t>
            </w:r>
          </w:p>
        </w:tc>
        <w:tc>
          <w:tcPr>
            <w:tcW w:w="3090" w:type="dxa"/>
            <w:vAlign w:val="center"/>
          </w:tcPr>
          <w:p w14:paraId="53EFA8AD">
            <w:pPr>
              <w:jc w:val="center"/>
              <w:rPr>
                <w:highlight w:val="none"/>
              </w:rPr>
            </w:pPr>
          </w:p>
        </w:tc>
      </w:tr>
      <w:tr w14:paraId="73303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jc w:val="center"/>
        </w:trPr>
        <w:tc>
          <w:tcPr>
            <w:tcW w:w="1765" w:type="dxa"/>
            <w:gridSpan w:val="2"/>
            <w:vAlign w:val="center"/>
          </w:tcPr>
          <w:p w14:paraId="40071E1A">
            <w:pPr>
              <w:jc w:val="center"/>
              <w:rPr>
                <w:highlight w:val="none"/>
              </w:rPr>
            </w:pPr>
            <w:r>
              <w:rPr>
                <w:highlight w:val="none"/>
              </w:rPr>
              <w:t>项目名称</w:t>
            </w:r>
          </w:p>
        </w:tc>
        <w:tc>
          <w:tcPr>
            <w:tcW w:w="2824" w:type="dxa"/>
            <w:tcBorders>
              <w:left w:val="single" w:color="auto" w:sz="4" w:space="0"/>
            </w:tcBorders>
            <w:vAlign w:val="center"/>
          </w:tcPr>
          <w:p w14:paraId="0F9A500E">
            <w:pPr>
              <w:jc w:val="center"/>
              <w:rPr>
                <w:highlight w:val="none"/>
              </w:rPr>
            </w:pPr>
          </w:p>
        </w:tc>
        <w:tc>
          <w:tcPr>
            <w:tcW w:w="1607" w:type="dxa"/>
            <w:gridSpan w:val="2"/>
            <w:tcBorders>
              <w:left w:val="single" w:color="auto" w:sz="4" w:space="0"/>
            </w:tcBorders>
            <w:vAlign w:val="center"/>
          </w:tcPr>
          <w:p w14:paraId="0EE7BF94">
            <w:pPr>
              <w:jc w:val="center"/>
              <w:rPr>
                <w:highlight w:val="none"/>
              </w:rPr>
            </w:pPr>
            <w:r>
              <w:rPr>
                <w:highlight w:val="none"/>
              </w:rPr>
              <w:t>项目编号</w:t>
            </w:r>
          </w:p>
        </w:tc>
        <w:tc>
          <w:tcPr>
            <w:tcW w:w="3090" w:type="dxa"/>
            <w:tcBorders>
              <w:left w:val="single" w:color="auto" w:sz="4" w:space="0"/>
            </w:tcBorders>
            <w:vAlign w:val="center"/>
          </w:tcPr>
          <w:p w14:paraId="7A6F0D9D">
            <w:pPr>
              <w:jc w:val="center"/>
              <w:rPr>
                <w:highlight w:val="none"/>
              </w:rPr>
            </w:pPr>
          </w:p>
        </w:tc>
      </w:tr>
      <w:tr w14:paraId="780F0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jc w:val="center"/>
        </w:trPr>
        <w:tc>
          <w:tcPr>
            <w:tcW w:w="1765" w:type="dxa"/>
            <w:gridSpan w:val="2"/>
            <w:vAlign w:val="center"/>
          </w:tcPr>
          <w:p w14:paraId="68B99034">
            <w:pPr>
              <w:jc w:val="center"/>
              <w:rPr>
                <w:highlight w:val="none"/>
              </w:rPr>
            </w:pPr>
            <w:r>
              <w:rPr>
                <w:highlight w:val="none"/>
              </w:rPr>
              <w:t>成交供应商</w:t>
            </w:r>
          </w:p>
        </w:tc>
        <w:tc>
          <w:tcPr>
            <w:tcW w:w="2824" w:type="dxa"/>
            <w:tcBorders>
              <w:left w:val="single" w:color="auto" w:sz="4" w:space="0"/>
            </w:tcBorders>
            <w:vAlign w:val="center"/>
          </w:tcPr>
          <w:p w14:paraId="4DE5A3FA">
            <w:pPr>
              <w:jc w:val="center"/>
              <w:rPr>
                <w:highlight w:val="none"/>
              </w:rPr>
            </w:pPr>
          </w:p>
        </w:tc>
        <w:tc>
          <w:tcPr>
            <w:tcW w:w="1607" w:type="dxa"/>
            <w:gridSpan w:val="2"/>
            <w:tcBorders>
              <w:left w:val="single" w:color="auto" w:sz="4" w:space="0"/>
            </w:tcBorders>
            <w:vAlign w:val="center"/>
          </w:tcPr>
          <w:p w14:paraId="338BC671">
            <w:pPr>
              <w:jc w:val="center"/>
              <w:rPr>
                <w:highlight w:val="none"/>
              </w:rPr>
            </w:pPr>
            <w:r>
              <w:rPr>
                <w:highlight w:val="none"/>
              </w:rPr>
              <w:t>中标金额</w:t>
            </w:r>
          </w:p>
        </w:tc>
        <w:tc>
          <w:tcPr>
            <w:tcW w:w="3090" w:type="dxa"/>
            <w:tcBorders>
              <w:left w:val="single" w:color="auto" w:sz="4" w:space="0"/>
            </w:tcBorders>
            <w:vAlign w:val="center"/>
          </w:tcPr>
          <w:p w14:paraId="6E3885AD">
            <w:pPr>
              <w:jc w:val="center"/>
              <w:rPr>
                <w:highlight w:val="none"/>
              </w:rPr>
            </w:pPr>
          </w:p>
        </w:tc>
      </w:tr>
      <w:tr w14:paraId="64C13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765" w:type="dxa"/>
            <w:gridSpan w:val="2"/>
            <w:tcBorders>
              <w:bottom w:val="single" w:color="auto" w:sz="4" w:space="0"/>
            </w:tcBorders>
            <w:vAlign w:val="center"/>
          </w:tcPr>
          <w:p w14:paraId="281C5930">
            <w:pPr>
              <w:jc w:val="center"/>
              <w:rPr>
                <w:highlight w:val="none"/>
              </w:rPr>
            </w:pPr>
            <w:r>
              <w:rPr>
                <w:highlight w:val="none"/>
              </w:rPr>
              <w:t>代理机构</w:t>
            </w:r>
          </w:p>
        </w:tc>
        <w:tc>
          <w:tcPr>
            <w:tcW w:w="2824" w:type="dxa"/>
            <w:tcBorders>
              <w:left w:val="single" w:color="auto" w:sz="4" w:space="0"/>
            </w:tcBorders>
            <w:vAlign w:val="center"/>
          </w:tcPr>
          <w:p w14:paraId="7BF3CBAD">
            <w:pPr>
              <w:jc w:val="center"/>
              <w:rPr>
                <w:highlight w:val="none"/>
              </w:rPr>
            </w:pPr>
          </w:p>
        </w:tc>
        <w:tc>
          <w:tcPr>
            <w:tcW w:w="1607" w:type="dxa"/>
            <w:gridSpan w:val="2"/>
            <w:tcBorders>
              <w:left w:val="single" w:color="auto" w:sz="4" w:space="0"/>
            </w:tcBorders>
            <w:vAlign w:val="center"/>
          </w:tcPr>
          <w:p w14:paraId="2CB55968">
            <w:pPr>
              <w:jc w:val="center"/>
              <w:rPr>
                <w:highlight w:val="none"/>
              </w:rPr>
            </w:pPr>
            <w:r>
              <w:rPr>
                <w:highlight w:val="none"/>
              </w:rPr>
              <w:t>定标时间</w:t>
            </w:r>
          </w:p>
        </w:tc>
        <w:tc>
          <w:tcPr>
            <w:tcW w:w="3090" w:type="dxa"/>
            <w:tcBorders>
              <w:left w:val="single" w:color="auto" w:sz="4" w:space="0"/>
            </w:tcBorders>
            <w:vAlign w:val="center"/>
          </w:tcPr>
          <w:p w14:paraId="6386C292">
            <w:pPr>
              <w:ind w:firstLine="420" w:firstLineChars="200"/>
              <w:jc w:val="center"/>
              <w:rPr>
                <w:highlight w:val="none"/>
              </w:rPr>
            </w:pPr>
            <w:r>
              <w:rPr>
                <w:highlight w:val="none"/>
              </w:rPr>
              <w:t>年  月   日</w:t>
            </w:r>
          </w:p>
        </w:tc>
      </w:tr>
      <w:tr w14:paraId="1F29B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9286" w:type="dxa"/>
            <w:gridSpan w:val="6"/>
            <w:tcBorders>
              <w:bottom w:val="single" w:color="auto" w:sz="4" w:space="0"/>
            </w:tcBorders>
            <w:vAlign w:val="center"/>
          </w:tcPr>
          <w:p w14:paraId="7940AA5F">
            <w:pPr>
              <w:jc w:val="center"/>
              <w:rPr>
                <w:b/>
                <w:bCs/>
                <w:highlight w:val="none"/>
              </w:rPr>
            </w:pPr>
            <w:r>
              <w:rPr>
                <w:b/>
                <w:bCs/>
                <w:highlight w:val="none"/>
              </w:rPr>
              <w:t>以   下  内  容  由  采  购  单  位  填  写</w:t>
            </w:r>
          </w:p>
        </w:tc>
      </w:tr>
      <w:tr w14:paraId="759AD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765" w:type="dxa"/>
            <w:gridSpan w:val="2"/>
            <w:tcBorders>
              <w:bottom w:val="single" w:color="auto" w:sz="4" w:space="0"/>
            </w:tcBorders>
            <w:vAlign w:val="center"/>
          </w:tcPr>
          <w:p w14:paraId="3681496E">
            <w:pPr>
              <w:jc w:val="center"/>
              <w:rPr>
                <w:b/>
                <w:bCs/>
                <w:highlight w:val="none"/>
              </w:rPr>
            </w:pPr>
            <w:r>
              <w:rPr>
                <w:highlight w:val="none"/>
              </w:rPr>
              <w:t>合同签订时间</w:t>
            </w:r>
          </w:p>
        </w:tc>
        <w:tc>
          <w:tcPr>
            <w:tcW w:w="2833" w:type="dxa"/>
            <w:gridSpan w:val="2"/>
            <w:tcBorders>
              <w:bottom w:val="single" w:color="auto" w:sz="4" w:space="0"/>
            </w:tcBorders>
            <w:vAlign w:val="center"/>
          </w:tcPr>
          <w:p w14:paraId="27173D59">
            <w:pPr>
              <w:jc w:val="center"/>
              <w:rPr>
                <w:b/>
                <w:bCs/>
                <w:highlight w:val="none"/>
              </w:rPr>
            </w:pPr>
          </w:p>
        </w:tc>
        <w:tc>
          <w:tcPr>
            <w:tcW w:w="1598" w:type="dxa"/>
            <w:tcBorders>
              <w:bottom w:val="single" w:color="auto" w:sz="4" w:space="0"/>
            </w:tcBorders>
            <w:vAlign w:val="center"/>
          </w:tcPr>
          <w:p w14:paraId="7F7DD562">
            <w:pPr>
              <w:jc w:val="center"/>
              <w:rPr>
                <w:b/>
                <w:bCs/>
                <w:highlight w:val="none"/>
              </w:rPr>
            </w:pPr>
            <w:r>
              <w:rPr>
                <w:highlight w:val="none"/>
              </w:rPr>
              <w:t>验收完成时间</w:t>
            </w:r>
          </w:p>
        </w:tc>
        <w:tc>
          <w:tcPr>
            <w:tcW w:w="3090" w:type="dxa"/>
            <w:tcBorders>
              <w:bottom w:val="single" w:color="auto" w:sz="4" w:space="0"/>
            </w:tcBorders>
            <w:vAlign w:val="center"/>
          </w:tcPr>
          <w:p w14:paraId="337B7EB5">
            <w:pPr>
              <w:jc w:val="center"/>
              <w:rPr>
                <w:b/>
                <w:bCs/>
                <w:highlight w:val="none"/>
              </w:rPr>
            </w:pPr>
          </w:p>
        </w:tc>
      </w:tr>
      <w:tr w14:paraId="1B336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765" w:type="dxa"/>
            <w:gridSpan w:val="2"/>
            <w:tcBorders>
              <w:bottom w:val="single" w:color="auto" w:sz="4" w:space="0"/>
            </w:tcBorders>
            <w:vAlign w:val="center"/>
          </w:tcPr>
          <w:p w14:paraId="4991E333">
            <w:pPr>
              <w:jc w:val="center"/>
              <w:rPr>
                <w:highlight w:val="none"/>
              </w:rPr>
            </w:pPr>
            <w:r>
              <w:rPr>
                <w:highlight w:val="none"/>
              </w:rPr>
              <w:t>政府采购标签</w:t>
            </w:r>
          </w:p>
        </w:tc>
        <w:tc>
          <w:tcPr>
            <w:tcW w:w="2833" w:type="dxa"/>
            <w:gridSpan w:val="2"/>
            <w:tcBorders>
              <w:bottom w:val="single" w:color="auto" w:sz="4" w:space="0"/>
            </w:tcBorders>
            <w:vAlign w:val="center"/>
          </w:tcPr>
          <w:p w14:paraId="216CB402">
            <w:pPr>
              <w:jc w:val="center"/>
              <w:rPr>
                <w:b/>
                <w:bCs/>
                <w:highlight w:val="none"/>
              </w:rPr>
            </w:pPr>
            <w:r>
              <w:rPr>
                <w:b/>
                <w:bCs/>
                <w:highlight w:val="none"/>
              </w:rPr>
              <w:t>有/无</w:t>
            </w:r>
          </w:p>
        </w:tc>
        <w:tc>
          <w:tcPr>
            <w:tcW w:w="1598" w:type="dxa"/>
            <w:tcBorders>
              <w:bottom w:val="single" w:color="auto" w:sz="4" w:space="0"/>
            </w:tcBorders>
            <w:vAlign w:val="center"/>
          </w:tcPr>
          <w:p w14:paraId="62507A8C">
            <w:pPr>
              <w:jc w:val="center"/>
              <w:rPr>
                <w:highlight w:val="none"/>
              </w:rPr>
            </w:pPr>
            <w:r>
              <w:rPr>
                <w:highlight w:val="none"/>
              </w:rPr>
              <w:t>协助验收</w:t>
            </w:r>
          </w:p>
        </w:tc>
        <w:tc>
          <w:tcPr>
            <w:tcW w:w="3090" w:type="dxa"/>
            <w:tcBorders>
              <w:bottom w:val="single" w:color="auto" w:sz="4" w:space="0"/>
            </w:tcBorders>
            <w:vAlign w:val="center"/>
          </w:tcPr>
          <w:p w14:paraId="5E29B702">
            <w:pPr>
              <w:jc w:val="center"/>
              <w:rPr>
                <w:b/>
                <w:bCs/>
                <w:highlight w:val="none"/>
              </w:rPr>
            </w:pPr>
            <w:r>
              <w:rPr>
                <w:b/>
                <w:bCs/>
                <w:highlight w:val="none"/>
              </w:rPr>
              <w:t>是/否</w:t>
            </w:r>
          </w:p>
        </w:tc>
      </w:tr>
      <w:tr w14:paraId="44064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0" w:hRule="atLeast"/>
          <w:jc w:val="center"/>
        </w:trPr>
        <w:tc>
          <w:tcPr>
            <w:tcW w:w="464" w:type="dxa"/>
            <w:vMerge w:val="restart"/>
            <w:vAlign w:val="center"/>
          </w:tcPr>
          <w:p w14:paraId="0FBA6E73">
            <w:pPr>
              <w:jc w:val="center"/>
              <w:rPr>
                <w:highlight w:val="none"/>
              </w:rPr>
            </w:pPr>
            <w:r>
              <w:rPr>
                <w:highlight w:val="none"/>
              </w:rPr>
              <w:t>采购人对本次政府采购的评价意见</w:t>
            </w:r>
          </w:p>
        </w:tc>
        <w:tc>
          <w:tcPr>
            <w:tcW w:w="8822" w:type="dxa"/>
            <w:gridSpan w:val="5"/>
            <w:tcBorders>
              <w:left w:val="single" w:color="auto" w:sz="4" w:space="0"/>
            </w:tcBorders>
            <w:vAlign w:val="center"/>
          </w:tcPr>
          <w:p w14:paraId="4699CA87">
            <w:pPr>
              <w:spacing w:line="360" w:lineRule="auto"/>
              <w:ind w:firstLine="420" w:firstLineChars="200"/>
              <w:jc w:val="left"/>
              <w:rPr>
                <w:highlight w:val="none"/>
              </w:rPr>
            </w:pPr>
            <w:r>
              <w:rPr>
                <w:highlight w:val="none"/>
              </w:rPr>
              <w:t xml:space="preserve">请如实填写您对本次政府采购的项目（货物、服务、工程）在价格、质量、服务方面的意见（在结论上打“ </w:t>
            </w:r>
            <w:r>
              <w:rPr>
                <w:b/>
                <w:bCs/>
                <w:highlight w:val="none"/>
              </w:rPr>
              <w:t>√</w:t>
            </w:r>
            <w:r>
              <w:rPr>
                <w:highlight w:val="none"/>
              </w:rPr>
              <w:t>”）。</w:t>
            </w:r>
          </w:p>
          <w:p w14:paraId="55203F90">
            <w:pPr>
              <w:numPr>
                <w:ilvl w:val="0"/>
                <w:numId w:val="19"/>
              </w:numPr>
              <w:spacing w:line="360" w:lineRule="auto"/>
              <w:jc w:val="left"/>
              <w:rPr>
                <w:highlight w:val="none"/>
              </w:rPr>
            </w:pPr>
            <w:r>
              <w:rPr>
                <w:highlight w:val="none"/>
              </w:rPr>
              <w:t>对成交供应商的评价意见</w:t>
            </w:r>
          </w:p>
          <w:p w14:paraId="0FF9203B">
            <w:pPr>
              <w:spacing w:line="360" w:lineRule="auto"/>
              <w:ind w:left="210" w:leftChars="100"/>
              <w:jc w:val="center"/>
              <w:rPr>
                <w:b/>
                <w:bCs/>
                <w:highlight w:val="none"/>
              </w:rPr>
            </w:pPr>
            <w:r>
              <w:rPr>
                <w:b/>
                <w:bCs/>
                <w:highlight w:val="none"/>
              </w:rPr>
              <w:t>1、价格     A、优     B、良     C、好     D、一般     E、差</w:t>
            </w:r>
          </w:p>
          <w:p w14:paraId="4F8D51AC">
            <w:pPr>
              <w:spacing w:line="360" w:lineRule="auto"/>
              <w:ind w:left="210" w:leftChars="100"/>
              <w:jc w:val="center"/>
              <w:rPr>
                <w:b/>
                <w:bCs/>
                <w:highlight w:val="none"/>
              </w:rPr>
            </w:pPr>
            <w:r>
              <w:rPr>
                <w:b/>
                <w:bCs/>
                <w:highlight w:val="none"/>
              </w:rPr>
              <w:t>2、质量     A、优     B、良     C、好     D、一般     E、差</w:t>
            </w:r>
          </w:p>
          <w:p w14:paraId="6C8F6B30">
            <w:pPr>
              <w:spacing w:line="360" w:lineRule="auto"/>
              <w:ind w:left="210" w:leftChars="100"/>
              <w:jc w:val="center"/>
              <w:rPr>
                <w:b/>
                <w:bCs/>
                <w:highlight w:val="none"/>
              </w:rPr>
            </w:pPr>
            <w:r>
              <w:rPr>
                <w:b/>
                <w:bCs/>
                <w:highlight w:val="none"/>
              </w:rPr>
              <w:t>3、服务     A、优     B、良     C、好     D、一般     E、差</w:t>
            </w:r>
          </w:p>
        </w:tc>
      </w:tr>
      <w:tr w14:paraId="49210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8" w:hRule="atLeast"/>
          <w:jc w:val="center"/>
        </w:trPr>
        <w:tc>
          <w:tcPr>
            <w:tcW w:w="464" w:type="dxa"/>
            <w:vMerge w:val="continue"/>
            <w:vAlign w:val="center"/>
          </w:tcPr>
          <w:p w14:paraId="2B804CB5">
            <w:pPr>
              <w:rPr>
                <w:highlight w:val="none"/>
              </w:rPr>
            </w:pPr>
          </w:p>
        </w:tc>
        <w:tc>
          <w:tcPr>
            <w:tcW w:w="8822" w:type="dxa"/>
            <w:gridSpan w:val="5"/>
            <w:tcBorders>
              <w:left w:val="single" w:color="auto" w:sz="4" w:space="0"/>
            </w:tcBorders>
            <w:vAlign w:val="center"/>
          </w:tcPr>
          <w:p w14:paraId="0136074D">
            <w:pPr>
              <w:numPr>
                <w:ilvl w:val="0"/>
                <w:numId w:val="19"/>
              </w:numPr>
              <w:spacing w:line="360" w:lineRule="auto"/>
              <w:jc w:val="left"/>
              <w:rPr>
                <w:szCs w:val="21"/>
                <w:highlight w:val="none"/>
              </w:rPr>
            </w:pPr>
            <w:r>
              <w:rPr>
                <w:szCs w:val="21"/>
                <w:highlight w:val="none"/>
              </w:rPr>
              <w:t>对成交供应商诚信总体评价：</w:t>
            </w:r>
          </w:p>
          <w:p w14:paraId="572EEBB1">
            <w:pPr>
              <w:spacing w:line="360" w:lineRule="auto"/>
              <w:jc w:val="center"/>
              <w:rPr>
                <w:highlight w:val="none"/>
              </w:rPr>
            </w:pPr>
            <w:r>
              <w:rPr>
                <w:rFonts w:ascii="新宋体" w:hAnsi="新宋体" w:eastAsia="新宋体"/>
                <w:szCs w:val="21"/>
                <w:highlight w:val="none"/>
              </w:rPr>
              <w:t>A、优（90-100） B、良（80-90） C、好（70-80） D、一般（60-70） E、差（60以下）</w:t>
            </w:r>
          </w:p>
        </w:tc>
      </w:tr>
      <w:tr w14:paraId="5A09F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8" w:hRule="atLeast"/>
          <w:jc w:val="center"/>
        </w:trPr>
        <w:tc>
          <w:tcPr>
            <w:tcW w:w="464" w:type="dxa"/>
            <w:vMerge w:val="continue"/>
            <w:vAlign w:val="center"/>
          </w:tcPr>
          <w:p w14:paraId="5309C844">
            <w:pPr>
              <w:rPr>
                <w:highlight w:val="none"/>
              </w:rPr>
            </w:pPr>
          </w:p>
        </w:tc>
        <w:tc>
          <w:tcPr>
            <w:tcW w:w="8822" w:type="dxa"/>
            <w:gridSpan w:val="5"/>
            <w:tcBorders>
              <w:left w:val="single" w:color="auto" w:sz="4" w:space="0"/>
            </w:tcBorders>
          </w:tcPr>
          <w:p w14:paraId="47A3396D">
            <w:pPr>
              <w:spacing w:line="360" w:lineRule="auto"/>
              <w:jc w:val="left"/>
              <w:rPr>
                <w:highlight w:val="none"/>
              </w:rPr>
            </w:pPr>
            <w:r>
              <w:rPr>
                <w:highlight w:val="none"/>
              </w:rPr>
              <w:t>三、您若有政府采购方面的建议和措施，请说明（可附页说明）：</w:t>
            </w:r>
          </w:p>
          <w:p w14:paraId="194A40BA">
            <w:pPr>
              <w:spacing w:line="360" w:lineRule="auto"/>
              <w:ind w:left="210" w:leftChars="100"/>
              <w:jc w:val="left"/>
              <w:rPr>
                <w:rFonts w:ascii="宋体" w:hAnsi="宋体"/>
                <w:b/>
                <w:bCs/>
                <w:highlight w:val="none"/>
              </w:rPr>
            </w:pPr>
            <w:r>
              <w:rPr>
                <w:rFonts w:ascii="宋体" w:hAnsi="宋体"/>
                <w:b/>
                <w:bCs/>
                <w:highlight w:val="none"/>
              </w:rPr>
              <w:t>1、</w:t>
            </w:r>
          </w:p>
          <w:p w14:paraId="01B7BEE4">
            <w:pPr>
              <w:spacing w:line="360" w:lineRule="auto"/>
              <w:ind w:left="210" w:leftChars="100"/>
              <w:jc w:val="left"/>
              <w:rPr>
                <w:rFonts w:ascii="宋体" w:hAnsi="宋体"/>
                <w:b/>
                <w:bCs/>
                <w:highlight w:val="none"/>
              </w:rPr>
            </w:pPr>
            <w:r>
              <w:rPr>
                <w:rFonts w:ascii="宋体" w:hAnsi="宋体"/>
                <w:b/>
                <w:bCs/>
                <w:highlight w:val="none"/>
              </w:rPr>
              <w:t>2、</w:t>
            </w:r>
          </w:p>
          <w:p w14:paraId="4040A44F">
            <w:pPr>
              <w:spacing w:line="360" w:lineRule="auto"/>
              <w:ind w:left="210" w:leftChars="100"/>
              <w:jc w:val="left"/>
              <w:rPr>
                <w:rFonts w:eastAsia="宋体"/>
                <w:highlight w:val="none"/>
              </w:rPr>
            </w:pPr>
            <w:r>
              <w:rPr>
                <w:rFonts w:ascii="宋体" w:hAnsi="宋体"/>
                <w:b/>
                <w:bCs/>
                <w:highlight w:val="none"/>
              </w:rPr>
              <w:t>3、</w:t>
            </w:r>
          </w:p>
        </w:tc>
      </w:tr>
      <w:tr w14:paraId="7D724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8" w:hRule="atLeast"/>
          <w:jc w:val="center"/>
        </w:trPr>
        <w:tc>
          <w:tcPr>
            <w:tcW w:w="464" w:type="dxa"/>
            <w:vMerge w:val="continue"/>
            <w:tcBorders>
              <w:bottom w:val="single" w:color="auto" w:sz="4" w:space="0"/>
            </w:tcBorders>
            <w:vAlign w:val="center"/>
          </w:tcPr>
          <w:p w14:paraId="6C44EE33">
            <w:pPr>
              <w:rPr>
                <w:highlight w:val="none"/>
              </w:rPr>
            </w:pPr>
          </w:p>
        </w:tc>
        <w:tc>
          <w:tcPr>
            <w:tcW w:w="8822" w:type="dxa"/>
            <w:gridSpan w:val="5"/>
            <w:tcBorders>
              <w:bottom w:val="single" w:color="auto" w:sz="4" w:space="0"/>
            </w:tcBorders>
            <w:vAlign w:val="center"/>
          </w:tcPr>
          <w:p w14:paraId="195FE13B">
            <w:pPr>
              <w:jc w:val="left"/>
              <w:rPr>
                <w:highlight w:val="none"/>
              </w:rPr>
            </w:pPr>
            <w:r>
              <w:rPr>
                <w:highlight w:val="none"/>
              </w:rPr>
              <w:t>（此表由采购人填写，主要对成交供应商在项目履约过程中的诚信情况及项目验收后项目总体履约（满意度）进行评价，此表务必在项目验收完成后三日内交回公共资源交易中心）</w:t>
            </w:r>
          </w:p>
          <w:p w14:paraId="7E147188">
            <w:pPr>
              <w:jc w:val="center"/>
              <w:rPr>
                <w:highlight w:val="none"/>
              </w:rPr>
            </w:pPr>
          </w:p>
          <w:p w14:paraId="2B523B1A">
            <w:pPr>
              <w:jc w:val="left"/>
              <w:rPr>
                <w:highlight w:val="none"/>
              </w:rPr>
            </w:pPr>
            <w:r>
              <w:rPr>
                <w:highlight w:val="none"/>
              </w:rPr>
              <w:t>采购人确认：（盖章）</w:t>
            </w:r>
          </w:p>
        </w:tc>
      </w:tr>
      <w:tr w14:paraId="02591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3" w:hRule="atLeast"/>
          <w:jc w:val="center"/>
        </w:trPr>
        <w:tc>
          <w:tcPr>
            <w:tcW w:w="464" w:type="dxa"/>
            <w:tcBorders>
              <w:top w:val="single" w:color="auto" w:sz="4" w:space="0"/>
              <w:bottom w:val="single" w:color="auto" w:sz="4" w:space="0"/>
            </w:tcBorders>
            <w:vAlign w:val="center"/>
          </w:tcPr>
          <w:p w14:paraId="1BE5E8C8">
            <w:pPr>
              <w:jc w:val="center"/>
              <w:rPr>
                <w:highlight w:val="none"/>
              </w:rPr>
            </w:pPr>
            <w:r>
              <w:rPr>
                <w:highlight w:val="none"/>
              </w:rPr>
              <w:t>备注</w:t>
            </w:r>
          </w:p>
        </w:tc>
        <w:tc>
          <w:tcPr>
            <w:tcW w:w="8822" w:type="dxa"/>
            <w:gridSpan w:val="5"/>
            <w:tcBorders>
              <w:top w:val="single" w:color="auto" w:sz="4" w:space="0"/>
              <w:bottom w:val="single" w:color="auto" w:sz="4" w:space="0"/>
            </w:tcBorders>
            <w:vAlign w:val="center"/>
          </w:tcPr>
          <w:tbl>
            <w:tblPr>
              <w:tblStyle w:val="25"/>
              <w:tblW w:w="862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57" w:type="dxa"/>
                <w:left w:w="108" w:type="dxa"/>
                <w:bottom w:w="57" w:type="dxa"/>
                <w:right w:w="108" w:type="dxa"/>
              </w:tblCellMar>
            </w:tblPr>
            <w:tblGrid>
              <w:gridCol w:w="2659"/>
              <w:gridCol w:w="3087"/>
              <w:gridCol w:w="2874"/>
            </w:tblGrid>
            <w:tr w14:paraId="07787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48" w:hRule="atLeast"/>
              </w:trPr>
              <w:tc>
                <w:tcPr>
                  <w:tcW w:w="2659" w:type="dxa"/>
                  <w:vMerge w:val="restart"/>
                  <w:vAlign w:val="center"/>
                </w:tcPr>
                <w:p w14:paraId="3A232615">
                  <w:pPr>
                    <w:jc w:val="center"/>
                    <w:rPr>
                      <w:highlight w:val="none"/>
                    </w:rPr>
                  </w:pPr>
                  <w:r>
                    <w:rPr>
                      <w:highlight w:val="none"/>
                    </w:rPr>
                    <w:t>瑞安市公共资源交易中心</w:t>
                  </w:r>
                </w:p>
              </w:tc>
              <w:tc>
                <w:tcPr>
                  <w:tcW w:w="3087" w:type="dxa"/>
                </w:tcPr>
                <w:p w14:paraId="055E383B">
                  <w:pPr>
                    <w:jc w:val="center"/>
                    <w:rPr>
                      <w:highlight w:val="none"/>
                    </w:rPr>
                  </w:pPr>
                  <w:r>
                    <w:rPr>
                      <w:highlight w:val="none"/>
                    </w:rPr>
                    <w:t>地址：瑞安市满庭芳大楼三楼</w:t>
                  </w:r>
                </w:p>
              </w:tc>
              <w:tc>
                <w:tcPr>
                  <w:tcW w:w="2874" w:type="dxa"/>
                </w:tcPr>
                <w:p w14:paraId="4B5C5948">
                  <w:pPr>
                    <w:jc w:val="center"/>
                    <w:rPr>
                      <w:highlight w:val="none"/>
                    </w:rPr>
                  </w:pPr>
                  <w:r>
                    <w:rPr>
                      <w:highlight w:val="none"/>
                    </w:rPr>
                    <w:t>联系电话：0577-65879521</w:t>
                  </w:r>
                </w:p>
              </w:tc>
            </w:tr>
            <w:tr w14:paraId="2759B8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57" w:type="dxa"/>
                  <w:left w:w="108" w:type="dxa"/>
                  <w:bottom w:w="57" w:type="dxa"/>
                  <w:right w:w="108" w:type="dxa"/>
                </w:tblCellMar>
              </w:tblPrEx>
              <w:trPr>
                <w:trHeight w:val="348" w:hRule="atLeast"/>
              </w:trPr>
              <w:tc>
                <w:tcPr>
                  <w:tcW w:w="2659" w:type="dxa"/>
                  <w:vMerge w:val="continue"/>
                </w:tcPr>
                <w:p w14:paraId="281C161E">
                  <w:pPr>
                    <w:rPr>
                      <w:highlight w:val="none"/>
                    </w:rPr>
                  </w:pPr>
                </w:p>
              </w:tc>
              <w:tc>
                <w:tcPr>
                  <w:tcW w:w="3087" w:type="dxa"/>
                </w:tcPr>
                <w:p w14:paraId="0A29A337">
                  <w:pPr>
                    <w:jc w:val="center"/>
                    <w:rPr>
                      <w:highlight w:val="none"/>
                    </w:rPr>
                  </w:pPr>
                  <w:r>
                    <w:rPr>
                      <w:highlight w:val="none"/>
                    </w:rPr>
                    <w:t>传真：0577-65879523</w:t>
                  </w:r>
                </w:p>
              </w:tc>
              <w:tc>
                <w:tcPr>
                  <w:tcW w:w="2874" w:type="dxa"/>
                </w:tcPr>
                <w:p w14:paraId="5B9AE4DF">
                  <w:pPr>
                    <w:jc w:val="center"/>
                    <w:rPr>
                      <w:highlight w:val="none"/>
                    </w:rPr>
                  </w:pPr>
                  <w:r>
                    <w:rPr>
                      <w:highlight w:val="none"/>
                    </w:rPr>
                    <w:t>网址：http://www.raztb.com/</w:t>
                  </w:r>
                </w:p>
              </w:tc>
            </w:tr>
          </w:tbl>
          <w:p w14:paraId="75B2EF2E">
            <w:pPr>
              <w:jc w:val="center"/>
              <w:rPr>
                <w:highlight w:val="none"/>
              </w:rPr>
            </w:pPr>
          </w:p>
        </w:tc>
      </w:tr>
    </w:tbl>
    <w:p w14:paraId="3243E96E">
      <w:pPr>
        <w:rPr>
          <w:highlight w:val="none"/>
        </w:rPr>
      </w:pPr>
    </w:p>
    <w:p w14:paraId="63B34B00">
      <w:pPr>
        <w:pStyle w:val="7"/>
        <w:keepNext w:val="0"/>
        <w:keepLines w:val="0"/>
        <w:pageBreakBefore/>
        <w:spacing w:before="312" w:beforeLines="100" w:after="312" w:afterLines="100" w:line="240" w:lineRule="auto"/>
        <w:jc w:val="center"/>
        <w:rPr>
          <w:rFonts w:hAnsi="宋体" w:cs="宋体"/>
          <w:sz w:val="28"/>
          <w:szCs w:val="36"/>
          <w:highlight w:val="none"/>
        </w:rPr>
      </w:pPr>
      <w:bookmarkStart w:id="342" w:name="_Toc16135"/>
      <w:bookmarkStart w:id="343" w:name="_Toc15479"/>
      <w:bookmarkStart w:id="344" w:name="_Toc20247"/>
      <w:bookmarkStart w:id="345" w:name="_Toc29343"/>
      <w:bookmarkStart w:id="346" w:name="_Toc28647"/>
      <w:bookmarkStart w:id="347" w:name="_Toc19240"/>
      <w:r>
        <w:rPr>
          <w:rFonts w:hAnsi="宋体" w:cs="宋体"/>
          <w:sz w:val="28"/>
          <w:szCs w:val="36"/>
          <w:highlight w:val="none"/>
        </w:rPr>
        <w:t xml:space="preserve">第五部分  </w:t>
      </w:r>
      <w:r>
        <w:rPr>
          <w:rFonts w:hint="eastAsia" w:hAnsi="宋体" w:cs="宋体"/>
          <w:sz w:val="28"/>
          <w:szCs w:val="36"/>
          <w:highlight w:val="none"/>
          <w:lang w:val="en-US" w:eastAsia="zh-CN"/>
        </w:rPr>
        <w:t xml:space="preserve"> </w:t>
      </w:r>
      <w:r>
        <w:rPr>
          <w:rFonts w:hAnsi="宋体" w:cs="宋体"/>
          <w:sz w:val="28"/>
          <w:szCs w:val="36"/>
          <w:highlight w:val="none"/>
        </w:rPr>
        <w:t>磋商响应文件格式</w:t>
      </w:r>
      <w:bookmarkEnd w:id="342"/>
      <w:bookmarkEnd w:id="343"/>
      <w:bookmarkEnd w:id="344"/>
      <w:bookmarkEnd w:id="345"/>
      <w:bookmarkEnd w:id="346"/>
      <w:bookmarkEnd w:id="347"/>
    </w:p>
    <w:p w14:paraId="76FAFFDB">
      <w:pPr>
        <w:snapToGrid w:val="0"/>
        <w:spacing w:before="624" w:beforeLines="200" w:after="156" w:afterLines="50"/>
        <w:jc w:val="center"/>
        <w:rPr>
          <w:rFonts w:ascii="宋体" w:hAnsi="宋体" w:cs="宋体"/>
          <w:b/>
          <w:bCs/>
          <w:sz w:val="28"/>
          <w:highlight w:val="none"/>
        </w:rPr>
      </w:pPr>
      <w:bookmarkStart w:id="348" w:name="_Toc11041"/>
      <w:bookmarkStart w:id="349" w:name="_Toc30728"/>
      <w:bookmarkStart w:id="350" w:name="_Toc10201"/>
      <w:bookmarkStart w:id="351" w:name="_Toc23685"/>
      <w:bookmarkStart w:id="352" w:name="_Toc22646"/>
      <w:r>
        <w:rPr>
          <w:rFonts w:ascii="宋体" w:hAnsi="宋体" w:cs="宋体"/>
          <w:b/>
          <w:bCs/>
          <w:sz w:val="28"/>
          <w:highlight w:val="none"/>
        </w:rPr>
        <w:t>磋商供应商提交磋商响应文件须知</w:t>
      </w:r>
      <w:bookmarkEnd w:id="348"/>
      <w:bookmarkEnd w:id="349"/>
      <w:bookmarkEnd w:id="350"/>
      <w:bookmarkEnd w:id="351"/>
      <w:bookmarkEnd w:id="352"/>
    </w:p>
    <w:p w14:paraId="0A85C347">
      <w:pPr>
        <w:snapToGrid w:val="0"/>
        <w:jc w:val="center"/>
        <w:rPr>
          <w:rFonts w:ascii="宋体" w:hAnsi="宋体" w:cs="宋体"/>
          <w:sz w:val="28"/>
          <w:szCs w:val="21"/>
          <w:highlight w:val="none"/>
        </w:rPr>
      </w:pPr>
    </w:p>
    <w:p w14:paraId="54A8A739">
      <w:pPr>
        <w:pStyle w:val="39"/>
        <w:snapToGrid w:val="0"/>
        <w:spacing w:line="400" w:lineRule="exact"/>
        <w:ind w:firstLine="0" w:firstLineChars="0"/>
        <w:rPr>
          <w:rFonts w:ascii="宋体" w:hAnsi="宋体" w:cs="宋体"/>
          <w:szCs w:val="22"/>
          <w:highlight w:val="none"/>
        </w:rPr>
      </w:pPr>
      <w:r>
        <w:rPr>
          <w:rFonts w:ascii="宋体" w:hAnsi="宋体" w:cs="宋体"/>
          <w:szCs w:val="22"/>
          <w:highlight w:val="none"/>
        </w:rPr>
        <w:t>1、磋商供应商应严格按照磋商响应文件的组成提交下述规定的全部格式文件以及其他有关资料，混乱的编排导致磋商响应文件被误读或采购机构、磋商小组查找不到有效文件是磋商供应商的风险。</w:t>
      </w:r>
    </w:p>
    <w:p w14:paraId="162BF9F7">
      <w:pPr>
        <w:pStyle w:val="39"/>
        <w:snapToGrid w:val="0"/>
        <w:spacing w:line="400" w:lineRule="exact"/>
        <w:ind w:firstLine="0" w:firstLineChars="0"/>
        <w:rPr>
          <w:rFonts w:ascii="宋体" w:hAnsi="宋体" w:cs="宋体"/>
          <w:szCs w:val="22"/>
          <w:highlight w:val="none"/>
        </w:rPr>
      </w:pPr>
      <w:bookmarkStart w:id="353" w:name="_Toc7418"/>
      <w:bookmarkStart w:id="354" w:name="_Toc24815"/>
      <w:bookmarkStart w:id="355" w:name="_Toc8092"/>
      <w:bookmarkStart w:id="356" w:name="_Toc17398"/>
      <w:bookmarkStart w:id="357" w:name="_Toc2242"/>
      <w:r>
        <w:rPr>
          <w:rFonts w:ascii="宋体" w:hAnsi="宋体" w:cs="宋体"/>
          <w:szCs w:val="22"/>
          <w:highlight w:val="none"/>
        </w:rPr>
        <w:t>2、所附表格中要求回答的全部问题和/或信息都必须正面回答。</w:t>
      </w:r>
      <w:bookmarkEnd w:id="353"/>
      <w:bookmarkEnd w:id="354"/>
      <w:bookmarkEnd w:id="355"/>
      <w:bookmarkEnd w:id="356"/>
      <w:bookmarkEnd w:id="357"/>
    </w:p>
    <w:p w14:paraId="16E44F59">
      <w:pPr>
        <w:pStyle w:val="39"/>
        <w:snapToGrid w:val="0"/>
        <w:spacing w:line="400" w:lineRule="exact"/>
        <w:ind w:firstLine="0" w:firstLineChars="0"/>
        <w:rPr>
          <w:rFonts w:ascii="宋体" w:hAnsi="宋体" w:cs="宋体"/>
          <w:szCs w:val="22"/>
          <w:highlight w:val="none"/>
        </w:rPr>
      </w:pPr>
      <w:r>
        <w:rPr>
          <w:rFonts w:ascii="宋体" w:hAnsi="宋体" w:cs="宋体"/>
          <w:szCs w:val="22"/>
          <w:highlight w:val="none"/>
        </w:rPr>
        <w:t>3、本资格声明的签字人应保证全部声明和问题的回答是真实的和准确的。</w:t>
      </w:r>
    </w:p>
    <w:p w14:paraId="5F0F963B">
      <w:pPr>
        <w:pStyle w:val="39"/>
        <w:snapToGrid w:val="0"/>
        <w:spacing w:line="400" w:lineRule="exact"/>
        <w:ind w:firstLine="0" w:firstLineChars="0"/>
        <w:rPr>
          <w:rFonts w:ascii="宋体" w:hAnsi="宋体" w:cs="宋体"/>
          <w:szCs w:val="22"/>
          <w:highlight w:val="none"/>
        </w:rPr>
      </w:pPr>
      <w:r>
        <w:rPr>
          <w:rFonts w:ascii="宋体" w:hAnsi="宋体" w:cs="宋体"/>
          <w:szCs w:val="22"/>
          <w:highlight w:val="none"/>
        </w:rPr>
        <w:t>4、采购机构将应用磋商供应商提交的资料根据自己的判断和考虑决定磋商供应商履行合同的合格性及能力。</w:t>
      </w:r>
    </w:p>
    <w:p w14:paraId="76386685">
      <w:pPr>
        <w:pStyle w:val="39"/>
        <w:snapToGrid w:val="0"/>
        <w:spacing w:line="400" w:lineRule="exact"/>
        <w:ind w:firstLine="0" w:firstLineChars="0"/>
        <w:rPr>
          <w:rFonts w:ascii="宋体" w:hAnsi="宋体" w:cs="宋体"/>
          <w:szCs w:val="22"/>
          <w:highlight w:val="none"/>
        </w:rPr>
      </w:pPr>
      <w:r>
        <w:rPr>
          <w:rFonts w:ascii="宋体" w:hAnsi="宋体" w:cs="宋体"/>
          <w:szCs w:val="22"/>
          <w:highlight w:val="none"/>
        </w:rPr>
        <w:t>5、磋商供应商提交的材料将被保密保存，但不退还。</w:t>
      </w:r>
    </w:p>
    <w:p w14:paraId="1AD1BE60">
      <w:pPr>
        <w:pStyle w:val="39"/>
        <w:snapToGrid w:val="0"/>
        <w:spacing w:line="400" w:lineRule="exact"/>
        <w:ind w:firstLine="0" w:firstLineChars="0"/>
        <w:rPr>
          <w:rFonts w:ascii="宋体" w:hAnsi="宋体" w:cs="宋体"/>
          <w:szCs w:val="22"/>
          <w:highlight w:val="none"/>
        </w:rPr>
      </w:pPr>
      <w:r>
        <w:rPr>
          <w:highlight w:val="none"/>
        </w:rPr>
        <w:t>6、全部文件应按磋商供应商须知中规定的语言和份数提交。</w:t>
      </w:r>
    </w:p>
    <w:p w14:paraId="2396B701">
      <w:pPr>
        <w:snapToGrid w:val="0"/>
        <w:spacing w:line="340" w:lineRule="exact"/>
        <w:rPr>
          <w:rFonts w:ascii="宋体" w:hAnsi="宋体"/>
          <w:b/>
          <w:bCs/>
          <w:sz w:val="28"/>
          <w:highlight w:val="none"/>
        </w:rPr>
      </w:pPr>
    </w:p>
    <w:p w14:paraId="7311B36E">
      <w:pPr>
        <w:tabs>
          <w:tab w:val="left" w:pos="840"/>
        </w:tabs>
        <w:outlineLvl w:val="9"/>
        <w:rPr>
          <w:highlight w:val="none"/>
        </w:rPr>
      </w:pPr>
    </w:p>
    <w:p w14:paraId="614E0234">
      <w:pPr>
        <w:pStyle w:val="12"/>
        <w:outlineLvl w:val="9"/>
        <w:rPr>
          <w:highlight w:val="none"/>
        </w:rPr>
      </w:pPr>
    </w:p>
    <w:p w14:paraId="561BD15A">
      <w:pPr>
        <w:outlineLvl w:val="9"/>
        <w:rPr>
          <w:highlight w:val="none"/>
        </w:rPr>
      </w:pPr>
    </w:p>
    <w:p w14:paraId="77C63721">
      <w:pPr>
        <w:tabs>
          <w:tab w:val="left" w:pos="840"/>
        </w:tabs>
        <w:outlineLvl w:val="9"/>
        <w:rPr>
          <w:highlight w:val="none"/>
        </w:rPr>
      </w:pPr>
    </w:p>
    <w:p w14:paraId="0B5AD213">
      <w:pPr>
        <w:pStyle w:val="12"/>
        <w:outlineLvl w:val="9"/>
        <w:rPr>
          <w:highlight w:val="none"/>
        </w:rPr>
      </w:pPr>
    </w:p>
    <w:p w14:paraId="30AA7CEE">
      <w:pPr>
        <w:outlineLvl w:val="9"/>
        <w:rPr>
          <w:highlight w:val="none"/>
        </w:rPr>
      </w:pPr>
    </w:p>
    <w:p w14:paraId="6E77908E">
      <w:pPr>
        <w:tabs>
          <w:tab w:val="left" w:pos="840"/>
        </w:tabs>
        <w:outlineLvl w:val="9"/>
        <w:rPr>
          <w:highlight w:val="none"/>
        </w:rPr>
      </w:pPr>
    </w:p>
    <w:p w14:paraId="1070B211">
      <w:pPr>
        <w:pStyle w:val="12"/>
        <w:outlineLvl w:val="9"/>
        <w:rPr>
          <w:highlight w:val="none"/>
        </w:rPr>
      </w:pPr>
    </w:p>
    <w:p w14:paraId="6ED0F5C3">
      <w:pPr>
        <w:outlineLvl w:val="9"/>
        <w:rPr>
          <w:highlight w:val="none"/>
        </w:rPr>
      </w:pPr>
    </w:p>
    <w:p w14:paraId="768C2DA2">
      <w:pPr>
        <w:tabs>
          <w:tab w:val="left" w:pos="840"/>
        </w:tabs>
        <w:outlineLvl w:val="9"/>
        <w:rPr>
          <w:highlight w:val="none"/>
        </w:rPr>
      </w:pPr>
    </w:p>
    <w:p w14:paraId="6C08D736">
      <w:pPr>
        <w:pStyle w:val="12"/>
        <w:outlineLvl w:val="9"/>
        <w:rPr>
          <w:highlight w:val="none"/>
        </w:rPr>
      </w:pPr>
    </w:p>
    <w:p w14:paraId="1C5C9128">
      <w:pPr>
        <w:outlineLvl w:val="9"/>
        <w:rPr>
          <w:highlight w:val="none"/>
        </w:rPr>
      </w:pPr>
    </w:p>
    <w:p w14:paraId="4BFF4EE9">
      <w:pPr>
        <w:tabs>
          <w:tab w:val="left" w:pos="840"/>
        </w:tabs>
        <w:outlineLvl w:val="9"/>
        <w:rPr>
          <w:highlight w:val="none"/>
        </w:rPr>
      </w:pPr>
    </w:p>
    <w:p w14:paraId="74D4E545">
      <w:pPr>
        <w:pStyle w:val="12"/>
        <w:outlineLvl w:val="9"/>
        <w:rPr>
          <w:highlight w:val="none"/>
        </w:rPr>
      </w:pPr>
    </w:p>
    <w:p w14:paraId="616B3CDF">
      <w:pPr>
        <w:outlineLvl w:val="9"/>
        <w:rPr>
          <w:highlight w:val="none"/>
        </w:rPr>
      </w:pPr>
    </w:p>
    <w:p w14:paraId="2F8A0B24">
      <w:pPr>
        <w:tabs>
          <w:tab w:val="left" w:pos="840"/>
        </w:tabs>
        <w:outlineLvl w:val="9"/>
        <w:rPr>
          <w:highlight w:val="none"/>
        </w:rPr>
      </w:pPr>
    </w:p>
    <w:p w14:paraId="003E3B4A">
      <w:pPr>
        <w:pStyle w:val="12"/>
        <w:outlineLvl w:val="9"/>
        <w:rPr>
          <w:highlight w:val="none"/>
        </w:rPr>
      </w:pPr>
    </w:p>
    <w:p w14:paraId="5B73BD72">
      <w:pPr>
        <w:outlineLvl w:val="9"/>
        <w:rPr>
          <w:highlight w:val="none"/>
        </w:rPr>
      </w:pPr>
    </w:p>
    <w:p w14:paraId="3F6B65E1">
      <w:pPr>
        <w:pStyle w:val="13"/>
        <w:rPr>
          <w:highlight w:val="none"/>
        </w:rPr>
      </w:pPr>
    </w:p>
    <w:p w14:paraId="08EC3F22">
      <w:pPr>
        <w:rPr>
          <w:highlight w:val="none"/>
        </w:rPr>
      </w:pPr>
    </w:p>
    <w:p w14:paraId="52604860">
      <w:pPr>
        <w:rPr>
          <w:highlight w:val="none"/>
        </w:rPr>
      </w:pPr>
    </w:p>
    <w:p w14:paraId="2FD69FD5">
      <w:pPr>
        <w:pStyle w:val="13"/>
        <w:rPr>
          <w:highlight w:val="none"/>
        </w:rPr>
      </w:pPr>
    </w:p>
    <w:p w14:paraId="1773513D">
      <w:pPr>
        <w:tabs>
          <w:tab w:val="left" w:pos="840"/>
        </w:tabs>
        <w:outlineLvl w:val="9"/>
        <w:rPr>
          <w:highlight w:val="none"/>
        </w:rPr>
      </w:pPr>
    </w:p>
    <w:p w14:paraId="535540F0">
      <w:pPr>
        <w:pStyle w:val="12"/>
        <w:outlineLvl w:val="9"/>
        <w:rPr>
          <w:highlight w:val="none"/>
        </w:rPr>
      </w:pPr>
    </w:p>
    <w:p w14:paraId="0D7F2747">
      <w:pPr>
        <w:outlineLvl w:val="9"/>
        <w:rPr>
          <w:highlight w:val="none"/>
        </w:rPr>
      </w:pPr>
    </w:p>
    <w:p w14:paraId="2BF78CD5">
      <w:pPr>
        <w:jc w:val="center"/>
        <w:outlineLvl w:val="1"/>
        <w:rPr>
          <w:rFonts w:ascii="宋体" w:hAnsi="宋体" w:cs="宋体"/>
          <w:b/>
          <w:bCs/>
          <w:sz w:val="28"/>
          <w:szCs w:val="28"/>
          <w:highlight w:val="none"/>
        </w:rPr>
      </w:pPr>
      <w:bookmarkStart w:id="358" w:name="_Toc19899"/>
      <w:bookmarkStart w:id="359" w:name="_Toc17896"/>
      <w:bookmarkStart w:id="360" w:name="_Toc122"/>
      <w:bookmarkStart w:id="361" w:name="_Toc9700"/>
      <w:bookmarkStart w:id="362" w:name="_Toc16581"/>
      <w:bookmarkStart w:id="363" w:name="_Toc156"/>
      <w:bookmarkStart w:id="364" w:name="_Toc14319"/>
      <w:bookmarkStart w:id="365" w:name="_Toc2767"/>
      <w:bookmarkStart w:id="366" w:name="_Toc1009"/>
      <w:r>
        <w:rPr>
          <w:rFonts w:ascii="宋体" w:hAnsi="宋体" w:cs="宋体"/>
          <w:b/>
          <w:bCs/>
          <w:sz w:val="28"/>
          <w:szCs w:val="28"/>
          <w:highlight w:val="none"/>
        </w:rPr>
        <w:t>附件一    资格、资质证明文件</w:t>
      </w:r>
      <w:bookmarkEnd w:id="358"/>
      <w:bookmarkEnd w:id="359"/>
      <w:bookmarkEnd w:id="360"/>
      <w:bookmarkEnd w:id="361"/>
      <w:bookmarkEnd w:id="362"/>
      <w:bookmarkEnd w:id="363"/>
      <w:bookmarkEnd w:id="364"/>
      <w:bookmarkEnd w:id="365"/>
      <w:bookmarkEnd w:id="366"/>
    </w:p>
    <w:p w14:paraId="5B27250C">
      <w:pPr>
        <w:spacing w:before="312" w:beforeLines="100" w:after="156" w:afterLines="50"/>
        <w:ind w:right="-11"/>
        <w:jc w:val="center"/>
        <w:rPr>
          <w:rFonts w:ascii="宋体" w:hAnsi="宋体" w:cs="宋体"/>
          <w:b/>
          <w:bCs/>
          <w:sz w:val="24"/>
          <w:highlight w:val="none"/>
        </w:rPr>
      </w:pPr>
      <w:bookmarkStart w:id="367" w:name="_Toc30033"/>
      <w:bookmarkStart w:id="368" w:name="_Toc19034"/>
      <w:bookmarkStart w:id="369" w:name="_Toc20488"/>
      <w:bookmarkStart w:id="370" w:name="_Toc25534"/>
      <w:r>
        <w:rPr>
          <w:rFonts w:ascii="宋体" w:hAnsi="宋体" w:cs="宋体"/>
          <w:b/>
          <w:bCs/>
          <w:sz w:val="24"/>
          <w:highlight w:val="none"/>
        </w:rPr>
        <w:t>（一） 关于资格、资质证明文件的声明函</w:t>
      </w:r>
      <w:bookmarkEnd w:id="367"/>
      <w:bookmarkEnd w:id="368"/>
      <w:bookmarkEnd w:id="369"/>
      <w:bookmarkEnd w:id="370"/>
    </w:p>
    <w:p w14:paraId="7D566260">
      <w:pPr>
        <w:pStyle w:val="12"/>
        <w:overflowPunct w:val="0"/>
        <w:spacing w:line="360" w:lineRule="auto"/>
        <w:ind w:right="-21" w:rightChars="-10" w:firstLine="0"/>
        <w:rPr>
          <w:rFonts w:ascii="宋体" w:hAnsi="宋体" w:cs="宋体"/>
          <w:highlight w:val="none"/>
        </w:rPr>
      </w:pPr>
    </w:p>
    <w:p w14:paraId="0AFED523">
      <w:pPr>
        <w:pStyle w:val="12"/>
        <w:overflowPunct w:val="0"/>
        <w:spacing w:line="360" w:lineRule="auto"/>
        <w:ind w:right="-21" w:rightChars="-10" w:firstLine="0"/>
        <w:rPr>
          <w:rFonts w:ascii="宋体" w:hAnsi="宋体" w:cs="宋体"/>
          <w:highlight w:val="none"/>
        </w:rPr>
      </w:pPr>
      <w:r>
        <w:rPr>
          <w:rFonts w:hint="eastAsia" w:ascii="宋体" w:hAnsi="宋体" w:cs="宋体"/>
          <w:highlight w:val="none"/>
          <w:lang w:eastAsia="zh-CN"/>
        </w:rPr>
        <w:t>中共瑞安市委宣传部</w:t>
      </w:r>
      <w:r>
        <w:rPr>
          <w:rFonts w:ascii="宋体" w:hAnsi="宋体" w:cs="宋体"/>
          <w:highlight w:val="none"/>
        </w:rPr>
        <w:t>：</w:t>
      </w:r>
    </w:p>
    <w:p w14:paraId="3ABC3CDF">
      <w:pPr>
        <w:pStyle w:val="12"/>
        <w:overflowPunct w:val="0"/>
        <w:spacing w:line="360" w:lineRule="auto"/>
        <w:ind w:right="-21" w:rightChars="-10" w:firstLine="480"/>
        <w:rPr>
          <w:rFonts w:ascii="宋体" w:hAnsi="宋体" w:cs="宋体"/>
          <w:highlight w:val="none"/>
        </w:rPr>
      </w:pPr>
    </w:p>
    <w:p w14:paraId="7AB729EA">
      <w:pPr>
        <w:pStyle w:val="12"/>
        <w:overflowPunct w:val="0"/>
        <w:spacing w:line="360" w:lineRule="auto"/>
        <w:ind w:right="-21" w:rightChars="-10" w:firstLine="400" w:firstLineChars="200"/>
        <w:rPr>
          <w:rFonts w:ascii="宋体" w:hAnsi="宋体" w:cs="宋体"/>
          <w:highlight w:val="none"/>
        </w:rPr>
      </w:pPr>
      <w:r>
        <w:rPr>
          <w:rFonts w:ascii="宋体" w:hAnsi="宋体" w:cs="宋体"/>
          <w:highlight w:val="none"/>
        </w:rPr>
        <w:t>本公司愿就由贵单位组织实施的</w:t>
      </w:r>
      <w:r>
        <w:rPr>
          <w:rFonts w:ascii="宋体" w:hAnsi="宋体" w:cs="宋体"/>
          <w:highlight w:val="none"/>
          <w:u w:val="single"/>
        </w:rPr>
        <w:t xml:space="preserve">                       </w:t>
      </w:r>
      <w:r>
        <w:rPr>
          <w:rFonts w:ascii="宋体" w:hAnsi="宋体" w:cs="宋体"/>
          <w:highlight w:val="none"/>
        </w:rPr>
        <w:t>项目编号为</w:t>
      </w:r>
      <w:r>
        <w:rPr>
          <w:rFonts w:ascii="宋体" w:hAnsi="宋体" w:cs="宋体"/>
          <w:highlight w:val="none"/>
          <w:u w:val="single"/>
        </w:rPr>
        <w:t xml:space="preserve">             </w:t>
      </w:r>
      <w:r>
        <w:rPr>
          <w:rFonts w:ascii="宋体" w:hAnsi="宋体" w:cs="宋体"/>
          <w:highlight w:val="none"/>
        </w:rPr>
        <w:t>号的招标活动进行磋商。本公司所提交的磋商响应文件中所有关于磋商资格的文件、证明和陈述均是真实的、准确的。若与真实情况不符，本公司愿意承担由此而产生的一切后果。</w:t>
      </w:r>
    </w:p>
    <w:p w14:paraId="2EAF897D">
      <w:pPr>
        <w:pStyle w:val="12"/>
        <w:overflowPunct w:val="0"/>
        <w:spacing w:line="360" w:lineRule="auto"/>
        <w:ind w:right="-21" w:rightChars="-10" w:firstLine="480"/>
        <w:rPr>
          <w:rFonts w:ascii="宋体" w:hAnsi="宋体" w:cs="宋体"/>
          <w:highlight w:val="none"/>
        </w:rPr>
      </w:pPr>
    </w:p>
    <w:p w14:paraId="772DCC54">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21612284">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法定代表人或授权代表（签字或盖章）：</w:t>
      </w:r>
    </w:p>
    <w:p w14:paraId="68783181">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日      期：    年   月    日</w:t>
      </w:r>
    </w:p>
    <w:p w14:paraId="37C0A398">
      <w:pPr>
        <w:spacing w:before="312" w:beforeLines="100" w:after="156" w:afterLines="50"/>
        <w:ind w:right="-11"/>
        <w:rPr>
          <w:rFonts w:ascii="宋体" w:hAnsi="宋体" w:cs="宋体"/>
          <w:b/>
          <w:bCs/>
          <w:sz w:val="24"/>
          <w:highlight w:val="none"/>
        </w:rPr>
      </w:pPr>
    </w:p>
    <w:p w14:paraId="0F684D15">
      <w:pPr>
        <w:spacing w:before="312" w:beforeLines="100" w:after="156" w:afterLines="50"/>
        <w:ind w:right="-11"/>
        <w:jc w:val="center"/>
        <w:rPr>
          <w:rFonts w:ascii="宋体" w:hAnsi="宋体" w:cs="宋体"/>
          <w:b/>
          <w:bCs/>
          <w:sz w:val="24"/>
          <w:highlight w:val="none"/>
        </w:rPr>
      </w:pPr>
      <w:bookmarkStart w:id="371" w:name="_Toc16970"/>
      <w:bookmarkStart w:id="372" w:name="_Toc1248"/>
      <w:bookmarkStart w:id="373" w:name="_Toc13249"/>
      <w:bookmarkStart w:id="374" w:name="_Toc9021"/>
      <w:r>
        <w:rPr>
          <w:rFonts w:ascii="宋体" w:hAnsi="宋体" w:cs="宋体"/>
          <w:b/>
          <w:bCs/>
          <w:sz w:val="24"/>
          <w:highlight w:val="none"/>
        </w:rPr>
        <w:t>（二） 其它证明文件</w:t>
      </w:r>
      <w:bookmarkEnd w:id="371"/>
      <w:bookmarkEnd w:id="372"/>
      <w:bookmarkEnd w:id="373"/>
      <w:bookmarkEnd w:id="374"/>
    </w:p>
    <w:p w14:paraId="658FD168">
      <w:pPr>
        <w:pStyle w:val="5"/>
        <w:numPr>
          <w:ilvl w:val="0"/>
          <w:numId w:val="20"/>
        </w:numPr>
        <w:spacing w:line="400" w:lineRule="atLeast"/>
        <w:rPr>
          <w:rFonts w:ascii="宋体" w:hAnsi="宋体" w:eastAsia="宋体" w:cs="宋体"/>
          <w:b/>
          <w:bCs/>
          <w:sz w:val="21"/>
          <w:szCs w:val="21"/>
          <w:highlight w:val="none"/>
        </w:rPr>
      </w:pPr>
      <w:r>
        <w:rPr>
          <w:rFonts w:ascii="宋体" w:hAnsi="宋体" w:eastAsia="宋体" w:cs="宋体"/>
          <w:b/>
          <w:bCs/>
          <w:sz w:val="21"/>
          <w:szCs w:val="21"/>
          <w:highlight w:val="none"/>
        </w:rPr>
        <w:t>出具符合以下情况的证明材料扫描件（五选一）</w:t>
      </w:r>
    </w:p>
    <w:p w14:paraId="4F736D94">
      <w:pPr>
        <w:pStyle w:val="5"/>
        <w:spacing w:line="400" w:lineRule="atLeast"/>
        <w:ind w:left="631" w:leftChars="200" w:hanging="211" w:hangingChars="100"/>
        <w:rPr>
          <w:rFonts w:ascii="宋体" w:hAnsi="宋体" w:eastAsia="宋体" w:cs="宋体"/>
          <w:b/>
          <w:bCs/>
          <w:sz w:val="21"/>
          <w:szCs w:val="21"/>
          <w:highlight w:val="none"/>
        </w:rPr>
      </w:pPr>
      <w:r>
        <w:rPr>
          <w:rFonts w:ascii="宋体" w:hAnsi="宋体" w:eastAsia="宋体" w:cs="宋体"/>
          <w:b/>
          <w:bCs/>
          <w:sz w:val="21"/>
          <w:szCs w:val="21"/>
          <w:highlight w:val="none"/>
        </w:rPr>
        <w:t>①如磋商供应商是企业（包括合伙企业），提供在工商部门注册的有效“企业法人营业执照”或“营业执照”；</w:t>
      </w:r>
    </w:p>
    <w:p w14:paraId="2C56239A">
      <w:pPr>
        <w:pStyle w:val="5"/>
        <w:spacing w:line="400" w:lineRule="atLeast"/>
        <w:ind w:firstLine="422" w:firstLineChars="200"/>
        <w:rPr>
          <w:rFonts w:ascii="宋体" w:hAnsi="宋体" w:eastAsia="宋体" w:cs="宋体"/>
          <w:b/>
          <w:bCs/>
          <w:sz w:val="21"/>
          <w:szCs w:val="21"/>
          <w:highlight w:val="none"/>
        </w:rPr>
      </w:pPr>
      <w:r>
        <w:rPr>
          <w:rFonts w:ascii="宋体" w:hAnsi="宋体" w:eastAsia="宋体" w:cs="宋体"/>
          <w:b/>
          <w:bCs/>
          <w:sz w:val="21"/>
          <w:szCs w:val="21"/>
          <w:highlight w:val="none"/>
        </w:rPr>
        <w:t>②如磋商供应商是事业单位，提供有效的“事业单位法人证书”；</w:t>
      </w:r>
    </w:p>
    <w:p w14:paraId="755B2995">
      <w:pPr>
        <w:pStyle w:val="5"/>
        <w:spacing w:line="400" w:lineRule="atLeast"/>
        <w:ind w:firstLine="422" w:firstLineChars="200"/>
        <w:rPr>
          <w:rFonts w:ascii="宋体" w:hAnsi="宋体" w:eastAsia="宋体" w:cs="宋体"/>
          <w:b/>
          <w:bCs/>
          <w:sz w:val="21"/>
          <w:szCs w:val="21"/>
          <w:highlight w:val="none"/>
        </w:rPr>
      </w:pPr>
      <w:r>
        <w:rPr>
          <w:rFonts w:ascii="宋体" w:hAnsi="宋体" w:eastAsia="宋体" w:cs="宋体"/>
          <w:b/>
          <w:bCs/>
          <w:sz w:val="21"/>
          <w:szCs w:val="21"/>
          <w:highlight w:val="none"/>
        </w:rPr>
        <w:t>③如磋商供应商是非企业专业服务机构的，提供执业许可证等证明文件；</w:t>
      </w:r>
    </w:p>
    <w:p w14:paraId="4C22FB26">
      <w:pPr>
        <w:pStyle w:val="5"/>
        <w:spacing w:line="400" w:lineRule="atLeast"/>
        <w:ind w:firstLine="422" w:firstLineChars="200"/>
        <w:rPr>
          <w:rFonts w:ascii="宋体" w:hAnsi="宋体" w:eastAsia="宋体" w:cs="宋体"/>
          <w:b/>
          <w:bCs/>
          <w:sz w:val="21"/>
          <w:szCs w:val="21"/>
          <w:highlight w:val="none"/>
        </w:rPr>
      </w:pPr>
      <w:r>
        <w:rPr>
          <w:rFonts w:ascii="宋体" w:hAnsi="宋体" w:eastAsia="宋体" w:cs="宋体"/>
          <w:b/>
          <w:bCs/>
          <w:sz w:val="21"/>
          <w:szCs w:val="21"/>
          <w:highlight w:val="none"/>
        </w:rPr>
        <w:t>④如磋商供应商是个体工商户，提供有效的“个体工商户营业执照”；</w:t>
      </w:r>
    </w:p>
    <w:p w14:paraId="3A6D866D">
      <w:pPr>
        <w:pStyle w:val="5"/>
        <w:spacing w:line="400" w:lineRule="atLeast"/>
        <w:ind w:left="631" w:leftChars="200" w:hanging="211" w:hangingChars="100"/>
        <w:rPr>
          <w:rFonts w:ascii="宋体" w:hAnsi="宋体" w:eastAsia="宋体" w:cs="宋体"/>
          <w:b/>
          <w:bCs/>
          <w:sz w:val="21"/>
          <w:szCs w:val="21"/>
          <w:highlight w:val="none"/>
        </w:rPr>
      </w:pPr>
      <w:r>
        <w:rPr>
          <w:rFonts w:ascii="宋体" w:hAnsi="宋体" w:eastAsia="宋体" w:cs="宋体"/>
          <w:b/>
          <w:bCs/>
          <w:sz w:val="21"/>
          <w:szCs w:val="21"/>
          <w:highlight w:val="none"/>
        </w:rPr>
        <w:t>⑤如磋商供应商是自然人，提供有效的自然人身份证明（居民身份证正反面或公安机关出具的临时居民身份证正反面或港澳台胞证或证照）。</w:t>
      </w:r>
    </w:p>
    <w:p w14:paraId="425A16E2">
      <w:pPr>
        <w:pStyle w:val="5"/>
        <w:numPr>
          <w:ilvl w:val="0"/>
          <w:numId w:val="20"/>
        </w:numPr>
        <w:spacing w:line="400" w:lineRule="atLeast"/>
        <w:rPr>
          <w:rFonts w:ascii="宋体" w:hAnsi="宋体" w:eastAsia="宋体" w:cs="宋体"/>
          <w:b/>
          <w:bCs/>
          <w:sz w:val="21"/>
          <w:szCs w:val="21"/>
          <w:highlight w:val="none"/>
        </w:rPr>
      </w:pPr>
      <w:r>
        <w:rPr>
          <w:rFonts w:ascii="宋体" w:hAnsi="宋体" w:eastAsia="宋体" w:cs="宋体"/>
          <w:b/>
          <w:bCs/>
          <w:sz w:val="21"/>
          <w:szCs w:val="21"/>
          <w:highlight w:val="none"/>
        </w:rPr>
        <w:t>供应商相关资质证明文件扫描件；</w:t>
      </w:r>
    </w:p>
    <w:p w14:paraId="00EB8140">
      <w:pPr>
        <w:pStyle w:val="5"/>
        <w:numPr>
          <w:ilvl w:val="0"/>
          <w:numId w:val="20"/>
        </w:numPr>
        <w:spacing w:line="400" w:lineRule="atLeast"/>
        <w:rPr>
          <w:rFonts w:ascii="宋体" w:hAnsi="宋体" w:eastAsia="宋体" w:cs="宋体"/>
          <w:b/>
          <w:bCs/>
          <w:sz w:val="21"/>
          <w:szCs w:val="21"/>
          <w:highlight w:val="none"/>
        </w:rPr>
      </w:pPr>
      <w:r>
        <w:rPr>
          <w:rFonts w:ascii="宋体" w:hAnsi="宋体" w:eastAsia="宋体" w:cs="宋体"/>
          <w:b/>
          <w:bCs/>
          <w:sz w:val="21"/>
          <w:szCs w:val="21"/>
          <w:highlight w:val="none"/>
        </w:rPr>
        <w:t>项目负责人相关证书扫描件（如有）；</w:t>
      </w:r>
    </w:p>
    <w:p w14:paraId="55B7BA88">
      <w:pPr>
        <w:pStyle w:val="5"/>
        <w:numPr>
          <w:ilvl w:val="0"/>
          <w:numId w:val="20"/>
        </w:numPr>
        <w:spacing w:line="400" w:lineRule="atLeast"/>
        <w:rPr>
          <w:rFonts w:ascii="宋体" w:hAnsi="宋体" w:eastAsia="宋体" w:cs="宋体"/>
          <w:b/>
          <w:bCs/>
          <w:kern w:val="0"/>
          <w:sz w:val="21"/>
          <w:szCs w:val="21"/>
          <w:highlight w:val="none"/>
        </w:rPr>
      </w:pPr>
      <w:r>
        <w:rPr>
          <w:rFonts w:ascii="宋体" w:hAnsi="宋体" w:eastAsia="宋体" w:cs="宋体"/>
          <w:b/>
          <w:bCs/>
          <w:sz w:val="21"/>
          <w:szCs w:val="21"/>
          <w:highlight w:val="none"/>
        </w:rPr>
        <w:t>供应商的其他证书扫描件（如有）。</w:t>
      </w:r>
    </w:p>
    <w:p w14:paraId="3EF7E8CD">
      <w:pPr>
        <w:pStyle w:val="2"/>
        <w:spacing w:line="400" w:lineRule="exact"/>
        <w:rPr>
          <w:rFonts w:hAnsi="宋体" w:cs="宋体"/>
          <w:b/>
          <w:bCs/>
          <w:highlight w:val="none"/>
        </w:rPr>
      </w:pPr>
    </w:p>
    <w:p w14:paraId="1A7CFB37">
      <w:pPr>
        <w:tabs>
          <w:tab w:val="left" w:pos="840"/>
        </w:tabs>
        <w:rPr>
          <w:rFonts w:ascii="宋体" w:hAnsi="宋体" w:cs="宋体"/>
          <w:b/>
          <w:bCs/>
          <w:szCs w:val="21"/>
          <w:highlight w:val="none"/>
        </w:rPr>
      </w:pPr>
      <w:bookmarkStart w:id="375" w:name="_Toc12068"/>
      <w:r>
        <w:rPr>
          <w:rFonts w:ascii="宋体" w:hAnsi="宋体" w:cs="宋体"/>
          <w:b/>
          <w:bCs/>
          <w:szCs w:val="21"/>
          <w:highlight w:val="none"/>
        </w:rPr>
        <w:t>备注：以上所需的各种证书、证件、证明、执照等证明材料均须加盖供应商公章。</w:t>
      </w:r>
      <w:bookmarkEnd w:id="375"/>
    </w:p>
    <w:p w14:paraId="597A56C7">
      <w:pPr>
        <w:pStyle w:val="12"/>
        <w:rPr>
          <w:rFonts w:ascii="宋体" w:hAnsi="宋体" w:cs="宋体"/>
          <w:b/>
          <w:bCs/>
          <w:sz w:val="21"/>
          <w:szCs w:val="21"/>
          <w:highlight w:val="none"/>
        </w:rPr>
      </w:pPr>
    </w:p>
    <w:p w14:paraId="399134F2">
      <w:pPr>
        <w:jc w:val="center"/>
        <w:outlineLvl w:val="1"/>
        <w:rPr>
          <w:rFonts w:ascii="宋体" w:hAnsi="宋体" w:cs="宋体"/>
          <w:b/>
          <w:bCs/>
          <w:sz w:val="28"/>
          <w:szCs w:val="28"/>
          <w:highlight w:val="none"/>
        </w:rPr>
      </w:pPr>
      <w:bookmarkStart w:id="376" w:name="_Toc16532"/>
      <w:bookmarkStart w:id="377" w:name="_Toc9057"/>
      <w:bookmarkStart w:id="378" w:name="_Toc32722"/>
      <w:bookmarkStart w:id="379" w:name="_Toc1967"/>
      <w:bookmarkStart w:id="380" w:name="_Toc5464"/>
      <w:bookmarkStart w:id="381" w:name="_Toc6171"/>
      <w:bookmarkStart w:id="382" w:name="_Toc9828"/>
      <w:bookmarkStart w:id="383" w:name="_Toc1664"/>
      <w:bookmarkStart w:id="384" w:name="_Toc10203"/>
      <w:r>
        <w:rPr>
          <w:rFonts w:ascii="宋体" w:hAnsi="宋体" w:cs="宋体"/>
          <w:b/>
          <w:bCs/>
          <w:sz w:val="28"/>
          <w:szCs w:val="28"/>
          <w:highlight w:val="none"/>
        </w:rPr>
        <w:t>附件二    关于满足《中华人民共和国政府采购法》第二十二条规定的</w:t>
      </w:r>
      <w:bookmarkEnd w:id="376"/>
      <w:bookmarkEnd w:id="377"/>
      <w:bookmarkEnd w:id="378"/>
      <w:bookmarkEnd w:id="379"/>
      <w:bookmarkEnd w:id="380"/>
      <w:bookmarkEnd w:id="381"/>
      <w:bookmarkEnd w:id="382"/>
      <w:bookmarkStart w:id="385" w:name="_Toc21525"/>
      <w:bookmarkStart w:id="386" w:name="_Toc13171"/>
      <w:bookmarkStart w:id="387" w:name="_Toc12976"/>
      <w:bookmarkStart w:id="388" w:name="_Toc9510"/>
      <w:bookmarkStart w:id="389" w:name="_Toc31909"/>
      <w:bookmarkStart w:id="390" w:name="_Toc21851"/>
      <w:bookmarkStart w:id="391" w:name="_Toc7964"/>
      <w:bookmarkStart w:id="392" w:name="_Toc5866"/>
      <w:bookmarkStart w:id="393" w:name="_Toc5178"/>
      <w:bookmarkStart w:id="394" w:name="_Toc8955"/>
      <w:r>
        <w:rPr>
          <w:rFonts w:ascii="宋体" w:hAnsi="宋体" w:cs="宋体"/>
          <w:b/>
          <w:bCs/>
          <w:sz w:val="28"/>
          <w:szCs w:val="28"/>
          <w:highlight w:val="none"/>
        </w:rPr>
        <w:t>承诺函</w:t>
      </w:r>
      <w:bookmarkEnd w:id="383"/>
      <w:bookmarkEnd w:id="384"/>
      <w:bookmarkEnd w:id="385"/>
      <w:bookmarkEnd w:id="386"/>
      <w:bookmarkEnd w:id="387"/>
      <w:bookmarkEnd w:id="388"/>
      <w:bookmarkEnd w:id="389"/>
      <w:bookmarkEnd w:id="390"/>
      <w:bookmarkEnd w:id="391"/>
      <w:bookmarkEnd w:id="392"/>
      <w:bookmarkEnd w:id="393"/>
      <w:bookmarkEnd w:id="394"/>
    </w:p>
    <w:p w14:paraId="29866D49">
      <w:pPr>
        <w:rPr>
          <w:rFonts w:ascii="宋体" w:hAnsi="宋体" w:cs="宋体"/>
          <w:highlight w:val="none"/>
        </w:rPr>
      </w:pPr>
    </w:p>
    <w:p w14:paraId="50214D78">
      <w:pPr>
        <w:spacing w:line="276" w:lineRule="auto"/>
        <w:rPr>
          <w:rFonts w:ascii="宋体" w:hAnsi="宋体" w:cs="宋体"/>
          <w:bCs/>
          <w:highlight w:val="none"/>
        </w:rPr>
      </w:pPr>
      <w:r>
        <w:rPr>
          <w:rFonts w:hint="eastAsia" w:ascii="宋体" w:hAnsi="宋体" w:cs="宋体"/>
          <w:bCs/>
          <w:highlight w:val="none"/>
          <w:lang w:eastAsia="zh-CN"/>
        </w:rPr>
        <w:t>中共瑞安市委宣传部</w:t>
      </w:r>
      <w:r>
        <w:rPr>
          <w:rFonts w:ascii="宋体" w:hAnsi="宋体" w:cs="宋体"/>
          <w:bCs/>
          <w:highlight w:val="none"/>
        </w:rPr>
        <w:t>：</w:t>
      </w:r>
    </w:p>
    <w:p w14:paraId="5CD130AB">
      <w:pPr>
        <w:snapToGrid w:val="0"/>
        <w:spacing w:before="156" w:beforeLines="50" w:after="50" w:line="276" w:lineRule="auto"/>
        <w:rPr>
          <w:rFonts w:ascii="宋体" w:hAnsi="宋体" w:cs="宋体"/>
          <w:szCs w:val="21"/>
          <w:highlight w:val="none"/>
        </w:rPr>
      </w:pPr>
      <w:r>
        <w:rPr>
          <w:rFonts w:ascii="宋体" w:hAnsi="宋体" w:cs="宋体"/>
          <w:szCs w:val="21"/>
          <w:highlight w:val="none"/>
        </w:rPr>
        <w:t>浙江综盛项目管理有限公司：</w:t>
      </w:r>
    </w:p>
    <w:p w14:paraId="55F0440D">
      <w:pPr>
        <w:rPr>
          <w:rFonts w:ascii="宋体" w:hAnsi="宋体" w:cs="宋体"/>
          <w:highlight w:val="none"/>
        </w:rPr>
      </w:pPr>
    </w:p>
    <w:p w14:paraId="2113FB35">
      <w:pPr>
        <w:spacing w:line="360" w:lineRule="auto"/>
        <w:ind w:firstLine="420" w:firstLineChars="200"/>
        <w:rPr>
          <w:rStyle w:val="36"/>
          <w:rFonts w:ascii="宋体" w:hAnsi="宋体" w:cs="宋体"/>
          <w:highlight w:val="none"/>
        </w:rPr>
      </w:pPr>
      <w:r>
        <w:rPr>
          <w:rStyle w:val="36"/>
          <w:rFonts w:ascii="宋体" w:hAnsi="宋体" w:cs="宋体"/>
          <w:highlight w:val="none"/>
        </w:rPr>
        <w:t>我公司参与</w:t>
      </w:r>
      <w:r>
        <w:rPr>
          <w:rStyle w:val="36"/>
          <w:rFonts w:ascii="宋体" w:hAnsi="宋体" w:cs="宋体"/>
          <w:highlight w:val="none"/>
          <w:u w:val="single"/>
        </w:rPr>
        <w:t xml:space="preserve">        项目名称        </w:t>
      </w:r>
      <w:r>
        <w:rPr>
          <w:rStyle w:val="36"/>
          <w:rFonts w:ascii="宋体" w:hAnsi="宋体" w:cs="宋体"/>
          <w:highlight w:val="none"/>
        </w:rPr>
        <w:t>（项目编号：</w:t>
      </w:r>
      <w:r>
        <w:rPr>
          <w:rStyle w:val="36"/>
          <w:rFonts w:ascii="宋体" w:hAnsi="宋体" w:cs="宋体"/>
          <w:highlight w:val="none"/>
          <w:u w:val="single"/>
        </w:rPr>
        <w:t xml:space="preserve">                  </w:t>
      </w:r>
      <w:r>
        <w:rPr>
          <w:rStyle w:val="36"/>
          <w:rFonts w:ascii="宋体" w:hAnsi="宋体" w:cs="宋体"/>
          <w:highlight w:val="none"/>
        </w:rPr>
        <w:t>）投标，郑重承诺具备以下条件：</w:t>
      </w:r>
    </w:p>
    <w:p w14:paraId="5138460E">
      <w:pPr>
        <w:numPr>
          <w:ilvl w:val="0"/>
          <w:numId w:val="21"/>
        </w:numPr>
        <w:spacing w:line="360" w:lineRule="auto"/>
        <w:rPr>
          <w:rStyle w:val="36"/>
          <w:rFonts w:ascii="宋体" w:hAnsi="宋体" w:cs="宋体"/>
          <w:highlight w:val="none"/>
        </w:rPr>
      </w:pPr>
      <w:r>
        <w:rPr>
          <w:rStyle w:val="36"/>
          <w:rFonts w:ascii="宋体" w:hAnsi="宋体" w:cs="宋体"/>
          <w:highlight w:val="none"/>
        </w:rPr>
        <w:t>具有独立承担民事责任的能力；</w:t>
      </w:r>
    </w:p>
    <w:p w14:paraId="7373C3A1">
      <w:pPr>
        <w:numPr>
          <w:ilvl w:val="0"/>
          <w:numId w:val="21"/>
        </w:numPr>
        <w:spacing w:line="360" w:lineRule="auto"/>
        <w:rPr>
          <w:rStyle w:val="36"/>
          <w:rFonts w:ascii="宋体" w:hAnsi="宋体" w:cs="宋体"/>
          <w:highlight w:val="none"/>
        </w:rPr>
      </w:pPr>
      <w:r>
        <w:rPr>
          <w:rStyle w:val="36"/>
          <w:rFonts w:ascii="宋体" w:hAnsi="宋体" w:cs="宋体"/>
          <w:highlight w:val="none"/>
        </w:rPr>
        <w:t>具有良好的商业信誉和健全的财务会计制度；</w:t>
      </w:r>
    </w:p>
    <w:p w14:paraId="1A71EB67">
      <w:pPr>
        <w:numPr>
          <w:ilvl w:val="0"/>
          <w:numId w:val="21"/>
        </w:numPr>
        <w:spacing w:line="360" w:lineRule="auto"/>
        <w:rPr>
          <w:rStyle w:val="36"/>
          <w:rFonts w:ascii="宋体" w:hAnsi="宋体" w:cs="宋体"/>
          <w:highlight w:val="none"/>
        </w:rPr>
      </w:pPr>
      <w:r>
        <w:rPr>
          <w:rStyle w:val="36"/>
          <w:rFonts w:ascii="宋体" w:hAnsi="宋体" w:cs="宋体"/>
          <w:highlight w:val="none"/>
        </w:rPr>
        <w:t>具有履行合同所必需的设备和专业技术能力；</w:t>
      </w:r>
    </w:p>
    <w:p w14:paraId="146DFA1C">
      <w:pPr>
        <w:numPr>
          <w:ilvl w:val="0"/>
          <w:numId w:val="21"/>
        </w:numPr>
        <w:spacing w:line="360" w:lineRule="auto"/>
        <w:rPr>
          <w:rStyle w:val="36"/>
          <w:rFonts w:ascii="宋体" w:hAnsi="宋体" w:cs="宋体"/>
          <w:highlight w:val="none"/>
        </w:rPr>
      </w:pPr>
      <w:r>
        <w:rPr>
          <w:rStyle w:val="36"/>
          <w:rFonts w:ascii="宋体" w:hAnsi="宋体" w:cs="宋体"/>
          <w:highlight w:val="none"/>
        </w:rPr>
        <w:t>有依法缴纳税收和社会保障资金的良好记录；</w:t>
      </w:r>
    </w:p>
    <w:p w14:paraId="08A5F730">
      <w:pPr>
        <w:numPr>
          <w:ilvl w:val="0"/>
          <w:numId w:val="21"/>
        </w:numPr>
        <w:spacing w:line="360" w:lineRule="auto"/>
        <w:rPr>
          <w:rStyle w:val="36"/>
          <w:rFonts w:ascii="宋体" w:hAnsi="宋体" w:cs="宋体"/>
          <w:highlight w:val="none"/>
        </w:rPr>
      </w:pPr>
      <w:r>
        <w:rPr>
          <w:rStyle w:val="36"/>
          <w:rFonts w:ascii="宋体" w:hAnsi="宋体" w:cs="宋体"/>
          <w:highlight w:val="none"/>
        </w:rPr>
        <w:t>参加政府采购活动前三年内，在经营活动中没有重大违法记录；</w:t>
      </w:r>
    </w:p>
    <w:p w14:paraId="49F5E197">
      <w:pPr>
        <w:numPr>
          <w:ilvl w:val="0"/>
          <w:numId w:val="21"/>
        </w:numPr>
        <w:spacing w:line="360" w:lineRule="auto"/>
        <w:rPr>
          <w:rStyle w:val="36"/>
          <w:rFonts w:ascii="宋体" w:hAnsi="宋体" w:cs="宋体"/>
          <w:highlight w:val="none"/>
        </w:rPr>
      </w:pPr>
      <w:bookmarkStart w:id="395" w:name="_Toc18820"/>
      <w:bookmarkStart w:id="396" w:name="_Toc20673"/>
      <w:bookmarkStart w:id="397" w:name="_Toc7954"/>
      <w:bookmarkStart w:id="398" w:name="_Toc9392"/>
      <w:bookmarkStart w:id="399" w:name="_Toc6253"/>
      <w:r>
        <w:rPr>
          <w:rStyle w:val="36"/>
          <w:rFonts w:ascii="宋体" w:hAnsi="宋体" w:cs="宋体"/>
          <w:highlight w:val="none"/>
        </w:rPr>
        <w:t>法律、行政法规规定的其他条件。</w:t>
      </w:r>
      <w:bookmarkEnd w:id="395"/>
      <w:bookmarkEnd w:id="396"/>
      <w:bookmarkEnd w:id="397"/>
      <w:bookmarkEnd w:id="398"/>
      <w:bookmarkEnd w:id="399"/>
    </w:p>
    <w:p w14:paraId="6824ECEC">
      <w:pPr>
        <w:spacing w:line="360" w:lineRule="auto"/>
        <w:ind w:firstLine="422" w:firstLineChars="200"/>
        <w:rPr>
          <w:rStyle w:val="36"/>
          <w:rFonts w:ascii="宋体" w:hAnsi="宋体" w:cs="宋体"/>
          <w:highlight w:val="none"/>
        </w:rPr>
      </w:pPr>
      <w:r>
        <w:rPr>
          <w:rStyle w:val="36"/>
          <w:rFonts w:ascii="宋体" w:hAnsi="宋体" w:cs="宋体"/>
          <w:b/>
          <w:bCs/>
          <w:highlight w:val="none"/>
        </w:rPr>
        <w:t>本公司对上述承诺的真实性负责。上述承诺如有虚假，将按“提供虚假材料谋取中标、成交”情形，由采购人取消我公司任何资格（投标/中标/签订合同），且由采购单位/采购代理机构报告至政府采购监管部门。</w:t>
      </w:r>
      <w:r>
        <w:rPr>
          <w:rStyle w:val="36"/>
          <w:rFonts w:ascii="宋体" w:hAnsi="宋体" w:cs="宋体"/>
          <w:highlight w:val="none"/>
        </w:rPr>
        <w:t>一经监管部门查证属实，将按照《中华人民共和国政府采购法》第七十七条“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规定予以处理。</w:t>
      </w:r>
    </w:p>
    <w:p w14:paraId="4E594D08">
      <w:pPr>
        <w:spacing w:line="360" w:lineRule="auto"/>
        <w:ind w:firstLine="420" w:firstLineChars="200"/>
        <w:rPr>
          <w:rStyle w:val="36"/>
          <w:rFonts w:ascii="宋体" w:hAnsi="宋体" w:cs="宋体"/>
          <w:highlight w:val="none"/>
        </w:rPr>
      </w:pPr>
      <w:r>
        <w:rPr>
          <w:rStyle w:val="36"/>
          <w:rFonts w:ascii="宋体" w:hAnsi="宋体" w:cs="宋体"/>
          <w:highlight w:val="none"/>
        </w:rPr>
        <w:t>我单位已知晓前述法律规定，对此无任何异议。</w:t>
      </w:r>
    </w:p>
    <w:p w14:paraId="0B35AC14">
      <w:pPr>
        <w:ind w:firstLine="420" w:firstLineChars="200"/>
        <w:rPr>
          <w:rStyle w:val="36"/>
          <w:rFonts w:ascii="宋体" w:hAnsi="宋体" w:cs="宋体"/>
          <w:highlight w:val="none"/>
        </w:rPr>
      </w:pPr>
    </w:p>
    <w:p w14:paraId="2245BA47">
      <w:pPr>
        <w:ind w:firstLine="420" w:firstLineChars="200"/>
        <w:rPr>
          <w:rStyle w:val="36"/>
          <w:rFonts w:ascii="宋体" w:hAnsi="宋体" w:cs="宋体"/>
          <w:highlight w:val="none"/>
        </w:rPr>
      </w:pPr>
    </w:p>
    <w:p w14:paraId="1D090E1A">
      <w:pPr>
        <w:tabs>
          <w:tab w:val="left" w:pos="4635"/>
        </w:tabs>
        <w:spacing w:line="360" w:lineRule="auto"/>
        <w:ind w:left="4601" w:leftChars="2191" w:right="93" w:firstLine="16" w:firstLineChars="8"/>
        <w:rPr>
          <w:rFonts w:ascii="宋体" w:hAnsi="宋体" w:cs="宋体"/>
          <w:szCs w:val="22"/>
          <w:highlight w:val="none"/>
        </w:rPr>
      </w:pPr>
      <w:r>
        <w:rPr>
          <w:rFonts w:ascii="宋体" w:hAnsi="宋体" w:cs="宋体"/>
          <w:szCs w:val="22"/>
          <w:highlight w:val="none"/>
        </w:rPr>
        <w:t>磋商供应商全称（电子签章）：</w:t>
      </w:r>
    </w:p>
    <w:p w14:paraId="124EBFE6">
      <w:pPr>
        <w:tabs>
          <w:tab w:val="left" w:pos="4635"/>
        </w:tabs>
        <w:spacing w:line="360" w:lineRule="auto"/>
        <w:ind w:left="4601" w:leftChars="2191" w:right="93" w:firstLine="16" w:firstLineChars="8"/>
        <w:rPr>
          <w:rFonts w:ascii="宋体" w:hAnsi="宋体" w:cs="宋体"/>
          <w:szCs w:val="22"/>
          <w:highlight w:val="none"/>
        </w:rPr>
      </w:pPr>
      <w:r>
        <w:rPr>
          <w:rFonts w:ascii="宋体" w:hAnsi="宋体" w:cs="宋体"/>
          <w:szCs w:val="22"/>
          <w:highlight w:val="none"/>
        </w:rPr>
        <w:t>日  期：</w:t>
      </w:r>
    </w:p>
    <w:p w14:paraId="5816A985">
      <w:pPr>
        <w:rPr>
          <w:rStyle w:val="36"/>
          <w:rFonts w:ascii="宋体" w:hAnsi="宋体" w:cs="宋体"/>
          <w:b/>
          <w:bCs/>
          <w:highlight w:val="none"/>
        </w:rPr>
      </w:pPr>
    </w:p>
    <w:p w14:paraId="683F287D">
      <w:pPr>
        <w:rPr>
          <w:rStyle w:val="36"/>
          <w:rFonts w:ascii="宋体" w:hAnsi="宋体" w:cs="宋体"/>
          <w:b/>
          <w:bCs/>
          <w:highlight w:val="none"/>
        </w:rPr>
      </w:pPr>
    </w:p>
    <w:p w14:paraId="407435DA">
      <w:pPr>
        <w:tabs>
          <w:tab w:val="left" w:pos="1152"/>
        </w:tabs>
        <w:rPr>
          <w:highlight w:val="none"/>
        </w:rPr>
      </w:pPr>
      <w:bookmarkStart w:id="400" w:name="_Toc27711"/>
      <w:r>
        <w:rPr>
          <w:rStyle w:val="36"/>
          <w:rFonts w:ascii="宋体" w:hAnsi="宋体" w:cs="宋体"/>
          <w:b/>
          <w:bCs/>
          <w:szCs w:val="21"/>
          <w:highlight w:val="none"/>
        </w:rPr>
        <w:t>注：1、</w:t>
      </w:r>
      <w:r>
        <w:rPr>
          <w:rStyle w:val="36"/>
          <w:rFonts w:ascii="宋体" w:hAnsi="宋体" w:cs="宋体"/>
          <w:szCs w:val="21"/>
          <w:highlight w:val="none"/>
        </w:rPr>
        <w:t>▲</w:t>
      </w:r>
      <w:r>
        <w:rPr>
          <w:rStyle w:val="36"/>
          <w:rFonts w:ascii="宋体" w:hAnsi="宋体" w:cs="宋体"/>
          <w:b/>
          <w:bCs/>
          <w:szCs w:val="21"/>
          <w:highlight w:val="none"/>
        </w:rPr>
        <w:t>本承诺函必须提供。</w:t>
      </w:r>
      <w:bookmarkEnd w:id="400"/>
    </w:p>
    <w:p w14:paraId="6ECD2279">
      <w:pPr>
        <w:rPr>
          <w:highlight w:val="none"/>
        </w:rPr>
      </w:pPr>
    </w:p>
    <w:p w14:paraId="2DA7D0ED">
      <w:pPr>
        <w:tabs>
          <w:tab w:val="left" w:pos="840"/>
        </w:tabs>
        <w:rPr>
          <w:highlight w:val="none"/>
        </w:rPr>
      </w:pPr>
      <w:bookmarkStart w:id="401" w:name="_Toc10761"/>
      <w:bookmarkStart w:id="402" w:name="_Toc19370"/>
      <w:bookmarkStart w:id="403" w:name="_Toc21758"/>
      <w:bookmarkStart w:id="404" w:name="_Toc19849"/>
      <w:bookmarkStart w:id="405" w:name="_Toc21943"/>
    </w:p>
    <w:p w14:paraId="1D0A3E54">
      <w:pPr>
        <w:pStyle w:val="12"/>
        <w:rPr>
          <w:highlight w:val="none"/>
        </w:rPr>
      </w:pPr>
    </w:p>
    <w:p w14:paraId="0010F5AA">
      <w:pPr>
        <w:rPr>
          <w:highlight w:val="none"/>
        </w:rPr>
      </w:pPr>
    </w:p>
    <w:p w14:paraId="2D1073BD">
      <w:pPr>
        <w:jc w:val="center"/>
        <w:outlineLvl w:val="1"/>
        <w:rPr>
          <w:rFonts w:ascii="宋体" w:hAnsi="宋体" w:cs="宋体"/>
          <w:b/>
          <w:bCs/>
          <w:sz w:val="28"/>
          <w:szCs w:val="28"/>
          <w:highlight w:val="none"/>
        </w:rPr>
      </w:pPr>
      <w:bookmarkStart w:id="406" w:name="_Toc25118"/>
      <w:bookmarkStart w:id="407" w:name="_Toc31396"/>
      <w:bookmarkStart w:id="408" w:name="_Toc10372"/>
      <w:r>
        <w:rPr>
          <w:rFonts w:ascii="宋体" w:hAnsi="宋体" w:cs="宋体"/>
          <w:b/>
          <w:bCs/>
          <w:sz w:val="28"/>
          <w:szCs w:val="28"/>
          <w:highlight w:val="none"/>
        </w:rPr>
        <w:t>附件三-1  法定代表人授权委托书</w:t>
      </w:r>
      <w:bookmarkEnd w:id="401"/>
      <w:bookmarkEnd w:id="402"/>
      <w:bookmarkEnd w:id="403"/>
      <w:bookmarkEnd w:id="404"/>
      <w:bookmarkEnd w:id="405"/>
      <w:bookmarkEnd w:id="406"/>
      <w:bookmarkEnd w:id="407"/>
      <w:bookmarkEnd w:id="408"/>
    </w:p>
    <w:p w14:paraId="0CC06EFA">
      <w:pPr>
        <w:spacing w:line="276" w:lineRule="auto"/>
        <w:rPr>
          <w:rFonts w:ascii="宋体" w:hAnsi="宋体" w:cs="宋体"/>
          <w:bCs/>
          <w:highlight w:val="none"/>
        </w:rPr>
      </w:pPr>
      <w:r>
        <w:rPr>
          <w:rFonts w:hint="eastAsia" w:ascii="宋体" w:hAnsi="宋体" w:cs="宋体"/>
          <w:bCs/>
          <w:highlight w:val="none"/>
          <w:lang w:eastAsia="zh-CN"/>
        </w:rPr>
        <w:t>中共瑞安市委宣传部</w:t>
      </w:r>
      <w:r>
        <w:rPr>
          <w:rFonts w:ascii="宋体" w:hAnsi="宋体" w:cs="宋体"/>
          <w:bCs/>
          <w:highlight w:val="none"/>
        </w:rPr>
        <w:t>：</w:t>
      </w:r>
    </w:p>
    <w:p w14:paraId="15B84D26">
      <w:pPr>
        <w:snapToGrid w:val="0"/>
        <w:spacing w:before="156" w:beforeLines="50" w:after="50" w:line="276" w:lineRule="auto"/>
        <w:rPr>
          <w:rFonts w:ascii="宋体" w:hAnsi="宋体" w:cs="宋体"/>
          <w:szCs w:val="21"/>
          <w:highlight w:val="none"/>
        </w:rPr>
      </w:pPr>
      <w:r>
        <w:rPr>
          <w:rFonts w:ascii="宋体" w:hAnsi="宋体" w:cs="宋体"/>
          <w:szCs w:val="21"/>
          <w:highlight w:val="none"/>
        </w:rPr>
        <w:t>浙江综盛项目管理有限公司：</w:t>
      </w:r>
    </w:p>
    <w:p w14:paraId="0F6696AE">
      <w:pPr>
        <w:spacing w:line="360" w:lineRule="auto"/>
        <w:ind w:firstLine="426" w:firstLineChars="203"/>
        <w:rPr>
          <w:rFonts w:ascii="宋体" w:hAnsi="宋体" w:cs="宋体"/>
          <w:highlight w:val="none"/>
        </w:rPr>
      </w:pPr>
      <w:r>
        <w:rPr>
          <w:rFonts w:ascii="宋体" w:hAnsi="宋体" w:cs="宋体"/>
          <w:highlight w:val="none"/>
        </w:rPr>
        <w:t>本授权委托书声明：我</w:t>
      </w:r>
      <w:r>
        <w:rPr>
          <w:rFonts w:ascii="宋体" w:hAnsi="宋体" w:cs="宋体"/>
          <w:highlight w:val="none"/>
          <w:u w:val="single"/>
        </w:rPr>
        <w:t xml:space="preserve">   （法人代表姓名）  </w:t>
      </w:r>
      <w:r>
        <w:rPr>
          <w:rFonts w:ascii="宋体" w:hAnsi="宋体" w:cs="宋体"/>
          <w:highlight w:val="none"/>
        </w:rPr>
        <w:t>系</w:t>
      </w:r>
      <w:r>
        <w:rPr>
          <w:rFonts w:ascii="宋体" w:hAnsi="宋体" w:cs="宋体"/>
          <w:highlight w:val="none"/>
          <w:u w:val="single"/>
        </w:rPr>
        <w:t xml:space="preserve">  （磋商供应商名称）  </w:t>
      </w:r>
      <w:r>
        <w:rPr>
          <w:rFonts w:ascii="宋体" w:hAnsi="宋体" w:cs="宋体"/>
          <w:highlight w:val="none"/>
        </w:rPr>
        <w:t>的法定代表人，现授权委托本单位正式职工</w:t>
      </w:r>
      <w:r>
        <w:rPr>
          <w:rFonts w:ascii="宋体" w:hAnsi="宋体" w:cs="宋体"/>
          <w:highlight w:val="none"/>
          <w:u w:val="single"/>
        </w:rPr>
        <w:t xml:space="preserve">    （授权代表姓名）    </w:t>
      </w:r>
      <w:r>
        <w:rPr>
          <w:rFonts w:ascii="宋体" w:hAnsi="宋体" w:cs="宋体"/>
          <w:highlight w:val="none"/>
        </w:rPr>
        <w:t>为我公司法定代表人授权代表，参加贵处组织的</w:t>
      </w:r>
      <w:r>
        <w:rPr>
          <w:rFonts w:ascii="宋体" w:hAnsi="宋体" w:cs="宋体"/>
          <w:highlight w:val="none"/>
          <w:u w:val="single"/>
        </w:rPr>
        <w:t xml:space="preserve">（项目编号）          </w:t>
      </w:r>
      <w:r>
        <w:rPr>
          <w:rFonts w:ascii="宋体" w:hAnsi="宋体" w:cs="宋体"/>
          <w:highlight w:val="none"/>
        </w:rPr>
        <w:t xml:space="preserve">项目投标，全权处理本次招投标活动中的一切事宜，并代表我方全权办理针对上述项目的投标、开标、评标、签约等具体事务和签署相关文件。   </w:t>
      </w:r>
    </w:p>
    <w:p w14:paraId="7DE1CE16">
      <w:pPr>
        <w:spacing w:line="360" w:lineRule="auto"/>
        <w:ind w:left="283" w:leftChars="135" w:firstLine="140" w:firstLineChars="67"/>
        <w:rPr>
          <w:rFonts w:ascii="宋体" w:hAnsi="宋体" w:cs="宋体"/>
          <w:highlight w:val="none"/>
        </w:rPr>
      </w:pPr>
      <w:r>
        <w:rPr>
          <w:rFonts w:ascii="宋体" w:hAnsi="宋体" w:cs="宋体"/>
          <w:highlight w:val="none"/>
        </w:rPr>
        <w:t>我方对被授权人的签名负全部责任。</w:t>
      </w:r>
    </w:p>
    <w:p w14:paraId="6CA5EA7F">
      <w:pPr>
        <w:spacing w:line="360" w:lineRule="auto"/>
        <w:ind w:firstLine="420" w:firstLineChars="200"/>
        <w:rPr>
          <w:rFonts w:ascii="宋体" w:hAnsi="宋体" w:cs="宋体"/>
          <w:highlight w:val="none"/>
        </w:rPr>
      </w:pPr>
      <w:r>
        <w:rPr>
          <w:rFonts w:ascii="宋体" w:hAnsi="宋体" w:cs="宋体"/>
          <w:highlight w:val="none"/>
        </w:rPr>
        <w:t>在撤销授权的书面通知以前，本授权委托书一直有效。被授权人在授权委托书有效期内签署的所有文件不因授权的撤销而失效。</w:t>
      </w:r>
    </w:p>
    <w:p w14:paraId="32D9C9FB">
      <w:pPr>
        <w:spacing w:line="360" w:lineRule="auto"/>
        <w:ind w:firstLine="420" w:firstLineChars="200"/>
        <w:rPr>
          <w:rFonts w:ascii="宋体" w:hAnsi="宋体" w:cs="宋体"/>
          <w:highlight w:val="none"/>
        </w:rPr>
      </w:pPr>
      <w:r>
        <w:rPr>
          <w:rFonts w:ascii="宋体" w:hAnsi="宋体" w:cs="宋体"/>
          <w:highlight w:val="none"/>
        </w:rPr>
        <w:t>授权代表无转委托权，特此委托。</w:t>
      </w:r>
    </w:p>
    <w:p w14:paraId="0E5A7B15">
      <w:pPr>
        <w:spacing w:line="276" w:lineRule="auto"/>
        <w:ind w:firstLine="697"/>
        <w:rPr>
          <w:rFonts w:ascii="宋体" w:hAnsi="宋体" w:cs="宋体"/>
          <w:highlight w:val="none"/>
        </w:rPr>
      </w:pPr>
    </w:p>
    <w:p w14:paraId="2BFE7BFF">
      <w:pPr>
        <w:spacing w:before="312" w:beforeLines="100" w:after="312" w:afterLines="100" w:line="400" w:lineRule="atLeast"/>
        <w:ind w:firstLine="697"/>
        <w:rPr>
          <w:rFonts w:ascii="宋体" w:hAnsi="宋体" w:cs="宋体"/>
          <w:highlight w:val="none"/>
        </w:rPr>
      </w:pPr>
      <w:r>
        <w:rPr>
          <w:rFonts w:ascii="宋体" w:hAnsi="宋体" w:cs="宋体"/>
          <w:highlight w:val="none"/>
        </w:rPr>
        <mc:AlternateContent>
          <mc:Choice Requires="wps">
            <w:drawing>
              <wp:anchor distT="0" distB="0" distL="114300" distR="114300" simplePos="0" relativeHeight="251659264" behindDoc="0" locked="0" layoutInCell="1" allowOverlap="1">
                <wp:simplePos x="0" y="0"/>
                <wp:positionH relativeFrom="column">
                  <wp:posOffset>-280670</wp:posOffset>
                </wp:positionH>
                <wp:positionV relativeFrom="paragraph">
                  <wp:posOffset>140970</wp:posOffset>
                </wp:positionV>
                <wp:extent cx="2324100" cy="3533775"/>
                <wp:effectExtent l="4444" t="4444" r="14604" b="5080"/>
                <wp:wrapNone/>
                <wp:docPr id="2" name="文本框 2"/>
                <wp:cNvGraphicFramePr/>
                <a:graphic xmlns:a="http://schemas.openxmlformats.org/drawingml/2006/main">
                  <a:graphicData uri="http://schemas.microsoft.com/office/word/2010/wordprocessingShape">
                    <wps:wsp>
                      <wps:cNvSpPr/>
                      <wps:spPr>
                        <a:xfrm>
                          <a:off x="0" y="0"/>
                          <a:ext cx="2324100" cy="3533775"/>
                        </a:xfrm>
                        <a:prstGeom prst="rect">
                          <a:avLst/>
                        </a:prstGeom>
                        <a:solidFill>
                          <a:srgbClr val="FFFFFF"/>
                        </a:solidFill>
                        <a:ln w="9525" cap="flat" cmpd="sng">
                          <a:solidFill>
                            <a:srgbClr val="000000"/>
                          </a:solidFill>
                          <a:prstDash val="solid"/>
                          <a:miter/>
                        </a:ln>
                      </wps:spPr>
                      <wps:txbx>
                        <w:txbxContent>
                          <w:p w14:paraId="30E77466"/>
                          <w:p w14:paraId="0FF69FF3"/>
                          <w:p w14:paraId="2483596F"/>
                          <w:p w14:paraId="2FAD3159"/>
                          <w:p w14:paraId="3F9CC2C9"/>
                          <w:p w14:paraId="1BB4B037"/>
                          <w:p w14:paraId="4F0FF797"/>
                          <w:p w14:paraId="2670B1D2"/>
                          <w:p w14:paraId="2721B00D"/>
                          <w:p w14:paraId="1445AF60">
                            <w:pPr>
                              <w:jc w:val="center"/>
                            </w:pPr>
                            <w:r>
                              <w:t>授权代表身份证复印件（正反两面）</w:t>
                            </w:r>
                          </w:p>
                        </w:txbxContent>
                      </wps:txbx>
                      <wps:bodyPr vert="horz" wrap="square" lIns="91440" tIns="45720" rIns="91440" bIns="45720" anchor="t" anchorCtr="0" upright="1">
                        <a:noAutofit/>
                      </wps:bodyPr>
                    </wps:wsp>
                  </a:graphicData>
                </a:graphic>
              </wp:anchor>
            </w:drawing>
          </mc:Choice>
          <mc:Fallback>
            <w:pict>
              <v:rect id="文本框 2" o:spid="_x0000_s1026" o:spt="1" style="position:absolute;left:0pt;margin-left:-22.1pt;margin-top:11.1pt;height:278.25pt;width:183pt;z-index:251659264;mso-width-relative:page;mso-height-relative:page;" fillcolor="#FFFFFF" filled="t" stroked="t" coordsize="21600,21600" o:gfxdata="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bz0xodkAAAAKAQAADwAAAAAAAAABACAAAAAiAAAAZHJzL2Rvd25yZXYueG1sUEsBAhQAFAAA&#10;AAgAh07iQEedll8nAgAAWgQAAA4AAAAAAAAAAQAgAAAAKAEAAGRycy9lMm9Eb2MueG1sUEsFBgAA&#10;AAAGAAYAWQEAAMEFAAAAAA==&#10;">
                <v:fill on="t" focussize="0,0"/>
                <v:stroke color="#000000" joinstyle="miter"/>
                <v:imagedata o:title=""/>
                <o:lock v:ext="edit" aspectratio="f"/>
                <v:textbox>
                  <w:txbxContent>
                    <w:p w14:paraId="30E77466"/>
                    <w:p w14:paraId="0FF69FF3"/>
                    <w:p w14:paraId="2483596F"/>
                    <w:p w14:paraId="2FAD3159"/>
                    <w:p w14:paraId="3F9CC2C9"/>
                    <w:p w14:paraId="1BB4B037"/>
                    <w:p w14:paraId="4F0FF797"/>
                    <w:p w14:paraId="2670B1D2"/>
                    <w:p w14:paraId="2721B00D"/>
                    <w:p w14:paraId="1445AF60">
                      <w:pPr>
                        <w:jc w:val="center"/>
                      </w:pPr>
                      <w:r>
                        <w:t>授权代表身份证复印件（正反两面）</w:t>
                      </w:r>
                    </w:p>
                  </w:txbxContent>
                </v:textbox>
              </v:rect>
            </w:pict>
          </mc:Fallback>
        </mc:AlternateContent>
      </w:r>
    </w:p>
    <w:p w14:paraId="2F912EA3">
      <w:pPr>
        <w:spacing w:before="312" w:beforeLines="100" w:after="312" w:afterLines="100" w:line="400" w:lineRule="atLeast"/>
        <w:ind w:left="2100" w:leftChars="1000" w:firstLine="1365" w:firstLineChars="650"/>
        <w:rPr>
          <w:rFonts w:ascii="宋体" w:hAnsi="宋体" w:cs="宋体"/>
          <w:szCs w:val="21"/>
          <w:highlight w:val="none"/>
          <w:u w:val="single"/>
        </w:rPr>
      </w:pPr>
      <w:r>
        <w:rPr>
          <w:rFonts w:ascii="宋体" w:hAnsi="宋体" w:cs="宋体"/>
          <w:szCs w:val="21"/>
          <w:highlight w:val="none"/>
        </w:rPr>
        <w:t>授权代表：</w:t>
      </w:r>
      <w:r>
        <w:rPr>
          <w:rFonts w:ascii="宋体" w:hAnsi="宋体" w:cs="宋体"/>
          <w:szCs w:val="21"/>
          <w:highlight w:val="none"/>
          <w:u w:val="single"/>
        </w:rPr>
        <w:t xml:space="preserve">        </w:t>
      </w:r>
      <w:r>
        <w:rPr>
          <w:rFonts w:ascii="宋体" w:hAnsi="宋体" w:cs="宋体"/>
          <w:szCs w:val="21"/>
          <w:highlight w:val="none"/>
        </w:rPr>
        <w:t>性别 ：</w:t>
      </w:r>
      <w:r>
        <w:rPr>
          <w:rFonts w:ascii="宋体" w:hAnsi="宋体" w:cs="宋体"/>
          <w:szCs w:val="21"/>
          <w:highlight w:val="none"/>
          <w:u w:val="single"/>
        </w:rPr>
        <w:t xml:space="preserve">       </w:t>
      </w:r>
      <w:r>
        <w:rPr>
          <w:rFonts w:ascii="宋体" w:hAnsi="宋体" w:cs="宋体"/>
          <w:szCs w:val="21"/>
          <w:highlight w:val="none"/>
        </w:rPr>
        <w:t>年龄：</w:t>
      </w:r>
      <w:r>
        <w:rPr>
          <w:rFonts w:ascii="宋体" w:hAnsi="宋体" w:cs="宋体"/>
          <w:szCs w:val="21"/>
          <w:highlight w:val="none"/>
          <w:u w:val="single"/>
        </w:rPr>
        <w:t xml:space="preserve">        </w:t>
      </w:r>
      <w:r>
        <w:rPr>
          <w:rFonts w:ascii="宋体" w:hAnsi="宋体" w:cs="宋体"/>
          <w:szCs w:val="21"/>
          <w:highlight w:val="none"/>
        </w:rPr>
        <w:t xml:space="preserve"> </w:t>
      </w:r>
    </w:p>
    <w:p w14:paraId="5CF56532">
      <w:pPr>
        <w:spacing w:before="312" w:beforeLines="100" w:after="312" w:afterLines="100" w:line="400" w:lineRule="atLeast"/>
        <w:ind w:left="2100" w:leftChars="1000" w:firstLine="1365" w:firstLineChars="650"/>
        <w:rPr>
          <w:rFonts w:ascii="宋体" w:hAnsi="宋体" w:cs="宋体"/>
          <w:szCs w:val="21"/>
          <w:highlight w:val="none"/>
          <w:u w:val="single"/>
        </w:rPr>
      </w:pPr>
      <w:r>
        <w:rPr>
          <w:rFonts w:ascii="宋体" w:hAnsi="宋体" w:cs="宋体"/>
          <w:szCs w:val="21"/>
          <w:highlight w:val="none"/>
        </w:rPr>
        <w:t>身份证号码：</w:t>
      </w:r>
      <w:r>
        <w:rPr>
          <w:rFonts w:ascii="宋体" w:hAnsi="宋体" w:cs="宋体"/>
          <w:szCs w:val="21"/>
          <w:highlight w:val="none"/>
          <w:u w:val="single"/>
        </w:rPr>
        <w:t xml:space="preserve">                    </w:t>
      </w:r>
      <w:r>
        <w:rPr>
          <w:rFonts w:ascii="宋体" w:hAnsi="宋体" w:cs="宋体"/>
          <w:szCs w:val="21"/>
          <w:highlight w:val="none"/>
        </w:rPr>
        <w:t>职务：</w:t>
      </w:r>
      <w:r>
        <w:rPr>
          <w:rFonts w:ascii="宋体" w:hAnsi="宋体" w:cs="宋体"/>
          <w:szCs w:val="21"/>
          <w:highlight w:val="none"/>
          <w:u w:val="single"/>
        </w:rPr>
        <w:t xml:space="preserve">             </w:t>
      </w:r>
    </w:p>
    <w:p w14:paraId="33C7A652">
      <w:pPr>
        <w:spacing w:before="312" w:beforeLines="100" w:after="312" w:afterLines="100" w:line="400" w:lineRule="atLeast"/>
        <w:ind w:left="2100" w:leftChars="1000" w:firstLine="1365" w:firstLineChars="650"/>
        <w:rPr>
          <w:rFonts w:ascii="宋体" w:hAnsi="宋体" w:cs="宋体"/>
          <w:szCs w:val="21"/>
          <w:highlight w:val="none"/>
          <w:u w:val="single"/>
        </w:rPr>
      </w:pPr>
      <w:r>
        <w:rPr>
          <w:rFonts w:ascii="宋体" w:hAnsi="宋体" w:cs="宋体"/>
          <w:szCs w:val="21"/>
          <w:highlight w:val="none"/>
        </w:rPr>
        <w:t>详细通讯地址：</w:t>
      </w:r>
      <w:r>
        <w:rPr>
          <w:rFonts w:ascii="宋体" w:hAnsi="宋体" w:cs="宋体"/>
          <w:szCs w:val="21"/>
          <w:highlight w:val="none"/>
          <w:u w:val="single"/>
        </w:rPr>
        <w:t xml:space="preserve">              </w:t>
      </w:r>
      <w:r>
        <w:rPr>
          <w:rFonts w:ascii="宋体" w:hAnsi="宋体" w:cs="宋体"/>
          <w:szCs w:val="21"/>
          <w:highlight w:val="none"/>
        </w:rPr>
        <w:t>邮政编码：</w:t>
      </w:r>
      <w:r>
        <w:rPr>
          <w:rFonts w:ascii="宋体" w:hAnsi="宋体" w:cs="宋体"/>
          <w:szCs w:val="21"/>
          <w:highlight w:val="none"/>
          <w:u w:val="single"/>
        </w:rPr>
        <w:t xml:space="preserve">             </w:t>
      </w:r>
    </w:p>
    <w:p w14:paraId="078BE4E9">
      <w:pPr>
        <w:spacing w:before="312" w:beforeLines="100" w:after="312" w:afterLines="100" w:line="400" w:lineRule="atLeast"/>
        <w:ind w:firstLine="3465" w:firstLineChars="1650"/>
        <w:rPr>
          <w:rFonts w:ascii="宋体" w:hAnsi="宋体" w:cs="宋体"/>
          <w:szCs w:val="21"/>
          <w:highlight w:val="none"/>
          <w:u w:val="single"/>
        </w:rPr>
      </w:pPr>
      <w:r>
        <w:rPr>
          <w:rFonts w:ascii="宋体" w:hAnsi="宋体" w:cs="宋体"/>
          <w:szCs w:val="21"/>
          <w:highlight w:val="none"/>
        </w:rPr>
        <w:t xml:space="preserve">手机号码： </w:t>
      </w:r>
      <w:r>
        <w:rPr>
          <w:rFonts w:ascii="宋体" w:hAnsi="宋体" w:cs="宋体"/>
          <w:szCs w:val="21"/>
          <w:highlight w:val="none"/>
          <w:u w:val="single"/>
        </w:rPr>
        <w:t xml:space="preserve">              </w:t>
      </w:r>
      <w:r>
        <w:rPr>
          <w:rFonts w:ascii="宋体" w:hAnsi="宋体" w:cs="宋体"/>
          <w:szCs w:val="21"/>
          <w:highlight w:val="none"/>
        </w:rPr>
        <w:t>电子邮箱：</w:t>
      </w:r>
      <w:r>
        <w:rPr>
          <w:rFonts w:ascii="宋体" w:hAnsi="宋体" w:cs="宋体"/>
          <w:szCs w:val="21"/>
          <w:highlight w:val="none"/>
          <w:u w:val="single"/>
        </w:rPr>
        <w:t xml:space="preserve">              </w:t>
      </w:r>
    </w:p>
    <w:p w14:paraId="6D413603">
      <w:pPr>
        <w:spacing w:before="312" w:beforeLines="100" w:after="312" w:afterLines="100" w:line="400" w:lineRule="atLeast"/>
        <w:ind w:firstLine="3465" w:firstLineChars="1650"/>
        <w:rPr>
          <w:rFonts w:ascii="宋体" w:hAnsi="宋体" w:cs="宋体"/>
          <w:szCs w:val="21"/>
          <w:highlight w:val="none"/>
          <w:u w:val="single"/>
        </w:rPr>
      </w:pPr>
      <w:r>
        <w:rPr>
          <w:rFonts w:ascii="宋体" w:hAnsi="宋体" w:cs="宋体"/>
          <w:szCs w:val="21"/>
          <w:highlight w:val="none"/>
        </w:rPr>
        <w:t>电     话：</w:t>
      </w:r>
      <w:r>
        <w:rPr>
          <w:rFonts w:ascii="宋体" w:hAnsi="宋体" w:cs="宋体"/>
          <w:szCs w:val="21"/>
          <w:highlight w:val="none"/>
          <w:u w:val="single"/>
        </w:rPr>
        <w:t xml:space="preserve">            </w:t>
      </w:r>
      <w:r>
        <w:rPr>
          <w:rFonts w:ascii="宋体" w:hAnsi="宋体" w:cs="宋体"/>
          <w:szCs w:val="21"/>
          <w:highlight w:val="none"/>
        </w:rPr>
        <w:t>传    真：</w:t>
      </w:r>
      <w:r>
        <w:rPr>
          <w:rFonts w:ascii="宋体" w:hAnsi="宋体" w:cs="宋体"/>
          <w:szCs w:val="21"/>
          <w:highlight w:val="none"/>
          <w:u w:val="single"/>
        </w:rPr>
        <w:t xml:space="preserve">             </w:t>
      </w:r>
    </w:p>
    <w:p w14:paraId="4676AF13">
      <w:pPr>
        <w:spacing w:before="312" w:beforeLines="100" w:after="312" w:afterLines="100" w:line="400" w:lineRule="atLeast"/>
        <w:ind w:left="1" w:firstLine="403" w:firstLineChars="192"/>
        <w:rPr>
          <w:rFonts w:ascii="宋体" w:hAnsi="宋体" w:cs="宋体"/>
          <w:szCs w:val="21"/>
          <w:highlight w:val="none"/>
        </w:rPr>
      </w:pPr>
      <w:r>
        <w:rPr>
          <w:rFonts w:ascii="宋体" w:hAnsi="宋体" w:cs="宋体"/>
          <w:szCs w:val="21"/>
          <w:highlight w:val="none"/>
        </w:rPr>
        <w:t xml:space="preserve">                             磋商供应商：</w:t>
      </w:r>
      <w:r>
        <w:rPr>
          <w:rFonts w:ascii="宋体" w:hAnsi="宋体" w:cs="宋体"/>
          <w:szCs w:val="21"/>
          <w:highlight w:val="none"/>
          <w:u w:val="single"/>
        </w:rPr>
        <w:t xml:space="preserve">                 （</w:t>
      </w:r>
      <w:r>
        <w:rPr>
          <w:rFonts w:ascii="宋体" w:hAnsi="宋体" w:cs="宋体"/>
          <w:highlight w:val="none"/>
          <w:u w:val="single"/>
        </w:rPr>
        <w:t>盖电子签章）</w:t>
      </w:r>
    </w:p>
    <w:p w14:paraId="6473524B">
      <w:pPr>
        <w:spacing w:before="312" w:beforeLines="100" w:after="312" w:afterLines="100" w:line="400" w:lineRule="atLeast"/>
        <w:ind w:left="2100" w:right="420" w:firstLine="1365" w:firstLineChars="650"/>
        <w:rPr>
          <w:rFonts w:ascii="宋体" w:hAnsi="宋体" w:cs="宋体"/>
          <w:szCs w:val="21"/>
          <w:highlight w:val="none"/>
        </w:rPr>
      </w:pPr>
      <w:r>
        <w:rPr>
          <w:rFonts w:ascii="宋体" w:hAnsi="宋体" w:cs="宋体"/>
          <w:szCs w:val="21"/>
          <w:highlight w:val="none"/>
        </w:rPr>
        <w:t>法定代表人：</w:t>
      </w:r>
      <w:r>
        <w:rPr>
          <w:rFonts w:ascii="宋体" w:hAnsi="宋体" w:cs="宋体"/>
          <w:szCs w:val="21"/>
          <w:highlight w:val="none"/>
          <w:u w:val="single"/>
        </w:rPr>
        <w:t xml:space="preserve">                 （签字或盖章）</w:t>
      </w:r>
    </w:p>
    <w:p w14:paraId="57FBD55A">
      <w:pPr>
        <w:spacing w:before="312" w:beforeLines="100" w:after="312" w:afterLines="100" w:line="400" w:lineRule="atLeast"/>
        <w:ind w:firstLine="3150" w:firstLineChars="1500"/>
        <w:jc w:val="right"/>
        <w:rPr>
          <w:rFonts w:ascii="宋体" w:hAnsi="宋体" w:cs="宋体"/>
          <w:szCs w:val="21"/>
          <w:highlight w:val="none"/>
        </w:rPr>
      </w:pPr>
    </w:p>
    <w:p w14:paraId="3E3C0C41">
      <w:pPr>
        <w:spacing w:before="312" w:beforeLines="100" w:after="312" w:afterLines="100" w:line="400" w:lineRule="atLeast"/>
        <w:ind w:firstLine="3150" w:firstLineChars="1500"/>
        <w:jc w:val="right"/>
        <w:rPr>
          <w:rFonts w:ascii="宋体" w:hAnsi="宋体" w:cs="宋体"/>
          <w:szCs w:val="21"/>
          <w:highlight w:val="none"/>
        </w:rPr>
      </w:pPr>
    </w:p>
    <w:p w14:paraId="39001242">
      <w:pPr>
        <w:spacing w:before="312" w:beforeLines="100" w:after="312" w:afterLines="100" w:line="400" w:lineRule="atLeast"/>
        <w:ind w:firstLine="3150" w:firstLineChars="1500"/>
        <w:jc w:val="right"/>
        <w:rPr>
          <w:rFonts w:ascii="宋体" w:hAnsi="宋体" w:cs="宋体"/>
          <w:b/>
          <w:bCs/>
          <w:sz w:val="28"/>
          <w:szCs w:val="28"/>
          <w:highlight w:val="none"/>
        </w:rPr>
      </w:pPr>
      <w:r>
        <w:rPr>
          <w:rFonts w:ascii="宋体" w:hAnsi="宋体" w:cs="宋体"/>
          <w:szCs w:val="21"/>
          <w:highlight w:val="none"/>
        </w:rPr>
        <w:t>授权委托日期：</w:t>
      </w:r>
      <w:r>
        <w:rPr>
          <w:rFonts w:ascii="宋体" w:hAnsi="宋体" w:cs="宋体"/>
          <w:szCs w:val="21"/>
          <w:highlight w:val="none"/>
          <w:u w:val="single"/>
        </w:rPr>
        <w:t xml:space="preserve">     </w:t>
      </w:r>
      <w:r>
        <w:rPr>
          <w:rFonts w:ascii="宋体" w:hAnsi="宋体" w:cs="宋体"/>
          <w:szCs w:val="21"/>
          <w:highlight w:val="none"/>
        </w:rPr>
        <w:t xml:space="preserve">年 </w:t>
      </w:r>
      <w:r>
        <w:rPr>
          <w:rFonts w:ascii="宋体" w:hAnsi="宋体" w:cs="宋体"/>
          <w:szCs w:val="21"/>
          <w:highlight w:val="none"/>
          <w:u w:val="single"/>
        </w:rPr>
        <w:t xml:space="preserve">    </w:t>
      </w:r>
      <w:r>
        <w:rPr>
          <w:rFonts w:ascii="宋体" w:hAnsi="宋体" w:cs="宋体"/>
          <w:szCs w:val="21"/>
          <w:highlight w:val="none"/>
        </w:rPr>
        <w:t>月</w:t>
      </w:r>
      <w:r>
        <w:rPr>
          <w:rFonts w:ascii="宋体" w:hAnsi="宋体" w:cs="宋体"/>
          <w:szCs w:val="21"/>
          <w:highlight w:val="none"/>
          <w:u w:val="single"/>
        </w:rPr>
        <w:t xml:space="preserve">     </w:t>
      </w:r>
      <w:r>
        <w:rPr>
          <w:rFonts w:ascii="宋体" w:hAnsi="宋体" w:cs="宋体"/>
          <w:szCs w:val="21"/>
          <w:highlight w:val="none"/>
        </w:rPr>
        <w:t>日</w:t>
      </w:r>
      <w:bookmarkStart w:id="409" w:name="_Toc27035996"/>
      <w:bookmarkStart w:id="410" w:name="_Toc29170"/>
      <w:bookmarkStart w:id="411" w:name="_Toc486931327"/>
      <w:bookmarkStart w:id="412" w:name="_Toc19590"/>
      <w:bookmarkStart w:id="413" w:name="_Toc10391"/>
      <w:bookmarkStart w:id="414" w:name="_Toc2075"/>
      <w:bookmarkStart w:id="415" w:name="_Toc5271"/>
      <w:bookmarkStart w:id="416" w:name="_Toc27037135"/>
      <w:bookmarkStart w:id="417" w:name="_Toc31384"/>
      <w:bookmarkStart w:id="418" w:name="_Toc15488"/>
    </w:p>
    <w:p w14:paraId="23E4387F">
      <w:pPr>
        <w:jc w:val="center"/>
        <w:outlineLvl w:val="1"/>
        <w:rPr>
          <w:rFonts w:ascii="宋体" w:hAnsi="宋体" w:cs="宋体"/>
          <w:b/>
          <w:bCs/>
          <w:sz w:val="28"/>
          <w:szCs w:val="28"/>
          <w:highlight w:val="none"/>
        </w:rPr>
      </w:pPr>
      <w:bookmarkStart w:id="419" w:name="_Toc17217"/>
      <w:bookmarkStart w:id="420" w:name="_Toc12958"/>
      <w:bookmarkStart w:id="421" w:name="_Toc18364"/>
      <w:r>
        <w:rPr>
          <w:rFonts w:ascii="宋体" w:hAnsi="宋体" w:cs="宋体"/>
          <w:b/>
          <w:bCs/>
          <w:sz w:val="28"/>
          <w:szCs w:val="28"/>
          <w:highlight w:val="none"/>
        </w:rPr>
        <w:t>附件三-2  法定代表人身份证明</w:t>
      </w:r>
      <w:bookmarkEnd w:id="409"/>
      <w:bookmarkEnd w:id="410"/>
      <w:bookmarkEnd w:id="411"/>
      <w:bookmarkEnd w:id="412"/>
      <w:bookmarkEnd w:id="413"/>
      <w:bookmarkEnd w:id="414"/>
      <w:bookmarkEnd w:id="415"/>
      <w:bookmarkEnd w:id="416"/>
      <w:bookmarkEnd w:id="417"/>
      <w:bookmarkEnd w:id="418"/>
      <w:bookmarkEnd w:id="419"/>
      <w:bookmarkEnd w:id="420"/>
      <w:bookmarkEnd w:id="421"/>
    </w:p>
    <w:p w14:paraId="56070902">
      <w:pPr>
        <w:rPr>
          <w:rFonts w:ascii="宋体" w:hAnsi="宋体" w:cs="宋体"/>
          <w:highlight w:val="none"/>
        </w:rPr>
      </w:pPr>
    </w:p>
    <w:p w14:paraId="688A63D2">
      <w:pPr>
        <w:spacing w:line="360" w:lineRule="auto"/>
        <w:rPr>
          <w:rFonts w:ascii="宋体" w:hAnsi="宋体" w:cs="宋体"/>
          <w:szCs w:val="21"/>
          <w:highlight w:val="none"/>
        </w:rPr>
      </w:pPr>
      <w:r>
        <w:rPr>
          <w:rFonts w:ascii="宋体" w:hAnsi="宋体" w:cs="宋体"/>
          <w:szCs w:val="21"/>
          <w:highlight w:val="none"/>
        </w:rPr>
        <w:t>申 请 人：</w:t>
      </w:r>
      <w:r>
        <w:rPr>
          <w:rFonts w:ascii="宋体" w:hAnsi="宋体" w:cs="宋体"/>
          <w:szCs w:val="21"/>
          <w:highlight w:val="none"/>
          <w:u w:val="single"/>
        </w:rPr>
        <w:t xml:space="preserve">                                                       </w:t>
      </w:r>
    </w:p>
    <w:p w14:paraId="0524C824">
      <w:pPr>
        <w:spacing w:line="360" w:lineRule="auto"/>
        <w:rPr>
          <w:rFonts w:ascii="宋体" w:hAnsi="宋体" w:cs="宋体"/>
          <w:szCs w:val="21"/>
          <w:highlight w:val="none"/>
          <w:u w:val="single"/>
        </w:rPr>
      </w:pPr>
      <w:r>
        <w:rPr>
          <w:rFonts w:ascii="宋体" w:hAnsi="宋体" w:cs="宋体"/>
          <w:szCs w:val="21"/>
          <w:highlight w:val="none"/>
        </w:rPr>
        <w:t>单位性质：</w:t>
      </w:r>
      <w:r>
        <w:rPr>
          <w:rFonts w:ascii="宋体" w:hAnsi="宋体" w:cs="宋体"/>
          <w:szCs w:val="21"/>
          <w:highlight w:val="none"/>
          <w:u w:val="single"/>
        </w:rPr>
        <w:t xml:space="preserve">                                                       </w:t>
      </w:r>
    </w:p>
    <w:p w14:paraId="795B6B9C">
      <w:pPr>
        <w:spacing w:line="360" w:lineRule="auto"/>
        <w:rPr>
          <w:rFonts w:ascii="宋体" w:hAnsi="宋体" w:cs="宋体"/>
          <w:szCs w:val="21"/>
          <w:highlight w:val="none"/>
        </w:rPr>
      </w:pPr>
      <w:r>
        <w:rPr>
          <w:rFonts w:ascii="宋体" w:hAnsi="宋体" w:cs="宋体"/>
          <w:szCs w:val="21"/>
          <w:highlight w:val="none"/>
        </w:rPr>
        <w:t>地    址：</w:t>
      </w:r>
      <w:r>
        <w:rPr>
          <w:rFonts w:ascii="宋体" w:hAnsi="宋体" w:cs="宋体"/>
          <w:szCs w:val="21"/>
          <w:highlight w:val="none"/>
          <w:u w:val="single"/>
        </w:rPr>
        <w:t xml:space="preserve">                                                       </w:t>
      </w:r>
    </w:p>
    <w:p w14:paraId="417A5B6F">
      <w:pPr>
        <w:spacing w:line="360" w:lineRule="auto"/>
        <w:rPr>
          <w:rFonts w:ascii="宋体" w:hAnsi="宋体" w:cs="宋体"/>
          <w:szCs w:val="21"/>
          <w:highlight w:val="none"/>
        </w:rPr>
      </w:pPr>
      <w:r>
        <w:rPr>
          <w:rFonts w:ascii="宋体" w:hAnsi="宋体" w:cs="宋体"/>
          <w:szCs w:val="21"/>
          <w:highlight w:val="none"/>
        </w:rPr>
        <w:t>成立时间：</w:t>
      </w:r>
      <w:r>
        <w:rPr>
          <w:rFonts w:ascii="宋体" w:hAnsi="宋体" w:cs="宋体"/>
          <w:szCs w:val="21"/>
          <w:highlight w:val="none"/>
          <w:u w:val="single"/>
        </w:rPr>
        <w:t xml:space="preserve">          </w:t>
      </w:r>
      <w:r>
        <w:rPr>
          <w:rFonts w:ascii="宋体" w:hAnsi="宋体" w:cs="宋体"/>
          <w:szCs w:val="21"/>
          <w:highlight w:val="none"/>
        </w:rPr>
        <w:t>年</w:t>
      </w:r>
      <w:r>
        <w:rPr>
          <w:rFonts w:ascii="宋体" w:hAnsi="宋体" w:cs="宋体"/>
          <w:szCs w:val="21"/>
          <w:highlight w:val="none"/>
          <w:u w:val="single"/>
        </w:rPr>
        <w:t xml:space="preserve">          </w:t>
      </w:r>
      <w:r>
        <w:rPr>
          <w:rFonts w:ascii="宋体" w:hAnsi="宋体" w:cs="宋体"/>
          <w:szCs w:val="21"/>
          <w:highlight w:val="none"/>
        </w:rPr>
        <w:t>月</w:t>
      </w:r>
      <w:r>
        <w:rPr>
          <w:rFonts w:ascii="宋体" w:hAnsi="宋体" w:cs="宋体"/>
          <w:szCs w:val="21"/>
          <w:highlight w:val="none"/>
          <w:u w:val="single"/>
        </w:rPr>
        <w:t xml:space="preserve">          </w:t>
      </w:r>
      <w:r>
        <w:rPr>
          <w:rFonts w:ascii="宋体" w:hAnsi="宋体" w:cs="宋体"/>
          <w:szCs w:val="21"/>
          <w:highlight w:val="none"/>
        </w:rPr>
        <w:t>日</w:t>
      </w:r>
    </w:p>
    <w:p w14:paraId="542237C4">
      <w:pPr>
        <w:spacing w:line="360" w:lineRule="auto"/>
        <w:rPr>
          <w:rFonts w:ascii="宋体" w:hAnsi="宋体" w:cs="宋体"/>
          <w:szCs w:val="21"/>
          <w:highlight w:val="none"/>
        </w:rPr>
      </w:pPr>
      <w:r>
        <w:rPr>
          <w:rFonts w:ascii="宋体" w:hAnsi="宋体" w:cs="宋体"/>
          <w:szCs w:val="21"/>
          <w:highlight w:val="none"/>
        </w:rPr>
        <w:t>经营期限：</w:t>
      </w:r>
      <w:r>
        <w:rPr>
          <w:rFonts w:ascii="宋体" w:hAnsi="宋体" w:cs="宋体"/>
          <w:szCs w:val="21"/>
          <w:highlight w:val="none"/>
          <w:u w:val="single"/>
        </w:rPr>
        <w:t xml:space="preserve">                                                       </w:t>
      </w:r>
    </w:p>
    <w:p w14:paraId="6222D321">
      <w:pPr>
        <w:spacing w:line="360" w:lineRule="auto"/>
        <w:rPr>
          <w:rFonts w:ascii="宋体" w:hAnsi="宋体" w:cs="宋体"/>
          <w:szCs w:val="21"/>
          <w:highlight w:val="none"/>
        </w:rPr>
      </w:pPr>
      <w:r>
        <w:rPr>
          <w:rFonts w:ascii="宋体" w:hAnsi="宋体" w:cs="宋体"/>
          <w:szCs w:val="21"/>
          <w:highlight w:val="none"/>
        </w:rPr>
        <w:t>姓    名：</w:t>
      </w:r>
      <w:r>
        <w:rPr>
          <w:rFonts w:ascii="宋体" w:hAnsi="宋体" w:cs="宋体"/>
          <w:szCs w:val="21"/>
          <w:highlight w:val="none"/>
          <w:u w:val="single"/>
        </w:rPr>
        <w:t xml:space="preserve">             </w:t>
      </w:r>
      <w:r>
        <w:rPr>
          <w:rFonts w:ascii="宋体" w:hAnsi="宋体" w:cs="宋体"/>
          <w:szCs w:val="21"/>
          <w:highlight w:val="none"/>
        </w:rPr>
        <w:t>性    别：</w:t>
      </w:r>
      <w:r>
        <w:rPr>
          <w:rFonts w:ascii="宋体" w:hAnsi="宋体" w:cs="宋体"/>
          <w:szCs w:val="21"/>
          <w:highlight w:val="none"/>
          <w:u w:val="single"/>
        </w:rPr>
        <w:t xml:space="preserve">               </w:t>
      </w:r>
    </w:p>
    <w:p w14:paraId="588F68ED">
      <w:pPr>
        <w:spacing w:line="360" w:lineRule="auto"/>
        <w:rPr>
          <w:rFonts w:ascii="宋体" w:hAnsi="宋体" w:cs="宋体"/>
          <w:szCs w:val="21"/>
          <w:highlight w:val="none"/>
        </w:rPr>
      </w:pPr>
      <w:r>
        <w:rPr>
          <w:rFonts w:ascii="宋体" w:hAnsi="宋体" w:cs="宋体"/>
          <w:szCs w:val="21"/>
          <w:highlight w:val="none"/>
        </w:rPr>
        <w:t>年    龄：</w:t>
      </w:r>
      <w:r>
        <w:rPr>
          <w:rFonts w:ascii="宋体" w:hAnsi="宋体" w:cs="宋体"/>
          <w:szCs w:val="21"/>
          <w:highlight w:val="none"/>
          <w:u w:val="single"/>
        </w:rPr>
        <w:t xml:space="preserve">             </w:t>
      </w:r>
      <w:r>
        <w:rPr>
          <w:rFonts w:ascii="宋体" w:hAnsi="宋体" w:cs="宋体"/>
          <w:szCs w:val="21"/>
          <w:highlight w:val="none"/>
        </w:rPr>
        <w:t>职    务：</w:t>
      </w:r>
      <w:r>
        <w:rPr>
          <w:rFonts w:ascii="宋体" w:hAnsi="宋体" w:cs="宋体"/>
          <w:szCs w:val="21"/>
          <w:highlight w:val="none"/>
          <w:u w:val="single"/>
        </w:rPr>
        <w:t xml:space="preserve">               </w:t>
      </w:r>
    </w:p>
    <w:p w14:paraId="27CFCB77">
      <w:pPr>
        <w:spacing w:line="360" w:lineRule="auto"/>
        <w:rPr>
          <w:rFonts w:ascii="宋体" w:hAnsi="宋体" w:cs="宋体"/>
          <w:szCs w:val="21"/>
          <w:highlight w:val="none"/>
        </w:rPr>
      </w:pPr>
      <w:r>
        <w:rPr>
          <w:rFonts w:ascii="宋体" w:hAnsi="宋体" w:cs="宋体"/>
          <w:szCs w:val="21"/>
          <w:highlight w:val="none"/>
        </w:rPr>
        <w:t>系</w:t>
      </w:r>
      <w:r>
        <w:rPr>
          <w:rFonts w:ascii="宋体" w:hAnsi="宋体" w:cs="宋体"/>
          <w:szCs w:val="21"/>
          <w:highlight w:val="none"/>
          <w:u w:val="single"/>
        </w:rPr>
        <w:t xml:space="preserve">                                </w:t>
      </w:r>
      <w:r>
        <w:rPr>
          <w:rFonts w:ascii="宋体" w:hAnsi="宋体" w:cs="宋体"/>
          <w:szCs w:val="21"/>
          <w:highlight w:val="none"/>
        </w:rPr>
        <w:t>（申请人名称）的法定代表人。</w:t>
      </w:r>
    </w:p>
    <w:p w14:paraId="1F140E9D">
      <w:pPr>
        <w:spacing w:line="360" w:lineRule="auto"/>
        <w:rPr>
          <w:rFonts w:ascii="宋体" w:hAnsi="宋体" w:cs="宋体"/>
          <w:szCs w:val="21"/>
          <w:highlight w:val="none"/>
        </w:rPr>
      </w:pPr>
      <w:r>
        <w:rPr>
          <w:rFonts w:ascii="宋体" w:hAnsi="宋体" w:cs="宋体"/>
          <w:szCs w:val="21"/>
          <w:highlight w:val="none"/>
        </w:rPr>
        <w:t>特此证明。</w:t>
      </w:r>
    </w:p>
    <w:p w14:paraId="69583597">
      <w:pPr>
        <w:spacing w:line="360" w:lineRule="exact"/>
        <w:rPr>
          <w:rFonts w:ascii="宋体" w:hAnsi="宋体" w:cs="宋体"/>
          <w:szCs w:val="21"/>
          <w:highlight w:val="none"/>
        </w:rPr>
      </w:pPr>
      <w:r>
        <w:rPr>
          <w:rFonts w:ascii="宋体" w:hAnsi="宋体" w:cs="宋体"/>
          <w:highlight w:val="none"/>
        </w:rPr>
        <mc:AlternateContent>
          <mc:Choice Requires="wps">
            <w:drawing>
              <wp:anchor distT="0" distB="0" distL="114300" distR="114300" simplePos="0" relativeHeight="251659264" behindDoc="0" locked="0" layoutInCell="1" allowOverlap="1">
                <wp:simplePos x="0" y="0"/>
                <wp:positionH relativeFrom="column">
                  <wp:posOffset>2128520</wp:posOffset>
                </wp:positionH>
                <wp:positionV relativeFrom="paragraph">
                  <wp:posOffset>60960</wp:posOffset>
                </wp:positionV>
                <wp:extent cx="3529330" cy="2476500"/>
                <wp:effectExtent l="5080" t="4444" r="8889" b="14604"/>
                <wp:wrapNone/>
                <wp:docPr id="3" name="文本框 3"/>
                <wp:cNvGraphicFramePr/>
                <a:graphic xmlns:a="http://schemas.openxmlformats.org/drawingml/2006/main">
                  <a:graphicData uri="http://schemas.microsoft.com/office/word/2010/wordprocessingShape">
                    <wps:wsp>
                      <wps:cNvSpPr/>
                      <wps:spPr>
                        <a:xfrm>
                          <a:off x="0" y="0"/>
                          <a:ext cx="3529329" cy="2476500"/>
                        </a:xfrm>
                        <a:prstGeom prst="rect">
                          <a:avLst/>
                        </a:prstGeom>
                        <a:noFill/>
                        <a:ln w="9525" cap="flat" cmpd="sng">
                          <a:solidFill>
                            <a:srgbClr val="000000"/>
                          </a:solidFill>
                          <a:prstDash val="solid"/>
                          <a:miter/>
                        </a:ln>
                      </wps:spPr>
                      <wps:txbx>
                        <w:txbxContent>
                          <w:p w14:paraId="53D7D86A">
                            <w:pPr>
                              <w:jc w:val="center"/>
                              <w:rPr>
                                <w:rFonts w:ascii="新宋体" w:hAnsi="新宋体" w:eastAsia="新宋体"/>
                                <w:sz w:val="22"/>
                              </w:rPr>
                            </w:pPr>
                          </w:p>
                          <w:p w14:paraId="45AB7EB3">
                            <w:pPr>
                              <w:jc w:val="center"/>
                              <w:rPr>
                                <w:rFonts w:ascii="新宋体" w:hAnsi="新宋体" w:eastAsia="新宋体"/>
                                <w:sz w:val="22"/>
                              </w:rPr>
                            </w:pPr>
                          </w:p>
                          <w:p w14:paraId="6CA6C2AB">
                            <w:pPr>
                              <w:jc w:val="center"/>
                              <w:rPr>
                                <w:rFonts w:ascii="新宋体" w:hAnsi="新宋体" w:eastAsia="新宋体"/>
                                <w:sz w:val="22"/>
                              </w:rPr>
                            </w:pPr>
                          </w:p>
                          <w:p w14:paraId="735F8490">
                            <w:pPr>
                              <w:jc w:val="center"/>
                              <w:rPr>
                                <w:rFonts w:ascii="新宋体" w:hAnsi="新宋体" w:eastAsia="新宋体"/>
                                <w:sz w:val="22"/>
                              </w:rPr>
                            </w:pPr>
                          </w:p>
                          <w:p w14:paraId="3BB38DF6">
                            <w:pPr>
                              <w:jc w:val="center"/>
                              <w:rPr>
                                <w:rFonts w:ascii="新宋体" w:hAnsi="新宋体" w:eastAsia="新宋体"/>
                                <w:sz w:val="22"/>
                              </w:rPr>
                            </w:pPr>
                          </w:p>
                          <w:p w14:paraId="4471D2F6">
                            <w:pPr>
                              <w:jc w:val="center"/>
                              <w:rPr>
                                <w:rFonts w:ascii="新宋体" w:hAnsi="新宋体" w:eastAsia="新宋体"/>
                                <w:sz w:val="22"/>
                              </w:rPr>
                            </w:pPr>
                          </w:p>
                          <w:p w14:paraId="35C1E43D">
                            <w:pPr>
                              <w:jc w:val="center"/>
                              <w:rPr>
                                <w:rFonts w:ascii="新宋体" w:hAnsi="新宋体" w:eastAsia="新宋体"/>
                                <w:sz w:val="22"/>
                              </w:rPr>
                            </w:pPr>
                            <w:r>
                              <w:rPr>
                                <w:rFonts w:ascii="新宋体" w:hAnsi="新宋体" w:eastAsia="新宋体"/>
                                <w:sz w:val="22"/>
                              </w:rPr>
                              <w:t>法定代表人身份证复印件粘贴处（正反两面）：</w:t>
                            </w:r>
                          </w:p>
                          <w:p w14:paraId="6256E33E">
                            <w:pPr>
                              <w:jc w:val="center"/>
                              <w:rPr>
                                <w:rFonts w:ascii="新宋体" w:hAnsi="新宋体" w:eastAsia="新宋体"/>
                                <w:sz w:val="22"/>
                              </w:rPr>
                            </w:pPr>
                          </w:p>
                          <w:p w14:paraId="346B9EA9">
                            <w:pPr>
                              <w:jc w:val="center"/>
                              <w:rPr>
                                <w:rFonts w:ascii="新宋体" w:hAnsi="新宋体" w:eastAsia="新宋体"/>
                                <w:sz w:val="22"/>
                              </w:rPr>
                            </w:pPr>
                          </w:p>
                          <w:p w14:paraId="6E211C87">
                            <w:pPr>
                              <w:jc w:val="center"/>
                              <w:rPr>
                                <w:rFonts w:ascii="新宋体" w:hAnsi="新宋体" w:eastAsia="新宋体"/>
                                <w:sz w:val="22"/>
                              </w:rPr>
                            </w:pPr>
                          </w:p>
                          <w:p w14:paraId="195B84E1">
                            <w:pPr>
                              <w:jc w:val="center"/>
                              <w:rPr>
                                <w:rFonts w:ascii="新宋体" w:hAnsi="新宋体" w:eastAsia="新宋体"/>
                                <w:sz w:val="22"/>
                              </w:rPr>
                            </w:pPr>
                          </w:p>
                          <w:p w14:paraId="18B2908F">
                            <w:pPr>
                              <w:jc w:val="center"/>
                              <w:rPr>
                                <w:rFonts w:ascii="新宋体" w:hAnsi="新宋体" w:eastAsia="新宋体"/>
                                <w:sz w:val="22"/>
                              </w:rPr>
                            </w:pPr>
                          </w:p>
                          <w:p w14:paraId="3CA76A45">
                            <w:pPr>
                              <w:jc w:val="center"/>
                              <w:rPr>
                                <w:rFonts w:ascii="新宋体" w:hAnsi="新宋体" w:eastAsia="新宋体"/>
                                <w:sz w:val="22"/>
                              </w:rPr>
                            </w:pPr>
                          </w:p>
                          <w:p w14:paraId="2B92B350">
                            <w:pPr>
                              <w:jc w:val="center"/>
                              <w:rPr>
                                <w:rFonts w:ascii="新宋体" w:hAnsi="新宋体" w:eastAsia="新宋体"/>
                                <w:sz w:val="22"/>
                              </w:rPr>
                            </w:pPr>
                          </w:p>
                          <w:p w14:paraId="27A796E1">
                            <w:pPr>
                              <w:jc w:val="center"/>
                              <w:rPr>
                                <w:rFonts w:ascii="新宋体" w:hAnsi="新宋体" w:eastAsia="新宋体"/>
                                <w:sz w:val="22"/>
                              </w:rPr>
                            </w:pPr>
                          </w:p>
                          <w:p w14:paraId="2CD14F96">
                            <w:pPr>
                              <w:jc w:val="center"/>
                              <w:rPr>
                                <w:rFonts w:ascii="新宋体" w:hAnsi="新宋体" w:eastAsia="新宋体"/>
                                <w:sz w:val="22"/>
                              </w:rPr>
                            </w:pPr>
                          </w:p>
                          <w:p w14:paraId="58B85629">
                            <w:pPr>
                              <w:jc w:val="center"/>
                            </w:pPr>
                          </w:p>
                          <w:p w14:paraId="7AB56850"/>
                          <w:p w14:paraId="620647DB"/>
                          <w:p w14:paraId="0BC81CE5"/>
                          <w:p w14:paraId="73B2C01D"/>
                          <w:p w14:paraId="4B5AB473"/>
                          <w:p w14:paraId="238A8038"/>
                        </w:txbxContent>
                      </wps:txbx>
                      <wps:bodyPr vert="horz" wrap="square" lIns="91440" tIns="45720" rIns="91440" bIns="45720" anchor="t" anchorCtr="0" upright="1">
                        <a:noAutofit/>
                      </wps:bodyPr>
                    </wps:wsp>
                  </a:graphicData>
                </a:graphic>
              </wp:anchor>
            </w:drawing>
          </mc:Choice>
          <mc:Fallback>
            <w:pict>
              <v:rect id="文本框 3" o:spid="_x0000_s1026" o:spt="1" style="position:absolute;left:0pt;margin-left:167.6pt;margin-top:4.8pt;height:195pt;width:277.9pt;z-index:251659264;mso-width-relative:page;mso-height-relative:page;" filled="f" stroked="t" coordsize="21600,21600" o:gfxdata="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uZTt&#10;hNcAAAAJAQAADwAAAAAAAAABACAAAAAiAAAAZHJzL2Rvd25yZXYueG1sUEsBAhQAFAAAAAgAh07i&#10;QOw5rLAjAgAAMQQAAA4AAAAAAAAAAQAgAAAAJgEAAGRycy9lMm9Eb2MueG1sUEsFBgAAAAAGAAYA&#10;WQEAALsFAAAAAA==&#10;">
                <v:fill on="f" focussize="0,0"/>
                <v:stroke color="#000000" joinstyle="miter"/>
                <v:imagedata o:title=""/>
                <o:lock v:ext="edit" aspectratio="f"/>
                <v:textbox>
                  <w:txbxContent>
                    <w:p w14:paraId="53D7D86A">
                      <w:pPr>
                        <w:jc w:val="center"/>
                        <w:rPr>
                          <w:rFonts w:ascii="新宋体" w:hAnsi="新宋体" w:eastAsia="新宋体"/>
                          <w:sz w:val="22"/>
                        </w:rPr>
                      </w:pPr>
                    </w:p>
                    <w:p w14:paraId="45AB7EB3">
                      <w:pPr>
                        <w:jc w:val="center"/>
                        <w:rPr>
                          <w:rFonts w:ascii="新宋体" w:hAnsi="新宋体" w:eastAsia="新宋体"/>
                          <w:sz w:val="22"/>
                        </w:rPr>
                      </w:pPr>
                    </w:p>
                    <w:p w14:paraId="6CA6C2AB">
                      <w:pPr>
                        <w:jc w:val="center"/>
                        <w:rPr>
                          <w:rFonts w:ascii="新宋体" w:hAnsi="新宋体" w:eastAsia="新宋体"/>
                          <w:sz w:val="22"/>
                        </w:rPr>
                      </w:pPr>
                    </w:p>
                    <w:p w14:paraId="735F8490">
                      <w:pPr>
                        <w:jc w:val="center"/>
                        <w:rPr>
                          <w:rFonts w:ascii="新宋体" w:hAnsi="新宋体" w:eastAsia="新宋体"/>
                          <w:sz w:val="22"/>
                        </w:rPr>
                      </w:pPr>
                    </w:p>
                    <w:p w14:paraId="3BB38DF6">
                      <w:pPr>
                        <w:jc w:val="center"/>
                        <w:rPr>
                          <w:rFonts w:ascii="新宋体" w:hAnsi="新宋体" w:eastAsia="新宋体"/>
                          <w:sz w:val="22"/>
                        </w:rPr>
                      </w:pPr>
                    </w:p>
                    <w:p w14:paraId="4471D2F6">
                      <w:pPr>
                        <w:jc w:val="center"/>
                        <w:rPr>
                          <w:rFonts w:ascii="新宋体" w:hAnsi="新宋体" w:eastAsia="新宋体"/>
                          <w:sz w:val="22"/>
                        </w:rPr>
                      </w:pPr>
                    </w:p>
                    <w:p w14:paraId="35C1E43D">
                      <w:pPr>
                        <w:jc w:val="center"/>
                        <w:rPr>
                          <w:rFonts w:ascii="新宋体" w:hAnsi="新宋体" w:eastAsia="新宋体"/>
                          <w:sz w:val="22"/>
                        </w:rPr>
                      </w:pPr>
                      <w:r>
                        <w:rPr>
                          <w:rFonts w:ascii="新宋体" w:hAnsi="新宋体" w:eastAsia="新宋体"/>
                          <w:sz w:val="22"/>
                        </w:rPr>
                        <w:t>法定代表人身份证复印件粘贴处（正反两面）：</w:t>
                      </w:r>
                    </w:p>
                    <w:p w14:paraId="6256E33E">
                      <w:pPr>
                        <w:jc w:val="center"/>
                        <w:rPr>
                          <w:rFonts w:ascii="新宋体" w:hAnsi="新宋体" w:eastAsia="新宋体"/>
                          <w:sz w:val="22"/>
                        </w:rPr>
                      </w:pPr>
                    </w:p>
                    <w:p w14:paraId="346B9EA9">
                      <w:pPr>
                        <w:jc w:val="center"/>
                        <w:rPr>
                          <w:rFonts w:ascii="新宋体" w:hAnsi="新宋体" w:eastAsia="新宋体"/>
                          <w:sz w:val="22"/>
                        </w:rPr>
                      </w:pPr>
                    </w:p>
                    <w:p w14:paraId="6E211C87">
                      <w:pPr>
                        <w:jc w:val="center"/>
                        <w:rPr>
                          <w:rFonts w:ascii="新宋体" w:hAnsi="新宋体" w:eastAsia="新宋体"/>
                          <w:sz w:val="22"/>
                        </w:rPr>
                      </w:pPr>
                    </w:p>
                    <w:p w14:paraId="195B84E1">
                      <w:pPr>
                        <w:jc w:val="center"/>
                        <w:rPr>
                          <w:rFonts w:ascii="新宋体" w:hAnsi="新宋体" w:eastAsia="新宋体"/>
                          <w:sz w:val="22"/>
                        </w:rPr>
                      </w:pPr>
                    </w:p>
                    <w:p w14:paraId="18B2908F">
                      <w:pPr>
                        <w:jc w:val="center"/>
                        <w:rPr>
                          <w:rFonts w:ascii="新宋体" w:hAnsi="新宋体" w:eastAsia="新宋体"/>
                          <w:sz w:val="22"/>
                        </w:rPr>
                      </w:pPr>
                    </w:p>
                    <w:p w14:paraId="3CA76A45">
                      <w:pPr>
                        <w:jc w:val="center"/>
                        <w:rPr>
                          <w:rFonts w:ascii="新宋体" w:hAnsi="新宋体" w:eastAsia="新宋体"/>
                          <w:sz w:val="22"/>
                        </w:rPr>
                      </w:pPr>
                    </w:p>
                    <w:p w14:paraId="2B92B350">
                      <w:pPr>
                        <w:jc w:val="center"/>
                        <w:rPr>
                          <w:rFonts w:ascii="新宋体" w:hAnsi="新宋体" w:eastAsia="新宋体"/>
                          <w:sz w:val="22"/>
                        </w:rPr>
                      </w:pPr>
                    </w:p>
                    <w:p w14:paraId="27A796E1">
                      <w:pPr>
                        <w:jc w:val="center"/>
                        <w:rPr>
                          <w:rFonts w:ascii="新宋体" w:hAnsi="新宋体" w:eastAsia="新宋体"/>
                          <w:sz w:val="22"/>
                        </w:rPr>
                      </w:pPr>
                    </w:p>
                    <w:p w14:paraId="2CD14F96">
                      <w:pPr>
                        <w:jc w:val="center"/>
                        <w:rPr>
                          <w:rFonts w:ascii="新宋体" w:hAnsi="新宋体" w:eastAsia="新宋体"/>
                          <w:sz w:val="22"/>
                        </w:rPr>
                      </w:pPr>
                    </w:p>
                    <w:p w14:paraId="58B85629">
                      <w:pPr>
                        <w:jc w:val="center"/>
                      </w:pPr>
                    </w:p>
                    <w:p w14:paraId="7AB56850"/>
                    <w:p w14:paraId="620647DB"/>
                    <w:p w14:paraId="0BC81CE5"/>
                    <w:p w14:paraId="73B2C01D"/>
                    <w:p w14:paraId="4B5AB473"/>
                    <w:p w14:paraId="238A8038"/>
                  </w:txbxContent>
                </v:textbox>
              </v:rect>
            </w:pict>
          </mc:Fallback>
        </mc:AlternateContent>
      </w:r>
    </w:p>
    <w:p w14:paraId="050CC6DF">
      <w:pPr>
        <w:wordWrap w:val="0"/>
        <w:rPr>
          <w:rFonts w:ascii="宋体" w:hAnsi="宋体" w:cs="宋体"/>
          <w:highlight w:val="none"/>
        </w:rPr>
      </w:pPr>
      <w:r>
        <w:rPr>
          <w:rFonts w:ascii="宋体" w:hAnsi="宋体" w:cs="宋体"/>
          <w:szCs w:val="21"/>
          <w:highlight w:val="none"/>
        </w:rPr>
        <w:t xml:space="preserve">           </w:t>
      </w:r>
    </w:p>
    <w:p w14:paraId="308A516A">
      <w:pPr>
        <w:tabs>
          <w:tab w:val="left" w:pos="4532"/>
        </w:tabs>
        <w:spacing w:line="360" w:lineRule="auto"/>
        <w:rPr>
          <w:rFonts w:ascii="宋体" w:hAnsi="宋体" w:cs="宋体"/>
          <w:highlight w:val="none"/>
        </w:rPr>
      </w:pPr>
    </w:p>
    <w:p w14:paraId="013966DE">
      <w:pPr>
        <w:rPr>
          <w:rFonts w:ascii="宋体" w:hAnsi="宋体" w:cs="宋体"/>
          <w:highlight w:val="none"/>
        </w:rPr>
      </w:pPr>
    </w:p>
    <w:p w14:paraId="7B8982E2">
      <w:pPr>
        <w:rPr>
          <w:rFonts w:ascii="宋体" w:hAnsi="宋体" w:cs="宋体"/>
          <w:highlight w:val="none"/>
        </w:rPr>
      </w:pPr>
    </w:p>
    <w:p w14:paraId="6B244965">
      <w:pPr>
        <w:rPr>
          <w:rFonts w:ascii="宋体" w:hAnsi="宋体" w:cs="宋体"/>
          <w:highlight w:val="none"/>
        </w:rPr>
      </w:pPr>
    </w:p>
    <w:p w14:paraId="043569A8">
      <w:pPr>
        <w:rPr>
          <w:rFonts w:ascii="宋体" w:hAnsi="宋体" w:cs="宋体"/>
          <w:highlight w:val="none"/>
        </w:rPr>
      </w:pPr>
    </w:p>
    <w:p w14:paraId="31517054">
      <w:pPr>
        <w:rPr>
          <w:rFonts w:ascii="宋体" w:hAnsi="宋体" w:cs="宋体"/>
          <w:highlight w:val="none"/>
        </w:rPr>
      </w:pPr>
    </w:p>
    <w:p w14:paraId="1EA4A3F9">
      <w:pPr>
        <w:tabs>
          <w:tab w:val="left" w:pos="720"/>
          <w:tab w:val="left" w:pos="900"/>
        </w:tabs>
        <w:spacing w:line="360" w:lineRule="auto"/>
        <w:ind w:firstLine="4624" w:firstLineChars="2202"/>
        <w:rPr>
          <w:rFonts w:ascii="宋体" w:hAnsi="宋体" w:cs="宋体"/>
          <w:highlight w:val="none"/>
        </w:rPr>
      </w:pPr>
    </w:p>
    <w:p w14:paraId="79B1DE52">
      <w:pPr>
        <w:tabs>
          <w:tab w:val="left" w:pos="720"/>
          <w:tab w:val="left" w:pos="900"/>
        </w:tabs>
        <w:spacing w:line="360" w:lineRule="auto"/>
        <w:ind w:firstLine="4624" w:firstLineChars="2202"/>
        <w:rPr>
          <w:rFonts w:ascii="宋体" w:hAnsi="宋体" w:cs="宋体"/>
          <w:highlight w:val="none"/>
        </w:rPr>
      </w:pPr>
    </w:p>
    <w:p w14:paraId="356BB294">
      <w:pPr>
        <w:tabs>
          <w:tab w:val="left" w:pos="720"/>
          <w:tab w:val="left" w:pos="900"/>
        </w:tabs>
        <w:spacing w:line="360" w:lineRule="auto"/>
        <w:ind w:firstLine="4624" w:firstLineChars="2202"/>
        <w:rPr>
          <w:rFonts w:ascii="宋体" w:hAnsi="宋体" w:cs="宋体"/>
          <w:highlight w:val="none"/>
        </w:rPr>
      </w:pPr>
    </w:p>
    <w:p w14:paraId="119DB028">
      <w:pPr>
        <w:tabs>
          <w:tab w:val="left" w:pos="720"/>
          <w:tab w:val="left" w:pos="900"/>
        </w:tabs>
        <w:spacing w:line="360" w:lineRule="auto"/>
        <w:ind w:firstLine="3990" w:firstLineChars="1900"/>
        <w:rPr>
          <w:rFonts w:ascii="宋体" w:hAnsi="宋体" w:cs="宋体"/>
          <w:highlight w:val="none"/>
        </w:rPr>
      </w:pPr>
    </w:p>
    <w:p w14:paraId="74EEC34E">
      <w:pPr>
        <w:tabs>
          <w:tab w:val="left" w:pos="720"/>
          <w:tab w:val="left" w:pos="900"/>
        </w:tabs>
        <w:spacing w:line="360" w:lineRule="auto"/>
        <w:ind w:firstLine="3990" w:firstLineChars="1900"/>
        <w:rPr>
          <w:rFonts w:ascii="宋体" w:hAnsi="宋体" w:cs="宋体"/>
          <w:highlight w:val="none"/>
        </w:rPr>
      </w:pPr>
      <w:r>
        <w:rPr>
          <w:rFonts w:ascii="宋体" w:hAnsi="宋体" w:cs="宋体"/>
          <w:highlight w:val="none"/>
        </w:rPr>
        <w:t>磋商供应商：</w:t>
      </w:r>
      <w:r>
        <w:rPr>
          <w:rFonts w:ascii="宋体" w:hAnsi="宋体" w:cs="宋体"/>
          <w:highlight w:val="none"/>
          <w:u w:val="single"/>
        </w:rPr>
        <w:t xml:space="preserve">        （盖电子签章）</w:t>
      </w:r>
    </w:p>
    <w:p w14:paraId="2800C866">
      <w:pPr>
        <w:tabs>
          <w:tab w:val="left" w:pos="720"/>
          <w:tab w:val="left" w:pos="900"/>
        </w:tabs>
        <w:spacing w:line="360" w:lineRule="auto"/>
        <w:ind w:firstLine="3990" w:firstLineChars="1900"/>
        <w:rPr>
          <w:rFonts w:ascii="宋体" w:hAnsi="宋体" w:cs="宋体"/>
          <w:highlight w:val="none"/>
        </w:rPr>
      </w:pPr>
      <w:r>
        <w:rPr>
          <w:rFonts w:ascii="宋体" w:hAnsi="宋体" w:cs="宋体"/>
          <w:highlight w:val="none"/>
        </w:rPr>
        <w:t>日      期：</w:t>
      </w:r>
      <w:r>
        <w:rPr>
          <w:rFonts w:ascii="宋体" w:hAnsi="宋体" w:cs="宋体"/>
          <w:highlight w:val="none"/>
          <w:u w:val="single"/>
        </w:rPr>
        <w:t xml:space="preserve">      </w:t>
      </w:r>
      <w:r>
        <w:rPr>
          <w:rFonts w:ascii="宋体" w:hAnsi="宋体" w:cs="宋体"/>
          <w:highlight w:val="none"/>
        </w:rPr>
        <w:t>年</w:t>
      </w:r>
      <w:r>
        <w:rPr>
          <w:rFonts w:ascii="宋体" w:hAnsi="宋体" w:cs="宋体"/>
          <w:highlight w:val="none"/>
          <w:u w:val="single"/>
        </w:rPr>
        <w:t xml:space="preserve">     </w:t>
      </w:r>
      <w:r>
        <w:rPr>
          <w:rFonts w:ascii="宋体" w:hAnsi="宋体" w:cs="宋体"/>
          <w:highlight w:val="none"/>
        </w:rPr>
        <w:t>月</w:t>
      </w:r>
      <w:r>
        <w:rPr>
          <w:rFonts w:ascii="宋体" w:hAnsi="宋体" w:cs="宋体"/>
          <w:highlight w:val="none"/>
          <w:u w:val="single"/>
        </w:rPr>
        <w:t xml:space="preserve">     </w:t>
      </w:r>
      <w:r>
        <w:rPr>
          <w:rFonts w:ascii="宋体" w:hAnsi="宋体" w:cs="宋体"/>
          <w:highlight w:val="none"/>
        </w:rPr>
        <w:t>日</w:t>
      </w:r>
    </w:p>
    <w:p w14:paraId="152545FB">
      <w:pPr>
        <w:rPr>
          <w:rFonts w:ascii="宋体" w:hAnsi="宋体" w:cs="宋体"/>
          <w:highlight w:val="none"/>
        </w:rPr>
      </w:pPr>
    </w:p>
    <w:p w14:paraId="7B462B7C">
      <w:pPr>
        <w:rPr>
          <w:rFonts w:ascii="宋体" w:hAnsi="宋体" w:cs="宋体"/>
          <w:highlight w:val="none"/>
        </w:rPr>
      </w:pPr>
    </w:p>
    <w:p w14:paraId="63BB0F55">
      <w:pPr>
        <w:rPr>
          <w:rFonts w:ascii="宋体" w:hAnsi="宋体" w:cs="宋体"/>
          <w:highlight w:val="none"/>
        </w:rPr>
      </w:pPr>
    </w:p>
    <w:p w14:paraId="60816558">
      <w:pPr>
        <w:rPr>
          <w:rFonts w:ascii="宋体" w:hAnsi="宋体" w:cs="宋体"/>
          <w:highlight w:val="none"/>
        </w:rPr>
      </w:pPr>
    </w:p>
    <w:p w14:paraId="47466D00">
      <w:pPr>
        <w:rPr>
          <w:rFonts w:ascii="宋体" w:hAnsi="宋体" w:cs="宋体"/>
          <w:highlight w:val="none"/>
        </w:rPr>
      </w:pPr>
    </w:p>
    <w:p w14:paraId="1E3997B1">
      <w:pPr>
        <w:rPr>
          <w:rFonts w:ascii="宋体" w:hAnsi="宋体" w:cs="宋体"/>
          <w:highlight w:val="none"/>
        </w:rPr>
      </w:pPr>
    </w:p>
    <w:p w14:paraId="5CDBF246">
      <w:pPr>
        <w:pStyle w:val="13"/>
        <w:rPr>
          <w:rFonts w:ascii="宋体" w:hAnsi="宋体" w:cs="宋体"/>
          <w:highlight w:val="none"/>
        </w:rPr>
      </w:pPr>
    </w:p>
    <w:p w14:paraId="3F547369">
      <w:pPr>
        <w:rPr>
          <w:highlight w:val="none"/>
        </w:rPr>
      </w:pPr>
      <w:bookmarkStart w:id="422" w:name="_Toc24422"/>
      <w:bookmarkStart w:id="423" w:name="_Toc18986"/>
      <w:bookmarkStart w:id="424" w:name="_Toc5697"/>
      <w:bookmarkStart w:id="425" w:name="_Toc27902"/>
      <w:bookmarkStart w:id="426" w:name="_Toc1064"/>
    </w:p>
    <w:p w14:paraId="7EAA5028">
      <w:pPr>
        <w:rPr>
          <w:highlight w:val="none"/>
        </w:rPr>
      </w:pPr>
    </w:p>
    <w:bookmarkEnd w:id="422"/>
    <w:bookmarkEnd w:id="423"/>
    <w:bookmarkEnd w:id="424"/>
    <w:bookmarkEnd w:id="425"/>
    <w:bookmarkEnd w:id="426"/>
    <w:p w14:paraId="09654D66">
      <w:pPr>
        <w:widowControl/>
        <w:spacing w:before="156" w:beforeLines="50" w:after="312" w:afterLines="100"/>
        <w:jc w:val="center"/>
        <w:outlineLvl w:val="1"/>
        <w:rPr>
          <w:rFonts w:ascii="宋体" w:hAnsi="宋体" w:cs="宋体"/>
          <w:b/>
          <w:bCs/>
          <w:kern w:val="0"/>
          <w:sz w:val="28"/>
          <w:szCs w:val="28"/>
          <w:highlight w:val="none"/>
        </w:rPr>
      </w:pPr>
      <w:bookmarkStart w:id="427" w:name="_Toc7847"/>
      <w:bookmarkStart w:id="428" w:name="_Toc31327"/>
      <w:bookmarkStart w:id="429" w:name="_Toc15664"/>
      <w:bookmarkStart w:id="430" w:name="_Toc5596"/>
      <w:bookmarkStart w:id="431" w:name="_Toc17490"/>
      <w:bookmarkStart w:id="432" w:name="_Toc30506"/>
      <w:bookmarkStart w:id="433" w:name="_Toc10289"/>
      <w:bookmarkStart w:id="434" w:name="_Toc1246"/>
      <w:bookmarkStart w:id="435" w:name="_Toc17341"/>
      <w:r>
        <w:rPr>
          <w:rFonts w:ascii="宋体" w:hAnsi="宋体" w:cs="宋体"/>
          <w:b/>
          <w:bCs/>
          <w:kern w:val="0"/>
          <w:sz w:val="28"/>
          <w:szCs w:val="28"/>
          <w:highlight w:val="none"/>
        </w:rPr>
        <w:t>附件</w:t>
      </w:r>
      <w:r>
        <w:rPr>
          <w:rFonts w:hint="eastAsia" w:ascii="宋体" w:hAnsi="宋体" w:cs="宋体"/>
          <w:b/>
          <w:bCs/>
          <w:kern w:val="0"/>
          <w:sz w:val="28"/>
          <w:szCs w:val="28"/>
          <w:highlight w:val="none"/>
          <w:lang w:val="en-US" w:eastAsia="zh-CN"/>
        </w:rPr>
        <w:t>四</w:t>
      </w:r>
      <w:r>
        <w:rPr>
          <w:rFonts w:ascii="宋体" w:hAnsi="宋体" w:cs="宋体"/>
          <w:b/>
          <w:bCs/>
          <w:kern w:val="0"/>
          <w:sz w:val="28"/>
          <w:szCs w:val="28"/>
          <w:highlight w:val="none"/>
        </w:rPr>
        <w:t xml:space="preserve">    中小企业声明函（服务）</w:t>
      </w:r>
    </w:p>
    <w:p w14:paraId="6D43DA5A">
      <w:pPr>
        <w:widowControl/>
        <w:spacing w:line="600" w:lineRule="exact"/>
        <w:ind w:firstLine="420" w:firstLineChars="200"/>
        <w:jc w:val="left"/>
        <w:rPr>
          <w:rFonts w:ascii="宋体" w:hAnsi="宋体" w:cs="宋体"/>
          <w:szCs w:val="21"/>
          <w:highlight w:val="none"/>
        </w:rPr>
      </w:pPr>
      <w:r>
        <w:rPr>
          <w:rFonts w:ascii="宋体" w:hAnsi="宋体" w:cs="宋体"/>
          <w:kern w:val="0"/>
          <w:szCs w:val="21"/>
          <w:highlight w:val="none"/>
        </w:rPr>
        <w:t>本公司（联合体）郑重声明，根据《政府采购促进中小企业发展管理办法》（财库﹝2020﹞46 号）的规定，本公司（联合体）参加</w:t>
      </w:r>
      <w:r>
        <w:rPr>
          <w:rFonts w:ascii="宋体" w:hAnsi="宋体" w:cs="宋体"/>
          <w:kern w:val="0"/>
          <w:szCs w:val="21"/>
          <w:highlight w:val="none"/>
          <w:u w:val="single"/>
        </w:rPr>
        <w:t>（单位名称）</w:t>
      </w:r>
      <w:r>
        <w:rPr>
          <w:rFonts w:ascii="宋体" w:hAnsi="宋体" w:cs="宋体"/>
          <w:kern w:val="0"/>
          <w:szCs w:val="21"/>
          <w:highlight w:val="none"/>
        </w:rPr>
        <w:t>的</w:t>
      </w:r>
      <w:r>
        <w:rPr>
          <w:rFonts w:ascii="宋体" w:hAnsi="宋体" w:cs="宋体"/>
          <w:kern w:val="0"/>
          <w:szCs w:val="21"/>
          <w:highlight w:val="none"/>
          <w:u w:val="single"/>
        </w:rPr>
        <w:t>（项目名称）</w:t>
      </w:r>
      <w:r>
        <w:rPr>
          <w:rFonts w:ascii="宋体" w:hAnsi="宋体" w:cs="宋体"/>
          <w:kern w:val="0"/>
          <w:szCs w:val="21"/>
          <w:highlight w:val="none"/>
        </w:rPr>
        <w:t>采购活动，</w:t>
      </w:r>
      <w:r>
        <w:rPr>
          <w:rFonts w:ascii="宋体" w:hAnsi="宋体"/>
          <w:b/>
          <w:bCs/>
          <w:szCs w:val="21"/>
          <w:highlight w:val="none"/>
        </w:rPr>
        <w:t>服务全部为符合政策要求的中小企业</w:t>
      </w:r>
      <w:r>
        <w:rPr>
          <w:rFonts w:ascii="宋体" w:hAnsi="宋体"/>
          <w:szCs w:val="21"/>
          <w:highlight w:val="none"/>
        </w:rPr>
        <w:t>。</w:t>
      </w:r>
      <w:r>
        <w:rPr>
          <w:rFonts w:ascii="宋体" w:hAnsi="宋体" w:cs="宋体"/>
          <w:kern w:val="0"/>
          <w:szCs w:val="21"/>
          <w:highlight w:val="none"/>
        </w:rPr>
        <w:t>相关企业（含联合体中的中小企业、签订分包意向协议的中小企业）的具体情况如下：</w:t>
      </w:r>
    </w:p>
    <w:p w14:paraId="532C7E66">
      <w:pPr>
        <w:widowControl/>
        <w:spacing w:line="600" w:lineRule="exact"/>
        <w:ind w:firstLine="420" w:firstLineChars="200"/>
        <w:jc w:val="left"/>
        <w:rPr>
          <w:rFonts w:ascii="宋体" w:hAnsi="宋体" w:cs="宋体"/>
          <w:szCs w:val="21"/>
          <w:highlight w:val="none"/>
        </w:rPr>
      </w:pPr>
      <w:r>
        <w:rPr>
          <w:rFonts w:ascii="宋体" w:hAnsi="宋体" w:cs="宋体"/>
          <w:kern w:val="0"/>
          <w:szCs w:val="21"/>
          <w:highlight w:val="none"/>
        </w:rPr>
        <w:t xml:space="preserve">1. </w:t>
      </w:r>
      <w:r>
        <w:rPr>
          <w:rFonts w:ascii="宋体" w:hAnsi="宋体" w:cs="宋体"/>
          <w:kern w:val="0"/>
          <w:szCs w:val="21"/>
          <w:highlight w:val="none"/>
          <w:u w:val="single"/>
        </w:rPr>
        <w:t>（标的名称）</w:t>
      </w:r>
      <w:r>
        <w:rPr>
          <w:rFonts w:ascii="宋体" w:hAnsi="宋体" w:cs="宋体"/>
          <w:kern w:val="0"/>
          <w:szCs w:val="21"/>
          <w:highlight w:val="none"/>
        </w:rPr>
        <w:t xml:space="preserve"> ，属于</w:t>
      </w:r>
      <w:r>
        <w:rPr>
          <w:rFonts w:ascii="宋体" w:hAnsi="宋体" w:cs="宋体"/>
          <w:kern w:val="0"/>
          <w:szCs w:val="21"/>
          <w:highlight w:val="none"/>
          <w:u w:val="single"/>
        </w:rPr>
        <w:t>（采购文件中明确的所属行业）</w:t>
      </w:r>
      <w:r>
        <w:rPr>
          <w:rFonts w:ascii="宋体" w:hAnsi="宋体" w:cs="宋体"/>
          <w:kern w:val="0"/>
          <w:szCs w:val="21"/>
          <w:highlight w:val="none"/>
        </w:rPr>
        <w:t>；</w:t>
      </w:r>
      <w:r>
        <w:rPr>
          <w:rFonts w:ascii="宋体" w:hAnsi="宋体"/>
          <w:szCs w:val="21"/>
          <w:highlight w:val="none"/>
        </w:rPr>
        <w:t>承建（承接）企业</w:t>
      </w:r>
      <w:r>
        <w:rPr>
          <w:rFonts w:ascii="宋体" w:hAnsi="宋体" w:cs="宋体"/>
          <w:kern w:val="0"/>
          <w:szCs w:val="21"/>
          <w:highlight w:val="none"/>
        </w:rPr>
        <w:t>为</w:t>
      </w:r>
      <w:r>
        <w:rPr>
          <w:rFonts w:ascii="宋体" w:hAnsi="宋体" w:cs="宋体"/>
          <w:kern w:val="0"/>
          <w:szCs w:val="21"/>
          <w:highlight w:val="none"/>
          <w:u w:val="single"/>
        </w:rPr>
        <w:t>（企业名称）</w:t>
      </w:r>
      <w:r>
        <w:rPr>
          <w:rFonts w:ascii="宋体" w:hAnsi="宋体" w:cs="宋体"/>
          <w:kern w:val="0"/>
          <w:szCs w:val="21"/>
          <w:highlight w:val="none"/>
        </w:rPr>
        <w:t>，从业人员</w:t>
      </w:r>
      <w:r>
        <w:rPr>
          <w:rFonts w:ascii="宋体" w:hAnsi="宋体" w:cs="宋体"/>
          <w:kern w:val="0"/>
          <w:szCs w:val="21"/>
          <w:highlight w:val="none"/>
          <w:u w:val="single"/>
        </w:rPr>
        <w:t xml:space="preserve">    </w:t>
      </w:r>
      <w:r>
        <w:rPr>
          <w:rFonts w:ascii="宋体" w:hAnsi="宋体" w:cs="宋体"/>
          <w:kern w:val="0"/>
          <w:szCs w:val="21"/>
          <w:highlight w:val="none"/>
        </w:rPr>
        <w:t>人，营业收入为</w:t>
      </w:r>
      <w:r>
        <w:rPr>
          <w:rFonts w:ascii="宋体" w:hAnsi="宋体" w:cs="宋体"/>
          <w:kern w:val="0"/>
          <w:szCs w:val="21"/>
          <w:highlight w:val="none"/>
          <w:u w:val="single"/>
        </w:rPr>
        <w:t xml:space="preserve">       </w:t>
      </w:r>
      <w:r>
        <w:rPr>
          <w:rFonts w:ascii="宋体" w:hAnsi="宋体" w:cs="宋体"/>
          <w:kern w:val="0"/>
          <w:szCs w:val="21"/>
          <w:highlight w:val="none"/>
        </w:rPr>
        <w:t>万元，资产总额为</w:t>
      </w:r>
      <w:r>
        <w:rPr>
          <w:rFonts w:ascii="宋体" w:hAnsi="宋体" w:cs="宋体"/>
          <w:kern w:val="0"/>
          <w:szCs w:val="21"/>
          <w:highlight w:val="none"/>
          <w:u w:val="single"/>
        </w:rPr>
        <w:t xml:space="preserve">    </w:t>
      </w:r>
      <w:r>
        <w:rPr>
          <w:rFonts w:ascii="宋体" w:hAnsi="宋体" w:cs="宋体"/>
          <w:kern w:val="0"/>
          <w:szCs w:val="21"/>
          <w:highlight w:val="none"/>
        </w:rPr>
        <w:t>万元</w:t>
      </w:r>
      <w:r>
        <w:rPr>
          <w:rFonts w:ascii="宋体" w:hAnsi="宋体" w:cs="宋体"/>
          <w:kern w:val="0"/>
          <w:szCs w:val="21"/>
          <w:highlight w:val="none"/>
          <w:vertAlign w:val="superscript"/>
        </w:rPr>
        <w:t>1</w:t>
      </w:r>
      <w:r>
        <w:rPr>
          <w:rFonts w:ascii="宋体" w:hAnsi="宋体" w:cs="宋体"/>
          <w:kern w:val="0"/>
          <w:szCs w:val="21"/>
          <w:highlight w:val="none"/>
        </w:rPr>
        <w:t>，属于</w:t>
      </w:r>
      <w:r>
        <w:rPr>
          <w:rFonts w:ascii="宋体" w:hAnsi="宋体" w:cs="宋体"/>
          <w:kern w:val="0"/>
          <w:szCs w:val="21"/>
          <w:highlight w:val="none"/>
          <w:u w:val="single"/>
        </w:rPr>
        <w:t>（中型企业、小型企业、微型企业）</w:t>
      </w:r>
      <w:r>
        <w:rPr>
          <w:rFonts w:ascii="宋体" w:hAnsi="宋体" w:cs="宋体"/>
          <w:kern w:val="0"/>
          <w:szCs w:val="21"/>
          <w:highlight w:val="none"/>
        </w:rPr>
        <w:t xml:space="preserve">； </w:t>
      </w:r>
    </w:p>
    <w:p w14:paraId="5C1B2164">
      <w:pPr>
        <w:widowControl/>
        <w:spacing w:line="600" w:lineRule="exact"/>
        <w:ind w:firstLine="420" w:firstLineChars="200"/>
        <w:jc w:val="left"/>
        <w:rPr>
          <w:rFonts w:ascii="宋体" w:hAnsi="宋体" w:cs="宋体"/>
          <w:szCs w:val="21"/>
          <w:highlight w:val="none"/>
        </w:rPr>
      </w:pPr>
      <w:r>
        <w:rPr>
          <w:rFonts w:ascii="宋体" w:hAnsi="宋体" w:cs="宋体"/>
          <w:kern w:val="0"/>
          <w:szCs w:val="21"/>
          <w:highlight w:val="none"/>
        </w:rPr>
        <w:t xml:space="preserve">2. </w:t>
      </w:r>
      <w:r>
        <w:rPr>
          <w:rFonts w:ascii="宋体" w:hAnsi="宋体" w:cs="宋体"/>
          <w:kern w:val="0"/>
          <w:szCs w:val="21"/>
          <w:highlight w:val="none"/>
          <w:u w:val="single"/>
        </w:rPr>
        <w:t>（标的名称）</w:t>
      </w:r>
      <w:r>
        <w:rPr>
          <w:rFonts w:ascii="宋体" w:hAnsi="宋体" w:cs="宋体"/>
          <w:kern w:val="0"/>
          <w:szCs w:val="21"/>
          <w:highlight w:val="none"/>
        </w:rPr>
        <w:t xml:space="preserve"> ，属于</w:t>
      </w:r>
      <w:r>
        <w:rPr>
          <w:rFonts w:ascii="宋体" w:hAnsi="宋体" w:cs="宋体"/>
          <w:kern w:val="0"/>
          <w:szCs w:val="21"/>
          <w:highlight w:val="none"/>
          <w:u w:val="single"/>
        </w:rPr>
        <w:t>（采购文件中明确的所属行业）</w:t>
      </w:r>
      <w:r>
        <w:rPr>
          <w:rFonts w:ascii="宋体" w:hAnsi="宋体" w:cs="宋体"/>
          <w:kern w:val="0"/>
          <w:szCs w:val="21"/>
          <w:highlight w:val="none"/>
        </w:rPr>
        <w:t>；</w:t>
      </w:r>
      <w:r>
        <w:rPr>
          <w:rFonts w:ascii="宋体" w:hAnsi="宋体"/>
          <w:szCs w:val="21"/>
          <w:highlight w:val="none"/>
        </w:rPr>
        <w:t>承建（承接）企业</w:t>
      </w:r>
      <w:r>
        <w:rPr>
          <w:rFonts w:ascii="宋体" w:hAnsi="宋体" w:cs="宋体"/>
          <w:kern w:val="0"/>
          <w:szCs w:val="21"/>
          <w:highlight w:val="none"/>
        </w:rPr>
        <w:t>为</w:t>
      </w:r>
      <w:r>
        <w:rPr>
          <w:rFonts w:ascii="宋体" w:hAnsi="宋体" w:cs="宋体"/>
          <w:kern w:val="0"/>
          <w:szCs w:val="21"/>
          <w:highlight w:val="none"/>
          <w:u w:val="single"/>
        </w:rPr>
        <w:t>（企业名称）</w:t>
      </w:r>
      <w:r>
        <w:rPr>
          <w:rFonts w:ascii="宋体" w:hAnsi="宋体" w:cs="宋体"/>
          <w:kern w:val="0"/>
          <w:szCs w:val="21"/>
          <w:highlight w:val="none"/>
        </w:rPr>
        <w:t>，从业人员</w:t>
      </w:r>
      <w:r>
        <w:rPr>
          <w:rFonts w:ascii="宋体" w:hAnsi="宋体" w:cs="宋体"/>
          <w:kern w:val="0"/>
          <w:szCs w:val="21"/>
          <w:highlight w:val="none"/>
          <w:u w:val="single"/>
        </w:rPr>
        <w:t xml:space="preserve">     </w:t>
      </w:r>
      <w:r>
        <w:rPr>
          <w:rFonts w:ascii="宋体" w:hAnsi="宋体" w:cs="宋体"/>
          <w:kern w:val="0"/>
          <w:szCs w:val="21"/>
          <w:highlight w:val="none"/>
        </w:rPr>
        <w:t>人，营业收入为</w:t>
      </w:r>
      <w:r>
        <w:rPr>
          <w:rFonts w:ascii="宋体" w:hAnsi="宋体" w:cs="宋体"/>
          <w:kern w:val="0"/>
          <w:szCs w:val="21"/>
          <w:highlight w:val="none"/>
          <w:u w:val="single"/>
        </w:rPr>
        <w:t xml:space="preserve">      </w:t>
      </w:r>
      <w:r>
        <w:rPr>
          <w:rFonts w:ascii="宋体" w:hAnsi="宋体" w:cs="宋体"/>
          <w:kern w:val="0"/>
          <w:szCs w:val="21"/>
          <w:highlight w:val="none"/>
        </w:rPr>
        <w:t>万元，资产总额为</w:t>
      </w:r>
      <w:r>
        <w:rPr>
          <w:rFonts w:ascii="宋体" w:hAnsi="宋体" w:cs="宋体"/>
          <w:kern w:val="0"/>
          <w:szCs w:val="21"/>
          <w:highlight w:val="none"/>
          <w:u w:val="single"/>
        </w:rPr>
        <w:t xml:space="preserve">      </w:t>
      </w:r>
      <w:r>
        <w:rPr>
          <w:rFonts w:ascii="宋体" w:hAnsi="宋体" w:cs="宋体"/>
          <w:kern w:val="0"/>
          <w:szCs w:val="21"/>
          <w:highlight w:val="none"/>
        </w:rPr>
        <w:t>万元，属于</w:t>
      </w:r>
      <w:r>
        <w:rPr>
          <w:rFonts w:ascii="宋体" w:hAnsi="宋体" w:cs="宋体"/>
          <w:kern w:val="0"/>
          <w:szCs w:val="21"/>
          <w:highlight w:val="none"/>
          <w:u w:val="single"/>
        </w:rPr>
        <w:t>（中型企业、小型企业、微型企业）</w:t>
      </w:r>
      <w:r>
        <w:rPr>
          <w:rFonts w:ascii="宋体" w:hAnsi="宋体" w:cs="宋体"/>
          <w:kern w:val="0"/>
          <w:szCs w:val="21"/>
          <w:highlight w:val="none"/>
        </w:rPr>
        <w:t xml:space="preserve">； </w:t>
      </w:r>
    </w:p>
    <w:p w14:paraId="52B98A1B">
      <w:pPr>
        <w:widowControl/>
        <w:spacing w:line="600" w:lineRule="exact"/>
        <w:ind w:firstLine="420" w:firstLineChars="200"/>
        <w:jc w:val="left"/>
        <w:rPr>
          <w:rFonts w:ascii="宋体" w:hAnsi="宋体" w:cs="宋体"/>
          <w:szCs w:val="21"/>
          <w:highlight w:val="none"/>
        </w:rPr>
      </w:pPr>
      <w:r>
        <w:rPr>
          <w:rFonts w:ascii="宋体" w:hAnsi="宋体" w:cs="宋体"/>
          <w:kern w:val="0"/>
          <w:szCs w:val="21"/>
          <w:highlight w:val="none"/>
        </w:rPr>
        <w:t>……</w:t>
      </w:r>
    </w:p>
    <w:p w14:paraId="310740E3">
      <w:pPr>
        <w:widowControl/>
        <w:spacing w:line="600" w:lineRule="exact"/>
        <w:ind w:firstLine="420" w:firstLineChars="200"/>
        <w:jc w:val="left"/>
        <w:rPr>
          <w:rFonts w:ascii="宋体" w:hAnsi="宋体" w:cs="宋体"/>
          <w:szCs w:val="21"/>
          <w:highlight w:val="none"/>
        </w:rPr>
      </w:pPr>
      <w:r>
        <w:rPr>
          <w:rFonts w:ascii="宋体" w:hAnsi="宋体" w:cs="宋体"/>
          <w:kern w:val="0"/>
          <w:szCs w:val="21"/>
          <w:highlight w:val="none"/>
        </w:rPr>
        <w:t>以上企业，不属于大企业的分支机构，不存在控股股东为大企业的情形，也不存在与大企业的负责人为同一人的情形。</w:t>
      </w:r>
    </w:p>
    <w:p w14:paraId="508815D9">
      <w:pPr>
        <w:widowControl/>
        <w:spacing w:line="600" w:lineRule="exact"/>
        <w:ind w:firstLine="420" w:firstLineChars="200"/>
        <w:jc w:val="left"/>
        <w:rPr>
          <w:rFonts w:ascii="宋体" w:hAnsi="宋体" w:cs="宋体"/>
          <w:szCs w:val="21"/>
          <w:highlight w:val="none"/>
        </w:rPr>
      </w:pPr>
      <w:r>
        <w:rPr>
          <w:rFonts w:ascii="宋体" w:hAnsi="宋体" w:cs="宋体"/>
          <w:kern w:val="0"/>
          <w:szCs w:val="21"/>
          <w:highlight w:val="none"/>
        </w:rPr>
        <w:t xml:space="preserve">本企业对上述声明内容的真实性负责。如有虚假，将依法承担相应责任。 </w:t>
      </w:r>
    </w:p>
    <w:p w14:paraId="6D1D9D0F">
      <w:pPr>
        <w:widowControl/>
        <w:spacing w:line="360" w:lineRule="auto"/>
        <w:jc w:val="left"/>
        <w:rPr>
          <w:rFonts w:ascii="宋体" w:hAnsi="宋体" w:cs="宋体"/>
          <w:kern w:val="0"/>
          <w:szCs w:val="21"/>
          <w:highlight w:val="none"/>
        </w:rPr>
      </w:pPr>
    </w:p>
    <w:p w14:paraId="55C7ECE7">
      <w:pPr>
        <w:spacing w:line="480" w:lineRule="auto"/>
        <w:jc w:val="center"/>
        <w:rPr>
          <w:highlight w:val="none"/>
        </w:rPr>
      </w:pPr>
      <w:r>
        <w:rPr>
          <w:highlight w:val="none"/>
        </w:rPr>
        <w:t xml:space="preserve">                                      磋商供应商全称（盖电子签章）：</w:t>
      </w:r>
    </w:p>
    <w:p w14:paraId="4ED7D529">
      <w:pPr>
        <w:spacing w:line="480" w:lineRule="auto"/>
        <w:jc w:val="center"/>
        <w:rPr>
          <w:highlight w:val="none"/>
        </w:rPr>
      </w:pPr>
      <w:r>
        <w:rPr>
          <w:highlight w:val="none"/>
        </w:rPr>
        <w:t xml:space="preserve">                                            法定代表人或授权代表（签字或盖章）：</w:t>
      </w:r>
    </w:p>
    <w:p w14:paraId="601E168D">
      <w:pPr>
        <w:spacing w:line="480" w:lineRule="auto"/>
        <w:jc w:val="center"/>
        <w:rPr>
          <w:highlight w:val="none"/>
        </w:rPr>
      </w:pPr>
      <w:r>
        <w:rPr>
          <w:highlight w:val="none"/>
        </w:rPr>
        <w:t xml:space="preserve">                                     日      期：    年   月   日  </w:t>
      </w:r>
    </w:p>
    <w:p w14:paraId="4053C1D3">
      <w:pPr>
        <w:spacing w:line="360" w:lineRule="auto"/>
        <w:rPr>
          <w:b/>
          <w:bCs/>
          <w:szCs w:val="21"/>
          <w:highlight w:val="none"/>
        </w:rPr>
      </w:pPr>
      <w:r>
        <w:rPr>
          <w:b/>
          <w:bCs/>
          <w:szCs w:val="21"/>
          <w:highlight w:val="none"/>
        </w:rPr>
        <w:t>1、从业人员、营业收入、资产总额填报上一年度数据，无上一年度数据的新成立企业可不填报。</w:t>
      </w:r>
    </w:p>
    <w:p w14:paraId="79C7F96E">
      <w:pPr>
        <w:spacing w:line="360" w:lineRule="auto"/>
        <w:rPr>
          <w:b/>
          <w:bCs/>
          <w:sz w:val="22"/>
          <w:szCs w:val="21"/>
          <w:highlight w:val="none"/>
        </w:rPr>
      </w:pPr>
      <w:r>
        <w:rPr>
          <w:b/>
          <w:bCs/>
          <w:szCs w:val="21"/>
          <w:highlight w:val="none"/>
        </w:rPr>
        <w:t>2、中小微型企业划分标准参照国家统计局印发的《统计上大中小微型企业划分办法（2017）》。</w:t>
      </w:r>
    </w:p>
    <w:p w14:paraId="163CACC0">
      <w:pPr>
        <w:widowControl/>
        <w:spacing w:after="312" w:afterLines="100"/>
        <w:jc w:val="center"/>
        <w:outlineLvl w:val="1"/>
        <w:rPr>
          <w:rFonts w:ascii="宋体" w:hAnsi="宋体" w:cs="宋体"/>
          <w:highlight w:val="none"/>
        </w:rPr>
      </w:pPr>
      <w:r>
        <w:rPr>
          <w:rFonts w:ascii="宋体" w:hAnsi="宋体" w:cs="宋体"/>
          <w:highlight w:val="none"/>
        </w:rPr>
        <w:br w:type="page"/>
      </w:r>
      <w:bookmarkStart w:id="436" w:name="_Toc15811"/>
      <w:bookmarkStart w:id="437" w:name="_Toc14629"/>
      <w:bookmarkStart w:id="438" w:name="_Toc12196"/>
      <w:bookmarkStart w:id="439" w:name="_Toc13235"/>
      <w:bookmarkStart w:id="440" w:name="_Toc25364"/>
      <w:bookmarkStart w:id="441" w:name="_Toc23751"/>
      <w:bookmarkStart w:id="442" w:name="_Toc4757"/>
      <w:bookmarkStart w:id="443" w:name="_Toc9583"/>
      <w:bookmarkStart w:id="444" w:name="_Toc12169"/>
      <w:bookmarkStart w:id="445" w:name="_Toc25728"/>
      <w:r>
        <w:rPr>
          <w:rFonts w:ascii="宋体" w:hAnsi="宋体" w:cs="宋体"/>
          <w:b/>
          <w:bCs/>
          <w:kern w:val="0"/>
          <w:sz w:val="28"/>
          <w:szCs w:val="28"/>
          <w:highlight w:val="none"/>
        </w:rPr>
        <w:t>附件</w:t>
      </w:r>
      <w:r>
        <w:rPr>
          <w:rFonts w:hint="eastAsia" w:ascii="宋体" w:hAnsi="宋体" w:cs="宋体"/>
          <w:b/>
          <w:bCs/>
          <w:kern w:val="0"/>
          <w:sz w:val="28"/>
          <w:szCs w:val="28"/>
          <w:highlight w:val="none"/>
          <w:lang w:val="en-US" w:eastAsia="zh-CN"/>
        </w:rPr>
        <w:t>五</w:t>
      </w:r>
      <w:r>
        <w:rPr>
          <w:rFonts w:ascii="宋体" w:hAnsi="宋体" w:cs="宋体"/>
          <w:b/>
          <w:bCs/>
          <w:kern w:val="0"/>
          <w:sz w:val="28"/>
          <w:szCs w:val="28"/>
          <w:highlight w:val="none"/>
        </w:rPr>
        <w:t xml:space="preserve">    残疾人福利性单位声明函</w:t>
      </w:r>
      <w:bookmarkEnd w:id="436"/>
      <w:bookmarkEnd w:id="437"/>
      <w:bookmarkEnd w:id="438"/>
      <w:bookmarkEnd w:id="439"/>
      <w:bookmarkEnd w:id="440"/>
      <w:bookmarkEnd w:id="441"/>
      <w:bookmarkEnd w:id="442"/>
      <w:bookmarkEnd w:id="443"/>
      <w:bookmarkEnd w:id="444"/>
      <w:bookmarkEnd w:id="445"/>
    </w:p>
    <w:p w14:paraId="1DB874B7">
      <w:pPr>
        <w:spacing w:line="588" w:lineRule="exact"/>
        <w:rPr>
          <w:rFonts w:ascii="宋体" w:hAnsi="宋体" w:cs="宋体"/>
          <w:b/>
          <w:spacing w:val="6"/>
          <w:sz w:val="30"/>
          <w:szCs w:val="30"/>
          <w:highlight w:val="none"/>
        </w:rPr>
      </w:pPr>
    </w:p>
    <w:p w14:paraId="5D3E5BD9">
      <w:pPr>
        <w:widowControl/>
        <w:spacing w:line="600" w:lineRule="exact"/>
        <w:ind w:firstLine="420" w:firstLineChars="200"/>
        <w:rPr>
          <w:rFonts w:ascii="宋体" w:hAnsi="宋体" w:cs="宋体"/>
          <w:highlight w:val="none"/>
        </w:rPr>
      </w:pPr>
      <w:r>
        <w:rPr>
          <w:rFonts w:ascii="宋体" w:hAnsi="宋体" w:cs="宋体"/>
          <w:highlight w:val="none"/>
        </w:rPr>
        <w:t>本单位郑重声明，根据《财政部 民政部 中国残疾人联合会关于促进残疾人就业政府采购政策的通知》（财库〔2017〕 141号）的规定，本单位为符合条件的残疾人福利性单位，且本单位参加__________单位的___________项目采购活动提供服务（由本单位承担工程/提供本单位制造的货物），或者提供其他残疾人福利性单位的服务（不包括使用非残疾人福利性单位注册商标的货物）。</w:t>
      </w:r>
    </w:p>
    <w:p w14:paraId="2BE004DF">
      <w:pPr>
        <w:widowControl/>
        <w:spacing w:line="600" w:lineRule="exact"/>
        <w:ind w:firstLine="420" w:firstLineChars="200"/>
        <w:rPr>
          <w:rFonts w:ascii="宋体" w:hAnsi="宋体" w:cs="宋体"/>
          <w:highlight w:val="none"/>
        </w:rPr>
      </w:pPr>
      <w:r>
        <w:rPr>
          <w:rFonts w:ascii="宋体" w:hAnsi="宋体" w:cs="宋体"/>
          <w:highlight w:val="none"/>
        </w:rPr>
        <w:t>本单位对上述声明的真实性负责。如有虚假，将依法承担相应责任。</w:t>
      </w:r>
    </w:p>
    <w:p w14:paraId="4CEF0E1D">
      <w:pPr>
        <w:spacing w:line="588" w:lineRule="exact"/>
        <w:ind w:firstLine="624" w:firstLineChars="200"/>
        <w:rPr>
          <w:rFonts w:ascii="宋体" w:hAnsi="宋体" w:cs="宋体"/>
          <w:spacing w:val="6"/>
          <w:sz w:val="30"/>
          <w:szCs w:val="30"/>
          <w:highlight w:val="none"/>
        </w:rPr>
      </w:pPr>
    </w:p>
    <w:p w14:paraId="14C9EBFA">
      <w:pPr>
        <w:spacing w:line="588" w:lineRule="exact"/>
        <w:ind w:firstLine="624" w:firstLineChars="200"/>
        <w:rPr>
          <w:rFonts w:ascii="宋体" w:hAnsi="宋体" w:cs="宋体"/>
          <w:spacing w:val="6"/>
          <w:sz w:val="30"/>
          <w:szCs w:val="30"/>
          <w:highlight w:val="none"/>
        </w:rPr>
      </w:pPr>
    </w:p>
    <w:p w14:paraId="173C79F1">
      <w:pPr>
        <w:rPr>
          <w:rFonts w:ascii="宋体" w:hAnsi="宋体" w:cs="宋体"/>
          <w:highlight w:val="none"/>
        </w:rPr>
      </w:pPr>
      <w:r>
        <w:rPr>
          <w:rFonts w:ascii="宋体" w:hAnsi="宋体" w:cs="宋体"/>
          <w:spacing w:val="6"/>
          <w:sz w:val="30"/>
          <w:szCs w:val="30"/>
          <w:highlight w:val="none"/>
        </w:rPr>
        <w:t xml:space="preserve">                        </w:t>
      </w:r>
    </w:p>
    <w:p w14:paraId="1B2AF949">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44EEA66A">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法定代表人或授权代表（签字或盖章）：</w:t>
      </w:r>
    </w:p>
    <w:p w14:paraId="25798A42">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日      期：    年   月   日</w:t>
      </w:r>
    </w:p>
    <w:p w14:paraId="37FBB3C6">
      <w:pPr>
        <w:rPr>
          <w:rFonts w:ascii="宋体" w:hAnsi="宋体" w:cs="宋体"/>
          <w:highlight w:val="none"/>
        </w:rPr>
      </w:pPr>
    </w:p>
    <w:p w14:paraId="3BC752BD">
      <w:pPr>
        <w:rPr>
          <w:rFonts w:ascii="宋体" w:hAnsi="宋体" w:cs="宋体"/>
          <w:highlight w:val="none"/>
        </w:rPr>
      </w:pPr>
    </w:p>
    <w:p w14:paraId="7F14A480">
      <w:pPr>
        <w:numPr>
          <w:ilvl w:val="0"/>
          <w:numId w:val="22"/>
        </w:numPr>
        <w:tabs>
          <w:tab w:val="left" w:pos="420"/>
          <w:tab w:val="clear" w:pos="1244"/>
        </w:tabs>
        <w:spacing w:before="100" w:beforeAutospacing="1" w:after="100" w:afterAutospacing="1" w:line="432" w:lineRule="auto"/>
        <w:ind w:left="1259" w:hanging="1244"/>
        <w:rPr>
          <w:rFonts w:ascii="宋体" w:hAnsi="宋体" w:cs="宋体"/>
          <w:b/>
          <w:szCs w:val="21"/>
          <w:highlight w:val="none"/>
        </w:rPr>
      </w:pPr>
      <w:bookmarkStart w:id="446" w:name="_Toc30199"/>
      <w:bookmarkStart w:id="447" w:name="_Toc14561"/>
      <w:bookmarkStart w:id="448" w:name="_Toc14863"/>
      <w:bookmarkStart w:id="449" w:name="_Toc13296"/>
      <w:bookmarkStart w:id="450" w:name="_Toc26892"/>
      <w:r>
        <w:rPr>
          <w:rFonts w:ascii="宋体" w:hAnsi="宋体" w:cs="宋体"/>
          <w:b/>
          <w:szCs w:val="21"/>
          <w:highlight w:val="none"/>
        </w:rPr>
        <w:t>残疾人福利性单位属于小型、微型企业的，不重复享受政策。</w:t>
      </w:r>
      <w:bookmarkEnd w:id="446"/>
      <w:bookmarkEnd w:id="447"/>
      <w:bookmarkEnd w:id="448"/>
      <w:bookmarkEnd w:id="449"/>
      <w:bookmarkEnd w:id="450"/>
    </w:p>
    <w:p w14:paraId="4B0E8BB9">
      <w:pPr>
        <w:numPr>
          <w:ilvl w:val="0"/>
          <w:numId w:val="22"/>
        </w:numPr>
        <w:tabs>
          <w:tab w:val="left" w:pos="420"/>
          <w:tab w:val="clear" w:pos="1244"/>
        </w:tabs>
        <w:spacing w:before="100" w:beforeAutospacing="1" w:after="100" w:afterAutospacing="1" w:line="432" w:lineRule="auto"/>
        <w:ind w:left="1259" w:hanging="1244"/>
        <w:rPr>
          <w:rFonts w:ascii="宋体" w:hAnsi="宋体" w:cs="宋体"/>
          <w:b/>
          <w:szCs w:val="21"/>
          <w:highlight w:val="none"/>
        </w:rPr>
      </w:pPr>
      <w:r>
        <w:rPr>
          <w:rFonts w:ascii="宋体" w:hAnsi="宋体" w:cs="宋体"/>
          <w:b/>
          <w:szCs w:val="21"/>
          <w:highlight w:val="none"/>
        </w:rPr>
        <w:t>如中标人声明为残疾人福利性单位，本声明函将随中标结果同时公告，接受社会监督。</w:t>
      </w:r>
    </w:p>
    <w:p w14:paraId="109240EA">
      <w:pPr>
        <w:rPr>
          <w:rFonts w:ascii="宋体" w:hAnsi="宋体" w:cs="宋体"/>
          <w:highlight w:val="none"/>
        </w:rPr>
      </w:pPr>
    </w:p>
    <w:p w14:paraId="07F27C2E">
      <w:pPr>
        <w:pStyle w:val="2"/>
        <w:rPr>
          <w:rFonts w:hAnsi="宋体" w:cs="宋体"/>
          <w:highlight w:val="none"/>
        </w:rPr>
      </w:pPr>
    </w:p>
    <w:p w14:paraId="1E84C8F8">
      <w:pPr>
        <w:pStyle w:val="5"/>
        <w:rPr>
          <w:rFonts w:ascii="宋体" w:hAnsi="宋体" w:eastAsia="宋体" w:cs="宋体"/>
          <w:highlight w:val="none"/>
        </w:rPr>
      </w:pPr>
    </w:p>
    <w:p w14:paraId="31F4B228">
      <w:pPr>
        <w:pStyle w:val="6"/>
        <w:rPr>
          <w:rFonts w:ascii="宋体" w:hAnsi="宋体" w:eastAsia="宋体" w:cs="宋体"/>
          <w:highlight w:val="none"/>
        </w:rPr>
      </w:pPr>
    </w:p>
    <w:p w14:paraId="6DAF81AC">
      <w:pPr>
        <w:pStyle w:val="22"/>
        <w:rPr>
          <w:highlight w:val="none"/>
        </w:rPr>
      </w:pPr>
    </w:p>
    <w:p w14:paraId="41932C4D">
      <w:pPr>
        <w:jc w:val="center"/>
        <w:outlineLvl w:val="1"/>
        <w:rPr>
          <w:rFonts w:ascii="宋体" w:hAnsi="宋体" w:cs="宋体"/>
          <w:b/>
          <w:bCs/>
          <w:sz w:val="28"/>
          <w:szCs w:val="28"/>
          <w:highlight w:val="none"/>
        </w:rPr>
      </w:pPr>
      <w:r>
        <w:rPr>
          <w:rFonts w:ascii="宋体" w:hAnsi="宋体" w:cs="宋体"/>
          <w:b/>
          <w:bCs/>
          <w:sz w:val="28"/>
          <w:szCs w:val="28"/>
          <w:highlight w:val="none"/>
        </w:rPr>
        <w:t>附件</w:t>
      </w:r>
      <w:r>
        <w:rPr>
          <w:rFonts w:hint="eastAsia" w:ascii="宋体" w:hAnsi="宋体" w:cs="宋体"/>
          <w:b/>
          <w:bCs/>
          <w:sz w:val="28"/>
          <w:szCs w:val="28"/>
          <w:highlight w:val="none"/>
          <w:lang w:val="en-US" w:eastAsia="zh-CN"/>
        </w:rPr>
        <w:t>六</w:t>
      </w:r>
      <w:r>
        <w:rPr>
          <w:rFonts w:ascii="宋体" w:hAnsi="宋体" w:cs="宋体"/>
          <w:b/>
          <w:bCs/>
          <w:sz w:val="28"/>
          <w:szCs w:val="28"/>
          <w:highlight w:val="none"/>
        </w:rPr>
        <w:t xml:space="preserve">    磋商响应函</w:t>
      </w:r>
      <w:bookmarkEnd w:id="427"/>
      <w:bookmarkEnd w:id="428"/>
      <w:bookmarkEnd w:id="429"/>
      <w:bookmarkEnd w:id="430"/>
      <w:bookmarkEnd w:id="431"/>
      <w:bookmarkEnd w:id="432"/>
      <w:bookmarkEnd w:id="433"/>
      <w:bookmarkEnd w:id="434"/>
      <w:bookmarkEnd w:id="435"/>
    </w:p>
    <w:p w14:paraId="2FDE8D6C">
      <w:pPr>
        <w:spacing w:line="360" w:lineRule="auto"/>
        <w:rPr>
          <w:rFonts w:ascii="宋体" w:hAnsi="宋体" w:cs="宋体"/>
          <w:highlight w:val="none"/>
          <w:u w:val="single"/>
        </w:rPr>
      </w:pPr>
      <w:r>
        <w:rPr>
          <w:rFonts w:hint="eastAsia" w:ascii="宋体" w:hAnsi="宋体" w:cs="宋体"/>
          <w:highlight w:val="none"/>
          <w:u w:val="single"/>
          <w:lang w:eastAsia="zh-CN"/>
        </w:rPr>
        <w:t>中共瑞安市委宣传部</w:t>
      </w:r>
      <w:r>
        <w:rPr>
          <w:rFonts w:ascii="宋体" w:hAnsi="宋体" w:cs="宋体"/>
          <w:highlight w:val="none"/>
        </w:rPr>
        <w:t>：</w:t>
      </w:r>
    </w:p>
    <w:p w14:paraId="761451F6">
      <w:pPr>
        <w:spacing w:line="360" w:lineRule="auto"/>
        <w:ind w:firstLine="411" w:firstLineChars="196"/>
        <w:rPr>
          <w:rFonts w:ascii="宋体" w:hAnsi="宋体" w:cs="宋体"/>
          <w:highlight w:val="none"/>
        </w:rPr>
      </w:pPr>
      <w:r>
        <w:rPr>
          <w:rFonts w:ascii="宋体" w:hAnsi="宋体" w:cs="宋体"/>
          <w:highlight w:val="none"/>
          <w:u w:val="single"/>
        </w:rPr>
        <w:t xml:space="preserve">（磋商供应商全称）  </w:t>
      </w:r>
      <w:r>
        <w:rPr>
          <w:rFonts w:ascii="宋体" w:hAnsi="宋体" w:cs="宋体"/>
          <w:highlight w:val="none"/>
        </w:rPr>
        <w:t xml:space="preserve"> 授权 </w:t>
      </w:r>
      <w:r>
        <w:rPr>
          <w:rFonts w:ascii="宋体" w:hAnsi="宋体" w:cs="宋体"/>
          <w:highlight w:val="none"/>
          <w:u w:val="single"/>
        </w:rPr>
        <w:t xml:space="preserve">   （授权代表名称、职务、职称）    </w:t>
      </w:r>
      <w:r>
        <w:rPr>
          <w:rFonts w:ascii="宋体" w:hAnsi="宋体" w:cs="宋体"/>
          <w:highlight w:val="none"/>
        </w:rPr>
        <w:t xml:space="preserve"> 为本公司授权代表，参加贵方组织的</w:t>
      </w:r>
      <w:r>
        <w:rPr>
          <w:rFonts w:ascii="宋体" w:hAnsi="宋体" w:cs="宋体"/>
          <w:highlight w:val="none"/>
          <w:u w:val="single"/>
        </w:rPr>
        <w:t xml:space="preserve"> </w:t>
      </w:r>
      <w:r>
        <w:rPr>
          <w:rFonts w:hint="eastAsia" w:ascii="宋体" w:hAnsi="宋体" w:cs="宋体"/>
          <w:highlight w:val="none"/>
          <w:u w:val="single"/>
          <w:lang w:eastAsia="zh-CN"/>
        </w:rPr>
        <w:t>瑞安市2025年度农村公益电影放映</w:t>
      </w:r>
      <w:r>
        <w:rPr>
          <w:rFonts w:ascii="宋体" w:hAnsi="宋体" w:cs="宋体"/>
          <w:highlight w:val="none"/>
          <w:u w:val="single"/>
        </w:rPr>
        <w:t xml:space="preserve"> </w:t>
      </w:r>
      <w:r>
        <w:rPr>
          <w:rFonts w:ascii="宋体" w:hAnsi="宋体" w:cs="宋体"/>
          <w:highlight w:val="none"/>
        </w:rPr>
        <w:t>（项目编号:</w:t>
      </w:r>
      <w:r>
        <w:rPr>
          <w:rFonts w:ascii="宋体" w:hAnsi="宋体" w:cs="宋体"/>
          <w:highlight w:val="none"/>
          <w:u w:val="single"/>
        </w:rPr>
        <w:t xml:space="preserve">           </w:t>
      </w:r>
      <w:r>
        <w:rPr>
          <w:rFonts w:ascii="宋体" w:hAnsi="宋体" w:cs="宋体"/>
          <w:highlight w:val="none"/>
        </w:rPr>
        <w:t>）竞争性磋商采购的有关活动，进行磋商。为此：</w:t>
      </w:r>
    </w:p>
    <w:p w14:paraId="15608731">
      <w:pPr>
        <w:pStyle w:val="39"/>
        <w:numPr>
          <w:ilvl w:val="1"/>
          <w:numId w:val="23"/>
        </w:numPr>
        <w:spacing w:line="360" w:lineRule="auto"/>
        <w:ind w:left="851"/>
        <w:rPr>
          <w:rFonts w:ascii="宋体" w:hAnsi="宋体" w:cs="宋体"/>
          <w:highlight w:val="none"/>
        </w:rPr>
      </w:pPr>
      <w:r>
        <w:rPr>
          <w:rFonts w:ascii="宋体" w:hAnsi="宋体" w:cs="宋体"/>
          <w:highlight w:val="none"/>
        </w:rPr>
        <w:t>提供磋商须知规定的全部磋商响应文件。</w:t>
      </w:r>
    </w:p>
    <w:p w14:paraId="75164927">
      <w:pPr>
        <w:pStyle w:val="39"/>
        <w:numPr>
          <w:ilvl w:val="1"/>
          <w:numId w:val="23"/>
        </w:numPr>
        <w:spacing w:line="360" w:lineRule="auto"/>
        <w:ind w:left="851"/>
        <w:rPr>
          <w:rFonts w:ascii="宋体" w:hAnsi="宋体" w:cs="宋体"/>
          <w:highlight w:val="none"/>
        </w:rPr>
      </w:pPr>
      <w:r>
        <w:rPr>
          <w:rFonts w:ascii="宋体" w:hAnsi="宋体" w:cs="宋体"/>
          <w:highlight w:val="none"/>
        </w:rPr>
        <w:t>据此函，签字人兹宣布同意如下：</w:t>
      </w:r>
    </w:p>
    <w:p w14:paraId="5B456C2F">
      <w:pPr>
        <w:pStyle w:val="39"/>
        <w:numPr>
          <w:ilvl w:val="2"/>
          <w:numId w:val="23"/>
        </w:numPr>
        <w:spacing w:line="360" w:lineRule="auto"/>
        <w:ind w:left="1276"/>
        <w:rPr>
          <w:rFonts w:ascii="宋体" w:hAnsi="宋体" w:cs="宋体"/>
          <w:highlight w:val="none"/>
        </w:rPr>
      </w:pPr>
      <w:r>
        <w:rPr>
          <w:rFonts w:ascii="宋体" w:hAnsi="宋体" w:cs="宋体"/>
          <w:szCs w:val="21"/>
          <w:highlight w:val="none"/>
        </w:rPr>
        <w:t>该项目的磋商报价</w:t>
      </w:r>
      <w:r>
        <w:rPr>
          <w:rFonts w:ascii="宋体" w:hAnsi="宋体" w:cs="宋体"/>
          <w:highlight w:val="none"/>
        </w:rPr>
        <w:t xml:space="preserve">以最后一轮报价为准； </w:t>
      </w:r>
    </w:p>
    <w:p w14:paraId="61A85685">
      <w:pPr>
        <w:pStyle w:val="39"/>
        <w:numPr>
          <w:ilvl w:val="2"/>
          <w:numId w:val="23"/>
        </w:numPr>
        <w:spacing w:line="360" w:lineRule="auto"/>
        <w:ind w:left="1276"/>
        <w:rPr>
          <w:rFonts w:ascii="宋体" w:hAnsi="宋体" w:cs="宋体"/>
          <w:highlight w:val="none"/>
        </w:rPr>
      </w:pPr>
      <w:r>
        <w:rPr>
          <w:rFonts w:ascii="宋体" w:hAnsi="宋体" w:cs="宋体"/>
          <w:highlight w:val="none"/>
        </w:rPr>
        <w:t>保证遵守竞争性磋商的磋商文件中的有关规定。</w:t>
      </w:r>
    </w:p>
    <w:p w14:paraId="0387EE41">
      <w:pPr>
        <w:pStyle w:val="39"/>
        <w:numPr>
          <w:ilvl w:val="2"/>
          <w:numId w:val="23"/>
        </w:numPr>
        <w:spacing w:line="360" w:lineRule="auto"/>
        <w:ind w:left="1276"/>
        <w:rPr>
          <w:rFonts w:ascii="宋体" w:hAnsi="宋体" w:cs="宋体"/>
          <w:highlight w:val="none"/>
        </w:rPr>
      </w:pPr>
      <w:r>
        <w:rPr>
          <w:rFonts w:ascii="宋体" w:hAnsi="宋体" w:cs="宋体"/>
          <w:highlight w:val="none"/>
        </w:rPr>
        <w:t>保证严格执行双方所签的服务合同，并承担全部规定的责任义务。</w:t>
      </w:r>
    </w:p>
    <w:p w14:paraId="4A9F4A27">
      <w:pPr>
        <w:pStyle w:val="39"/>
        <w:numPr>
          <w:ilvl w:val="2"/>
          <w:numId w:val="23"/>
        </w:numPr>
        <w:spacing w:line="360" w:lineRule="auto"/>
        <w:ind w:left="1276"/>
        <w:rPr>
          <w:rFonts w:ascii="宋体" w:hAnsi="宋体" w:cs="宋体"/>
          <w:highlight w:val="none"/>
        </w:rPr>
      </w:pPr>
      <w:r>
        <w:rPr>
          <w:rFonts w:ascii="宋体" w:hAnsi="宋体" w:cs="宋体"/>
          <w:highlight w:val="none"/>
        </w:rPr>
        <w:t>磋商供应商已详细审查全部竞争性磋商文件，包括竞争性磋商文件补充文件（如果有的话）。我们完全理解并同意放弃对这方面有不明及误解的权力。</w:t>
      </w:r>
    </w:p>
    <w:p w14:paraId="2D8C12D1">
      <w:pPr>
        <w:pStyle w:val="39"/>
        <w:numPr>
          <w:ilvl w:val="2"/>
          <w:numId w:val="23"/>
        </w:numPr>
        <w:spacing w:line="360" w:lineRule="auto"/>
        <w:ind w:left="1276"/>
        <w:rPr>
          <w:rFonts w:ascii="宋体" w:hAnsi="宋体" w:cs="宋体"/>
          <w:highlight w:val="none"/>
        </w:rPr>
      </w:pPr>
      <w:r>
        <w:rPr>
          <w:rFonts w:ascii="宋体" w:hAnsi="宋体" w:cs="宋体"/>
          <w:highlight w:val="none"/>
        </w:rPr>
        <w:t>愿意向贵方提供任何与该项磋商有关的数据、情况和技术资料，完全理解贵方不一定接受最低价的投标或收到的任何投标。</w:t>
      </w:r>
    </w:p>
    <w:p w14:paraId="033DA513">
      <w:pPr>
        <w:pStyle w:val="39"/>
        <w:numPr>
          <w:ilvl w:val="2"/>
          <w:numId w:val="23"/>
        </w:numPr>
        <w:spacing w:line="360" w:lineRule="auto"/>
        <w:ind w:left="1276"/>
        <w:rPr>
          <w:rFonts w:ascii="宋体" w:hAnsi="宋体" w:cs="宋体"/>
          <w:highlight w:val="none"/>
        </w:rPr>
      </w:pPr>
      <w:r>
        <w:rPr>
          <w:rFonts w:ascii="宋体" w:hAnsi="宋体" w:cs="宋体"/>
          <w:highlight w:val="none"/>
        </w:rPr>
        <w:t>本磋商自磋商截止时间之日起</w:t>
      </w:r>
      <w:r>
        <w:rPr>
          <w:rFonts w:ascii="宋体" w:hAnsi="宋体" w:cs="宋体"/>
          <w:highlight w:val="none"/>
          <w:u w:val="single"/>
        </w:rPr>
        <w:t>90</w:t>
      </w:r>
      <w:r>
        <w:rPr>
          <w:rFonts w:ascii="宋体" w:hAnsi="宋体" w:cs="宋体"/>
          <w:highlight w:val="none"/>
        </w:rPr>
        <w:t>日历天有效。</w:t>
      </w:r>
    </w:p>
    <w:p w14:paraId="1314DE1A">
      <w:pPr>
        <w:pStyle w:val="39"/>
        <w:numPr>
          <w:ilvl w:val="2"/>
          <w:numId w:val="23"/>
        </w:numPr>
        <w:spacing w:line="360" w:lineRule="auto"/>
        <w:ind w:left="1276"/>
        <w:rPr>
          <w:rFonts w:ascii="宋体" w:hAnsi="宋体" w:cs="宋体"/>
          <w:szCs w:val="21"/>
          <w:highlight w:val="none"/>
        </w:rPr>
      </w:pPr>
      <w:r>
        <w:rPr>
          <w:rFonts w:ascii="宋体" w:hAnsi="宋体" w:cs="宋体"/>
          <w:szCs w:val="21"/>
          <w:highlight w:val="none"/>
        </w:rPr>
        <w:t>与本磋商有关的正式通讯地址为：</w:t>
      </w:r>
      <w:r>
        <w:rPr>
          <w:rFonts w:ascii="宋体" w:hAnsi="宋体" w:cs="宋体"/>
          <w:szCs w:val="21"/>
          <w:highlight w:val="none"/>
          <w:u w:val="single"/>
        </w:rPr>
        <w:t xml:space="preserve">                                           </w:t>
      </w:r>
    </w:p>
    <w:p w14:paraId="7FA1F982">
      <w:pPr>
        <w:spacing w:line="360" w:lineRule="auto"/>
        <w:ind w:left="1276"/>
        <w:rPr>
          <w:rFonts w:ascii="宋体" w:hAnsi="宋体" w:cs="宋体"/>
          <w:highlight w:val="none"/>
        </w:rPr>
      </w:pPr>
      <w:r>
        <w:rPr>
          <w:rFonts w:ascii="宋体" w:hAnsi="宋体" w:cs="宋体"/>
          <w:highlight w:val="none"/>
        </w:rPr>
        <w:t>邮编：</w:t>
      </w:r>
      <w:r>
        <w:rPr>
          <w:rFonts w:ascii="宋体" w:hAnsi="宋体" w:cs="宋体"/>
          <w:highlight w:val="none"/>
          <w:u w:val="single"/>
        </w:rPr>
        <w:t xml:space="preserve">              </w:t>
      </w:r>
      <w:r>
        <w:rPr>
          <w:rFonts w:ascii="宋体" w:hAnsi="宋体" w:cs="宋体"/>
          <w:highlight w:val="none"/>
        </w:rPr>
        <w:t>电话：</w:t>
      </w:r>
      <w:r>
        <w:rPr>
          <w:rFonts w:ascii="宋体" w:hAnsi="宋体" w:cs="宋体"/>
          <w:highlight w:val="none"/>
          <w:u w:val="single"/>
        </w:rPr>
        <w:t xml:space="preserve">                     </w:t>
      </w:r>
      <w:r>
        <w:rPr>
          <w:rFonts w:ascii="宋体" w:hAnsi="宋体" w:cs="宋体"/>
          <w:highlight w:val="none"/>
        </w:rPr>
        <w:t>传真：</w:t>
      </w:r>
      <w:r>
        <w:rPr>
          <w:rFonts w:ascii="宋体" w:hAnsi="宋体" w:cs="宋体"/>
          <w:highlight w:val="none"/>
          <w:u w:val="single"/>
        </w:rPr>
        <w:t xml:space="preserve">                   </w:t>
      </w:r>
      <w:r>
        <w:rPr>
          <w:rFonts w:ascii="宋体" w:hAnsi="宋体" w:cs="宋体"/>
          <w:highlight w:val="none"/>
        </w:rPr>
        <w:t xml:space="preserve">                    </w:t>
      </w:r>
    </w:p>
    <w:p w14:paraId="3A2DD3BD">
      <w:pPr>
        <w:spacing w:line="480" w:lineRule="auto"/>
        <w:ind w:firstLine="5250" w:firstLineChars="2500"/>
        <w:rPr>
          <w:rFonts w:ascii="宋体" w:hAnsi="宋体" w:cs="宋体"/>
          <w:highlight w:val="none"/>
        </w:rPr>
      </w:pPr>
    </w:p>
    <w:p w14:paraId="59A4FD89">
      <w:pPr>
        <w:spacing w:line="480" w:lineRule="auto"/>
        <w:ind w:firstLine="5250" w:firstLineChars="2500"/>
        <w:rPr>
          <w:rFonts w:ascii="宋体" w:hAnsi="宋体" w:cs="宋体"/>
          <w:highlight w:val="none"/>
        </w:rPr>
      </w:pPr>
    </w:p>
    <w:p w14:paraId="435E5890">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273E3FB6">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法定代表人或授权代表（签字或盖章）：</w:t>
      </w:r>
    </w:p>
    <w:p w14:paraId="4F2AB9AB">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日      期：    年   月     日</w:t>
      </w:r>
    </w:p>
    <w:p w14:paraId="07E75A1B">
      <w:pPr>
        <w:pStyle w:val="5"/>
        <w:rPr>
          <w:rFonts w:ascii="宋体" w:hAnsi="宋体" w:eastAsia="宋体" w:cs="宋体"/>
          <w:highlight w:val="none"/>
        </w:rPr>
      </w:pPr>
    </w:p>
    <w:p w14:paraId="19780E35">
      <w:pPr>
        <w:rPr>
          <w:rFonts w:ascii="宋体" w:hAnsi="宋体" w:cs="宋体"/>
          <w:highlight w:val="none"/>
        </w:rPr>
      </w:pPr>
    </w:p>
    <w:p w14:paraId="5A1C51DD">
      <w:pPr>
        <w:pStyle w:val="8"/>
        <w:jc w:val="center"/>
        <w:rPr>
          <w:rFonts w:ascii="宋体" w:hAnsi="宋体" w:cs="宋体"/>
          <w:sz w:val="28"/>
          <w:szCs w:val="28"/>
          <w:highlight w:val="none"/>
        </w:rPr>
      </w:pPr>
      <w:bookmarkStart w:id="451" w:name="_Toc6776"/>
      <w:bookmarkStart w:id="452" w:name="_Toc27452"/>
    </w:p>
    <w:p w14:paraId="4B085039">
      <w:pPr>
        <w:pStyle w:val="8"/>
        <w:jc w:val="center"/>
        <w:rPr>
          <w:rFonts w:ascii="宋体" w:hAnsi="宋体" w:cs="宋体"/>
          <w:sz w:val="28"/>
          <w:szCs w:val="28"/>
          <w:highlight w:val="none"/>
        </w:rPr>
      </w:pPr>
      <w:r>
        <w:rPr>
          <w:rFonts w:ascii="宋体" w:hAnsi="宋体" w:cs="宋体"/>
          <w:b/>
          <w:bCs w:val="0"/>
          <w:sz w:val="28"/>
          <w:szCs w:val="28"/>
          <w:highlight w:val="none"/>
        </w:rPr>
        <w:t>附件</w:t>
      </w:r>
      <w:r>
        <w:rPr>
          <w:rFonts w:hint="eastAsia" w:ascii="宋体" w:hAnsi="宋体" w:cs="宋体"/>
          <w:b/>
          <w:bCs w:val="0"/>
          <w:sz w:val="28"/>
          <w:szCs w:val="28"/>
          <w:highlight w:val="none"/>
          <w:lang w:val="en-US" w:eastAsia="zh-CN"/>
        </w:rPr>
        <w:t>七</w:t>
      </w:r>
      <w:r>
        <w:rPr>
          <w:rFonts w:ascii="宋体" w:hAnsi="宋体" w:cs="宋体"/>
          <w:b/>
          <w:bCs w:val="0"/>
          <w:sz w:val="28"/>
          <w:szCs w:val="28"/>
          <w:highlight w:val="none"/>
        </w:rPr>
        <w:t xml:space="preserve">    磋商供应商情况一览表</w:t>
      </w:r>
      <w:bookmarkEnd w:id="451"/>
      <w:bookmarkEnd w:id="452"/>
    </w:p>
    <w:tbl>
      <w:tblPr>
        <w:tblStyle w:val="25"/>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5"/>
        <w:gridCol w:w="2911"/>
        <w:gridCol w:w="1459"/>
        <w:gridCol w:w="2048"/>
      </w:tblGrid>
      <w:tr w14:paraId="51444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trPr>
        <w:tc>
          <w:tcPr>
            <w:tcW w:w="2195" w:type="dxa"/>
            <w:tcBorders>
              <w:top w:val="single" w:color="auto" w:sz="4" w:space="0"/>
              <w:left w:val="single" w:color="auto" w:sz="4" w:space="0"/>
              <w:bottom w:val="single" w:color="auto" w:sz="6" w:space="0"/>
              <w:right w:val="single" w:color="auto" w:sz="6" w:space="0"/>
            </w:tcBorders>
            <w:vAlign w:val="center"/>
          </w:tcPr>
          <w:p w14:paraId="654F9423">
            <w:pPr>
              <w:jc w:val="center"/>
              <w:rPr>
                <w:rFonts w:ascii="宋体" w:hAnsi="宋体" w:cs="宋体"/>
                <w:b/>
                <w:bCs/>
                <w:highlight w:val="none"/>
              </w:rPr>
            </w:pPr>
            <w:r>
              <w:rPr>
                <w:rFonts w:ascii="宋体" w:hAnsi="宋体" w:cs="宋体"/>
                <w:b/>
                <w:bCs/>
                <w:highlight w:val="none"/>
              </w:rPr>
              <w:t>供应商名称</w:t>
            </w:r>
          </w:p>
        </w:tc>
        <w:tc>
          <w:tcPr>
            <w:tcW w:w="6418" w:type="dxa"/>
            <w:gridSpan w:val="3"/>
            <w:tcBorders>
              <w:top w:val="single" w:color="auto" w:sz="4" w:space="0"/>
              <w:left w:val="single" w:color="auto" w:sz="6" w:space="0"/>
              <w:bottom w:val="single" w:color="auto" w:sz="6" w:space="0"/>
              <w:right w:val="single" w:color="auto" w:sz="4" w:space="0"/>
            </w:tcBorders>
            <w:vAlign w:val="center"/>
          </w:tcPr>
          <w:p w14:paraId="73F2E54A">
            <w:pPr>
              <w:jc w:val="center"/>
              <w:rPr>
                <w:rFonts w:ascii="宋体" w:hAnsi="宋体" w:cs="宋体"/>
                <w:highlight w:val="none"/>
              </w:rPr>
            </w:pPr>
          </w:p>
        </w:tc>
      </w:tr>
      <w:tr w14:paraId="3F75E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trPr>
        <w:tc>
          <w:tcPr>
            <w:tcW w:w="2195" w:type="dxa"/>
            <w:tcBorders>
              <w:top w:val="single" w:color="auto" w:sz="6" w:space="0"/>
              <w:left w:val="single" w:color="auto" w:sz="4" w:space="0"/>
              <w:bottom w:val="single" w:color="auto" w:sz="6" w:space="0"/>
              <w:right w:val="single" w:color="auto" w:sz="6" w:space="0"/>
            </w:tcBorders>
            <w:vAlign w:val="center"/>
          </w:tcPr>
          <w:p w14:paraId="2CDF2B7D">
            <w:pPr>
              <w:jc w:val="center"/>
              <w:rPr>
                <w:rFonts w:ascii="宋体" w:hAnsi="宋体" w:cs="宋体"/>
                <w:b/>
                <w:bCs/>
                <w:highlight w:val="none"/>
              </w:rPr>
            </w:pPr>
            <w:r>
              <w:rPr>
                <w:rFonts w:ascii="宋体" w:hAnsi="宋体" w:cs="宋体"/>
                <w:b/>
                <w:bCs/>
                <w:highlight w:val="none"/>
              </w:rPr>
              <w:t>单位地址</w:t>
            </w:r>
          </w:p>
        </w:tc>
        <w:tc>
          <w:tcPr>
            <w:tcW w:w="2911" w:type="dxa"/>
            <w:tcBorders>
              <w:top w:val="single" w:color="auto" w:sz="6" w:space="0"/>
              <w:left w:val="single" w:color="auto" w:sz="6" w:space="0"/>
              <w:bottom w:val="single" w:color="auto" w:sz="6" w:space="0"/>
              <w:right w:val="single" w:color="auto" w:sz="6" w:space="0"/>
            </w:tcBorders>
            <w:vAlign w:val="center"/>
          </w:tcPr>
          <w:p w14:paraId="3EE44BE3">
            <w:pPr>
              <w:jc w:val="center"/>
              <w:rPr>
                <w:rFonts w:ascii="宋体" w:hAnsi="宋体" w:cs="宋体"/>
                <w:highlight w:val="none"/>
              </w:rPr>
            </w:pPr>
          </w:p>
        </w:tc>
        <w:tc>
          <w:tcPr>
            <w:tcW w:w="1459" w:type="dxa"/>
            <w:tcBorders>
              <w:top w:val="single" w:color="auto" w:sz="6" w:space="0"/>
              <w:left w:val="single" w:color="auto" w:sz="6" w:space="0"/>
              <w:bottom w:val="single" w:color="auto" w:sz="6" w:space="0"/>
              <w:right w:val="single" w:color="auto" w:sz="6" w:space="0"/>
            </w:tcBorders>
            <w:vAlign w:val="center"/>
          </w:tcPr>
          <w:p w14:paraId="564F92CC">
            <w:pPr>
              <w:jc w:val="center"/>
              <w:rPr>
                <w:rFonts w:ascii="宋体" w:hAnsi="宋体" w:cs="宋体"/>
                <w:b/>
                <w:bCs/>
                <w:highlight w:val="none"/>
              </w:rPr>
            </w:pPr>
            <w:r>
              <w:rPr>
                <w:rFonts w:ascii="宋体" w:hAnsi="宋体" w:cs="宋体"/>
                <w:b/>
                <w:bCs/>
                <w:highlight w:val="none"/>
              </w:rPr>
              <w:t>电话</w:t>
            </w:r>
          </w:p>
        </w:tc>
        <w:tc>
          <w:tcPr>
            <w:tcW w:w="2048" w:type="dxa"/>
            <w:tcBorders>
              <w:top w:val="single" w:color="auto" w:sz="6" w:space="0"/>
              <w:left w:val="single" w:color="auto" w:sz="6" w:space="0"/>
              <w:bottom w:val="single" w:color="auto" w:sz="6" w:space="0"/>
              <w:right w:val="single" w:color="auto" w:sz="4" w:space="0"/>
            </w:tcBorders>
            <w:vAlign w:val="center"/>
          </w:tcPr>
          <w:p w14:paraId="11F180F3">
            <w:pPr>
              <w:jc w:val="center"/>
              <w:rPr>
                <w:rFonts w:ascii="宋体" w:hAnsi="宋体" w:cs="宋体"/>
                <w:highlight w:val="none"/>
              </w:rPr>
            </w:pPr>
          </w:p>
        </w:tc>
      </w:tr>
      <w:tr w14:paraId="54F06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2195" w:type="dxa"/>
            <w:tcBorders>
              <w:top w:val="single" w:color="auto" w:sz="6" w:space="0"/>
              <w:left w:val="single" w:color="auto" w:sz="4" w:space="0"/>
              <w:bottom w:val="single" w:color="auto" w:sz="6" w:space="0"/>
              <w:right w:val="single" w:color="auto" w:sz="6" w:space="0"/>
            </w:tcBorders>
            <w:vAlign w:val="center"/>
          </w:tcPr>
          <w:p w14:paraId="526D1B6E">
            <w:pPr>
              <w:jc w:val="center"/>
              <w:rPr>
                <w:rFonts w:ascii="宋体" w:hAnsi="宋体" w:cs="宋体"/>
                <w:b/>
                <w:bCs/>
                <w:highlight w:val="none"/>
              </w:rPr>
            </w:pPr>
            <w:r>
              <w:rPr>
                <w:rFonts w:ascii="宋体" w:hAnsi="宋体" w:cs="宋体"/>
                <w:b/>
                <w:bCs/>
                <w:highlight w:val="none"/>
              </w:rPr>
              <w:t>企业资质</w:t>
            </w:r>
          </w:p>
        </w:tc>
        <w:tc>
          <w:tcPr>
            <w:tcW w:w="6418" w:type="dxa"/>
            <w:gridSpan w:val="3"/>
            <w:tcBorders>
              <w:top w:val="single" w:color="auto" w:sz="6" w:space="0"/>
              <w:left w:val="single" w:color="auto" w:sz="6" w:space="0"/>
              <w:bottom w:val="single" w:color="auto" w:sz="6" w:space="0"/>
              <w:right w:val="single" w:color="auto" w:sz="4" w:space="0"/>
            </w:tcBorders>
            <w:vAlign w:val="center"/>
          </w:tcPr>
          <w:p w14:paraId="247CCC04">
            <w:pPr>
              <w:jc w:val="center"/>
              <w:rPr>
                <w:rFonts w:ascii="宋体" w:hAnsi="宋体" w:cs="宋体"/>
                <w:highlight w:val="none"/>
              </w:rPr>
            </w:pPr>
          </w:p>
        </w:tc>
      </w:tr>
      <w:tr w14:paraId="382EA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2195" w:type="dxa"/>
            <w:tcBorders>
              <w:top w:val="single" w:color="auto" w:sz="6" w:space="0"/>
              <w:left w:val="single" w:color="auto" w:sz="4" w:space="0"/>
              <w:bottom w:val="single" w:color="auto" w:sz="6" w:space="0"/>
              <w:right w:val="single" w:color="auto" w:sz="6" w:space="0"/>
            </w:tcBorders>
            <w:vAlign w:val="center"/>
          </w:tcPr>
          <w:p w14:paraId="18DEE09E">
            <w:pPr>
              <w:jc w:val="center"/>
              <w:rPr>
                <w:rFonts w:ascii="宋体" w:hAnsi="宋体" w:cs="宋体"/>
                <w:b/>
                <w:bCs/>
                <w:highlight w:val="none"/>
              </w:rPr>
            </w:pPr>
            <w:r>
              <w:rPr>
                <w:rFonts w:ascii="宋体" w:hAnsi="宋体" w:cs="宋体"/>
                <w:b/>
                <w:bCs/>
                <w:highlight w:val="none"/>
              </w:rPr>
              <w:t>法定代表人</w:t>
            </w:r>
          </w:p>
        </w:tc>
        <w:tc>
          <w:tcPr>
            <w:tcW w:w="2911" w:type="dxa"/>
            <w:tcBorders>
              <w:top w:val="single" w:color="auto" w:sz="6" w:space="0"/>
              <w:left w:val="single" w:color="auto" w:sz="6" w:space="0"/>
              <w:bottom w:val="single" w:color="auto" w:sz="6" w:space="0"/>
              <w:right w:val="single" w:color="auto" w:sz="6" w:space="0"/>
            </w:tcBorders>
            <w:vAlign w:val="center"/>
          </w:tcPr>
          <w:p w14:paraId="6FD272C0">
            <w:pPr>
              <w:jc w:val="center"/>
              <w:rPr>
                <w:rFonts w:ascii="宋体" w:hAnsi="宋体" w:cs="宋体"/>
                <w:highlight w:val="none"/>
              </w:rPr>
            </w:pPr>
          </w:p>
        </w:tc>
        <w:tc>
          <w:tcPr>
            <w:tcW w:w="1459" w:type="dxa"/>
            <w:tcBorders>
              <w:top w:val="single" w:color="auto" w:sz="6" w:space="0"/>
              <w:left w:val="single" w:color="auto" w:sz="6" w:space="0"/>
              <w:bottom w:val="single" w:color="auto" w:sz="6" w:space="0"/>
              <w:right w:val="single" w:color="auto" w:sz="6" w:space="0"/>
            </w:tcBorders>
            <w:vAlign w:val="center"/>
          </w:tcPr>
          <w:p w14:paraId="06B8D6E8">
            <w:pPr>
              <w:jc w:val="center"/>
              <w:rPr>
                <w:rFonts w:ascii="宋体" w:hAnsi="宋体" w:cs="宋体"/>
                <w:b/>
                <w:bCs/>
                <w:highlight w:val="none"/>
              </w:rPr>
            </w:pPr>
            <w:r>
              <w:rPr>
                <w:rFonts w:ascii="宋体" w:hAnsi="宋体" w:cs="宋体"/>
                <w:b/>
                <w:bCs/>
                <w:highlight w:val="none"/>
              </w:rPr>
              <w:t>项目负责人</w:t>
            </w:r>
          </w:p>
        </w:tc>
        <w:tc>
          <w:tcPr>
            <w:tcW w:w="2048" w:type="dxa"/>
            <w:tcBorders>
              <w:top w:val="single" w:color="auto" w:sz="6" w:space="0"/>
              <w:left w:val="single" w:color="auto" w:sz="6" w:space="0"/>
              <w:bottom w:val="single" w:color="auto" w:sz="6" w:space="0"/>
              <w:right w:val="single" w:color="auto" w:sz="4" w:space="0"/>
            </w:tcBorders>
            <w:vAlign w:val="center"/>
          </w:tcPr>
          <w:p w14:paraId="463C05EB">
            <w:pPr>
              <w:jc w:val="center"/>
              <w:rPr>
                <w:rFonts w:ascii="宋体" w:hAnsi="宋体" w:cs="宋体"/>
                <w:highlight w:val="none"/>
              </w:rPr>
            </w:pPr>
          </w:p>
        </w:tc>
      </w:tr>
      <w:tr w14:paraId="35379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2195" w:type="dxa"/>
            <w:tcBorders>
              <w:top w:val="single" w:color="auto" w:sz="6" w:space="0"/>
              <w:left w:val="single" w:color="auto" w:sz="4" w:space="0"/>
              <w:right w:val="single" w:color="auto" w:sz="6" w:space="0"/>
            </w:tcBorders>
            <w:vAlign w:val="center"/>
          </w:tcPr>
          <w:p w14:paraId="2F57A70A">
            <w:pPr>
              <w:jc w:val="center"/>
              <w:rPr>
                <w:rFonts w:ascii="宋体" w:hAnsi="宋体" w:cs="宋体"/>
                <w:b/>
                <w:bCs/>
                <w:highlight w:val="none"/>
              </w:rPr>
            </w:pPr>
            <w:r>
              <w:rPr>
                <w:rFonts w:ascii="宋体" w:hAnsi="宋体" w:cs="宋体"/>
                <w:b/>
                <w:bCs/>
                <w:highlight w:val="none"/>
              </w:rPr>
              <w:t>职工人数</w:t>
            </w:r>
          </w:p>
        </w:tc>
        <w:tc>
          <w:tcPr>
            <w:tcW w:w="2911" w:type="dxa"/>
            <w:tcBorders>
              <w:top w:val="single" w:color="auto" w:sz="6" w:space="0"/>
              <w:left w:val="single" w:color="auto" w:sz="6" w:space="0"/>
              <w:right w:val="single" w:color="auto" w:sz="4" w:space="0"/>
            </w:tcBorders>
            <w:vAlign w:val="center"/>
          </w:tcPr>
          <w:p w14:paraId="32B6B2A2">
            <w:pPr>
              <w:jc w:val="center"/>
              <w:rPr>
                <w:rFonts w:ascii="宋体" w:hAnsi="宋体" w:cs="宋体"/>
                <w:highlight w:val="none"/>
              </w:rPr>
            </w:pPr>
          </w:p>
        </w:tc>
        <w:tc>
          <w:tcPr>
            <w:tcW w:w="1459" w:type="dxa"/>
            <w:tcBorders>
              <w:top w:val="single" w:color="auto" w:sz="6" w:space="0"/>
              <w:left w:val="single" w:color="auto" w:sz="6" w:space="0"/>
              <w:right w:val="single" w:color="auto" w:sz="4" w:space="0"/>
            </w:tcBorders>
            <w:vAlign w:val="center"/>
          </w:tcPr>
          <w:p w14:paraId="73EBB87D">
            <w:pPr>
              <w:jc w:val="center"/>
              <w:rPr>
                <w:rFonts w:ascii="宋体" w:hAnsi="宋体" w:cs="宋体"/>
                <w:b/>
                <w:bCs/>
                <w:highlight w:val="none"/>
              </w:rPr>
            </w:pPr>
            <w:r>
              <w:rPr>
                <w:rFonts w:ascii="宋体" w:hAnsi="宋体" w:cs="宋体"/>
                <w:b/>
                <w:bCs/>
                <w:highlight w:val="none"/>
              </w:rPr>
              <w:t>管理人员</w:t>
            </w:r>
          </w:p>
        </w:tc>
        <w:tc>
          <w:tcPr>
            <w:tcW w:w="2048" w:type="dxa"/>
            <w:tcBorders>
              <w:top w:val="single" w:color="auto" w:sz="6" w:space="0"/>
              <w:left w:val="single" w:color="auto" w:sz="6" w:space="0"/>
              <w:bottom w:val="single" w:color="auto" w:sz="6" w:space="0"/>
              <w:right w:val="single" w:color="auto" w:sz="4" w:space="0"/>
            </w:tcBorders>
            <w:vAlign w:val="center"/>
          </w:tcPr>
          <w:p w14:paraId="48CE98B6">
            <w:pPr>
              <w:jc w:val="center"/>
              <w:rPr>
                <w:rFonts w:ascii="宋体" w:hAnsi="宋体" w:cs="宋体"/>
                <w:highlight w:val="none"/>
              </w:rPr>
            </w:pPr>
          </w:p>
        </w:tc>
      </w:tr>
      <w:tr w14:paraId="0CE10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2195" w:type="dxa"/>
            <w:tcBorders>
              <w:top w:val="single" w:color="auto" w:sz="6" w:space="0"/>
              <w:left w:val="single" w:color="auto" w:sz="4" w:space="0"/>
              <w:bottom w:val="single" w:color="auto" w:sz="6" w:space="0"/>
              <w:right w:val="single" w:color="auto" w:sz="6" w:space="0"/>
            </w:tcBorders>
            <w:vAlign w:val="center"/>
          </w:tcPr>
          <w:p w14:paraId="01635CEE">
            <w:pPr>
              <w:jc w:val="center"/>
              <w:rPr>
                <w:rFonts w:ascii="宋体" w:hAnsi="宋体" w:cs="宋体"/>
                <w:b/>
                <w:bCs/>
                <w:highlight w:val="none"/>
              </w:rPr>
            </w:pPr>
            <w:r>
              <w:rPr>
                <w:rFonts w:ascii="宋体" w:hAnsi="宋体" w:cs="宋体"/>
                <w:b/>
                <w:bCs/>
                <w:highlight w:val="none"/>
              </w:rPr>
              <w:t>授权委托代理人</w:t>
            </w:r>
          </w:p>
        </w:tc>
        <w:tc>
          <w:tcPr>
            <w:tcW w:w="2911" w:type="dxa"/>
            <w:tcBorders>
              <w:top w:val="single" w:color="auto" w:sz="6" w:space="0"/>
              <w:left w:val="single" w:color="auto" w:sz="6" w:space="0"/>
              <w:bottom w:val="single" w:color="auto" w:sz="6" w:space="0"/>
              <w:right w:val="single" w:color="auto" w:sz="6" w:space="0"/>
            </w:tcBorders>
            <w:vAlign w:val="center"/>
          </w:tcPr>
          <w:p w14:paraId="6FEA8B2C">
            <w:pPr>
              <w:jc w:val="center"/>
              <w:rPr>
                <w:rFonts w:ascii="宋体" w:hAnsi="宋体" w:cs="宋体"/>
                <w:highlight w:val="none"/>
              </w:rPr>
            </w:pPr>
          </w:p>
        </w:tc>
        <w:tc>
          <w:tcPr>
            <w:tcW w:w="1459" w:type="dxa"/>
            <w:tcBorders>
              <w:top w:val="single" w:color="auto" w:sz="6" w:space="0"/>
              <w:left w:val="single" w:color="auto" w:sz="6" w:space="0"/>
              <w:bottom w:val="single" w:color="auto" w:sz="6" w:space="0"/>
              <w:right w:val="single" w:color="auto" w:sz="6" w:space="0"/>
            </w:tcBorders>
            <w:vAlign w:val="center"/>
          </w:tcPr>
          <w:p w14:paraId="635D1CF6">
            <w:pPr>
              <w:jc w:val="center"/>
              <w:rPr>
                <w:rFonts w:ascii="宋体" w:hAnsi="宋体" w:cs="宋体"/>
                <w:b/>
                <w:bCs/>
                <w:highlight w:val="none"/>
              </w:rPr>
            </w:pPr>
            <w:r>
              <w:rPr>
                <w:rFonts w:ascii="宋体" w:hAnsi="宋体" w:cs="宋体"/>
                <w:b/>
                <w:bCs/>
                <w:highlight w:val="none"/>
              </w:rPr>
              <w:t>电话</w:t>
            </w:r>
          </w:p>
        </w:tc>
        <w:tc>
          <w:tcPr>
            <w:tcW w:w="2048" w:type="dxa"/>
            <w:tcBorders>
              <w:top w:val="single" w:color="auto" w:sz="6" w:space="0"/>
              <w:left w:val="single" w:color="auto" w:sz="6" w:space="0"/>
              <w:bottom w:val="single" w:color="auto" w:sz="6" w:space="0"/>
              <w:right w:val="single" w:color="auto" w:sz="4" w:space="0"/>
            </w:tcBorders>
            <w:vAlign w:val="center"/>
          </w:tcPr>
          <w:p w14:paraId="44E8D5B5">
            <w:pPr>
              <w:jc w:val="center"/>
              <w:rPr>
                <w:rFonts w:ascii="宋体" w:hAnsi="宋体" w:cs="宋体"/>
                <w:highlight w:val="none"/>
              </w:rPr>
            </w:pPr>
          </w:p>
        </w:tc>
      </w:tr>
      <w:tr w14:paraId="7300C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195" w:type="dxa"/>
            <w:tcBorders>
              <w:top w:val="single" w:color="auto" w:sz="6" w:space="0"/>
              <w:left w:val="single" w:color="auto" w:sz="4" w:space="0"/>
              <w:bottom w:val="single" w:color="auto" w:sz="6" w:space="0"/>
              <w:right w:val="single" w:color="auto" w:sz="6" w:space="0"/>
            </w:tcBorders>
            <w:vAlign w:val="center"/>
          </w:tcPr>
          <w:p w14:paraId="6443E778">
            <w:pPr>
              <w:jc w:val="center"/>
              <w:rPr>
                <w:rFonts w:ascii="宋体" w:hAnsi="宋体" w:cs="宋体"/>
                <w:b/>
                <w:bCs/>
                <w:highlight w:val="none"/>
              </w:rPr>
            </w:pPr>
            <w:r>
              <w:rPr>
                <w:rFonts w:ascii="宋体" w:hAnsi="宋体" w:cs="宋体"/>
                <w:b/>
                <w:bCs/>
                <w:highlight w:val="none"/>
              </w:rPr>
              <w:t>驻瑞分支机构（如有）</w:t>
            </w:r>
          </w:p>
        </w:tc>
        <w:tc>
          <w:tcPr>
            <w:tcW w:w="6418" w:type="dxa"/>
            <w:gridSpan w:val="3"/>
            <w:tcBorders>
              <w:top w:val="single" w:color="auto" w:sz="6" w:space="0"/>
              <w:left w:val="single" w:color="auto" w:sz="6" w:space="0"/>
              <w:bottom w:val="single" w:color="auto" w:sz="6" w:space="0"/>
              <w:right w:val="single" w:color="auto" w:sz="4" w:space="0"/>
            </w:tcBorders>
            <w:vAlign w:val="center"/>
          </w:tcPr>
          <w:p w14:paraId="3E9A4E51">
            <w:pPr>
              <w:jc w:val="center"/>
              <w:rPr>
                <w:rFonts w:ascii="宋体" w:hAnsi="宋体" w:cs="宋体"/>
                <w:highlight w:val="none"/>
              </w:rPr>
            </w:pPr>
          </w:p>
        </w:tc>
      </w:tr>
      <w:tr w14:paraId="28043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2195" w:type="dxa"/>
            <w:tcBorders>
              <w:top w:val="single" w:color="auto" w:sz="6" w:space="0"/>
              <w:left w:val="single" w:color="auto" w:sz="4" w:space="0"/>
              <w:bottom w:val="single" w:color="auto" w:sz="6" w:space="0"/>
              <w:right w:val="single" w:color="auto" w:sz="6" w:space="0"/>
            </w:tcBorders>
            <w:vAlign w:val="center"/>
          </w:tcPr>
          <w:p w14:paraId="4513CDDB">
            <w:pPr>
              <w:jc w:val="center"/>
              <w:rPr>
                <w:rFonts w:ascii="宋体" w:hAnsi="宋体" w:cs="宋体"/>
                <w:b/>
                <w:bCs/>
                <w:highlight w:val="none"/>
              </w:rPr>
            </w:pPr>
            <w:r>
              <w:rPr>
                <w:rFonts w:ascii="宋体" w:hAnsi="宋体" w:cs="宋体"/>
                <w:b/>
                <w:bCs/>
                <w:highlight w:val="none"/>
              </w:rPr>
              <w:t>驻瑞负责人</w:t>
            </w:r>
          </w:p>
        </w:tc>
        <w:tc>
          <w:tcPr>
            <w:tcW w:w="2911" w:type="dxa"/>
            <w:tcBorders>
              <w:top w:val="single" w:color="auto" w:sz="6" w:space="0"/>
              <w:left w:val="single" w:color="auto" w:sz="6" w:space="0"/>
              <w:bottom w:val="single" w:color="auto" w:sz="6" w:space="0"/>
              <w:right w:val="single" w:color="auto" w:sz="6" w:space="0"/>
            </w:tcBorders>
            <w:vAlign w:val="center"/>
          </w:tcPr>
          <w:p w14:paraId="44B5E41C">
            <w:pPr>
              <w:jc w:val="center"/>
              <w:rPr>
                <w:rFonts w:ascii="宋体" w:hAnsi="宋体" w:cs="宋体"/>
                <w:highlight w:val="none"/>
              </w:rPr>
            </w:pPr>
          </w:p>
        </w:tc>
        <w:tc>
          <w:tcPr>
            <w:tcW w:w="1459" w:type="dxa"/>
            <w:tcBorders>
              <w:top w:val="single" w:color="auto" w:sz="6" w:space="0"/>
              <w:left w:val="single" w:color="auto" w:sz="6" w:space="0"/>
              <w:bottom w:val="single" w:color="auto" w:sz="6" w:space="0"/>
              <w:right w:val="single" w:color="auto" w:sz="6" w:space="0"/>
            </w:tcBorders>
            <w:vAlign w:val="center"/>
          </w:tcPr>
          <w:p w14:paraId="52384977">
            <w:pPr>
              <w:jc w:val="center"/>
              <w:rPr>
                <w:rFonts w:ascii="宋体" w:hAnsi="宋体" w:cs="宋体"/>
                <w:highlight w:val="none"/>
              </w:rPr>
            </w:pPr>
            <w:r>
              <w:rPr>
                <w:rFonts w:ascii="宋体" w:hAnsi="宋体" w:cs="宋体"/>
                <w:b/>
                <w:bCs/>
                <w:highlight w:val="none"/>
              </w:rPr>
              <w:t>电话</w:t>
            </w:r>
          </w:p>
        </w:tc>
        <w:tc>
          <w:tcPr>
            <w:tcW w:w="2048" w:type="dxa"/>
            <w:tcBorders>
              <w:top w:val="single" w:color="auto" w:sz="6" w:space="0"/>
              <w:left w:val="single" w:color="auto" w:sz="6" w:space="0"/>
              <w:bottom w:val="single" w:color="auto" w:sz="6" w:space="0"/>
              <w:right w:val="single" w:color="auto" w:sz="4" w:space="0"/>
            </w:tcBorders>
            <w:vAlign w:val="center"/>
          </w:tcPr>
          <w:p w14:paraId="46B54222">
            <w:pPr>
              <w:jc w:val="center"/>
              <w:rPr>
                <w:rFonts w:ascii="宋体" w:hAnsi="宋体" w:cs="宋体"/>
                <w:highlight w:val="none"/>
              </w:rPr>
            </w:pPr>
          </w:p>
        </w:tc>
      </w:tr>
      <w:tr w14:paraId="4068D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12" w:hRule="atLeast"/>
        </w:trPr>
        <w:tc>
          <w:tcPr>
            <w:tcW w:w="2195" w:type="dxa"/>
            <w:tcBorders>
              <w:top w:val="single" w:color="auto" w:sz="6" w:space="0"/>
              <w:left w:val="single" w:color="auto" w:sz="4" w:space="0"/>
              <w:bottom w:val="single" w:color="auto" w:sz="6" w:space="0"/>
              <w:right w:val="single" w:color="auto" w:sz="6" w:space="0"/>
            </w:tcBorders>
            <w:vAlign w:val="center"/>
          </w:tcPr>
          <w:p w14:paraId="779FD080">
            <w:pPr>
              <w:jc w:val="center"/>
              <w:rPr>
                <w:rFonts w:ascii="宋体" w:hAnsi="宋体" w:cs="宋体"/>
                <w:b/>
                <w:bCs/>
                <w:highlight w:val="none"/>
              </w:rPr>
            </w:pPr>
            <w:r>
              <w:rPr>
                <w:rFonts w:ascii="宋体" w:hAnsi="宋体" w:cs="宋体"/>
                <w:b/>
                <w:bCs/>
                <w:highlight w:val="none"/>
              </w:rPr>
              <w:t>企业概况</w:t>
            </w:r>
          </w:p>
        </w:tc>
        <w:tc>
          <w:tcPr>
            <w:tcW w:w="6418" w:type="dxa"/>
            <w:gridSpan w:val="3"/>
            <w:tcBorders>
              <w:top w:val="single" w:color="auto" w:sz="6" w:space="0"/>
              <w:left w:val="single" w:color="auto" w:sz="6" w:space="0"/>
              <w:bottom w:val="single" w:color="auto" w:sz="6" w:space="0"/>
              <w:right w:val="single" w:color="auto" w:sz="4" w:space="0"/>
            </w:tcBorders>
            <w:vAlign w:val="center"/>
          </w:tcPr>
          <w:p w14:paraId="0CFC229A">
            <w:pPr>
              <w:rPr>
                <w:rFonts w:ascii="宋体" w:hAnsi="宋体" w:cs="宋体"/>
                <w:highlight w:val="none"/>
              </w:rPr>
            </w:pPr>
            <w:r>
              <w:rPr>
                <w:rFonts w:ascii="宋体" w:hAnsi="宋体" w:cs="宋体"/>
                <w:highlight w:val="none"/>
              </w:rPr>
              <w:t xml:space="preserve">                      </w:t>
            </w:r>
          </w:p>
          <w:p w14:paraId="503D7029">
            <w:pPr>
              <w:jc w:val="center"/>
              <w:rPr>
                <w:rFonts w:ascii="宋体" w:hAnsi="宋体" w:cs="宋体"/>
                <w:highlight w:val="none"/>
              </w:rPr>
            </w:pPr>
            <w:r>
              <w:rPr>
                <w:rFonts w:ascii="宋体" w:hAnsi="宋体" w:cs="宋体"/>
                <w:highlight w:val="none"/>
              </w:rPr>
              <w:t xml:space="preserve">                     ：</w:t>
            </w:r>
          </w:p>
        </w:tc>
      </w:tr>
      <w:tr w14:paraId="70DD5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03" w:hRule="atLeast"/>
        </w:trPr>
        <w:tc>
          <w:tcPr>
            <w:tcW w:w="8613" w:type="dxa"/>
            <w:gridSpan w:val="4"/>
            <w:tcBorders>
              <w:top w:val="single" w:color="auto" w:sz="6" w:space="0"/>
              <w:left w:val="single" w:color="auto" w:sz="4" w:space="0"/>
              <w:bottom w:val="single" w:color="auto" w:sz="4" w:space="0"/>
              <w:right w:val="single" w:color="auto" w:sz="4" w:space="0"/>
            </w:tcBorders>
          </w:tcPr>
          <w:p w14:paraId="6A7CF4AC">
            <w:pPr>
              <w:spacing w:line="360" w:lineRule="auto"/>
              <w:rPr>
                <w:rFonts w:ascii="宋体" w:hAnsi="宋体" w:cs="宋体"/>
                <w:b/>
                <w:bCs/>
                <w:highlight w:val="none"/>
              </w:rPr>
            </w:pPr>
          </w:p>
          <w:p w14:paraId="3BBF6647">
            <w:pPr>
              <w:spacing w:line="360" w:lineRule="auto"/>
              <w:rPr>
                <w:rFonts w:ascii="宋体" w:hAnsi="宋体" w:cs="宋体"/>
                <w:b/>
                <w:bCs/>
                <w:highlight w:val="none"/>
              </w:rPr>
            </w:pPr>
            <w:r>
              <w:rPr>
                <w:rFonts w:ascii="宋体" w:hAnsi="宋体" w:cs="宋体"/>
                <w:b/>
                <w:bCs/>
                <w:highlight w:val="none"/>
              </w:rPr>
              <w:t>上述表格填写均已经过核对，确信没有疏漏或差错。</w:t>
            </w:r>
          </w:p>
          <w:p w14:paraId="403A8152">
            <w:pPr>
              <w:rPr>
                <w:rFonts w:ascii="宋体" w:hAnsi="宋体" w:cs="宋体"/>
                <w:highlight w:val="none"/>
              </w:rPr>
            </w:pPr>
          </w:p>
          <w:p w14:paraId="2FDD1E9C">
            <w:pPr>
              <w:ind w:firstLine="6090" w:firstLineChars="2900"/>
              <w:rPr>
                <w:rFonts w:ascii="宋体" w:hAnsi="宋体" w:cs="宋体"/>
                <w:highlight w:val="none"/>
              </w:rPr>
            </w:pPr>
          </w:p>
          <w:p w14:paraId="394233C3">
            <w:pPr>
              <w:spacing w:before="312" w:beforeLines="100" w:after="312" w:afterLines="100" w:line="400" w:lineRule="atLeast"/>
              <w:jc w:val="right"/>
              <w:rPr>
                <w:rFonts w:ascii="宋体" w:hAnsi="宋体"/>
                <w:szCs w:val="21"/>
                <w:highlight w:val="none"/>
              </w:rPr>
            </w:pPr>
            <w:r>
              <w:rPr>
                <w:rFonts w:ascii="宋体" w:hAnsi="宋体"/>
                <w:szCs w:val="21"/>
                <w:highlight w:val="none"/>
              </w:rPr>
              <w:t>磋商供应商全称（盖电子签章）：</w:t>
            </w:r>
          </w:p>
          <w:p w14:paraId="3D2EF819">
            <w:pPr>
              <w:ind w:firstLine="6720" w:firstLineChars="3200"/>
              <w:jc w:val="right"/>
              <w:rPr>
                <w:rFonts w:ascii="宋体" w:hAnsi="宋体"/>
                <w:szCs w:val="21"/>
                <w:highlight w:val="none"/>
              </w:rPr>
            </w:pPr>
            <w:r>
              <w:rPr>
                <w:rFonts w:ascii="宋体" w:hAnsi="宋体"/>
                <w:szCs w:val="21"/>
                <w:highlight w:val="none"/>
              </w:rPr>
              <w:t xml:space="preserve">                                          </w:t>
            </w:r>
          </w:p>
          <w:p w14:paraId="33429E6B">
            <w:pPr>
              <w:jc w:val="center"/>
              <w:rPr>
                <w:rFonts w:ascii="宋体" w:hAnsi="宋体" w:cs="宋体"/>
                <w:highlight w:val="none"/>
              </w:rPr>
            </w:pPr>
            <w:r>
              <w:rPr>
                <w:rFonts w:ascii="宋体" w:hAnsi="宋体"/>
                <w:szCs w:val="21"/>
                <w:highlight w:val="none"/>
              </w:rPr>
              <w:t xml:space="preserve">                                             日期：    年   月    日</w:t>
            </w:r>
          </w:p>
        </w:tc>
      </w:tr>
    </w:tbl>
    <w:p w14:paraId="6B9A7257">
      <w:pPr>
        <w:rPr>
          <w:szCs w:val="21"/>
          <w:highlight w:val="none"/>
        </w:rPr>
      </w:pPr>
    </w:p>
    <w:p w14:paraId="5CA8B87A">
      <w:pPr>
        <w:jc w:val="center"/>
        <w:rPr>
          <w:rFonts w:ascii="宋体" w:hAnsi="宋体" w:cs="宋体"/>
          <w:b/>
          <w:bCs/>
          <w:sz w:val="28"/>
          <w:szCs w:val="28"/>
          <w:highlight w:val="none"/>
        </w:rPr>
      </w:pPr>
      <w:bookmarkStart w:id="453" w:name="_Toc32513"/>
      <w:bookmarkStart w:id="454" w:name="_Toc21237"/>
      <w:bookmarkStart w:id="455" w:name="_Toc8371"/>
      <w:bookmarkStart w:id="456" w:name="_Toc19345"/>
      <w:bookmarkStart w:id="457" w:name="_Toc29033"/>
      <w:bookmarkStart w:id="458" w:name="_Toc2385"/>
    </w:p>
    <w:p w14:paraId="652324F7">
      <w:pPr>
        <w:pStyle w:val="13"/>
        <w:rPr>
          <w:rFonts w:ascii="宋体" w:hAnsi="宋体" w:cs="宋体"/>
          <w:b/>
          <w:bCs/>
          <w:sz w:val="28"/>
          <w:szCs w:val="28"/>
          <w:highlight w:val="none"/>
        </w:rPr>
      </w:pPr>
    </w:p>
    <w:p w14:paraId="14ABE02D">
      <w:pPr>
        <w:pStyle w:val="13"/>
        <w:ind w:left="0" w:leftChars="0"/>
        <w:rPr>
          <w:highlight w:val="none"/>
        </w:rPr>
      </w:pPr>
    </w:p>
    <w:p w14:paraId="31B1CE91">
      <w:pPr>
        <w:jc w:val="center"/>
        <w:outlineLvl w:val="1"/>
        <w:rPr>
          <w:rFonts w:ascii="宋体" w:hAnsi="宋体" w:cs="宋体"/>
          <w:b/>
          <w:bCs/>
          <w:sz w:val="28"/>
          <w:szCs w:val="28"/>
          <w:highlight w:val="none"/>
        </w:rPr>
      </w:pPr>
      <w:bookmarkStart w:id="459" w:name="_Toc16911"/>
      <w:bookmarkStart w:id="460" w:name="_Toc28772"/>
      <w:bookmarkStart w:id="461" w:name="_Toc12932"/>
      <w:r>
        <w:rPr>
          <w:rFonts w:ascii="宋体" w:hAnsi="宋体" w:cs="宋体"/>
          <w:b/>
          <w:bCs/>
          <w:sz w:val="28"/>
          <w:szCs w:val="28"/>
          <w:highlight w:val="none"/>
        </w:rPr>
        <w:t>附件</w:t>
      </w:r>
      <w:r>
        <w:rPr>
          <w:rFonts w:hint="eastAsia" w:ascii="宋体" w:hAnsi="宋体" w:cs="宋体"/>
          <w:b/>
          <w:bCs/>
          <w:sz w:val="28"/>
          <w:szCs w:val="28"/>
          <w:highlight w:val="none"/>
          <w:lang w:val="en-US" w:eastAsia="zh-CN"/>
        </w:rPr>
        <w:t>八</w:t>
      </w:r>
      <w:r>
        <w:rPr>
          <w:rFonts w:ascii="宋体" w:hAnsi="宋体" w:cs="宋体"/>
          <w:b/>
          <w:bCs/>
          <w:sz w:val="28"/>
          <w:szCs w:val="28"/>
          <w:highlight w:val="none"/>
        </w:rPr>
        <w:t xml:space="preserve">    少量偏离表</w:t>
      </w:r>
      <w:bookmarkEnd w:id="453"/>
      <w:bookmarkEnd w:id="454"/>
      <w:bookmarkEnd w:id="455"/>
      <w:bookmarkEnd w:id="456"/>
      <w:bookmarkEnd w:id="457"/>
      <w:bookmarkEnd w:id="458"/>
      <w:bookmarkEnd w:id="459"/>
      <w:bookmarkEnd w:id="460"/>
      <w:bookmarkEnd w:id="461"/>
    </w:p>
    <w:p w14:paraId="21CF32D8">
      <w:pPr>
        <w:pStyle w:val="12"/>
        <w:ind w:firstLine="400"/>
        <w:rPr>
          <w:rFonts w:ascii="宋体" w:hAnsi="宋体" w:cs="宋体"/>
          <w:highlight w:val="none"/>
        </w:rPr>
      </w:pPr>
    </w:p>
    <w:tbl>
      <w:tblPr>
        <w:tblStyle w:val="25"/>
        <w:tblW w:w="849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1"/>
        <w:gridCol w:w="3035"/>
        <w:gridCol w:w="3268"/>
        <w:gridCol w:w="1282"/>
      </w:tblGrid>
      <w:tr w14:paraId="53FD8BF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911" w:type="dxa"/>
            <w:tcBorders>
              <w:top w:val="single" w:color="auto" w:sz="12" w:space="0"/>
              <w:bottom w:val="single" w:color="auto" w:sz="12" w:space="0"/>
            </w:tcBorders>
            <w:vAlign w:val="center"/>
          </w:tcPr>
          <w:p w14:paraId="1CB2D7DF">
            <w:pPr>
              <w:jc w:val="center"/>
              <w:rPr>
                <w:rFonts w:ascii="宋体" w:hAnsi="宋体" w:cs="宋体"/>
                <w:b/>
                <w:bCs/>
                <w:highlight w:val="none"/>
              </w:rPr>
            </w:pPr>
            <w:r>
              <w:rPr>
                <w:rFonts w:ascii="宋体" w:hAnsi="宋体" w:cs="宋体"/>
                <w:b/>
                <w:bCs/>
                <w:highlight w:val="none"/>
              </w:rPr>
              <w:t>序号</w:t>
            </w:r>
          </w:p>
        </w:tc>
        <w:tc>
          <w:tcPr>
            <w:tcW w:w="3035" w:type="dxa"/>
            <w:tcBorders>
              <w:top w:val="single" w:color="auto" w:sz="12" w:space="0"/>
              <w:bottom w:val="single" w:color="auto" w:sz="12" w:space="0"/>
            </w:tcBorders>
            <w:vAlign w:val="center"/>
          </w:tcPr>
          <w:p w14:paraId="450BC5E8">
            <w:pPr>
              <w:jc w:val="center"/>
              <w:rPr>
                <w:rFonts w:ascii="宋体" w:hAnsi="宋体" w:cs="宋体"/>
                <w:b/>
                <w:bCs/>
                <w:highlight w:val="none"/>
              </w:rPr>
            </w:pPr>
            <w:r>
              <w:rPr>
                <w:rFonts w:ascii="宋体" w:hAnsi="宋体" w:cs="宋体"/>
                <w:b/>
                <w:bCs/>
                <w:highlight w:val="none"/>
              </w:rPr>
              <w:t>磋商文件重述</w:t>
            </w:r>
          </w:p>
        </w:tc>
        <w:tc>
          <w:tcPr>
            <w:tcW w:w="3268" w:type="dxa"/>
            <w:tcBorders>
              <w:top w:val="single" w:color="auto" w:sz="12" w:space="0"/>
              <w:bottom w:val="single" w:color="auto" w:sz="12" w:space="0"/>
            </w:tcBorders>
            <w:vAlign w:val="center"/>
          </w:tcPr>
          <w:p w14:paraId="3542AF74">
            <w:pPr>
              <w:jc w:val="center"/>
              <w:rPr>
                <w:rFonts w:ascii="宋体" w:hAnsi="宋体" w:cs="宋体"/>
                <w:b/>
                <w:bCs/>
                <w:highlight w:val="none"/>
              </w:rPr>
            </w:pPr>
            <w:r>
              <w:rPr>
                <w:rFonts w:ascii="宋体" w:hAnsi="宋体" w:cs="宋体"/>
                <w:b/>
                <w:bCs/>
                <w:highlight w:val="none"/>
              </w:rPr>
              <w:t>对应磋商响应文件偏离</w:t>
            </w:r>
          </w:p>
        </w:tc>
        <w:tc>
          <w:tcPr>
            <w:tcW w:w="1282" w:type="dxa"/>
            <w:tcBorders>
              <w:top w:val="single" w:color="auto" w:sz="12" w:space="0"/>
              <w:bottom w:val="single" w:color="auto" w:sz="12" w:space="0"/>
            </w:tcBorders>
            <w:vAlign w:val="center"/>
          </w:tcPr>
          <w:p w14:paraId="21AACD1C">
            <w:pPr>
              <w:jc w:val="center"/>
              <w:rPr>
                <w:rFonts w:ascii="宋体" w:hAnsi="宋体" w:cs="宋体"/>
                <w:b/>
                <w:bCs/>
                <w:highlight w:val="none"/>
              </w:rPr>
            </w:pPr>
            <w:r>
              <w:rPr>
                <w:rFonts w:ascii="宋体" w:hAnsi="宋体" w:cs="宋体"/>
                <w:b/>
                <w:bCs/>
                <w:highlight w:val="none"/>
              </w:rPr>
              <w:t>偏离情况</w:t>
            </w:r>
          </w:p>
        </w:tc>
      </w:tr>
      <w:tr w14:paraId="4B7528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27" w:hRule="atLeast"/>
          <w:jc w:val="center"/>
        </w:trPr>
        <w:tc>
          <w:tcPr>
            <w:tcW w:w="911" w:type="dxa"/>
            <w:tcBorders>
              <w:top w:val="single" w:color="auto" w:sz="12" w:space="0"/>
            </w:tcBorders>
          </w:tcPr>
          <w:p w14:paraId="7584D0DA">
            <w:pPr>
              <w:ind w:firstLine="592"/>
              <w:rPr>
                <w:rFonts w:ascii="宋体" w:hAnsi="宋体" w:cs="宋体"/>
                <w:highlight w:val="none"/>
              </w:rPr>
            </w:pPr>
          </w:p>
        </w:tc>
        <w:tc>
          <w:tcPr>
            <w:tcW w:w="3035" w:type="dxa"/>
            <w:tcBorders>
              <w:top w:val="single" w:color="auto" w:sz="12" w:space="0"/>
            </w:tcBorders>
          </w:tcPr>
          <w:p w14:paraId="2DC69A4E">
            <w:pPr>
              <w:ind w:firstLine="592"/>
              <w:rPr>
                <w:rFonts w:ascii="宋体" w:hAnsi="宋体" w:cs="宋体"/>
                <w:highlight w:val="none"/>
              </w:rPr>
            </w:pPr>
          </w:p>
        </w:tc>
        <w:tc>
          <w:tcPr>
            <w:tcW w:w="3268" w:type="dxa"/>
            <w:tcBorders>
              <w:top w:val="single" w:color="auto" w:sz="12" w:space="0"/>
            </w:tcBorders>
          </w:tcPr>
          <w:p w14:paraId="48850BB1">
            <w:pPr>
              <w:ind w:firstLine="592"/>
              <w:rPr>
                <w:rFonts w:ascii="宋体" w:hAnsi="宋体" w:cs="宋体"/>
                <w:highlight w:val="none"/>
              </w:rPr>
            </w:pPr>
          </w:p>
        </w:tc>
        <w:tc>
          <w:tcPr>
            <w:tcW w:w="1282" w:type="dxa"/>
            <w:tcBorders>
              <w:top w:val="single" w:color="auto" w:sz="12" w:space="0"/>
            </w:tcBorders>
          </w:tcPr>
          <w:p w14:paraId="1D10B92B">
            <w:pPr>
              <w:ind w:firstLine="592"/>
              <w:rPr>
                <w:rFonts w:ascii="宋体" w:hAnsi="宋体" w:cs="宋体"/>
                <w:highlight w:val="none"/>
              </w:rPr>
            </w:pPr>
          </w:p>
        </w:tc>
      </w:tr>
    </w:tbl>
    <w:p w14:paraId="69204A7E">
      <w:pPr>
        <w:pStyle w:val="21"/>
        <w:tabs>
          <w:tab w:val="left" w:pos="945"/>
        </w:tabs>
        <w:rPr>
          <w:rFonts w:cs="宋体"/>
          <w:highlight w:val="none"/>
        </w:rPr>
      </w:pPr>
    </w:p>
    <w:p w14:paraId="0E1E910B">
      <w:pPr>
        <w:pStyle w:val="21"/>
        <w:tabs>
          <w:tab w:val="left" w:pos="945"/>
        </w:tabs>
        <w:rPr>
          <w:rFonts w:cs="宋体"/>
          <w:highlight w:val="none"/>
        </w:rPr>
      </w:pPr>
      <w:r>
        <w:rPr>
          <w:rFonts w:cs="宋体"/>
          <w:highlight w:val="none"/>
        </w:rPr>
        <w:t>注：如不填写，则视为完全响应磋商文件的技术及商务要求。</w:t>
      </w:r>
    </w:p>
    <w:p w14:paraId="2590FC1F">
      <w:pPr>
        <w:spacing w:after="156" w:afterLines="50" w:line="400" w:lineRule="exact"/>
        <w:ind w:firstLine="4412" w:firstLineChars="2101"/>
        <w:rPr>
          <w:rFonts w:ascii="宋体" w:hAnsi="宋体" w:cs="宋体"/>
          <w:szCs w:val="21"/>
          <w:highlight w:val="none"/>
        </w:rPr>
      </w:pPr>
    </w:p>
    <w:p w14:paraId="46E680F4">
      <w:pPr>
        <w:spacing w:after="156" w:afterLines="50" w:line="400" w:lineRule="exact"/>
        <w:ind w:firstLine="4412" w:firstLineChars="2101"/>
        <w:rPr>
          <w:rFonts w:ascii="宋体" w:hAnsi="宋体" w:cs="宋体"/>
          <w:szCs w:val="21"/>
          <w:highlight w:val="none"/>
        </w:rPr>
      </w:pPr>
    </w:p>
    <w:p w14:paraId="4F7AAA27">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4F68941C">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法定代表人或授权代表（签字或盖章）：</w:t>
      </w:r>
    </w:p>
    <w:p w14:paraId="1FC1C713">
      <w:pPr>
        <w:ind w:firstLine="4620" w:firstLineChars="2200"/>
        <w:rPr>
          <w:highlight w:val="none"/>
        </w:rPr>
      </w:pPr>
      <w:r>
        <w:rPr>
          <w:highlight w:val="none"/>
        </w:rPr>
        <w:t>日      期：    年   月     日</w:t>
      </w:r>
    </w:p>
    <w:p w14:paraId="76F8EF7B">
      <w:pPr>
        <w:rPr>
          <w:highlight w:val="none"/>
        </w:rPr>
      </w:pPr>
    </w:p>
    <w:p w14:paraId="00805CA3">
      <w:pPr>
        <w:pStyle w:val="8"/>
        <w:tabs>
          <w:tab w:val="left" w:pos="1152"/>
          <w:tab w:val="clear" w:pos="840"/>
        </w:tabs>
        <w:jc w:val="center"/>
        <w:rPr>
          <w:b/>
          <w:bCs w:val="0"/>
          <w:highlight w:val="none"/>
        </w:rPr>
      </w:pPr>
      <w:bookmarkStart w:id="462" w:name="_Toc18449"/>
      <w:bookmarkStart w:id="463" w:name="_Toc6757"/>
      <w:r>
        <w:rPr>
          <w:rFonts w:ascii="宋体" w:hAnsi="宋体" w:cs="宋体"/>
          <w:b/>
          <w:bCs w:val="0"/>
          <w:sz w:val="28"/>
          <w:szCs w:val="28"/>
          <w:highlight w:val="none"/>
        </w:rPr>
        <w:t>附件</w:t>
      </w:r>
      <w:r>
        <w:rPr>
          <w:rFonts w:hint="eastAsia" w:ascii="宋体" w:hAnsi="宋体" w:cs="宋体"/>
          <w:b/>
          <w:bCs w:val="0"/>
          <w:sz w:val="28"/>
          <w:szCs w:val="28"/>
          <w:highlight w:val="none"/>
          <w:lang w:val="en-US" w:eastAsia="zh-CN"/>
        </w:rPr>
        <w:t>九</w:t>
      </w:r>
      <w:r>
        <w:rPr>
          <w:rFonts w:ascii="宋体" w:hAnsi="宋体" w:cs="宋体"/>
          <w:b/>
          <w:bCs w:val="0"/>
          <w:sz w:val="28"/>
          <w:szCs w:val="28"/>
          <w:highlight w:val="none"/>
        </w:rPr>
        <w:t xml:space="preserve">    项目负责人简历表</w:t>
      </w:r>
      <w:bookmarkEnd w:id="462"/>
      <w:bookmarkEnd w:id="463"/>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531"/>
        <w:gridCol w:w="1894"/>
        <w:gridCol w:w="4704"/>
      </w:tblGrid>
      <w:tr w14:paraId="7EB16E8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83" w:hRule="atLeast"/>
          <w:jc w:val="center"/>
        </w:trPr>
        <w:tc>
          <w:tcPr>
            <w:tcW w:w="2531" w:type="dxa"/>
            <w:vAlign w:val="center"/>
          </w:tcPr>
          <w:p w14:paraId="05FA6426">
            <w:pPr>
              <w:pStyle w:val="46"/>
              <w:autoSpaceDE w:val="0"/>
              <w:autoSpaceDN w:val="0"/>
              <w:adjustRightInd w:val="0"/>
              <w:spacing w:line="240" w:lineRule="auto"/>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姓名</w:t>
            </w:r>
          </w:p>
        </w:tc>
        <w:tc>
          <w:tcPr>
            <w:tcW w:w="1894" w:type="dxa"/>
            <w:vAlign w:val="center"/>
          </w:tcPr>
          <w:p w14:paraId="139E78A8">
            <w:pPr>
              <w:autoSpaceDE w:val="0"/>
              <w:autoSpaceDN w:val="0"/>
              <w:adjustRightInd w:val="0"/>
              <w:spacing w:line="360" w:lineRule="auto"/>
              <w:jc w:val="center"/>
              <w:rPr>
                <w:rFonts w:hint="eastAsia" w:ascii="宋体" w:hAnsi="宋体" w:eastAsia="宋体" w:cs="宋体"/>
                <w:b/>
                <w:sz w:val="21"/>
                <w:szCs w:val="21"/>
                <w:highlight w:val="none"/>
                <w:lang w:val="zh-CN"/>
              </w:rPr>
            </w:pPr>
          </w:p>
        </w:tc>
        <w:tc>
          <w:tcPr>
            <w:tcW w:w="4704" w:type="dxa"/>
            <w:vAlign w:val="center"/>
          </w:tcPr>
          <w:p w14:paraId="7026C741">
            <w:pPr>
              <w:pStyle w:val="46"/>
              <w:autoSpaceDE w:val="0"/>
              <w:autoSpaceDN w:val="0"/>
              <w:adjustRightInd w:val="0"/>
              <w:spacing w:line="360" w:lineRule="auto"/>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近年来主要工作业绩</w:t>
            </w:r>
          </w:p>
        </w:tc>
      </w:tr>
      <w:tr w14:paraId="301AD67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30" w:hRule="atLeast"/>
          <w:jc w:val="center"/>
        </w:trPr>
        <w:tc>
          <w:tcPr>
            <w:tcW w:w="2531" w:type="dxa"/>
            <w:vAlign w:val="center"/>
          </w:tcPr>
          <w:p w14:paraId="08147BA1">
            <w:pPr>
              <w:autoSpaceDE w:val="0"/>
              <w:autoSpaceDN w:val="0"/>
              <w:adjustRightInd w:val="0"/>
              <w:jc w:val="center"/>
              <w:rPr>
                <w:rFonts w:hint="eastAsia" w:ascii="宋体" w:hAnsi="宋体" w:eastAsia="宋体" w:cs="宋体"/>
                <w:b/>
                <w:bCs/>
                <w:sz w:val="21"/>
                <w:szCs w:val="21"/>
                <w:highlight w:val="none"/>
                <w:lang w:val="zh-CN"/>
              </w:rPr>
            </w:pPr>
            <w:r>
              <w:rPr>
                <w:rFonts w:hint="eastAsia" w:ascii="宋体" w:hAnsi="宋体" w:eastAsia="宋体" w:cs="宋体"/>
                <w:b/>
                <w:bCs/>
                <w:sz w:val="21"/>
                <w:szCs w:val="21"/>
                <w:highlight w:val="none"/>
                <w:lang w:val="zh-CN"/>
              </w:rPr>
              <w:t>性别</w:t>
            </w:r>
          </w:p>
        </w:tc>
        <w:tc>
          <w:tcPr>
            <w:tcW w:w="1894" w:type="dxa"/>
            <w:tcBorders>
              <w:left w:val="single" w:color="auto" w:sz="6" w:space="0"/>
            </w:tcBorders>
            <w:vAlign w:val="center"/>
          </w:tcPr>
          <w:p w14:paraId="67DC40A8">
            <w:pPr>
              <w:autoSpaceDE w:val="0"/>
              <w:autoSpaceDN w:val="0"/>
              <w:adjustRightInd w:val="0"/>
              <w:spacing w:line="360" w:lineRule="auto"/>
              <w:jc w:val="center"/>
              <w:rPr>
                <w:rFonts w:hint="eastAsia" w:ascii="宋体" w:hAnsi="宋体" w:eastAsia="宋体" w:cs="宋体"/>
                <w:b/>
                <w:sz w:val="21"/>
                <w:szCs w:val="21"/>
                <w:highlight w:val="none"/>
                <w:lang w:val="zh-CN"/>
              </w:rPr>
            </w:pPr>
          </w:p>
        </w:tc>
        <w:tc>
          <w:tcPr>
            <w:tcW w:w="4704" w:type="dxa"/>
            <w:vMerge w:val="restart"/>
            <w:tcBorders>
              <w:left w:val="single" w:color="auto" w:sz="6" w:space="0"/>
            </w:tcBorders>
            <w:vAlign w:val="center"/>
          </w:tcPr>
          <w:p w14:paraId="7D6AA291">
            <w:pPr>
              <w:autoSpaceDE w:val="0"/>
              <w:autoSpaceDN w:val="0"/>
              <w:adjustRightInd w:val="0"/>
              <w:spacing w:line="360" w:lineRule="auto"/>
              <w:jc w:val="center"/>
              <w:rPr>
                <w:rFonts w:hint="eastAsia" w:ascii="宋体" w:hAnsi="宋体" w:eastAsia="宋体" w:cs="宋体"/>
                <w:b/>
                <w:sz w:val="21"/>
                <w:szCs w:val="21"/>
                <w:highlight w:val="none"/>
                <w:lang w:val="zh-CN"/>
              </w:rPr>
            </w:pPr>
          </w:p>
        </w:tc>
      </w:tr>
      <w:tr w14:paraId="05B958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30" w:hRule="atLeast"/>
          <w:jc w:val="center"/>
        </w:trPr>
        <w:tc>
          <w:tcPr>
            <w:tcW w:w="2531" w:type="dxa"/>
            <w:vAlign w:val="center"/>
          </w:tcPr>
          <w:p w14:paraId="09587ADA">
            <w:pPr>
              <w:autoSpaceDE w:val="0"/>
              <w:autoSpaceDN w:val="0"/>
              <w:adjustRightInd w:val="0"/>
              <w:jc w:val="center"/>
              <w:rPr>
                <w:rFonts w:hint="eastAsia" w:ascii="宋体" w:hAnsi="宋体" w:eastAsia="宋体" w:cs="宋体"/>
                <w:b/>
                <w:bCs/>
                <w:sz w:val="21"/>
                <w:szCs w:val="21"/>
                <w:highlight w:val="none"/>
                <w:lang w:val="zh-CN"/>
              </w:rPr>
            </w:pPr>
            <w:r>
              <w:rPr>
                <w:rFonts w:hint="eastAsia" w:ascii="宋体" w:hAnsi="宋体" w:eastAsia="宋体" w:cs="宋体"/>
                <w:b/>
                <w:bCs/>
                <w:sz w:val="21"/>
                <w:szCs w:val="21"/>
                <w:highlight w:val="none"/>
                <w:lang w:val="zh-CN"/>
              </w:rPr>
              <w:t>年龄</w:t>
            </w:r>
          </w:p>
        </w:tc>
        <w:tc>
          <w:tcPr>
            <w:tcW w:w="1894" w:type="dxa"/>
            <w:tcBorders>
              <w:left w:val="single" w:color="auto" w:sz="6" w:space="0"/>
            </w:tcBorders>
            <w:vAlign w:val="center"/>
          </w:tcPr>
          <w:p w14:paraId="6F5CA7C0">
            <w:pPr>
              <w:autoSpaceDE w:val="0"/>
              <w:autoSpaceDN w:val="0"/>
              <w:adjustRightInd w:val="0"/>
              <w:spacing w:line="360" w:lineRule="auto"/>
              <w:jc w:val="center"/>
              <w:rPr>
                <w:rFonts w:hint="eastAsia" w:ascii="宋体" w:hAnsi="宋体" w:eastAsia="宋体" w:cs="宋体"/>
                <w:b/>
                <w:sz w:val="21"/>
                <w:szCs w:val="21"/>
                <w:highlight w:val="none"/>
                <w:lang w:val="zh-CN"/>
              </w:rPr>
            </w:pPr>
          </w:p>
        </w:tc>
        <w:tc>
          <w:tcPr>
            <w:tcW w:w="4704" w:type="dxa"/>
            <w:vMerge w:val="continue"/>
            <w:tcBorders>
              <w:left w:val="single" w:color="auto" w:sz="6" w:space="0"/>
            </w:tcBorders>
            <w:vAlign w:val="center"/>
          </w:tcPr>
          <w:p w14:paraId="6AAE8562">
            <w:pPr>
              <w:rPr>
                <w:highlight w:val="none"/>
              </w:rPr>
            </w:pPr>
          </w:p>
        </w:tc>
      </w:tr>
      <w:tr w14:paraId="279DEE3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30" w:hRule="atLeast"/>
          <w:jc w:val="center"/>
        </w:trPr>
        <w:tc>
          <w:tcPr>
            <w:tcW w:w="2531" w:type="dxa"/>
            <w:vAlign w:val="center"/>
          </w:tcPr>
          <w:p w14:paraId="48F92879">
            <w:pPr>
              <w:autoSpaceDE w:val="0"/>
              <w:autoSpaceDN w:val="0"/>
              <w:adjustRightInd w:val="0"/>
              <w:jc w:val="center"/>
              <w:rPr>
                <w:rFonts w:hint="eastAsia" w:ascii="宋体" w:hAnsi="宋体" w:eastAsia="宋体" w:cs="宋体"/>
                <w:b/>
                <w:bCs/>
                <w:sz w:val="21"/>
                <w:szCs w:val="21"/>
                <w:highlight w:val="none"/>
                <w:lang w:val="zh-CN"/>
              </w:rPr>
            </w:pPr>
            <w:r>
              <w:rPr>
                <w:rFonts w:hint="eastAsia" w:ascii="宋体" w:hAnsi="宋体" w:eastAsia="宋体" w:cs="宋体"/>
                <w:b/>
                <w:bCs/>
                <w:sz w:val="21"/>
                <w:szCs w:val="21"/>
                <w:highlight w:val="none"/>
                <w:lang w:val="zh-CN"/>
              </w:rPr>
              <w:t>职称</w:t>
            </w:r>
          </w:p>
        </w:tc>
        <w:tc>
          <w:tcPr>
            <w:tcW w:w="1894" w:type="dxa"/>
            <w:tcBorders>
              <w:left w:val="single" w:color="auto" w:sz="6" w:space="0"/>
            </w:tcBorders>
            <w:vAlign w:val="center"/>
          </w:tcPr>
          <w:p w14:paraId="35CAE512">
            <w:pPr>
              <w:autoSpaceDE w:val="0"/>
              <w:autoSpaceDN w:val="0"/>
              <w:adjustRightInd w:val="0"/>
              <w:spacing w:line="360" w:lineRule="auto"/>
              <w:jc w:val="center"/>
              <w:rPr>
                <w:rFonts w:hint="eastAsia" w:ascii="宋体" w:hAnsi="宋体" w:eastAsia="宋体" w:cs="宋体"/>
                <w:b/>
                <w:sz w:val="21"/>
                <w:szCs w:val="21"/>
                <w:highlight w:val="none"/>
                <w:lang w:val="zh-CN"/>
              </w:rPr>
            </w:pPr>
          </w:p>
        </w:tc>
        <w:tc>
          <w:tcPr>
            <w:tcW w:w="4704" w:type="dxa"/>
            <w:vMerge w:val="continue"/>
            <w:tcBorders>
              <w:left w:val="single" w:color="auto" w:sz="6" w:space="0"/>
            </w:tcBorders>
            <w:vAlign w:val="center"/>
          </w:tcPr>
          <w:p w14:paraId="635A825D">
            <w:pPr>
              <w:rPr>
                <w:highlight w:val="none"/>
              </w:rPr>
            </w:pPr>
          </w:p>
        </w:tc>
      </w:tr>
      <w:tr w14:paraId="6DF121D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30" w:hRule="atLeast"/>
          <w:jc w:val="center"/>
        </w:trPr>
        <w:tc>
          <w:tcPr>
            <w:tcW w:w="2531" w:type="dxa"/>
            <w:vAlign w:val="center"/>
          </w:tcPr>
          <w:p w14:paraId="31D50391">
            <w:pPr>
              <w:autoSpaceDE w:val="0"/>
              <w:autoSpaceDN w:val="0"/>
              <w:adjustRightInd w:val="0"/>
              <w:jc w:val="center"/>
              <w:rPr>
                <w:rFonts w:hint="eastAsia" w:ascii="宋体" w:hAnsi="宋体" w:eastAsia="宋体" w:cs="宋体"/>
                <w:b/>
                <w:bCs/>
                <w:sz w:val="21"/>
                <w:szCs w:val="21"/>
                <w:highlight w:val="none"/>
                <w:lang w:val="zh-CN"/>
              </w:rPr>
            </w:pPr>
            <w:r>
              <w:rPr>
                <w:rFonts w:hint="eastAsia" w:ascii="宋体" w:hAnsi="宋体" w:eastAsia="宋体" w:cs="宋体"/>
                <w:b/>
                <w:bCs/>
                <w:sz w:val="21"/>
                <w:szCs w:val="21"/>
                <w:highlight w:val="none"/>
                <w:lang w:val="zh-CN"/>
              </w:rPr>
              <w:t>毕业时间</w:t>
            </w:r>
          </w:p>
        </w:tc>
        <w:tc>
          <w:tcPr>
            <w:tcW w:w="1894" w:type="dxa"/>
            <w:tcBorders>
              <w:left w:val="single" w:color="auto" w:sz="6" w:space="0"/>
            </w:tcBorders>
            <w:vAlign w:val="center"/>
          </w:tcPr>
          <w:p w14:paraId="363108A5">
            <w:pPr>
              <w:autoSpaceDE w:val="0"/>
              <w:autoSpaceDN w:val="0"/>
              <w:adjustRightInd w:val="0"/>
              <w:spacing w:line="360" w:lineRule="auto"/>
              <w:jc w:val="center"/>
              <w:rPr>
                <w:rFonts w:hint="eastAsia" w:ascii="宋体" w:hAnsi="宋体" w:eastAsia="宋体" w:cs="宋体"/>
                <w:b/>
                <w:sz w:val="21"/>
                <w:szCs w:val="21"/>
                <w:highlight w:val="none"/>
                <w:lang w:val="zh-CN"/>
              </w:rPr>
            </w:pPr>
          </w:p>
        </w:tc>
        <w:tc>
          <w:tcPr>
            <w:tcW w:w="4704" w:type="dxa"/>
            <w:vMerge w:val="continue"/>
            <w:tcBorders>
              <w:left w:val="single" w:color="auto" w:sz="6" w:space="0"/>
            </w:tcBorders>
            <w:vAlign w:val="center"/>
          </w:tcPr>
          <w:p w14:paraId="4F1B5678">
            <w:pPr>
              <w:rPr>
                <w:highlight w:val="none"/>
              </w:rPr>
            </w:pPr>
          </w:p>
        </w:tc>
      </w:tr>
      <w:tr w14:paraId="005272D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30" w:hRule="atLeast"/>
          <w:jc w:val="center"/>
        </w:trPr>
        <w:tc>
          <w:tcPr>
            <w:tcW w:w="2531" w:type="dxa"/>
            <w:vAlign w:val="center"/>
          </w:tcPr>
          <w:p w14:paraId="1AFB583A">
            <w:pPr>
              <w:autoSpaceDE w:val="0"/>
              <w:autoSpaceDN w:val="0"/>
              <w:adjustRightInd w:val="0"/>
              <w:jc w:val="center"/>
              <w:rPr>
                <w:rFonts w:hint="eastAsia" w:ascii="宋体" w:hAnsi="宋体" w:eastAsia="宋体" w:cs="宋体"/>
                <w:b/>
                <w:bCs/>
                <w:sz w:val="21"/>
                <w:szCs w:val="21"/>
                <w:highlight w:val="none"/>
                <w:lang w:val="zh-CN"/>
              </w:rPr>
            </w:pPr>
            <w:r>
              <w:rPr>
                <w:rFonts w:hint="eastAsia" w:ascii="宋体" w:hAnsi="宋体" w:eastAsia="宋体" w:cs="宋体"/>
                <w:b/>
                <w:bCs/>
                <w:sz w:val="21"/>
                <w:szCs w:val="21"/>
                <w:highlight w:val="none"/>
                <w:lang w:val="zh-CN"/>
              </w:rPr>
              <w:t>学校所学专业</w:t>
            </w:r>
          </w:p>
        </w:tc>
        <w:tc>
          <w:tcPr>
            <w:tcW w:w="1894" w:type="dxa"/>
            <w:tcBorders>
              <w:left w:val="single" w:color="auto" w:sz="6" w:space="0"/>
            </w:tcBorders>
            <w:vAlign w:val="center"/>
          </w:tcPr>
          <w:p w14:paraId="02CD4978">
            <w:pPr>
              <w:autoSpaceDE w:val="0"/>
              <w:autoSpaceDN w:val="0"/>
              <w:adjustRightInd w:val="0"/>
              <w:spacing w:line="360" w:lineRule="auto"/>
              <w:jc w:val="center"/>
              <w:rPr>
                <w:rFonts w:hint="eastAsia" w:ascii="宋体" w:hAnsi="宋体" w:eastAsia="宋体" w:cs="宋体"/>
                <w:b/>
                <w:sz w:val="21"/>
                <w:szCs w:val="21"/>
                <w:highlight w:val="none"/>
                <w:lang w:val="zh-CN"/>
              </w:rPr>
            </w:pPr>
          </w:p>
        </w:tc>
        <w:tc>
          <w:tcPr>
            <w:tcW w:w="4704" w:type="dxa"/>
            <w:vMerge w:val="continue"/>
            <w:tcBorders>
              <w:left w:val="single" w:color="auto" w:sz="6" w:space="0"/>
            </w:tcBorders>
            <w:vAlign w:val="center"/>
          </w:tcPr>
          <w:p w14:paraId="67D961EA">
            <w:pPr>
              <w:rPr>
                <w:highlight w:val="none"/>
              </w:rPr>
            </w:pPr>
          </w:p>
        </w:tc>
      </w:tr>
      <w:tr w14:paraId="1B59734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30" w:hRule="atLeast"/>
          <w:jc w:val="center"/>
        </w:trPr>
        <w:tc>
          <w:tcPr>
            <w:tcW w:w="2531" w:type="dxa"/>
            <w:vAlign w:val="center"/>
          </w:tcPr>
          <w:p w14:paraId="208CD417">
            <w:pPr>
              <w:autoSpaceDE w:val="0"/>
              <w:autoSpaceDN w:val="0"/>
              <w:adjustRightInd w:val="0"/>
              <w:jc w:val="center"/>
              <w:rPr>
                <w:rFonts w:hint="eastAsia" w:ascii="宋体" w:hAnsi="宋体" w:eastAsia="宋体" w:cs="宋体"/>
                <w:b/>
                <w:bCs/>
                <w:sz w:val="21"/>
                <w:szCs w:val="21"/>
                <w:highlight w:val="none"/>
                <w:lang w:val="zh-CN"/>
              </w:rPr>
            </w:pPr>
            <w:r>
              <w:rPr>
                <w:rFonts w:hint="eastAsia" w:ascii="宋体" w:hAnsi="宋体" w:eastAsia="宋体" w:cs="宋体"/>
                <w:b/>
                <w:bCs/>
                <w:sz w:val="21"/>
                <w:szCs w:val="21"/>
                <w:highlight w:val="none"/>
                <w:lang w:val="zh-CN"/>
              </w:rPr>
              <w:t>联系电话</w:t>
            </w:r>
          </w:p>
        </w:tc>
        <w:tc>
          <w:tcPr>
            <w:tcW w:w="1894" w:type="dxa"/>
            <w:tcBorders>
              <w:left w:val="single" w:color="auto" w:sz="6" w:space="0"/>
            </w:tcBorders>
            <w:vAlign w:val="center"/>
          </w:tcPr>
          <w:p w14:paraId="21864B7E">
            <w:pPr>
              <w:autoSpaceDE w:val="0"/>
              <w:autoSpaceDN w:val="0"/>
              <w:adjustRightInd w:val="0"/>
              <w:spacing w:line="360" w:lineRule="auto"/>
              <w:jc w:val="center"/>
              <w:rPr>
                <w:rFonts w:hint="eastAsia" w:ascii="宋体" w:hAnsi="宋体" w:eastAsia="宋体" w:cs="宋体"/>
                <w:b/>
                <w:sz w:val="21"/>
                <w:szCs w:val="21"/>
                <w:highlight w:val="none"/>
                <w:lang w:val="zh-CN"/>
              </w:rPr>
            </w:pPr>
          </w:p>
        </w:tc>
        <w:tc>
          <w:tcPr>
            <w:tcW w:w="4704" w:type="dxa"/>
            <w:vMerge w:val="continue"/>
            <w:tcBorders>
              <w:left w:val="single" w:color="auto" w:sz="6" w:space="0"/>
            </w:tcBorders>
            <w:vAlign w:val="center"/>
          </w:tcPr>
          <w:p w14:paraId="7325BEB8">
            <w:pPr>
              <w:rPr>
                <w:highlight w:val="none"/>
              </w:rPr>
            </w:pPr>
          </w:p>
        </w:tc>
      </w:tr>
      <w:tr w14:paraId="5CC9294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30" w:hRule="atLeast"/>
          <w:jc w:val="center"/>
        </w:trPr>
        <w:tc>
          <w:tcPr>
            <w:tcW w:w="2531" w:type="dxa"/>
            <w:vAlign w:val="center"/>
          </w:tcPr>
          <w:p w14:paraId="74AA57BB">
            <w:pPr>
              <w:autoSpaceDE w:val="0"/>
              <w:autoSpaceDN w:val="0"/>
              <w:adjustRightInd w:val="0"/>
              <w:jc w:val="center"/>
              <w:rPr>
                <w:rFonts w:hint="eastAsia" w:ascii="宋体" w:hAnsi="宋体" w:eastAsia="宋体" w:cs="宋体"/>
                <w:b/>
                <w:bCs/>
                <w:sz w:val="21"/>
                <w:szCs w:val="21"/>
                <w:highlight w:val="none"/>
                <w:lang w:val="zh-CN"/>
              </w:rPr>
            </w:pPr>
            <w:r>
              <w:rPr>
                <w:rFonts w:hint="eastAsia" w:ascii="宋体" w:hAnsi="宋体" w:eastAsia="宋体" w:cs="宋体"/>
                <w:b/>
                <w:bCs/>
                <w:sz w:val="21"/>
                <w:szCs w:val="21"/>
                <w:highlight w:val="none"/>
              </w:rPr>
              <w:t>最近一年工作状况</w:t>
            </w:r>
          </w:p>
        </w:tc>
        <w:tc>
          <w:tcPr>
            <w:tcW w:w="1894" w:type="dxa"/>
            <w:tcBorders>
              <w:left w:val="single" w:color="auto" w:sz="6" w:space="0"/>
            </w:tcBorders>
            <w:vAlign w:val="center"/>
          </w:tcPr>
          <w:p w14:paraId="1723B212">
            <w:pPr>
              <w:autoSpaceDE w:val="0"/>
              <w:autoSpaceDN w:val="0"/>
              <w:adjustRightInd w:val="0"/>
              <w:spacing w:line="360" w:lineRule="auto"/>
              <w:jc w:val="center"/>
              <w:rPr>
                <w:rFonts w:hint="eastAsia" w:ascii="宋体" w:hAnsi="宋体" w:eastAsia="宋体" w:cs="宋体"/>
                <w:b/>
                <w:sz w:val="21"/>
                <w:szCs w:val="21"/>
                <w:highlight w:val="none"/>
                <w:lang w:val="zh-CN"/>
              </w:rPr>
            </w:pPr>
          </w:p>
        </w:tc>
        <w:tc>
          <w:tcPr>
            <w:tcW w:w="4704" w:type="dxa"/>
            <w:vMerge w:val="continue"/>
            <w:tcBorders>
              <w:left w:val="single" w:color="auto" w:sz="6" w:space="0"/>
            </w:tcBorders>
            <w:vAlign w:val="center"/>
          </w:tcPr>
          <w:p w14:paraId="27AB6B3A">
            <w:pPr>
              <w:rPr>
                <w:highlight w:val="none"/>
              </w:rPr>
            </w:pPr>
          </w:p>
        </w:tc>
      </w:tr>
      <w:tr w14:paraId="10FE7DA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30" w:hRule="atLeast"/>
          <w:jc w:val="center"/>
        </w:trPr>
        <w:tc>
          <w:tcPr>
            <w:tcW w:w="2531" w:type="dxa"/>
            <w:vAlign w:val="center"/>
          </w:tcPr>
          <w:p w14:paraId="50872171">
            <w:pPr>
              <w:autoSpaceDE w:val="0"/>
              <w:autoSpaceDN w:val="0"/>
              <w:adjustRightInd w:val="0"/>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是否具有放映员上岗证</w:t>
            </w:r>
          </w:p>
        </w:tc>
        <w:tc>
          <w:tcPr>
            <w:tcW w:w="1894" w:type="dxa"/>
            <w:tcBorders>
              <w:left w:val="single" w:color="auto" w:sz="6" w:space="0"/>
            </w:tcBorders>
            <w:vAlign w:val="center"/>
          </w:tcPr>
          <w:p w14:paraId="68D564CF">
            <w:pPr>
              <w:autoSpaceDE w:val="0"/>
              <w:autoSpaceDN w:val="0"/>
              <w:adjustRightInd w:val="0"/>
              <w:spacing w:line="360" w:lineRule="auto"/>
              <w:jc w:val="center"/>
              <w:rPr>
                <w:rFonts w:hint="eastAsia" w:ascii="宋体" w:hAnsi="宋体" w:eastAsia="宋体" w:cs="宋体"/>
                <w:b/>
                <w:sz w:val="21"/>
                <w:szCs w:val="21"/>
                <w:highlight w:val="none"/>
                <w:lang w:val="zh-CN"/>
              </w:rPr>
            </w:pPr>
          </w:p>
        </w:tc>
        <w:tc>
          <w:tcPr>
            <w:tcW w:w="4704" w:type="dxa"/>
            <w:tcBorders>
              <w:left w:val="single" w:color="auto" w:sz="6" w:space="0"/>
            </w:tcBorders>
            <w:vAlign w:val="center"/>
          </w:tcPr>
          <w:p w14:paraId="591AD229">
            <w:pPr>
              <w:autoSpaceDE w:val="0"/>
              <w:autoSpaceDN w:val="0"/>
              <w:adjustRightInd w:val="0"/>
              <w:spacing w:line="360" w:lineRule="auto"/>
              <w:jc w:val="center"/>
              <w:rPr>
                <w:rFonts w:hint="eastAsia" w:ascii="宋体" w:hAnsi="宋体" w:eastAsia="宋体" w:cs="宋体"/>
                <w:b/>
                <w:sz w:val="21"/>
                <w:szCs w:val="21"/>
                <w:highlight w:val="none"/>
                <w:lang w:val="zh-CN"/>
              </w:rPr>
            </w:pPr>
          </w:p>
        </w:tc>
      </w:tr>
      <w:tr w14:paraId="5D1C05A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30" w:hRule="atLeast"/>
          <w:jc w:val="center"/>
        </w:trPr>
        <w:tc>
          <w:tcPr>
            <w:tcW w:w="2531" w:type="dxa"/>
            <w:vAlign w:val="center"/>
          </w:tcPr>
          <w:p w14:paraId="617905D0">
            <w:pPr>
              <w:autoSpaceDE w:val="0"/>
              <w:autoSpaceDN w:val="0"/>
              <w:adjustRightInd w:val="0"/>
              <w:jc w:val="center"/>
              <w:rPr>
                <w:rFonts w:hint="eastAsia" w:ascii="宋体" w:hAnsi="宋体" w:eastAsia="宋体" w:cs="宋体"/>
                <w:b/>
                <w:bCs/>
                <w:sz w:val="21"/>
                <w:szCs w:val="21"/>
                <w:highlight w:val="none"/>
                <w:lang w:val="zh-CN"/>
              </w:rPr>
            </w:pPr>
            <w:r>
              <w:rPr>
                <w:rFonts w:hint="eastAsia" w:ascii="宋体" w:hAnsi="宋体" w:eastAsia="宋体" w:cs="宋体"/>
                <w:b/>
                <w:bCs/>
                <w:sz w:val="21"/>
                <w:szCs w:val="21"/>
                <w:highlight w:val="none"/>
                <w:lang w:val="zh-CN"/>
              </w:rPr>
              <w:t>拟在本项目中担任主要工作</w:t>
            </w:r>
          </w:p>
        </w:tc>
        <w:tc>
          <w:tcPr>
            <w:tcW w:w="6598" w:type="dxa"/>
            <w:gridSpan w:val="2"/>
            <w:tcBorders>
              <w:left w:val="single" w:color="auto" w:sz="6" w:space="0"/>
            </w:tcBorders>
            <w:vAlign w:val="center"/>
          </w:tcPr>
          <w:p w14:paraId="76E0CDBC">
            <w:pPr>
              <w:autoSpaceDE w:val="0"/>
              <w:autoSpaceDN w:val="0"/>
              <w:adjustRightInd w:val="0"/>
              <w:spacing w:line="360" w:lineRule="auto"/>
              <w:jc w:val="center"/>
              <w:rPr>
                <w:rFonts w:hint="eastAsia" w:ascii="宋体" w:hAnsi="宋体" w:eastAsia="宋体" w:cs="宋体"/>
                <w:b/>
                <w:sz w:val="21"/>
                <w:szCs w:val="21"/>
                <w:highlight w:val="none"/>
                <w:lang w:val="zh-CN"/>
              </w:rPr>
            </w:pPr>
          </w:p>
        </w:tc>
      </w:tr>
    </w:tbl>
    <w:p w14:paraId="1116FBF3">
      <w:pPr>
        <w:spacing w:line="360" w:lineRule="auto"/>
        <w:rPr>
          <w:b/>
          <w:bCs/>
          <w:highlight w:val="none"/>
        </w:rPr>
      </w:pPr>
      <w:r>
        <w:rPr>
          <w:b/>
          <w:bCs/>
          <w:highlight w:val="none"/>
        </w:rPr>
        <w:t>注：1、本表应附学历证书、技术职称/资格证书、业绩证明等扫描件并加盖公章；</w:t>
      </w:r>
    </w:p>
    <w:p w14:paraId="7E7D5129">
      <w:pPr>
        <w:spacing w:line="360" w:lineRule="auto"/>
        <w:ind w:left="630" w:hanging="632" w:hangingChars="300"/>
        <w:rPr>
          <w:b/>
          <w:bCs/>
          <w:highlight w:val="none"/>
        </w:rPr>
      </w:pPr>
      <w:r>
        <w:rPr>
          <w:b/>
          <w:bCs/>
          <w:highlight w:val="none"/>
        </w:rPr>
        <w:t xml:space="preserve">    2、提供所在单位连续缴纳近三个月社保证明（公司注册时间未满三个月的，提供最近一个月的社保证明,公司注册时间未满一个月的，提供公司社会保险参保证明）</w:t>
      </w:r>
    </w:p>
    <w:p w14:paraId="4BF4072C">
      <w:pPr>
        <w:spacing w:line="360" w:lineRule="auto"/>
        <w:ind w:firstLine="422" w:firstLineChars="200"/>
        <w:rPr>
          <w:highlight w:val="none"/>
        </w:rPr>
      </w:pPr>
      <w:bookmarkStart w:id="464" w:name="_Toc2448"/>
      <w:r>
        <w:rPr>
          <w:b/>
          <w:bCs/>
          <w:highlight w:val="none"/>
        </w:rPr>
        <w:t>3、本表可在不改变格式的情况下根据具体需要自行增减。</w:t>
      </w:r>
      <w:bookmarkEnd w:id="464"/>
    </w:p>
    <w:p w14:paraId="53E159C2">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19E1B3B7">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法定代表人或授权代表（签字或盖章）：</w:t>
      </w:r>
    </w:p>
    <w:p w14:paraId="37025CF6">
      <w:pPr>
        <w:ind w:firstLine="4620" w:firstLineChars="2200"/>
        <w:rPr>
          <w:highlight w:val="none"/>
        </w:rPr>
      </w:pPr>
      <w:r>
        <w:rPr>
          <w:highlight w:val="none"/>
        </w:rPr>
        <w:t>日      期：    年   月     日</w:t>
      </w:r>
    </w:p>
    <w:p w14:paraId="6A7A3970">
      <w:pPr>
        <w:tabs>
          <w:tab w:val="left" w:pos="840"/>
        </w:tabs>
        <w:jc w:val="center"/>
        <w:outlineLvl w:val="1"/>
        <w:rPr>
          <w:rFonts w:ascii="Arial" w:hAnsi="Arial" w:cs="Arial"/>
          <w:sz w:val="28"/>
          <w:highlight w:val="none"/>
        </w:rPr>
      </w:pPr>
      <w:bookmarkStart w:id="465" w:name="_Toc22134"/>
      <w:bookmarkStart w:id="466" w:name="_Toc22694"/>
      <w:bookmarkStart w:id="467" w:name="_Toc10692"/>
      <w:r>
        <w:rPr>
          <w:rFonts w:ascii="Arial" w:hAnsi="Arial" w:cs="Arial"/>
          <w:b/>
          <w:bCs/>
          <w:sz w:val="28"/>
          <w:highlight w:val="none"/>
        </w:rPr>
        <w:t>附件</w:t>
      </w:r>
      <w:r>
        <w:rPr>
          <w:rFonts w:hint="eastAsia" w:ascii="Arial" w:hAnsi="Arial" w:cs="Arial"/>
          <w:b/>
          <w:bCs/>
          <w:sz w:val="28"/>
          <w:highlight w:val="none"/>
          <w:lang w:val="en-US" w:eastAsia="zh-CN"/>
        </w:rPr>
        <w:t>十</w:t>
      </w:r>
      <w:r>
        <w:rPr>
          <w:rFonts w:ascii="Arial" w:hAnsi="Arial" w:cs="Arial"/>
          <w:b/>
          <w:bCs/>
          <w:sz w:val="28"/>
          <w:highlight w:val="none"/>
        </w:rPr>
        <w:t xml:space="preserve">    拟投入本项目</w:t>
      </w:r>
      <w:r>
        <w:rPr>
          <w:rFonts w:ascii="Arial" w:hAnsi="Arial" w:cs="Arial"/>
          <w:b/>
          <w:bCs/>
          <w:color w:val="000000"/>
          <w:sz w:val="28"/>
          <w:highlight w:val="none"/>
        </w:rPr>
        <w:t>服务</w:t>
      </w:r>
      <w:r>
        <w:rPr>
          <w:rFonts w:ascii="Arial" w:hAnsi="Arial" w:cs="Arial"/>
          <w:b/>
          <w:bCs/>
          <w:sz w:val="28"/>
          <w:highlight w:val="none"/>
        </w:rPr>
        <w:t>人员配备情况表</w:t>
      </w:r>
      <w:bookmarkEnd w:id="465"/>
      <w:bookmarkEnd w:id="466"/>
      <w:bookmarkEnd w:id="467"/>
    </w:p>
    <w:p w14:paraId="2ABD0FEA">
      <w:pPr>
        <w:tabs>
          <w:tab w:val="left" w:pos="540"/>
        </w:tabs>
        <w:spacing w:line="360" w:lineRule="auto"/>
        <w:ind w:firstLine="632" w:firstLineChars="300"/>
        <w:rPr>
          <w:highlight w:val="none"/>
        </w:rPr>
      </w:pPr>
      <w:r>
        <w:rPr>
          <w:rFonts w:ascii="宋体" w:hAnsi="宋体" w:eastAsia="宋体" w:cs="宋体"/>
          <w:b/>
          <w:bCs/>
          <w:szCs w:val="21"/>
          <w:highlight w:val="none"/>
        </w:rPr>
        <w:t>项目名称：                             项目编号：</w:t>
      </w:r>
      <w:r>
        <w:rPr>
          <w:rFonts w:ascii="宋体" w:hAnsi="宋体" w:eastAsia="宋体" w:cs="宋体"/>
          <w:szCs w:val="21"/>
          <w:highlight w:val="none"/>
        </w:rPr>
        <w:t xml:space="preserve">                            </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40"/>
        <w:gridCol w:w="703"/>
        <w:gridCol w:w="851"/>
        <w:gridCol w:w="1134"/>
        <w:gridCol w:w="850"/>
        <w:gridCol w:w="709"/>
        <w:gridCol w:w="1559"/>
        <w:gridCol w:w="992"/>
        <w:gridCol w:w="1392"/>
      </w:tblGrid>
      <w:tr w14:paraId="1ABD7FC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jc w:val="center"/>
        </w:trPr>
        <w:tc>
          <w:tcPr>
            <w:tcW w:w="1140" w:type="dxa"/>
            <w:vAlign w:val="center"/>
          </w:tcPr>
          <w:p w14:paraId="7B312900">
            <w:pPr>
              <w:jc w:val="center"/>
              <w:rPr>
                <w:rFonts w:ascii="宋体"/>
                <w:b/>
                <w:bCs/>
                <w:sz w:val="20"/>
                <w:highlight w:val="none"/>
              </w:rPr>
            </w:pPr>
            <w:r>
              <w:rPr>
                <w:rFonts w:hint="eastAsia" w:ascii="宋体"/>
                <w:b/>
                <w:bCs/>
                <w:sz w:val="20"/>
                <w:highlight w:val="none"/>
              </w:rPr>
              <w:t>姓名</w:t>
            </w:r>
          </w:p>
        </w:tc>
        <w:tc>
          <w:tcPr>
            <w:tcW w:w="703" w:type="dxa"/>
            <w:vAlign w:val="center"/>
          </w:tcPr>
          <w:p w14:paraId="7F4B2F79">
            <w:pPr>
              <w:jc w:val="center"/>
              <w:rPr>
                <w:rFonts w:ascii="宋体"/>
                <w:b/>
                <w:bCs/>
                <w:sz w:val="20"/>
                <w:highlight w:val="none"/>
              </w:rPr>
            </w:pPr>
            <w:r>
              <w:rPr>
                <w:rFonts w:hint="eastAsia" w:ascii="宋体"/>
                <w:b/>
                <w:bCs/>
                <w:sz w:val="20"/>
                <w:highlight w:val="none"/>
              </w:rPr>
              <w:t>年龄</w:t>
            </w:r>
          </w:p>
        </w:tc>
        <w:tc>
          <w:tcPr>
            <w:tcW w:w="851" w:type="dxa"/>
            <w:vAlign w:val="center"/>
          </w:tcPr>
          <w:p w14:paraId="36CD01AC">
            <w:pPr>
              <w:jc w:val="center"/>
              <w:rPr>
                <w:rFonts w:ascii="宋体"/>
                <w:b/>
                <w:bCs/>
                <w:sz w:val="20"/>
                <w:highlight w:val="none"/>
              </w:rPr>
            </w:pPr>
            <w:r>
              <w:rPr>
                <w:rFonts w:hint="eastAsia" w:ascii="宋体"/>
                <w:b/>
                <w:bCs/>
                <w:sz w:val="20"/>
                <w:highlight w:val="none"/>
              </w:rPr>
              <w:t>性别</w:t>
            </w:r>
          </w:p>
        </w:tc>
        <w:tc>
          <w:tcPr>
            <w:tcW w:w="1134" w:type="dxa"/>
            <w:vAlign w:val="center"/>
          </w:tcPr>
          <w:p w14:paraId="0C9EAEF0">
            <w:pPr>
              <w:jc w:val="center"/>
              <w:rPr>
                <w:rFonts w:ascii="宋体"/>
                <w:b/>
                <w:bCs/>
                <w:sz w:val="20"/>
                <w:highlight w:val="none"/>
              </w:rPr>
            </w:pPr>
            <w:r>
              <w:rPr>
                <w:rFonts w:hint="eastAsia" w:ascii="宋体"/>
                <w:b/>
                <w:bCs/>
                <w:sz w:val="20"/>
                <w:highlight w:val="none"/>
              </w:rPr>
              <w:t>职称/职务</w:t>
            </w:r>
          </w:p>
        </w:tc>
        <w:tc>
          <w:tcPr>
            <w:tcW w:w="850" w:type="dxa"/>
            <w:vAlign w:val="center"/>
          </w:tcPr>
          <w:p w14:paraId="6CB335E5">
            <w:pPr>
              <w:jc w:val="center"/>
              <w:rPr>
                <w:rFonts w:ascii="宋体"/>
                <w:b/>
                <w:bCs/>
                <w:sz w:val="20"/>
                <w:highlight w:val="none"/>
              </w:rPr>
            </w:pPr>
            <w:r>
              <w:rPr>
                <w:rFonts w:hint="eastAsia" w:ascii="宋体"/>
                <w:b/>
                <w:bCs/>
                <w:sz w:val="20"/>
                <w:highlight w:val="none"/>
              </w:rPr>
              <w:t>专业/年限</w:t>
            </w:r>
          </w:p>
        </w:tc>
        <w:tc>
          <w:tcPr>
            <w:tcW w:w="709" w:type="dxa"/>
            <w:vAlign w:val="center"/>
          </w:tcPr>
          <w:p w14:paraId="12D7EB22">
            <w:pPr>
              <w:jc w:val="center"/>
              <w:rPr>
                <w:rFonts w:ascii="宋体"/>
                <w:b/>
                <w:bCs/>
                <w:sz w:val="20"/>
                <w:highlight w:val="none"/>
              </w:rPr>
            </w:pPr>
            <w:r>
              <w:rPr>
                <w:rFonts w:hint="eastAsia" w:ascii="宋体"/>
                <w:b/>
                <w:bCs/>
                <w:sz w:val="20"/>
                <w:highlight w:val="none"/>
              </w:rPr>
              <w:t>学历</w:t>
            </w:r>
          </w:p>
        </w:tc>
        <w:tc>
          <w:tcPr>
            <w:tcW w:w="1559" w:type="dxa"/>
            <w:vAlign w:val="center"/>
          </w:tcPr>
          <w:p w14:paraId="2D8312CD">
            <w:pPr>
              <w:jc w:val="center"/>
              <w:rPr>
                <w:rFonts w:ascii="宋体"/>
                <w:b/>
                <w:bCs/>
                <w:sz w:val="20"/>
                <w:highlight w:val="none"/>
              </w:rPr>
            </w:pPr>
            <w:r>
              <w:rPr>
                <w:rFonts w:hint="eastAsia" w:ascii="宋体"/>
                <w:b/>
                <w:bCs/>
                <w:sz w:val="20"/>
                <w:highlight w:val="none"/>
              </w:rPr>
              <w:t>是否具有</w:t>
            </w:r>
          </w:p>
          <w:p w14:paraId="17AE41C4">
            <w:pPr>
              <w:jc w:val="center"/>
              <w:rPr>
                <w:rFonts w:ascii="宋体"/>
                <w:b/>
                <w:bCs/>
                <w:sz w:val="20"/>
                <w:highlight w:val="none"/>
              </w:rPr>
            </w:pPr>
            <w:r>
              <w:rPr>
                <w:rFonts w:hint="eastAsia" w:ascii="宋体"/>
                <w:b/>
                <w:bCs/>
                <w:sz w:val="20"/>
                <w:highlight w:val="none"/>
              </w:rPr>
              <w:t>放映员上岗证</w:t>
            </w:r>
          </w:p>
        </w:tc>
        <w:tc>
          <w:tcPr>
            <w:tcW w:w="992" w:type="dxa"/>
            <w:vAlign w:val="center"/>
          </w:tcPr>
          <w:p w14:paraId="47452173">
            <w:pPr>
              <w:jc w:val="center"/>
              <w:rPr>
                <w:rFonts w:ascii="宋体"/>
                <w:b/>
                <w:bCs/>
                <w:sz w:val="20"/>
                <w:highlight w:val="none"/>
              </w:rPr>
            </w:pPr>
            <w:r>
              <w:rPr>
                <w:rFonts w:hint="eastAsia" w:ascii="宋体"/>
                <w:b/>
                <w:bCs/>
                <w:sz w:val="20"/>
                <w:highlight w:val="none"/>
              </w:rPr>
              <w:t>拟任</w:t>
            </w:r>
          </w:p>
          <w:p w14:paraId="599A3F83">
            <w:pPr>
              <w:jc w:val="center"/>
              <w:rPr>
                <w:rFonts w:ascii="宋体"/>
                <w:b/>
                <w:bCs/>
                <w:sz w:val="20"/>
                <w:highlight w:val="none"/>
              </w:rPr>
            </w:pPr>
            <w:r>
              <w:rPr>
                <w:rFonts w:hint="eastAsia" w:ascii="宋体"/>
                <w:b/>
                <w:bCs/>
                <w:sz w:val="20"/>
                <w:highlight w:val="none"/>
              </w:rPr>
              <w:t>岗位</w:t>
            </w:r>
          </w:p>
        </w:tc>
        <w:tc>
          <w:tcPr>
            <w:tcW w:w="1392" w:type="dxa"/>
            <w:vAlign w:val="center"/>
          </w:tcPr>
          <w:p w14:paraId="797CFBE6">
            <w:pPr>
              <w:jc w:val="center"/>
              <w:rPr>
                <w:rFonts w:ascii="宋体"/>
                <w:b/>
                <w:bCs/>
                <w:sz w:val="20"/>
                <w:highlight w:val="none"/>
              </w:rPr>
            </w:pPr>
            <w:r>
              <w:rPr>
                <w:rFonts w:hint="eastAsia" w:ascii="宋体"/>
                <w:b/>
                <w:bCs/>
                <w:sz w:val="20"/>
                <w:highlight w:val="none"/>
              </w:rPr>
              <w:t>本项目主要工作</w:t>
            </w:r>
          </w:p>
        </w:tc>
      </w:tr>
      <w:tr w14:paraId="40CC974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3E41AB9E">
            <w:pPr>
              <w:spacing w:line="360" w:lineRule="auto"/>
              <w:rPr>
                <w:rFonts w:ascii="宋体"/>
                <w:b/>
                <w:sz w:val="20"/>
                <w:highlight w:val="none"/>
              </w:rPr>
            </w:pPr>
          </w:p>
        </w:tc>
        <w:tc>
          <w:tcPr>
            <w:tcW w:w="703" w:type="dxa"/>
            <w:tcBorders>
              <w:left w:val="single" w:color="auto" w:sz="6" w:space="0"/>
            </w:tcBorders>
            <w:vAlign w:val="center"/>
          </w:tcPr>
          <w:p w14:paraId="3A3E1D83">
            <w:pPr>
              <w:pStyle w:val="47"/>
              <w:widowControl w:val="0"/>
              <w:pBdr>
                <w:left w:val="none" w:color="auto" w:sz="0" w:space="0"/>
                <w:bottom w:val="none" w:color="auto" w:sz="0" w:space="0"/>
                <w:right w:val="none" w:color="auto" w:sz="0" w:space="0"/>
              </w:pBdr>
              <w:spacing w:before="0" w:beforeAutospacing="0" w:after="0" w:afterAutospacing="0" w:line="360" w:lineRule="auto"/>
              <w:textAlignment w:val="auto"/>
              <w:rPr>
                <w:rFonts w:ascii="宋体" w:hAnsi="宋体"/>
                <w:kern w:val="2"/>
                <w:sz w:val="20"/>
                <w:szCs w:val="20"/>
                <w:highlight w:val="none"/>
              </w:rPr>
            </w:pPr>
          </w:p>
        </w:tc>
        <w:tc>
          <w:tcPr>
            <w:tcW w:w="851" w:type="dxa"/>
            <w:tcBorders>
              <w:left w:val="single" w:color="auto" w:sz="6" w:space="0"/>
            </w:tcBorders>
            <w:vAlign w:val="center"/>
          </w:tcPr>
          <w:p w14:paraId="50A00517">
            <w:pPr>
              <w:spacing w:line="360" w:lineRule="auto"/>
              <w:rPr>
                <w:rFonts w:ascii="宋体"/>
                <w:b/>
                <w:sz w:val="20"/>
                <w:highlight w:val="none"/>
              </w:rPr>
            </w:pPr>
          </w:p>
        </w:tc>
        <w:tc>
          <w:tcPr>
            <w:tcW w:w="1134" w:type="dxa"/>
            <w:tcBorders>
              <w:left w:val="single" w:color="auto" w:sz="6" w:space="0"/>
            </w:tcBorders>
            <w:vAlign w:val="center"/>
          </w:tcPr>
          <w:p w14:paraId="2CA060DF">
            <w:pPr>
              <w:spacing w:line="360" w:lineRule="auto"/>
              <w:rPr>
                <w:rFonts w:ascii="宋体"/>
                <w:b/>
                <w:sz w:val="20"/>
                <w:highlight w:val="none"/>
              </w:rPr>
            </w:pPr>
          </w:p>
        </w:tc>
        <w:tc>
          <w:tcPr>
            <w:tcW w:w="850" w:type="dxa"/>
            <w:tcBorders>
              <w:left w:val="single" w:color="auto" w:sz="6" w:space="0"/>
            </w:tcBorders>
            <w:vAlign w:val="center"/>
          </w:tcPr>
          <w:p w14:paraId="38FDB2CF">
            <w:pPr>
              <w:spacing w:line="360" w:lineRule="auto"/>
              <w:rPr>
                <w:rFonts w:ascii="宋体"/>
                <w:b/>
                <w:sz w:val="20"/>
                <w:highlight w:val="none"/>
              </w:rPr>
            </w:pPr>
          </w:p>
        </w:tc>
        <w:tc>
          <w:tcPr>
            <w:tcW w:w="709" w:type="dxa"/>
            <w:tcBorders>
              <w:left w:val="single" w:color="auto" w:sz="6" w:space="0"/>
            </w:tcBorders>
            <w:vAlign w:val="center"/>
          </w:tcPr>
          <w:p w14:paraId="01630C7F">
            <w:pPr>
              <w:spacing w:line="360" w:lineRule="auto"/>
              <w:rPr>
                <w:rFonts w:ascii="宋体"/>
                <w:b/>
                <w:sz w:val="20"/>
                <w:highlight w:val="none"/>
              </w:rPr>
            </w:pPr>
          </w:p>
        </w:tc>
        <w:tc>
          <w:tcPr>
            <w:tcW w:w="1559" w:type="dxa"/>
            <w:tcBorders>
              <w:left w:val="single" w:color="auto" w:sz="6" w:space="0"/>
            </w:tcBorders>
            <w:vAlign w:val="center"/>
          </w:tcPr>
          <w:p w14:paraId="7650C7C7">
            <w:pPr>
              <w:spacing w:line="360" w:lineRule="auto"/>
              <w:rPr>
                <w:rFonts w:ascii="宋体"/>
                <w:b/>
                <w:sz w:val="20"/>
                <w:highlight w:val="none"/>
              </w:rPr>
            </w:pPr>
          </w:p>
        </w:tc>
        <w:tc>
          <w:tcPr>
            <w:tcW w:w="992" w:type="dxa"/>
            <w:tcBorders>
              <w:left w:val="single" w:color="auto" w:sz="6" w:space="0"/>
            </w:tcBorders>
            <w:vAlign w:val="center"/>
          </w:tcPr>
          <w:p w14:paraId="5F946C27">
            <w:pPr>
              <w:spacing w:line="360" w:lineRule="auto"/>
              <w:rPr>
                <w:rFonts w:ascii="宋体"/>
                <w:b/>
                <w:sz w:val="20"/>
                <w:highlight w:val="none"/>
              </w:rPr>
            </w:pPr>
          </w:p>
        </w:tc>
        <w:tc>
          <w:tcPr>
            <w:tcW w:w="1392" w:type="dxa"/>
            <w:tcBorders>
              <w:left w:val="single" w:color="auto" w:sz="6" w:space="0"/>
            </w:tcBorders>
            <w:vAlign w:val="center"/>
          </w:tcPr>
          <w:p w14:paraId="5B46D48F">
            <w:pPr>
              <w:spacing w:line="360" w:lineRule="auto"/>
              <w:rPr>
                <w:rFonts w:ascii="宋体"/>
                <w:b/>
                <w:sz w:val="20"/>
                <w:highlight w:val="none"/>
              </w:rPr>
            </w:pPr>
          </w:p>
        </w:tc>
      </w:tr>
      <w:tr w14:paraId="39E8CF8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6FBFBA34">
            <w:pPr>
              <w:spacing w:line="360" w:lineRule="auto"/>
              <w:rPr>
                <w:rFonts w:ascii="宋体"/>
                <w:b/>
                <w:sz w:val="20"/>
                <w:highlight w:val="none"/>
              </w:rPr>
            </w:pPr>
          </w:p>
        </w:tc>
        <w:tc>
          <w:tcPr>
            <w:tcW w:w="703" w:type="dxa"/>
            <w:tcBorders>
              <w:left w:val="single" w:color="auto" w:sz="6" w:space="0"/>
            </w:tcBorders>
            <w:vAlign w:val="center"/>
          </w:tcPr>
          <w:p w14:paraId="1E0FA718">
            <w:pPr>
              <w:spacing w:line="360" w:lineRule="auto"/>
              <w:rPr>
                <w:rFonts w:ascii="宋体"/>
                <w:b/>
                <w:sz w:val="20"/>
                <w:highlight w:val="none"/>
              </w:rPr>
            </w:pPr>
          </w:p>
        </w:tc>
        <w:tc>
          <w:tcPr>
            <w:tcW w:w="851" w:type="dxa"/>
            <w:tcBorders>
              <w:left w:val="single" w:color="auto" w:sz="6" w:space="0"/>
            </w:tcBorders>
            <w:vAlign w:val="center"/>
          </w:tcPr>
          <w:p w14:paraId="552A3AB2">
            <w:pPr>
              <w:spacing w:line="360" w:lineRule="auto"/>
              <w:rPr>
                <w:rFonts w:ascii="宋体"/>
                <w:b/>
                <w:sz w:val="20"/>
                <w:highlight w:val="none"/>
              </w:rPr>
            </w:pPr>
          </w:p>
        </w:tc>
        <w:tc>
          <w:tcPr>
            <w:tcW w:w="1134" w:type="dxa"/>
            <w:tcBorders>
              <w:left w:val="single" w:color="auto" w:sz="6" w:space="0"/>
            </w:tcBorders>
            <w:vAlign w:val="center"/>
          </w:tcPr>
          <w:p w14:paraId="16B7ED2A">
            <w:pPr>
              <w:spacing w:line="360" w:lineRule="auto"/>
              <w:rPr>
                <w:rFonts w:ascii="宋体"/>
                <w:b/>
                <w:sz w:val="20"/>
                <w:highlight w:val="none"/>
              </w:rPr>
            </w:pPr>
          </w:p>
        </w:tc>
        <w:tc>
          <w:tcPr>
            <w:tcW w:w="850" w:type="dxa"/>
            <w:tcBorders>
              <w:left w:val="single" w:color="auto" w:sz="6" w:space="0"/>
            </w:tcBorders>
            <w:vAlign w:val="center"/>
          </w:tcPr>
          <w:p w14:paraId="363CC1FA">
            <w:pPr>
              <w:spacing w:line="360" w:lineRule="auto"/>
              <w:rPr>
                <w:rFonts w:ascii="宋体"/>
                <w:b/>
                <w:sz w:val="20"/>
                <w:highlight w:val="none"/>
              </w:rPr>
            </w:pPr>
          </w:p>
        </w:tc>
        <w:tc>
          <w:tcPr>
            <w:tcW w:w="709" w:type="dxa"/>
            <w:tcBorders>
              <w:left w:val="single" w:color="auto" w:sz="6" w:space="0"/>
            </w:tcBorders>
            <w:vAlign w:val="center"/>
          </w:tcPr>
          <w:p w14:paraId="53C73C88">
            <w:pPr>
              <w:spacing w:line="360" w:lineRule="auto"/>
              <w:rPr>
                <w:rFonts w:ascii="宋体"/>
                <w:b/>
                <w:sz w:val="20"/>
                <w:highlight w:val="none"/>
              </w:rPr>
            </w:pPr>
          </w:p>
        </w:tc>
        <w:tc>
          <w:tcPr>
            <w:tcW w:w="1559" w:type="dxa"/>
            <w:tcBorders>
              <w:left w:val="single" w:color="auto" w:sz="6" w:space="0"/>
            </w:tcBorders>
            <w:vAlign w:val="center"/>
          </w:tcPr>
          <w:p w14:paraId="49F8D0D8">
            <w:pPr>
              <w:spacing w:line="360" w:lineRule="auto"/>
              <w:rPr>
                <w:rFonts w:ascii="宋体"/>
                <w:b/>
                <w:sz w:val="20"/>
                <w:highlight w:val="none"/>
              </w:rPr>
            </w:pPr>
          </w:p>
        </w:tc>
        <w:tc>
          <w:tcPr>
            <w:tcW w:w="992" w:type="dxa"/>
            <w:tcBorders>
              <w:left w:val="single" w:color="auto" w:sz="6" w:space="0"/>
            </w:tcBorders>
            <w:vAlign w:val="center"/>
          </w:tcPr>
          <w:p w14:paraId="3AD3126D">
            <w:pPr>
              <w:spacing w:line="360" w:lineRule="auto"/>
              <w:rPr>
                <w:rFonts w:ascii="宋体"/>
                <w:b/>
                <w:sz w:val="20"/>
                <w:highlight w:val="none"/>
              </w:rPr>
            </w:pPr>
          </w:p>
        </w:tc>
        <w:tc>
          <w:tcPr>
            <w:tcW w:w="1392" w:type="dxa"/>
            <w:tcBorders>
              <w:left w:val="single" w:color="auto" w:sz="6" w:space="0"/>
            </w:tcBorders>
            <w:vAlign w:val="center"/>
          </w:tcPr>
          <w:p w14:paraId="4B233F32">
            <w:pPr>
              <w:pStyle w:val="17"/>
              <w:spacing w:line="360" w:lineRule="auto"/>
              <w:ind w:left="840" w:hanging="422"/>
              <w:rPr>
                <w:b/>
                <w:highlight w:val="none"/>
              </w:rPr>
            </w:pPr>
          </w:p>
        </w:tc>
      </w:tr>
      <w:tr w14:paraId="16F112B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3B373A48">
            <w:pPr>
              <w:spacing w:line="360" w:lineRule="auto"/>
              <w:rPr>
                <w:rFonts w:ascii="宋体"/>
                <w:b/>
                <w:sz w:val="20"/>
                <w:highlight w:val="none"/>
              </w:rPr>
            </w:pPr>
          </w:p>
        </w:tc>
        <w:tc>
          <w:tcPr>
            <w:tcW w:w="703" w:type="dxa"/>
            <w:tcBorders>
              <w:left w:val="single" w:color="auto" w:sz="6" w:space="0"/>
            </w:tcBorders>
            <w:vAlign w:val="center"/>
          </w:tcPr>
          <w:p w14:paraId="6F3E529F">
            <w:pPr>
              <w:spacing w:line="360" w:lineRule="auto"/>
              <w:rPr>
                <w:rFonts w:ascii="宋体"/>
                <w:b/>
                <w:sz w:val="20"/>
                <w:highlight w:val="none"/>
              </w:rPr>
            </w:pPr>
          </w:p>
        </w:tc>
        <w:tc>
          <w:tcPr>
            <w:tcW w:w="851" w:type="dxa"/>
            <w:tcBorders>
              <w:left w:val="single" w:color="auto" w:sz="6" w:space="0"/>
            </w:tcBorders>
            <w:vAlign w:val="center"/>
          </w:tcPr>
          <w:p w14:paraId="559215E2">
            <w:pPr>
              <w:spacing w:line="360" w:lineRule="auto"/>
              <w:rPr>
                <w:rFonts w:ascii="宋体"/>
                <w:b/>
                <w:sz w:val="20"/>
                <w:highlight w:val="none"/>
              </w:rPr>
            </w:pPr>
          </w:p>
        </w:tc>
        <w:tc>
          <w:tcPr>
            <w:tcW w:w="1134" w:type="dxa"/>
            <w:tcBorders>
              <w:left w:val="single" w:color="auto" w:sz="6" w:space="0"/>
            </w:tcBorders>
            <w:vAlign w:val="center"/>
          </w:tcPr>
          <w:p w14:paraId="07B36154">
            <w:pPr>
              <w:spacing w:line="360" w:lineRule="auto"/>
              <w:rPr>
                <w:rFonts w:ascii="宋体"/>
                <w:b/>
                <w:sz w:val="20"/>
                <w:highlight w:val="none"/>
              </w:rPr>
            </w:pPr>
          </w:p>
        </w:tc>
        <w:tc>
          <w:tcPr>
            <w:tcW w:w="850" w:type="dxa"/>
            <w:tcBorders>
              <w:left w:val="single" w:color="auto" w:sz="6" w:space="0"/>
            </w:tcBorders>
            <w:vAlign w:val="center"/>
          </w:tcPr>
          <w:p w14:paraId="5160D4B8">
            <w:pPr>
              <w:spacing w:line="360" w:lineRule="auto"/>
              <w:rPr>
                <w:rFonts w:ascii="宋体"/>
                <w:b/>
                <w:sz w:val="20"/>
                <w:highlight w:val="none"/>
              </w:rPr>
            </w:pPr>
          </w:p>
        </w:tc>
        <w:tc>
          <w:tcPr>
            <w:tcW w:w="709" w:type="dxa"/>
            <w:tcBorders>
              <w:left w:val="single" w:color="auto" w:sz="6" w:space="0"/>
            </w:tcBorders>
            <w:vAlign w:val="center"/>
          </w:tcPr>
          <w:p w14:paraId="47C37F6A">
            <w:pPr>
              <w:spacing w:line="360" w:lineRule="auto"/>
              <w:rPr>
                <w:rFonts w:ascii="宋体"/>
                <w:b/>
                <w:sz w:val="20"/>
                <w:highlight w:val="none"/>
              </w:rPr>
            </w:pPr>
          </w:p>
        </w:tc>
        <w:tc>
          <w:tcPr>
            <w:tcW w:w="1559" w:type="dxa"/>
            <w:tcBorders>
              <w:left w:val="single" w:color="auto" w:sz="6" w:space="0"/>
            </w:tcBorders>
            <w:vAlign w:val="center"/>
          </w:tcPr>
          <w:p w14:paraId="244BB649">
            <w:pPr>
              <w:spacing w:line="360" w:lineRule="auto"/>
              <w:rPr>
                <w:rFonts w:ascii="宋体"/>
                <w:b/>
                <w:sz w:val="20"/>
                <w:highlight w:val="none"/>
              </w:rPr>
            </w:pPr>
          </w:p>
        </w:tc>
        <w:tc>
          <w:tcPr>
            <w:tcW w:w="992" w:type="dxa"/>
            <w:tcBorders>
              <w:left w:val="single" w:color="auto" w:sz="6" w:space="0"/>
            </w:tcBorders>
            <w:vAlign w:val="center"/>
          </w:tcPr>
          <w:p w14:paraId="38D0B8E9">
            <w:pPr>
              <w:spacing w:line="360" w:lineRule="auto"/>
              <w:rPr>
                <w:rFonts w:ascii="宋体"/>
                <w:b/>
                <w:sz w:val="20"/>
                <w:highlight w:val="none"/>
              </w:rPr>
            </w:pPr>
          </w:p>
        </w:tc>
        <w:tc>
          <w:tcPr>
            <w:tcW w:w="1392" w:type="dxa"/>
            <w:tcBorders>
              <w:left w:val="single" w:color="auto" w:sz="6" w:space="0"/>
            </w:tcBorders>
            <w:vAlign w:val="center"/>
          </w:tcPr>
          <w:p w14:paraId="69B53F94">
            <w:pPr>
              <w:spacing w:line="360" w:lineRule="auto"/>
              <w:rPr>
                <w:rFonts w:ascii="宋体"/>
                <w:b/>
                <w:sz w:val="20"/>
                <w:highlight w:val="none"/>
              </w:rPr>
            </w:pPr>
          </w:p>
        </w:tc>
      </w:tr>
      <w:tr w14:paraId="6013C03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14FBD882">
            <w:pPr>
              <w:spacing w:line="360" w:lineRule="auto"/>
              <w:rPr>
                <w:rFonts w:ascii="宋体"/>
                <w:b/>
                <w:sz w:val="20"/>
                <w:highlight w:val="none"/>
              </w:rPr>
            </w:pPr>
          </w:p>
        </w:tc>
        <w:tc>
          <w:tcPr>
            <w:tcW w:w="703" w:type="dxa"/>
            <w:tcBorders>
              <w:left w:val="single" w:color="auto" w:sz="6" w:space="0"/>
            </w:tcBorders>
            <w:vAlign w:val="center"/>
          </w:tcPr>
          <w:p w14:paraId="025ABD32">
            <w:pPr>
              <w:spacing w:line="360" w:lineRule="auto"/>
              <w:rPr>
                <w:rFonts w:ascii="宋体"/>
                <w:b/>
                <w:sz w:val="20"/>
                <w:highlight w:val="none"/>
              </w:rPr>
            </w:pPr>
          </w:p>
        </w:tc>
        <w:tc>
          <w:tcPr>
            <w:tcW w:w="851" w:type="dxa"/>
            <w:tcBorders>
              <w:left w:val="single" w:color="auto" w:sz="6" w:space="0"/>
            </w:tcBorders>
            <w:vAlign w:val="center"/>
          </w:tcPr>
          <w:p w14:paraId="5789CF24">
            <w:pPr>
              <w:spacing w:line="360" w:lineRule="auto"/>
              <w:rPr>
                <w:rFonts w:ascii="宋体"/>
                <w:b/>
                <w:sz w:val="20"/>
                <w:highlight w:val="none"/>
              </w:rPr>
            </w:pPr>
          </w:p>
        </w:tc>
        <w:tc>
          <w:tcPr>
            <w:tcW w:w="1134" w:type="dxa"/>
            <w:tcBorders>
              <w:left w:val="single" w:color="auto" w:sz="6" w:space="0"/>
            </w:tcBorders>
            <w:vAlign w:val="center"/>
          </w:tcPr>
          <w:p w14:paraId="224D6A1E">
            <w:pPr>
              <w:spacing w:line="360" w:lineRule="auto"/>
              <w:rPr>
                <w:rFonts w:ascii="宋体"/>
                <w:b/>
                <w:sz w:val="20"/>
                <w:highlight w:val="none"/>
              </w:rPr>
            </w:pPr>
          </w:p>
        </w:tc>
        <w:tc>
          <w:tcPr>
            <w:tcW w:w="850" w:type="dxa"/>
            <w:tcBorders>
              <w:left w:val="single" w:color="auto" w:sz="6" w:space="0"/>
            </w:tcBorders>
            <w:vAlign w:val="center"/>
          </w:tcPr>
          <w:p w14:paraId="7A221D90">
            <w:pPr>
              <w:spacing w:line="360" w:lineRule="auto"/>
              <w:rPr>
                <w:rFonts w:ascii="宋体"/>
                <w:b/>
                <w:sz w:val="20"/>
                <w:highlight w:val="none"/>
              </w:rPr>
            </w:pPr>
          </w:p>
        </w:tc>
        <w:tc>
          <w:tcPr>
            <w:tcW w:w="709" w:type="dxa"/>
            <w:tcBorders>
              <w:left w:val="single" w:color="auto" w:sz="6" w:space="0"/>
            </w:tcBorders>
            <w:vAlign w:val="center"/>
          </w:tcPr>
          <w:p w14:paraId="1FEB2E3F">
            <w:pPr>
              <w:spacing w:line="360" w:lineRule="auto"/>
              <w:rPr>
                <w:rFonts w:ascii="宋体"/>
                <w:b/>
                <w:sz w:val="20"/>
                <w:highlight w:val="none"/>
              </w:rPr>
            </w:pPr>
          </w:p>
        </w:tc>
        <w:tc>
          <w:tcPr>
            <w:tcW w:w="1559" w:type="dxa"/>
            <w:tcBorders>
              <w:left w:val="single" w:color="auto" w:sz="6" w:space="0"/>
            </w:tcBorders>
            <w:vAlign w:val="center"/>
          </w:tcPr>
          <w:p w14:paraId="4C1EA380">
            <w:pPr>
              <w:spacing w:line="360" w:lineRule="auto"/>
              <w:rPr>
                <w:rFonts w:ascii="宋体"/>
                <w:b/>
                <w:sz w:val="20"/>
                <w:highlight w:val="none"/>
              </w:rPr>
            </w:pPr>
          </w:p>
        </w:tc>
        <w:tc>
          <w:tcPr>
            <w:tcW w:w="992" w:type="dxa"/>
            <w:tcBorders>
              <w:left w:val="single" w:color="auto" w:sz="6" w:space="0"/>
            </w:tcBorders>
            <w:vAlign w:val="center"/>
          </w:tcPr>
          <w:p w14:paraId="51BA842F">
            <w:pPr>
              <w:spacing w:line="360" w:lineRule="auto"/>
              <w:rPr>
                <w:rFonts w:ascii="宋体"/>
                <w:b/>
                <w:sz w:val="20"/>
                <w:highlight w:val="none"/>
              </w:rPr>
            </w:pPr>
          </w:p>
        </w:tc>
        <w:tc>
          <w:tcPr>
            <w:tcW w:w="1392" w:type="dxa"/>
            <w:tcBorders>
              <w:left w:val="single" w:color="auto" w:sz="6" w:space="0"/>
            </w:tcBorders>
            <w:vAlign w:val="center"/>
          </w:tcPr>
          <w:p w14:paraId="0645A948">
            <w:pPr>
              <w:spacing w:line="360" w:lineRule="auto"/>
              <w:rPr>
                <w:rFonts w:ascii="宋体"/>
                <w:b/>
                <w:sz w:val="20"/>
                <w:highlight w:val="none"/>
              </w:rPr>
            </w:pPr>
          </w:p>
        </w:tc>
      </w:tr>
      <w:tr w14:paraId="0A9EF6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4319BB02">
            <w:pPr>
              <w:spacing w:line="360" w:lineRule="auto"/>
              <w:rPr>
                <w:rFonts w:ascii="宋体"/>
                <w:b/>
                <w:sz w:val="20"/>
                <w:highlight w:val="none"/>
              </w:rPr>
            </w:pPr>
          </w:p>
        </w:tc>
        <w:tc>
          <w:tcPr>
            <w:tcW w:w="703" w:type="dxa"/>
            <w:tcBorders>
              <w:left w:val="single" w:color="auto" w:sz="6" w:space="0"/>
            </w:tcBorders>
            <w:vAlign w:val="center"/>
          </w:tcPr>
          <w:p w14:paraId="5E474FB4">
            <w:pPr>
              <w:spacing w:line="360" w:lineRule="auto"/>
              <w:rPr>
                <w:rFonts w:ascii="宋体"/>
                <w:b/>
                <w:sz w:val="20"/>
                <w:highlight w:val="none"/>
              </w:rPr>
            </w:pPr>
          </w:p>
        </w:tc>
        <w:tc>
          <w:tcPr>
            <w:tcW w:w="851" w:type="dxa"/>
            <w:tcBorders>
              <w:left w:val="single" w:color="auto" w:sz="6" w:space="0"/>
            </w:tcBorders>
            <w:vAlign w:val="center"/>
          </w:tcPr>
          <w:p w14:paraId="1B3AB433">
            <w:pPr>
              <w:spacing w:line="360" w:lineRule="auto"/>
              <w:rPr>
                <w:rFonts w:ascii="宋体"/>
                <w:b/>
                <w:sz w:val="20"/>
                <w:highlight w:val="none"/>
              </w:rPr>
            </w:pPr>
          </w:p>
        </w:tc>
        <w:tc>
          <w:tcPr>
            <w:tcW w:w="1134" w:type="dxa"/>
            <w:tcBorders>
              <w:left w:val="single" w:color="auto" w:sz="6" w:space="0"/>
            </w:tcBorders>
            <w:vAlign w:val="center"/>
          </w:tcPr>
          <w:p w14:paraId="2531DBC8">
            <w:pPr>
              <w:spacing w:line="360" w:lineRule="auto"/>
              <w:rPr>
                <w:rFonts w:ascii="宋体"/>
                <w:b/>
                <w:sz w:val="20"/>
                <w:highlight w:val="none"/>
              </w:rPr>
            </w:pPr>
          </w:p>
        </w:tc>
        <w:tc>
          <w:tcPr>
            <w:tcW w:w="850" w:type="dxa"/>
            <w:tcBorders>
              <w:left w:val="single" w:color="auto" w:sz="6" w:space="0"/>
            </w:tcBorders>
            <w:vAlign w:val="center"/>
          </w:tcPr>
          <w:p w14:paraId="2ADC6B12">
            <w:pPr>
              <w:spacing w:line="360" w:lineRule="auto"/>
              <w:rPr>
                <w:rFonts w:ascii="宋体"/>
                <w:b/>
                <w:sz w:val="20"/>
                <w:highlight w:val="none"/>
              </w:rPr>
            </w:pPr>
          </w:p>
        </w:tc>
        <w:tc>
          <w:tcPr>
            <w:tcW w:w="709" w:type="dxa"/>
            <w:tcBorders>
              <w:left w:val="single" w:color="auto" w:sz="6" w:space="0"/>
            </w:tcBorders>
            <w:vAlign w:val="center"/>
          </w:tcPr>
          <w:p w14:paraId="4643A7F9">
            <w:pPr>
              <w:spacing w:line="360" w:lineRule="auto"/>
              <w:rPr>
                <w:rFonts w:ascii="宋体"/>
                <w:b/>
                <w:sz w:val="20"/>
                <w:highlight w:val="none"/>
              </w:rPr>
            </w:pPr>
          </w:p>
        </w:tc>
        <w:tc>
          <w:tcPr>
            <w:tcW w:w="1559" w:type="dxa"/>
            <w:tcBorders>
              <w:left w:val="single" w:color="auto" w:sz="6" w:space="0"/>
            </w:tcBorders>
            <w:vAlign w:val="center"/>
          </w:tcPr>
          <w:p w14:paraId="2DF429FA">
            <w:pPr>
              <w:spacing w:line="360" w:lineRule="auto"/>
              <w:rPr>
                <w:rFonts w:ascii="宋体"/>
                <w:b/>
                <w:sz w:val="20"/>
                <w:highlight w:val="none"/>
              </w:rPr>
            </w:pPr>
          </w:p>
        </w:tc>
        <w:tc>
          <w:tcPr>
            <w:tcW w:w="992" w:type="dxa"/>
            <w:tcBorders>
              <w:left w:val="single" w:color="auto" w:sz="6" w:space="0"/>
            </w:tcBorders>
            <w:vAlign w:val="center"/>
          </w:tcPr>
          <w:p w14:paraId="78CF3A29">
            <w:pPr>
              <w:spacing w:line="360" w:lineRule="auto"/>
              <w:rPr>
                <w:rFonts w:ascii="宋体"/>
                <w:b/>
                <w:sz w:val="20"/>
                <w:highlight w:val="none"/>
              </w:rPr>
            </w:pPr>
          </w:p>
        </w:tc>
        <w:tc>
          <w:tcPr>
            <w:tcW w:w="1392" w:type="dxa"/>
            <w:tcBorders>
              <w:left w:val="single" w:color="auto" w:sz="6" w:space="0"/>
            </w:tcBorders>
            <w:vAlign w:val="center"/>
          </w:tcPr>
          <w:p w14:paraId="2CD50B77">
            <w:pPr>
              <w:spacing w:line="360" w:lineRule="auto"/>
              <w:rPr>
                <w:rFonts w:ascii="宋体"/>
                <w:b/>
                <w:sz w:val="20"/>
                <w:highlight w:val="none"/>
              </w:rPr>
            </w:pPr>
          </w:p>
        </w:tc>
      </w:tr>
      <w:tr w14:paraId="3937E63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2D331E08">
            <w:pPr>
              <w:spacing w:line="360" w:lineRule="auto"/>
              <w:rPr>
                <w:rFonts w:ascii="宋体"/>
                <w:b/>
                <w:sz w:val="20"/>
                <w:highlight w:val="none"/>
              </w:rPr>
            </w:pPr>
          </w:p>
        </w:tc>
        <w:tc>
          <w:tcPr>
            <w:tcW w:w="703" w:type="dxa"/>
            <w:tcBorders>
              <w:left w:val="single" w:color="auto" w:sz="6" w:space="0"/>
            </w:tcBorders>
            <w:vAlign w:val="center"/>
          </w:tcPr>
          <w:p w14:paraId="03952906">
            <w:pPr>
              <w:spacing w:line="360" w:lineRule="auto"/>
              <w:rPr>
                <w:rFonts w:ascii="宋体"/>
                <w:b/>
                <w:sz w:val="20"/>
                <w:highlight w:val="none"/>
              </w:rPr>
            </w:pPr>
          </w:p>
        </w:tc>
        <w:tc>
          <w:tcPr>
            <w:tcW w:w="851" w:type="dxa"/>
            <w:tcBorders>
              <w:left w:val="single" w:color="auto" w:sz="6" w:space="0"/>
            </w:tcBorders>
            <w:vAlign w:val="center"/>
          </w:tcPr>
          <w:p w14:paraId="2AA7C183">
            <w:pPr>
              <w:spacing w:line="360" w:lineRule="auto"/>
              <w:rPr>
                <w:rFonts w:ascii="宋体"/>
                <w:b/>
                <w:sz w:val="20"/>
                <w:highlight w:val="none"/>
              </w:rPr>
            </w:pPr>
          </w:p>
        </w:tc>
        <w:tc>
          <w:tcPr>
            <w:tcW w:w="1134" w:type="dxa"/>
            <w:tcBorders>
              <w:left w:val="single" w:color="auto" w:sz="6" w:space="0"/>
            </w:tcBorders>
            <w:vAlign w:val="center"/>
          </w:tcPr>
          <w:p w14:paraId="548C1D68">
            <w:pPr>
              <w:spacing w:line="360" w:lineRule="auto"/>
              <w:rPr>
                <w:rFonts w:ascii="宋体"/>
                <w:b/>
                <w:sz w:val="20"/>
                <w:highlight w:val="none"/>
              </w:rPr>
            </w:pPr>
          </w:p>
        </w:tc>
        <w:tc>
          <w:tcPr>
            <w:tcW w:w="850" w:type="dxa"/>
            <w:tcBorders>
              <w:left w:val="single" w:color="auto" w:sz="6" w:space="0"/>
            </w:tcBorders>
            <w:vAlign w:val="center"/>
          </w:tcPr>
          <w:p w14:paraId="203790E0">
            <w:pPr>
              <w:spacing w:line="360" w:lineRule="auto"/>
              <w:rPr>
                <w:rFonts w:ascii="宋体"/>
                <w:b/>
                <w:sz w:val="20"/>
                <w:highlight w:val="none"/>
              </w:rPr>
            </w:pPr>
          </w:p>
        </w:tc>
        <w:tc>
          <w:tcPr>
            <w:tcW w:w="709" w:type="dxa"/>
            <w:tcBorders>
              <w:left w:val="single" w:color="auto" w:sz="6" w:space="0"/>
            </w:tcBorders>
            <w:vAlign w:val="center"/>
          </w:tcPr>
          <w:p w14:paraId="3F56B09F">
            <w:pPr>
              <w:spacing w:line="360" w:lineRule="auto"/>
              <w:rPr>
                <w:rFonts w:ascii="宋体"/>
                <w:b/>
                <w:sz w:val="20"/>
                <w:highlight w:val="none"/>
              </w:rPr>
            </w:pPr>
          </w:p>
        </w:tc>
        <w:tc>
          <w:tcPr>
            <w:tcW w:w="1559" w:type="dxa"/>
            <w:tcBorders>
              <w:left w:val="single" w:color="auto" w:sz="6" w:space="0"/>
            </w:tcBorders>
            <w:vAlign w:val="center"/>
          </w:tcPr>
          <w:p w14:paraId="379D0C6D">
            <w:pPr>
              <w:spacing w:line="360" w:lineRule="auto"/>
              <w:rPr>
                <w:rFonts w:ascii="宋体"/>
                <w:b/>
                <w:sz w:val="20"/>
                <w:highlight w:val="none"/>
              </w:rPr>
            </w:pPr>
          </w:p>
        </w:tc>
        <w:tc>
          <w:tcPr>
            <w:tcW w:w="992" w:type="dxa"/>
            <w:tcBorders>
              <w:left w:val="single" w:color="auto" w:sz="6" w:space="0"/>
            </w:tcBorders>
            <w:vAlign w:val="center"/>
          </w:tcPr>
          <w:p w14:paraId="1D56BE1F">
            <w:pPr>
              <w:spacing w:line="360" w:lineRule="auto"/>
              <w:rPr>
                <w:rFonts w:ascii="宋体"/>
                <w:b/>
                <w:sz w:val="20"/>
                <w:highlight w:val="none"/>
              </w:rPr>
            </w:pPr>
          </w:p>
        </w:tc>
        <w:tc>
          <w:tcPr>
            <w:tcW w:w="1392" w:type="dxa"/>
            <w:tcBorders>
              <w:left w:val="single" w:color="auto" w:sz="6" w:space="0"/>
            </w:tcBorders>
            <w:vAlign w:val="center"/>
          </w:tcPr>
          <w:p w14:paraId="505B1346">
            <w:pPr>
              <w:spacing w:line="360" w:lineRule="auto"/>
              <w:rPr>
                <w:rFonts w:ascii="宋体"/>
                <w:b/>
                <w:sz w:val="20"/>
                <w:highlight w:val="none"/>
              </w:rPr>
            </w:pPr>
          </w:p>
        </w:tc>
      </w:tr>
      <w:tr w14:paraId="7B63E48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6D45C6FE">
            <w:pPr>
              <w:spacing w:line="360" w:lineRule="auto"/>
              <w:rPr>
                <w:rFonts w:ascii="宋体"/>
                <w:b/>
                <w:sz w:val="20"/>
                <w:highlight w:val="none"/>
              </w:rPr>
            </w:pPr>
          </w:p>
        </w:tc>
        <w:tc>
          <w:tcPr>
            <w:tcW w:w="703" w:type="dxa"/>
            <w:tcBorders>
              <w:left w:val="single" w:color="auto" w:sz="6" w:space="0"/>
            </w:tcBorders>
            <w:vAlign w:val="center"/>
          </w:tcPr>
          <w:p w14:paraId="3C5067EA">
            <w:pPr>
              <w:spacing w:line="360" w:lineRule="auto"/>
              <w:rPr>
                <w:rFonts w:ascii="宋体"/>
                <w:b/>
                <w:sz w:val="20"/>
                <w:highlight w:val="none"/>
              </w:rPr>
            </w:pPr>
          </w:p>
        </w:tc>
        <w:tc>
          <w:tcPr>
            <w:tcW w:w="851" w:type="dxa"/>
            <w:tcBorders>
              <w:left w:val="single" w:color="auto" w:sz="6" w:space="0"/>
            </w:tcBorders>
            <w:vAlign w:val="center"/>
          </w:tcPr>
          <w:p w14:paraId="6E109368">
            <w:pPr>
              <w:spacing w:line="360" w:lineRule="auto"/>
              <w:rPr>
                <w:rFonts w:ascii="宋体"/>
                <w:b/>
                <w:sz w:val="20"/>
                <w:highlight w:val="none"/>
              </w:rPr>
            </w:pPr>
          </w:p>
        </w:tc>
        <w:tc>
          <w:tcPr>
            <w:tcW w:w="1134" w:type="dxa"/>
            <w:tcBorders>
              <w:left w:val="single" w:color="auto" w:sz="6" w:space="0"/>
            </w:tcBorders>
            <w:vAlign w:val="center"/>
          </w:tcPr>
          <w:p w14:paraId="42405A19">
            <w:pPr>
              <w:spacing w:line="360" w:lineRule="auto"/>
              <w:rPr>
                <w:rFonts w:ascii="宋体"/>
                <w:b/>
                <w:sz w:val="20"/>
                <w:highlight w:val="none"/>
              </w:rPr>
            </w:pPr>
          </w:p>
        </w:tc>
        <w:tc>
          <w:tcPr>
            <w:tcW w:w="850" w:type="dxa"/>
            <w:tcBorders>
              <w:left w:val="single" w:color="auto" w:sz="6" w:space="0"/>
            </w:tcBorders>
            <w:vAlign w:val="center"/>
          </w:tcPr>
          <w:p w14:paraId="0FCDBD44">
            <w:pPr>
              <w:spacing w:line="360" w:lineRule="auto"/>
              <w:rPr>
                <w:rFonts w:ascii="宋体"/>
                <w:b/>
                <w:sz w:val="20"/>
                <w:highlight w:val="none"/>
              </w:rPr>
            </w:pPr>
          </w:p>
        </w:tc>
        <w:tc>
          <w:tcPr>
            <w:tcW w:w="709" w:type="dxa"/>
            <w:tcBorders>
              <w:left w:val="single" w:color="auto" w:sz="6" w:space="0"/>
            </w:tcBorders>
            <w:vAlign w:val="center"/>
          </w:tcPr>
          <w:p w14:paraId="65AC93C1">
            <w:pPr>
              <w:spacing w:line="360" w:lineRule="auto"/>
              <w:rPr>
                <w:rFonts w:ascii="宋体"/>
                <w:b/>
                <w:sz w:val="20"/>
                <w:highlight w:val="none"/>
              </w:rPr>
            </w:pPr>
          </w:p>
        </w:tc>
        <w:tc>
          <w:tcPr>
            <w:tcW w:w="1559" w:type="dxa"/>
            <w:tcBorders>
              <w:left w:val="single" w:color="auto" w:sz="6" w:space="0"/>
            </w:tcBorders>
            <w:vAlign w:val="center"/>
          </w:tcPr>
          <w:p w14:paraId="4A41FD24">
            <w:pPr>
              <w:spacing w:line="360" w:lineRule="auto"/>
              <w:rPr>
                <w:rFonts w:ascii="宋体"/>
                <w:b/>
                <w:sz w:val="20"/>
                <w:highlight w:val="none"/>
              </w:rPr>
            </w:pPr>
          </w:p>
        </w:tc>
        <w:tc>
          <w:tcPr>
            <w:tcW w:w="992" w:type="dxa"/>
            <w:tcBorders>
              <w:left w:val="single" w:color="auto" w:sz="6" w:space="0"/>
            </w:tcBorders>
            <w:vAlign w:val="center"/>
          </w:tcPr>
          <w:p w14:paraId="5649FB8F">
            <w:pPr>
              <w:spacing w:line="360" w:lineRule="auto"/>
              <w:rPr>
                <w:rFonts w:ascii="宋体"/>
                <w:b/>
                <w:sz w:val="20"/>
                <w:highlight w:val="none"/>
              </w:rPr>
            </w:pPr>
          </w:p>
        </w:tc>
        <w:tc>
          <w:tcPr>
            <w:tcW w:w="1392" w:type="dxa"/>
            <w:tcBorders>
              <w:left w:val="single" w:color="auto" w:sz="6" w:space="0"/>
            </w:tcBorders>
            <w:vAlign w:val="center"/>
          </w:tcPr>
          <w:p w14:paraId="27F01FD3">
            <w:pPr>
              <w:spacing w:line="360" w:lineRule="auto"/>
              <w:rPr>
                <w:rFonts w:ascii="宋体"/>
                <w:b/>
                <w:sz w:val="20"/>
                <w:highlight w:val="none"/>
              </w:rPr>
            </w:pPr>
          </w:p>
        </w:tc>
      </w:tr>
      <w:tr w14:paraId="472DC38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614480B1">
            <w:pPr>
              <w:spacing w:line="360" w:lineRule="auto"/>
              <w:rPr>
                <w:rFonts w:ascii="宋体"/>
                <w:b/>
                <w:sz w:val="20"/>
                <w:highlight w:val="none"/>
              </w:rPr>
            </w:pPr>
          </w:p>
        </w:tc>
        <w:tc>
          <w:tcPr>
            <w:tcW w:w="703" w:type="dxa"/>
            <w:tcBorders>
              <w:left w:val="single" w:color="auto" w:sz="6" w:space="0"/>
            </w:tcBorders>
            <w:vAlign w:val="center"/>
          </w:tcPr>
          <w:p w14:paraId="4F555140">
            <w:pPr>
              <w:spacing w:line="360" w:lineRule="auto"/>
              <w:rPr>
                <w:rFonts w:ascii="宋体"/>
                <w:b/>
                <w:sz w:val="20"/>
                <w:highlight w:val="none"/>
              </w:rPr>
            </w:pPr>
          </w:p>
        </w:tc>
        <w:tc>
          <w:tcPr>
            <w:tcW w:w="851" w:type="dxa"/>
            <w:tcBorders>
              <w:left w:val="single" w:color="auto" w:sz="6" w:space="0"/>
            </w:tcBorders>
            <w:vAlign w:val="center"/>
          </w:tcPr>
          <w:p w14:paraId="531F05CA">
            <w:pPr>
              <w:spacing w:line="360" w:lineRule="auto"/>
              <w:rPr>
                <w:rFonts w:ascii="宋体"/>
                <w:b/>
                <w:sz w:val="20"/>
                <w:highlight w:val="none"/>
              </w:rPr>
            </w:pPr>
          </w:p>
        </w:tc>
        <w:tc>
          <w:tcPr>
            <w:tcW w:w="1134" w:type="dxa"/>
            <w:tcBorders>
              <w:left w:val="single" w:color="auto" w:sz="6" w:space="0"/>
            </w:tcBorders>
            <w:vAlign w:val="center"/>
          </w:tcPr>
          <w:p w14:paraId="0F7EF570">
            <w:pPr>
              <w:spacing w:line="360" w:lineRule="auto"/>
              <w:rPr>
                <w:rFonts w:ascii="宋体"/>
                <w:b/>
                <w:sz w:val="20"/>
                <w:highlight w:val="none"/>
              </w:rPr>
            </w:pPr>
          </w:p>
        </w:tc>
        <w:tc>
          <w:tcPr>
            <w:tcW w:w="850" w:type="dxa"/>
            <w:tcBorders>
              <w:left w:val="single" w:color="auto" w:sz="6" w:space="0"/>
            </w:tcBorders>
            <w:vAlign w:val="center"/>
          </w:tcPr>
          <w:p w14:paraId="762BA032">
            <w:pPr>
              <w:spacing w:line="360" w:lineRule="auto"/>
              <w:rPr>
                <w:rFonts w:ascii="宋体"/>
                <w:b/>
                <w:sz w:val="20"/>
                <w:highlight w:val="none"/>
              </w:rPr>
            </w:pPr>
          </w:p>
        </w:tc>
        <w:tc>
          <w:tcPr>
            <w:tcW w:w="709" w:type="dxa"/>
            <w:tcBorders>
              <w:left w:val="single" w:color="auto" w:sz="6" w:space="0"/>
            </w:tcBorders>
            <w:vAlign w:val="center"/>
          </w:tcPr>
          <w:p w14:paraId="2F7A82ED">
            <w:pPr>
              <w:spacing w:line="360" w:lineRule="auto"/>
              <w:rPr>
                <w:rFonts w:ascii="宋体"/>
                <w:b/>
                <w:sz w:val="20"/>
                <w:highlight w:val="none"/>
              </w:rPr>
            </w:pPr>
          </w:p>
        </w:tc>
        <w:tc>
          <w:tcPr>
            <w:tcW w:w="1559" w:type="dxa"/>
            <w:tcBorders>
              <w:left w:val="single" w:color="auto" w:sz="6" w:space="0"/>
            </w:tcBorders>
            <w:vAlign w:val="center"/>
          </w:tcPr>
          <w:p w14:paraId="70220180">
            <w:pPr>
              <w:spacing w:line="360" w:lineRule="auto"/>
              <w:rPr>
                <w:rFonts w:ascii="宋体"/>
                <w:b/>
                <w:sz w:val="20"/>
                <w:highlight w:val="none"/>
              </w:rPr>
            </w:pPr>
          </w:p>
        </w:tc>
        <w:tc>
          <w:tcPr>
            <w:tcW w:w="992" w:type="dxa"/>
            <w:tcBorders>
              <w:left w:val="single" w:color="auto" w:sz="6" w:space="0"/>
            </w:tcBorders>
            <w:vAlign w:val="center"/>
          </w:tcPr>
          <w:p w14:paraId="40EAAC84">
            <w:pPr>
              <w:spacing w:line="360" w:lineRule="auto"/>
              <w:rPr>
                <w:rFonts w:ascii="宋体"/>
                <w:b/>
                <w:sz w:val="20"/>
                <w:highlight w:val="none"/>
              </w:rPr>
            </w:pPr>
          </w:p>
        </w:tc>
        <w:tc>
          <w:tcPr>
            <w:tcW w:w="1392" w:type="dxa"/>
            <w:tcBorders>
              <w:left w:val="single" w:color="auto" w:sz="6" w:space="0"/>
            </w:tcBorders>
            <w:vAlign w:val="center"/>
          </w:tcPr>
          <w:p w14:paraId="40B957B8">
            <w:pPr>
              <w:spacing w:line="360" w:lineRule="auto"/>
              <w:rPr>
                <w:rFonts w:ascii="宋体"/>
                <w:b/>
                <w:sz w:val="20"/>
                <w:highlight w:val="none"/>
              </w:rPr>
            </w:pPr>
          </w:p>
        </w:tc>
      </w:tr>
      <w:tr w14:paraId="589AD98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627F4E01">
            <w:pPr>
              <w:spacing w:line="360" w:lineRule="auto"/>
              <w:rPr>
                <w:rFonts w:ascii="宋体"/>
                <w:b/>
                <w:sz w:val="20"/>
                <w:highlight w:val="none"/>
              </w:rPr>
            </w:pPr>
          </w:p>
        </w:tc>
        <w:tc>
          <w:tcPr>
            <w:tcW w:w="703" w:type="dxa"/>
            <w:tcBorders>
              <w:left w:val="single" w:color="auto" w:sz="6" w:space="0"/>
            </w:tcBorders>
            <w:vAlign w:val="center"/>
          </w:tcPr>
          <w:p w14:paraId="08A250E0">
            <w:pPr>
              <w:spacing w:line="360" w:lineRule="auto"/>
              <w:rPr>
                <w:rFonts w:ascii="宋体"/>
                <w:b/>
                <w:sz w:val="20"/>
                <w:highlight w:val="none"/>
              </w:rPr>
            </w:pPr>
          </w:p>
        </w:tc>
        <w:tc>
          <w:tcPr>
            <w:tcW w:w="851" w:type="dxa"/>
            <w:tcBorders>
              <w:left w:val="single" w:color="auto" w:sz="6" w:space="0"/>
            </w:tcBorders>
            <w:vAlign w:val="center"/>
          </w:tcPr>
          <w:p w14:paraId="396C7937">
            <w:pPr>
              <w:spacing w:line="360" w:lineRule="auto"/>
              <w:rPr>
                <w:rFonts w:ascii="宋体"/>
                <w:b/>
                <w:sz w:val="20"/>
                <w:highlight w:val="none"/>
              </w:rPr>
            </w:pPr>
          </w:p>
        </w:tc>
        <w:tc>
          <w:tcPr>
            <w:tcW w:w="1134" w:type="dxa"/>
            <w:tcBorders>
              <w:left w:val="single" w:color="auto" w:sz="6" w:space="0"/>
            </w:tcBorders>
            <w:vAlign w:val="center"/>
          </w:tcPr>
          <w:p w14:paraId="7464B27D">
            <w:pPr>
              <w:spacing w:line="360" w:lineRule="auto"/>
              <w:rPr>
                <w:rFonts w:ascii="宋体"/>
                <w:b/>
                <w:sz w:val="20"/>
                <w:highlight w:val="none"/>
              </w:rPr>
            </w:pPr>
          </w:p>
        </w:tc>
        <w:tc>
          <w:tcPr>
            <w:tcW w:w="850" w:type="dxa"/>
            <w:tcBorders>
              <w:left w:val="single" w:color="auto" w:sz="6" w:space="0"/>
            </w:tcBorders>
            <w:vAlign w:val="center"/>
          </w:tcPr>
          <w:p w14:paraId="64DE9B27">
            <w:pPr>
              <w:spacing w:line="360" w:lineRule="auto"/>
              <w:rPr>
                <w:rFonts w:ascii="宋体"/>
                <w:b/>
                <w:sz w:val="20"/>
                <w:highlight w:val="none"/>
              </w:rPr>
            </w:pPr>
          </w:p>
        </w:tc>
        <w:tc>
          <w:tcPr>
            <w:tcW w:w="709" w:type="dxa"/>
            <w:tcBorders>
              <w:left w:val="single" w:color="auto" w:sz="6" w:space="0"/>
            </w:tcBorders>
            <w:vAlign w:val="center"/>
          </w:tcPr>
          <w:p w14:paraId="0670FEC5">
            <w:pPr>
              <w:spacing w:line="360" w:lineRule="auto"/>
              <w:rPr>
                <w:rFonts w:ascii="宋体"/>
                <w:b/>
                <w:sz w:val="20"/>
                <w:highlight w:val="none"/>
              </w:rPr>
            </w:pPr>
          </w:p>
        </w:tc>
        <w:tc>
          <w:tcPr>
            <w:tcW w:w="1559" w:type="dxa"/>
            <w:tcBorders>
              <w:left w:val="single" w:color="auto" w:sz="6" w:space="0"/>
            </w:tcBorders>
            <w:vAlign w:val="center"/>
          </w:tcPr>
          <w:p w14:paraId="1AA3D6F5">
            <w:pPr>
              <w:spacing w:line="360" w:lineRule="auto"/>
              <w:rPr>
                <w:rFonts w:ascii="宋体"/>
                <w:b/>
                <w:sz w:val="20"/>
                <w:highlight w:val="none"/>
              </w:rPr>
            </w:pPr>
          </w:p>
        </w:tc>
        <w:tc>
          <w:tcPr>
            <w:tcW w:w="992" w:type="dxa"/>
            <w:tcBorders>
              <w:left w:val="single" w:color="auto" w:sz="6" w:space="0"/>
            </w:tcBorders>
            <w:vAlign w:val="center"/>
          </w:tcPr>
          <w:p w14:paraId="76AF12F9">
            <w:pPr>
              <w:spacing w:line="360" w:lineRule="auto"/>
              <w:rPr>
                <w:rFonts w:ascii="宋体"/>
                <w:b/>
                <w:sz w:val="20"/>
                <w:highlight w:val="none"/>
              </w:rPr>
            </w:pPr>
          </w:p>
        </w:tc>
        <w:tc>
          <w:tcPr>
            <w:tcW w:w="1392" w:type="dxa"/>
            <w:tcBorders>
              <w:left w:val="single" w:color="auto" w:sz="6" w:space="0"/>
            </w:tcBorders>
            <w:vAlign w:val="center"/>
          </w:tcPr>
          <w:p w14:paraId="5CABCC3A">
            <w:pPr>
              <w:spacing w:line="360" w:lineRule="auto"/>
              <w:rPr>
                <w:rFonts w:ascii="宋体"/>
                <w:b/>
                <w:sz w:val="20"/>
                <w:highlight w:val="none"/>
              </w:rPr>
            </w:pPr>
          </w:p>
        </w:tc>
      </w:tr>
      <w:tr w14:paraId="1E71DB0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54B3AE87">
            <w:pPr>
              <w:spacing w:line="360" w:lineRule="auto"/>
              <w:rPr>
                <w:rFonts w:ascii="宋体"/>
                <w:b/>
                <w:sz w:val="20"/>
                <w:highlight w:val="none"/>
              </w:rPr>
            </w:pPr>
          </w:p>
        </w:tc>
        <w:tc>
          <w:tcPr>
            <w:tcW w:w="703" w:type="dxa"/>
            <w:tcBorders>
              <w:left w:val="single" w:color="auto" w:sz="6" w:space="0"/>
            </w:tcBorders>
            <w:vAlign w:val="center"/>
          </w:tcPr>
          <w:p w14:paraId="73039A7F">
            <w:pPr>
              <w:spacing w:line="360" w:lineRule="auto"/>
              <w:rPr>
                <w:rFonts w:ascii="宋体"/>
                <w:b/>
                <w:sz w:val="20"/>
                <w:highlight w:val="none"/>
              </w:rPr>
            </w:pPr>
          </w:p>
        </w:tc>
        <w:tc>
          <w:tcPr>
            <w:tcW w:w="851" w:type="dxa"/>
            <w:tcBorders>
              <w:left w:val="single" w:color="auto" w:sz="6" w:space="0"/>
            </w:tcBorders>
            <w:vAlign w:val="center"/>
          </w:tcPr>
          <w:p w14:paraId="3A853A02">
            <w:pPr>
              <w:spacing w:line="360" w:lineRule="auto"/>
              <w:rPr>
                <w:rFonts w:ascii="宋体"/>
                <w:b/>
                <w:sz w:val="20"/>
                <w:highlight w:val="none"/>
              </w:rPr>
            </w:pPr>
          </w:p>
        </w:tc>
        <w:tc>
          <w:tcPr>
            <w:tcW w:w="1134" w:type="dxa"/>
            <w:tcBorders>
              <w:left w:val="single" w:color="auto" w:sz="6" w:space="0"/>
            </w:tcBorders>
            <w:vAlign w:val="center"/>
          </w:tcPr>
          <w:p w14:paraId="7A0CB5CB">
            <w:pPr>
              <w:spacing w:line="360" w:lineRule="auto"/>
              <w:rPr>
                <w:rFonts w:ascii="宋体"/>
                <w:b/>
                <w:sz w:val="20"/>
                <w:highlight w:val="none"/>
              </w:rPr>
            </w:pPr>
          </w:p>
        </w:tc>
        <w:tc>
          <w:tcPr>
            <w:tcW w:w="850" w:type="dxa"/>
            <w:tcBorders>
              <w:left w:val="single" w:color="auto" w:sz="6" w:space="0"/>
            </w:tcBorders>
            <w:vAlign w:val="center"/>
          </w:tcPr>
          <w:p w14:paraId="39AAF2B4">
            <w:pPr>
              <w:spacing w:line="360" w:lineRule="auto"/>
              <w:rPr>
                <w:rFonts w:ascii="宋体"/>
                <w:b/>
                <w:sz w:val="20"/>
                <w:highlight w:val="none"/>
              </w:rPr>
            </w:pPr>
          </w:p>
        </w:tc>
        <w:tc>
          <w:tcPr>
            <w:tcW w:w="709" w:type="dxa"/>
            <w:tcBorders>
              <w:left w:val="single" w:color="auto" w:sz="6" w:space="0"/>
            </w:tcBorders>
            <w:vAlign w:val="center"/>
          </w:tcPr>
          <w:p w14:paraId="24D2100F">
            <w:pPr>
              <w:spacing w:line="360" w:lineRule="auto"/>
              <w:rPr>
                <w:rFonts w:ascii="宋体"/>
                <w:b/>
                <w:sz w:val="20"/>
                <w:highlight w:val="none"/>
              </w:rPr>
            </w:pPr>
          </w:p>
        </w:tc>
        <w:tc>
          <w:tcPr>
            <w:tcW w:w="1559" w:type="dxa"/>
            <w:tcBorders>
              <w:left w:val="single" w:color="auto" w:sz="6" w:space="0"/>
            </w:tcBorders>
            <w:vAlign w:val="center"/>
          </w:tcPr>
          <w:p w14:paraId="535A10C9">
            <w:pPr>
              <w:spacing w:line="360" w:lineRule="auto"/>
              <w:rPr>
                <w:rFonts w:ascii="宋体"/>
                <w:b/>
                <w:sz w:val="20"/>
                <w:highlight w:val="none"/>
              </w:rPr>
            </w:pPr>
          </w:p>
        </w:tc>
        <w:tc>
          <w:tcPr>
            <w:tcW w:w="992" w:type="dxa"/>
            <w:tcBorders>
              <w:left w:val="single" w:color="auto" w:sz="6" w:space="0"/>
            </w:tcBorders>
            <w:vAlign w:val="center"/>
          </w:tcPr>
          <w:p w14:paraId="0E071801">
            <w:pPr>
              <w:spacing w:line="360" w:lineRule="auto"/>
              <w:rPr>
                <w:rFonts w:ascii="宋体"/>
                <w:b/>
                <w:sz w:val="20"/>
                <w:highlight w:val="none"/>
              </w:rPr>
            </w:pPr>
          </w:p>
        </w:tc>
        <w:tc>
          <w:tcPr>
            <w:tcW w:w="1392" w:type="dxa"/>
            <w:tcBorders>
              <w:left w:val="single" w:color="auto" w:sz="6" w:space="0"/>
            </w:tcBorders>
            <w:vAlign w:val="center"/>
          </w:tcPr>
          <w:p w14:paraId="59819D0A">
            <w:pPr>
              <w:spacing w:line="360" w:lineRule="auto"/>
              <w:rPr>
                <w:rFonts w:ascii="宋体"/>
                <w:b/>
                <w:sz w:val="20"/>
                <w:highlight w:val="none"/>
              </w:rPr>
            </w:pPr>
          </w:p>
        </w:tc>
      </w:tr>
      <w:tr w14:paraId="4E7075C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165EEB15">
            <w:pPr>
              <w:spacing w:line="360" w:lineRule="auto"/>
              <w:rPr>
                <w:rFonts w:ascii="宋体"/>
                <w:b/>
                <w:sz w:val="20"/>
                <w:highlight w:val="none"/>
              </w:rPr>
            </w:pPr>
          </w:p>
        </w:tc>
        <w:tc>
          <w:tcPr>
            <w:tcW w:w="703" w:type="dxa"/>
            <w:tcBorders>
              <w:left w:val="single" w:color="auto" w:sz="6" w:space="0"/>
            </w:tcBorders>
            <w:vAlign w:val="center"/>
          </w:tcPr>
          <w:p w14:paraId="421DD680">
            <w:pPr>
              <w:spacing w:line="360" w:lineRule="auto"/>
              <w:rPr>
                <w:rFonts w:ascii="宋体"/>
                <w:b/>
                <w:sz w:val="20"/>
                <w:highlight w:val="none"/>
              </w:rPr>
            </w:pPr>
          </w:p>
        </w:tc>
        <w:tc>
          <w:tcPr>
            <w:tcW w:w="851" w:type="dxa"/>
            <w:tcBorders>
              <w:left w:val="single" w:color="auto" w:sz="6" w:space="0"/>
            </w:tcBorders>
            <w:vAlign w:val="center"/>
          </w:tcPr>
          <w:p w14:paraId="62C958B8">
            <w:pPr>
              <w:spacing w:line="360" w:lineRule="auto"/>
              <w:rPr>
                <w:rFonts w:ascii="宋体"/>
                <w:b/>
                <w:sz w:val="20"/>
                <w:highlight w:val="none"/>
              </w:rPr>
            </w:pPr>
          </w:p>
        </w:tc>
        <w:tc>
          <w:tcPr>
            <w:tcW w:w="1134" w:type="dxa"/>
            <w:tcBorders>
              <w:left w:val="single" w:color="auto" w:sz="6" w:space="0"/>
            </w:tcBorders>
            <w:vAlign w:val="center"/>
          </w:tcPr>
          <w:p w14:paraId="2B4ACEB2">
            <w:pPr>
              <w:spacing w:line="360" w:lineRule="auto"/>
              <w:rPr>
                <w:rFonts w:ascii="宋体"/>
                <w:b/>
                <w:sz w:val="20"/>
                <w:highlight w:val="none"/>
              </w:rPr>
            </w:pPr>
          </w:p>
        </w:tc>
        <w:tc>
          <w:tcPr>
            <w:tcW w:w="850" w:type="dxa"/>
            <w:tcBorders>
              <w:left w:val="single" w:color="auto" w:sz="6" w:space="0"/>
            </w:tcBorders>
            <w:vAlign w:val="center"/>
          </w:tcPr>
          <w:p w14:paraId="1DA67BC6">
            <w:pPr>
              <w:spacing w:line="360" w:lineRule="auto"/>
              <w:rPr>
                <w:rFonts w:ascii="宋体"/>
                <w:b/>
                <w:sz w:val="20"/>
                <w:highlight w:val="none"/>
              </w:rPr>
            </w:pPr>
          </w:p>
        </w:tc>
        <w:tc>
          <w:tcPr>
            <w:tcW w:w="709" w:type="dxa"/>
            <w:tcBorders>
              <w:left w:val="single" w:color="auto" w:sz="6" w:space="0"/>
            </w:tcBorders>
            <w:vAlign w:val="center"/>
          </w:tcPr>
          <w:p w14:paraId="32E9300D">
            <w:pPr>
              <w:spacing w:line="360" w:lineRule="auto"/>
              <w:rPr>
                <w:rFonts w:ascii="宋体"/>
                <w:b/>
                <w:sz w:val="20"/>
                <w:highlight w:val="none"/>
              </w:rPr>
            </w:pPr>
          </w:p>
        </w:tc>
        <w:tc>
          <w:tcPr>
            <w:tcW w:w="1559" w:type="dxa"/>
            <w:tcBorders>
              <w:left w:val="single" w:color="auto" w:sz="6" w:space="0"/>
            </w:tcBorders>
            <w:vAlign w:val="center"/>
          </w:tcPr>
          <w:p w14:paraId="7FFB609D">
            <w:pPr>
              <w:spacing w:line="360" w:lineRule="auto"/>
              <w:rPr>
                <w:rFonts w:ascii="宋体"/>
                <w:b/>
                <w:sz w:val="20"/>
                <w:highlight w:val="none"/>
              </w:rPr>
            </w:pPr>
          </w:p>
        </w:tc>
        <w:tc>
          <w:tcPr>
            <w:tcW w:w="992" w:type="dxa"/>
            <w:tcBorders>
              <w:left w:val="single" w:color="auto" w:sz="6" w:space="0"/>
            </w:tcBorders>
            <w:vAlign w:val="center"/>
          </w:tcPr>
          <w:p w14:paraId="40A73546">
            <w:pPr>
              <w:spacing w:line="360" w:lineRule="auto"/>
              <w:rPr>
                <w:rFonts w:ascii="宋体"/>
                <w:b/>
                <w:sz w:val="20"/>
                <w:highlight w:val="none"/>
              </w:rPr>
            </w:pPr>
          </w:p>
        </w:tc>
        <w:tc>
          <w:tcPr>
            <w:tcW w:w="1392" w:type="dxa"/>
            <w:tcBorders>
              <w:left w:val="single" w:color="auto" w:sz="6" w:space="0"/>
            </w:tcBorders>
            <w:vAlign w:val="center"/>
          </w:tcPr>
          <w:p w14:paraId="4ED53ED9">
            <w:pPr>
              <w:spacing w:line="360" w:lineRule="auto"/>
              <w:rPr>
                <w:rFonts w:ascii="宋体"/>
                <w:b/>
                <w:sz w:val="20"/>
                <w:highlight w:val="none"/>
              </w:rPr>
            </w:pPr>
          </w:p>
        </w:tc>
      </w:tr>
      <w:tr w14:paraId="347D5FA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3EAE5EF1">
            <w:pPr>
              <w:spacing w:line="360" w:lineRule="auto"/>
              <w:rPr>
                <w:rFonts w:ascii="宋体"/>
                <w:b/>
                <w:sz w:val="20"/>
                <w:highlight w:val="none"/>
              </w:rPr>
            </w:pPr>
          </w:p>
        </w:tc>
        <w:tc>
          <w:tcPr>
            <w:tcW w:w="703" w:type="dxa"/>
            <w:tcBorders>
              <w:left w:val="single" w:color="auto" w:sz="6" w:space="0"/>
            </w:tcBorders>
            <w:vAlign w:val="center"/>
          </w:tcPr>
          <w:p w14:paraId="1FB8A27A">
            <w:pPr>
              <w:spacing w:line="360" w:lineRule="auto"/>
              <w:rPr>
                <w:rFonts w:ascii="宋体"/>
                <w:b/>
                <w:sz w:val="20"/>
                <w:highlight w:val="none"/>
              </w:rPr>
            </w:pPr>
          </w:p>
        </w:tc>
        <w:tc>
          <w:tcPr>
            <w:tcW w:w="851" w:type="dxa"/>
            <w:tcBorders>
              <w:left w:val="single" w:color="auto" w:sz="6" w:space="0"/>
            </w:tcBorders>
            <w:vAlign w:val="center"/>
          </w:tcPr>
          <w:p w14:paraId="1A5549F3">
            <w:pPr>
              <w:spacing w:line="360" w:lineRule="auto"/>
              <w:rPr>
                <w:rFonts w:ascii="宋体"/>
                <w:b/>
                <w:sz w:val="20"/>
                <w:highlight w:val="none"/>
              </w:rPr>
            </w:pPr>
          </w:p>
        </w:tc>
        <w:tc>
          <w:tcPr>
            <w:tcW w:w="1134" w:type="dxa"/>
            <w:tcBorders>
              <w:left w:val="single" w:color="auto" w:sz="6" w:space="0"/>
            </w:tcBorders>
            <w:vAlign w:val="center"/>
          </w:tcPr>
          <w:p w14:paraId="25648DB0">
            <w:pPr>
              <w:spacing w:line="360" w:lineRule="auto"/>
              <w:rPr>
                <w:rFonts w:ascii="宋体"/>
                <w:b/>
                <w:sz w:val="20"/>
                <w:highlight w:val="none"/>
              </w:rPr>
            </w:pPr>
          </w:p>
        </w:tc>
        <w:tc>
          <w:tcPr>
            <w:tcW w:w="850" w:type="dxa"/>
            <w:tcBorders>
              <w:left w:val="single" w:color="auto" w:sz="6" w:space="0"/>
            </w:tcBorders>
            <w:vAlign w:val="center"/>
          </w:tcPr>
          <w:p w14:paraId="0F8DB177">
            <w:pPr>
              <w:spacing w:line="360" w:lineRule="auto"/>
              <w:rPr>
                <w:rFonts w:ascii="宋体"/>
                <w:b/>
                <w:sz w:val="20"/>
                <w:highlight w:val="none"/>
              </w:rPr>
            </w:pPr>
          </w:p>
        </w:tc>
        <w:tc>
          <w:tcPr>
            <w:tcW w:w="709" w:type="dxa"/>
            <w:tcBorders>
              <w:left w:val="single" w:color="auto" w:sz="6" w:space="0"/>
            </w:tcBorders>
            <w:vAlign w:val="center"/>
          </w:tcPr>
          <w:p w14:paraId="75F41BFE">
            <w:pPr>
              <w:spacing w:line="360" w:lineRule="auto"/>
              <w:rPr>
                <w:rFonts w:ascii="宋体"/>
                <w:b/>
                <w:sz w:val="20"/>
                <w:highlight w:val="none"/>
              </w:rPr>
            </w:pPr>
          </w:p>
        </w:tc>
        <w:tc>
          <w:tcPr>
            <w:tcW w:w="1559" w:type="dxa"/>
            <w:tcBorders>
              <w:left w:val="single" w:color="auto" w:sz="6" w:space="0"/>
            </w:tcBorders>
            <w:vAlign w:val="center"/>
          </w:tcPr>
          <w:p w14:paraId="072855CA">
            <w:pPr>
              <w:spacing w:line="360" w:lineRule="auto"/>
              <w:rPr>
                <w:rFonts w:ascii="宋体"/>
                <w:b/>
                <w:sz w:val="20"/>
                <w:highlight w:val="none"/>
              </w:rPr>
            </w:pPr>
          </w:p>
        </w:tc>
        <w:tc>
          <w:tcPr>
            <w:tcW w:w="992" w:type="dxa"/>
            <w:tcBorders>
              <w:left w:val="single" w:color="auto" w:sz="6" w:space="0"/>
            </w:tcBorders>
            <w:vAlign w:val="center"/>
          </w:tcPr>
          <w:p w14:paraId="1F9297E1">
            <w:pPr>
              <w:spacing w:line="360" w:lineRule="auto"/>
              <w:rPr>
                <w:rFonts w:ascii="宋体"/>
                <w:b/>
                <w:sz w:val="20"/>
                <w:highlight w:val="none"/>
              </w:rPr>
            </w:pPr>
          </w:p>
        </w:tc>
        <w:tc>
          <w:tcPr>
            <w:tcW w:w="1392" w:type="dxa"/>
            <w:tcBorders>
              <w:left w:val="single" w:color="auto" w:sz="6" w:space="0"/>
            </w:tcBorders>
            <w:vAlign w:val="center"/>
          </w:tcPr>
          <w:p w14:paraId="2EC9BD7F">
            <w:pPr>
              <w:spacing w:line="360" w:lineRule="auto"/>
              <w:rPr>
                <w:rFonts w:ascii="宋体"/>
                <w:b/>
                <w:sz w:val="20"/>
                <w:highlight w:val="none"/>
              </w:rPr>
            </w:pPr>
          </w:p>
        </w:tc>
      </w:tr>
      <w:tr w14:paraId="0B2F693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2D5AB4C0">
            <w:pPr>
              <w:spacing w:line="360" w:lineRule="auto"/>
              <w:rPr>
                <w:rFonts w:ascii="宋体"/>
                <w:b/>
                <w:sz w:val="20"/>
                <w:highlight w:val="none"/>
              </w:rPr>
            </w:pPr>
          </w:p>
        </w:tc>
        <w:tc>
          <w:tcPr>
            <w:tcW w:w="703" w:type="dxa"/>
            <w:tcBorders>
              <w:left w:val="single" w:color="auto" w:sz="6" w:space="0"/>
            </w:tcBorders>
            <w:vAlign w:val="center"/>
          </w:tcPr>
          <w:p w14:paraId="4DF73210">
            <w:pPr>
              <w:spacing w:line="360" w:lineRule="auto"/>
              <w:rPr>
                <w:rFonts w:ascii="宋体"/>
                <w:b/>
                <w:sz w:val="20"/>
                <w:highlight w:val="none"/>
              </w:rPr>
            </w:pPr>
          </w:p>
        </w:tc>
        <w:tc>
          <w:tcPr>
            <w:tcW w:w="851" w:type="dxa"/>
            <w:tcBorders>
              <w:left w:val="single" w:color="auto" w:sz="6" w:space="0"/>
            </w:tcBorders>
            <w:vAlign w:val="center"/>
          </w:tcPr>
          <w:p w14:paraId="525854A0">
            <w:pPr>
              <w:spacing w:line="360" w:lineRule="auto"/>
              <w:rPr>
                <w:rFonts w:ascii="宋体"/>
                <w:b/>
                <w:sz w:val="20"/>
                <w:highlight w:val="none"/>
              </w:rPr>
            </w:pPr>
          </w:p>
        </w:tc>
        <w:tc>
          <w:tcPr>
            <w:tcW w:w="1134" w:type="dxa"/>
            <w:tcBorders>
              <w:left w:val="single" w:color="auto" w:sz="6" w:space="0"/>
            </w:tcBorders>
            <w:vAlign w:val="center"/>
          </w:tcPr>
          <w:p w14:paraId="15BB0A6C">
            <w:pPr>
              <w:spacing w:line="360" w:lineRule="auto"/>
              <w:rPr>
                <w:rFonts w:ascii="宋体"/>
                <w:b/>
                <w:sz w:val="20"/>
                <w:highlight w:val="none"/>
              </w:rPr>
            </w:pPr>
          </w:p>
        </w:tc>
        <w:tc>
          <w:tcPr>
            <w:tcW w:w="850" w:type="dxa"/>
            <w:tcBorders>
              <w:left w:val="single" w:color="auto" w:sz="6" w:space="0"/>
            </w:tcBorders>
            <w:vAlign w:val="center"/>
          </w:tcPr>
          <w:p w14:paraId="652C123C">
            <w:pPr>
              <w:spacing w:line="360" w:lineRule="auto"/>
              <w:rPr>
                <w:rFonts w:ascii="宋体"/>
                <w:b/>
                <w:sz w:val="20"/>
                <w:highlight w:val="none"/>
              </w:rPr>
            </w:pPr>
          </w:p>
        </w:tc>
        <w:tc>
          <w:tcPr>
            <w:tcW w:w="709" w:type="dxa"/>
            <w:tcBorders>
              <w:left w:val="single" w:color="auto" w:sz="6" w:space="0"/>
            </w:tcBorders>
            <w:vAlign w:val="center"/>
          </w:tcPr>
          <w:p w14:paraId="78EE8639">
            <w:pPr>
              <w:spacing w:line="360" w:lineRule="auto"/>
              <w:rPr>
                <w:rFonts w:ascii="宋体"/>
                <w:b/>
                <w:sz w:val="20"/>
                <w:highlight w:val="none"/>
              </w:rPr>
            </w:pPr>
          </w:p>
        </w:tc>
        <w:tc>
          <w:tcPr>
            <w:tcW w:w="1559" w:type="dxa"/>
            <w:tcBorders>
              <w:left w:val="single" w:color="auto" w:sz="6" w:space="0"/>
            </w:tcBorders>
            <w:vAlign w:val="center"/>
          </w:tcPr>
          <w:p w14:paraId="44FD1A43">
            <w:pPr>
              <w:spacing w:line="360" w:lineRule="auto"/>
              <w:rPr>
                <w:rFonts w:ascii="宋体"/>
                <w:b/>
                <w:sz w:val="20"/>
                <w:highlight w:val="none"/>
              </w:rPr>
            </w:pPr>
          </w:p>
        </w:tc>
        <w:tc>
          <w:tcPr>
            <w:tcW w:w="992" w:type="dxa"/>
            <w:tcBorders>
              <w:left w:val="single" w:color="auto" w:sz="6" w:space="0"/>
            </w:tcBorders>
            <w:vAlign w:val="center"/>
          </w:tcPr>
          <w:p w14:paraId="75976211">
            <w:pPr>
              <w:spacing w:line="360" w:lineRule="auto"/>
              <w:rPr>
                <w:rFonts w:ascii="宋体"/>
                <w:b/>
                <w:sz w:val="20"/>
                <w:highlight w:val="none"/>
              </w:rPr>
            </w:pPr>
          </w:p>
        </w:tc>
        <w:tc>
          <w:tcPr>
            <w:tcW w:w="1392" w:type="dxa"/>
            <w:tcBorders>
              <w:left w:val="single" w:color="auto" w:sz="6" w:space="0"/>
            </w:tcBorders>
            <w:vAlign w:val="center"/>
          </w:tcPr>
          <w:p w14:paraId="36B2925B">
            <w:pPr>
              <w:spacing w:line="360" w:lineRule="auto"/>
              <w:rPr>
                <w:rFonts w:ascii="宋体"/>
                <w:b/>
                <w:sz w:val="20"/>
                <w:highlight w:val="none"/>
              </w:rPr>
            </w:pPr>
          </w:p>
        </w:tc>
      </w:tr>
      <w:tr w14:paraId="6855C01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jc w:val="center"/>
        </w:trPr>
        <w:tc>
          <w:tcPr>
            <w:tcW w:w="1140" w:type="dxa"/>
            <w:vAlign w:val="center"/>
          </w:tcPr>
          <w:p w14:paraId="5447479B">
            <w:pPr>
              <w:spacing w:line="360" w:lineRule="auto"/>
              <w:rPr>
                <w:rFonts w:ascii="宋体"/>
                <w:b/>
                <w:sz w:val="20"/>
                <w:highlight w:val="none"/>
              </w:rPr>
            </w:pPr>
          </w:p>
        </w:tc>
        <w:tc>
          <w:tcPr>
            <w:tcW w:w="703" w:type="dxa"/>
            <w:tcBorders>
              <w:left w:val="single" w:color="auto" w:sz="6" w:space="0"/>
            </w:tcBorders>
            <w:vAlign w:val="center"/>
          </w:tcPr>
          <w:p w14:paraId="4C69EDD5">
            <w:pPr>
              <w:spacing w:line="360" w:lineRule="auto"/>
              <w:rPr>
                <w:rFonts w:ascii="宋体"/>
                <w:b/>
                <w:sz w:val="20"/>
                <w:highlight w:val="none"/>
              </w:rPr>
            </w:pPr>
          </w:p>
        </w:tc>
        <w:tc>
          <w:tcPr>
            <w:tcW w:w="851" w:type="dxa"/>
            <w:tcBorders>
              <w:left w:val="single" w:color="auto" w:sz="6" w:space="0"/>
            </w:tcBorders>
            <w:vAlign w:val="center"/>
          </w:tcPr>
          <w:p w14:paraId="244136B5">
            <w:pPr>
              <w:spacing w:line="360" w:lineRule="auto"/>
              <w:rPr>
                <w:rFonts w:ascii="宋体"/>
                <w:b/>
                <w:sz w:val="20"/>
                <w:highlight w:val="none"/>
              </w:rPr>
            </w:pPr>
          </w:p>
        </w:tc>
        <w:tc>
          <w:tcPr>
            <w:tcW w:w="1134" w:type="dxa"/>
            <w:tcBorders>
              <w:left w:val="single" w:color="auto" w:sz="6" w:space="0"/>
            </w:tcBorders>
            <w:vAlign w:val="center"/>
          </w:tcPr>
          <w:p w14:paraId="4F26CA7B">
            <w:pPr>
              <w:spacing w:line="360" w:lineRule="auto"/>
              <w:rPr>
                <w:rFonts w:ascii="宋体"/>
                <w:b/>
                <w:sz w:val="20"/>
                <w:highlight w:val="none"/>
              </w:rPr>
            </w:pPr>
          </w:p>
        </w:tc>
        <w:tc>
          <w:tcPr>
            <w:tcW w:w="850" w:type="dxa"/>
            <w:tcBorders>
              <w:left w:val="single" w:color="auto" w:sz="6" w:space="0"/>
            </w:tcBorders>
            <w:vAlign w:val="center"/>
          </w:tcPr>
          <w:p w14:paraId="0FB43064">
            <w:pPr>
              <w:spacing w:line="360" w:lineRule="auto"/>
              <w:rPr>
                <w:rFonts w:ascii="宋体"/>
                <w:b/>
                <w:sz w:val="20"/>
                <w:highlight w:val="none"/>
              </w:rPr>
            </w:pPr>
          </w:p>
        </w:tc>
        <w:tc>
          <w:tcPr>
            <w:tcW w:w="709" w:type="dxa"/>
            <w:tcBorders>
              <w:left w:val="single" w:color="auto" w:sz="6" w:space="0"/>
            </w:tcBorders>
            <w:vAlign w:val="center"/>
          </w:tcPr>
          <w:p w14:paraId="0AAA447B">
            <w:pPr>
              <w:spacing w:line="360" w:lineRule="auto"/>
              <w:rPr>
                <w:rFonts w:ascii="宋体"/>
                <w:b/>
                <w:sz w:val="20"/>
                <w:highlight w:val="none"/>
              </w:rPr>
            </w:pPr>
          </w:p>
        </w:tc>
        <w:tc>
          <w:tcPr>
            <w:tcW w:w="1559" w:type="dxa"/>
            <w:tcBorders>
              <w:left w:val="single" w:color="auto" w:sz="6" w:space="0"/>
            </w:tcBorders>
            <w:vAlign w:val="center"/>
          </w:tcPr>
          <w:p w14:paraId="4686D918">
            <w:pPr>
              <w:spacing w:line="360" w:lineRule="auto"/>
              <w:rPr>
                <w:rFonts w:ascii="宋体"/>
                <w:b/>
                <w:sz w:val="20"/>
                <w:highlight w:val="none"/>
              </w:rPr>
            </w:pPr>
          </w:p>
        </w:tc>
        <w:tc>
          <w:tcPr>
            <w:tcW w:w="992" w:type="dxa"/>
            <w:tcBorders>
              <w:left w:val="single" w:color="auto" w:sz="6" w:space="0"/>
            </w:tcBorders>
            <w:vAlign w:val="center"/>
          </w:tcPr>
          <w:p w14:paraId="080AEE28">
            <w:pPr>
              <w:spacing w:line="360" w:lineRule="auto"/>
              <w:rPr>
                <w:rFonts w:ascii="宋体"/>
                <w:b/>
                <w:sz w:val="20"/>
                <w:highlight w:val="none"/>
              </w:rPr>
            </w:pPr>
          </w:p>
        </w:tc>
        <w:tc>
          <w:tcPr>
            <w:tcW w:w="1392" w:type="dxa"/>
            <w:tcBorders>
              <w:left w:val="single" w:color="auto" w:sz="6" w:space="0"/>
            </w:tcBorders>
            <w:vAlign w:val="center"/>
          </w:tcPr>
          <w:p w14:paraId="4D618530">
            <w:pPr>
              <w:spacing w:line="360" w:lineRule="auto"/>
              <w:rPr>
                <w:rFonts w:ascii="宋体"/>
                <w:b/>
                <w:sz w:val="20"/>
                <w:highlight w:val="none"/>
              </w:rPr>
            </w:pPr>
          </w:p>
        </w:tc>
      </w:tr>
    </w:tbl>
    <w:p w14:paraId="071FE6F0">
      <w:pPr>
        <w:spacing w:line="360" w:lineRule="auto"/>
        <w:rPr>
          <w:b/>
          <w:bCs/>
          <w:highlight w:val="none"/>
        </w:rPr>
      </w:pPr>
      <w:r>
        <w:rPr>
          <w:b/>
          <w:bCs/>
          <w:highlight w:val="none"/>
        </w:rPr>
        <w:t xml:space="preserve">注：1、本表应附学历证书、技术职称/资格证书等扫描件并加盖公章； </w:t>
      </w:r>
    </w:p>
    <w:p w14:paraId="3106AFB7">
      <w:pPr>
        <w:spacing w:line="360" w:lineRule="auto"/>
        <w:ind w:left="630" w:hanging="632" w:hangingChars="300"/>
        <w:rPr>
          <w:b/>
          <w:bCs/>
          <w:highlight w:val="none"/>
        </w:rPr>
      </w:pPr>
      <w:r>
        <w:rPr>
          <w:b/>
          <w:bCs/>
          <w:highlight w:val="none"/>
        </w:rPr>
        <w:t xml:space="preserve">    2、提供所在单位连续缴纳近三个月社保证明（公司注册时间未满三个月的，提供最近一个月的社保证明,公司注册时间未满一个月的，提供公司社会保险参保证明）</w:t>
      </w:r>
    </w:p>
    <w:p w14:paraId="39EC2924">
      <w:pPr>
        <w:spacing w:line="360" w:lineRule="auto"/>
        <w:ind w:firstLine="422" w:firstLineChars="200"/>
        <w:rPr>
          <w:b/>
          <w:bCs/>
          <w:highlight w:val="none"/>
        </w:rPr>
      </w:pPr>
      <w:bookmarkStart w:id="468" w:name="_Toc9955"/>
      <w:r>
        <w:rPr>
          <w:b/>
          <w:bCs/>
          <w:highlight w:val="none"/>
        </w:rPr>
        <w:t>3、本表可在不改变格式的情况下根据具体需要自行增减。</w:t>
      </w:r>
      <w:bookmarkEnd w:id="468"/>
    </w:p>
    <w:p w14:paraId="25352FE6">
      <w:pPr>
        <w:tabs>
          <w:tab w:val="left" w:pos="840"/>
        </w:tabs>
        <w:outlineLvl w:val="9"/>
        <w:rPr>
          <w:highlight w:val="none"/>
        </w:rPr>
      </w:pPr>
    </w:p>
    <w:p w14:paraId="0C3ADD13">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5687D769">
      <w:pPr>
        <w:spacing w:before="312" w:beforeLines="100" w:after="312" w:afterLines="100" w:line="400" w:lineRule="atLeast"/>
        <w:ind w:left="4620" w:leftChars="2200"/>
        <w:rPr>
          <w:rFonts w:ascii="宋体" w:hAnsi="宋体" w:cs="宋体"/>
          <w:szCs w:val="21"/>
          <w:highlight w:val="none"/>
        </w:rPr>
      </w:pPr>
      <w:r>
        <w:rPr>
          <w:rFonts w:ascii="宋体" w:hAnsi="宋体" w:cs="宋体"/>
          <w:szCs w:val="21"/>
          <w:highlight w:val="none"/>
        </w:rPr>
        <w:t>法定代表人或授权代表（签字或盖章）：</w:t>
      </w:r>
    </w:p>
    <w:p w14:paraId="6C27046D">
      <w:pPr>
        <w:ind w:firstLine="4620" w:firstLineChars="2200"/>
        <w:rPr>
          <w:highlight w:val="none"/>
        </w:rPr>
      </w:pPr>
      <w:r>
        <w:rPr>
          <w:highlight w:val="none"/>
        </w:rPr>
        <w:t>日      期：    年   月     日</w:t>
      </w:r>
    </w:p>
    <w:p w14:paraId="30FD23CF">
      <w:pPr>
        <w:pStyle w:val="8"/>
        <w:spacing w:before="0" w:after="156" w:afterLines="50" w:line="400" w:lineRule="exact"/>
        <w:jc w:val="center"/>
        <w:rPr>
          <w:rFonts w:ascii="Arial" w:hAnsi="Arial" w:cs="Arial"/>
          <w:b/>
          <w:bCs/>
          <w:sz w:val="28"/>
          <w:highlight w:val="none"/>
        </w:rPr>
      </w:pPr>
      <w:bookmarkStart w:id="469" w:name="_Toc28867"/>
      <w:bookmarkStart w:id="470" w:name="_Toc22717"/>
      <w:bookmarkStart w:id="471" w:name="_Toc28518"/>
      <w:bookmarkStart w:id="472" w:name="_Toc27756"/>
      <w:bookmarkStart w:id="473" w:name="_Toc15760"/>
      <w:bookmarkStart w:id="474" w:name="_Toc6987"/>
    </w:p>
    <w:p w14:paraId="5799F812">
      <w:pPr>
        <w:pStyle w:val="8"/>
        <w:spacing w:before="0" w:after="156" w:afterLines="50" w:line="400" w:lineRule="exact"/>
        <w:jc w:val="center"/>
        <w:rPr>
          <w:rFonts w:ascii="宋体" w:hAnsi="宋体"/>
          <w:kern w:val="44"/>
          <w:sz w:val="28"/>
          <w:szCs w:val="36"/>
          <w:highlight w:val="none"/>
        </w:rPr>
      </w:pPr>
      <w:r>
        <w:rPr>
          <w:rFonts w:ascii="Arial" w:hAnsi="Arial" w:cs="Arial"/>
          <w:b/>
          <w:bCs/>
          <w:sz w:val="28"/>
          <w:highlight w:val="none"/>
        </w:rPr>
        <w:t>附件</w:t>
      </w:r>
      <w:r>
        <w:rPr>
          <w:rFonts w:hint="eastAsia" w:ascii="Arial" w:hAnsi="Arial" w:cs="Arial"/>
          <w:b/>
          <w:bCs/>
          <w:sz w:val="28"/>
          <w:highlight w:val="none"/>
          <w:lang w:val="en-US" w:eastAsia="zh-CN"/>
        </w:rPr>
        <w:t>十一</w:t>
      </w:r>
      <w:r>
        <w:rPr>
          <w:rFonts w:ascii="Arial" w:hAnsi="Arial" w:cs="Arial"/>
          <w:b/>
          <w:bCs/>
          <w:sz w:val="28"/>
          <w:highlight w:val="none"/>
        </w:rPr>
        <w:t xml:space="preserve">    </w:t>
      </w:r>
      <w:r>
        <w:rPr>
          <w:rFonts w:hint="eastAsia" w:ascii="Arial" w:hAnsi="Arial" w:cs="Arial"/>
          <w:b/>
          <w:bCs/>
          <w:sz w:val="28"/>
          <w:highlight w:val="none"/>
        </w:rPr>
        <w:t>针对本项目投入设备清单</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1395"/>
        <w:gridCol w:w="1396"/>
        <w:gridCol w:w="949"/>
        <w:gridCol w:w="1080"/>
        <w:gridCol w:w="1440"/>
        <w:gridCol w:w="1440"/>
      </w:tblGrid>
      <w:tr w14:paraId="3B120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10" w:type="dxa"/>
            <w:vAlign w:val="center"/>
          </w:tcPr>
          <w:p w14:paraId="418061E9">
            <w:pPr>
              <w:pStyle w:val="3"/>
              <w:adjustRightInd w:val="0"/>
              <w:snapToGrid w:val="0"/>
              <w:spacing w:line="460" w:lineRule="atLeast"/>
              <w:ind w:firstLine="221" w:firstLineChars="100"/>
              <w:rPr>
                <w:rFonts w:hAnsi="宋体"/>
                <w:b/>
                <w:sz w:val="22"/>
                <w:highlight w:val="none"/>
              </w:rPr>
            </w:pPr>
            <w:r>
              <w:rPr>
                <w:rFonts w:hint="eastAsia" w:hAnsi="宋体"/>
                <w:b/>
                <w:sz w:val="22"/>
                <w:highlight w:val="none"/>
              </w:rPr>
              <w:t>序号</w:t>
            </w:r>
          </w:p>
        </w:tc>
        <w:tc>
          <w:tcPr>
            <w:tcW w:w="1395" w:type="dxa"/>
            <w:vAlign w:val="center"/>
          </w:tcPr>
          <w:p w14:paraId="4205327B">
            <w:pPr>
              <w:pStyle w:val="3"/>
              <w:adjustRightInd w:val="0"/>
              <w:snapToGrid w:val="0"/>
              <w:spacing w:line="460" w:lineRule="atLeast"/>
              <w:ind w:firstLine="221"/>
              <w:jc w:val="center"/>
              <w:rPr>
                <w:rFonts w:hAnsi="宋体"/>
                <w:b/>
                <w:sz w:val="22"/>
                <w:highlight w:val="none"/>
              </w:rPr>
            </w:pPr>
            <w:r>
              <w:rPr>
                <w:rFonts w:hint="eastAsia" w:hAnsi="宋体"/>
                <w:b/>
                <w:sz w:val="22"/>
                <w:highlight w:val="none"/>
              </w:rPr>
              <w:t>名称</w:t>
            </w:r>
          </w:p>
        </w:tc>
        <w:tc>
          <w:tcPr>
            <w:tcW w:w="1396" w:type="dxa"/>
            <w:vAlign w:val="center"/>
          </w:tcPr>
          <w:p w14:paraId="5FBAB60F">
            <w:pPr>
              <w:pStyle w:val="3"/>
              <w:adjustRightInd w:val="0"/>
              <w:snapToGrid w:val="0"/>
              <w:spacing w:line="460" w:lineRule="atLeast"/>
              <w:ind w:firstLine="221"/>
              <w:jc w:val="center"/>
              <w:rPr>
                <w:rFonts w:hAnsi="宋体"/>
                <w:b/>
                <w:sz w:val="22"/>
                <w:highlight w:val="none"/>
              </w:rPr>
            </w:pPr>
            <w:r>
              <w:rPr>
                <w:rFonts w:hint="eastAsia" w:hAnsi="宋体"/>
                <w:b/>
                <w:sz w:val="22"/>
                <w:highlight w:val="none"/>
              </w:rPr>
              <w:t>品牌</w:t>
            </w:r>
          </w:p>
        </w:tc>
        <w:tc>
          <w:tcPr>
            <w:tcW w:w="949" w:type="dxa"/>
            <w:vAlign w:val="center"/>
          </w:tcPr>
          <w:p w14:paraId="17F6E343">
            <w:pPr>
              <w:pStyle w:val="3"/>
              <w:adjustRightInd w:val="0"/>
              <w:snapToGrid w:val="0"/>
              <w:spacing w:line="460" w:lineRule="atLeast"/>
              <w:ind w:firstLine="221"/>
              <w:jc w:val="center"/>
              <w:rPr>
                <w:rFonts w:hAnsi="宋体"/>
                <w:b/>
                <w:sz w:val="22"/>
                <w:highlight w:val="none"/>
              </w:rPr>
            </w:pPr>
            <w:r>
              <w:rPr>
                <w:rFonts w:hint="eastAsia" w:hAnsi="宋体"/>
                <w:b/>
                <w:sz w:val="22"/>
                <w:highlight w:val="none"/>
              </w:rPr>
              <w:t>型号</w:t>
            </w:r>
          </w:p>
        </w:tc>
        <w:tc>
          <w:tcPr>
            <w:tcW w:w="1080" w:type="dxa"/>
            <w:vAlign w:val="center"/>
          </w:tcPr>
          <w:p w14:paraId="45C2BA64">
            <w:pPr>
              <w:pStyle w:val="3"/>
              <w:adjustRightInd w:val="0"/>
              <w:snapToGrid w:val="0"/>
              <w:spacing w:line="460" w:lineRule="atLeast"/>
              <w:ind w:firstLine="221"/>
              <w:jc w:val="center"/>
              <w:rPr>
                <w:rFonts w:hAnsi="宋体"/>
                <w:b/>
                <w:sz w:val="22"/>
                <w:highlight w:val="none"/>
              </w:rPr>
            </w:pPr>
            <w:r>
              <w:rPr>
                <w:rFonts w:hint="eastAsia" w:hAnsi="宋体"/>
                <w:b/>
                <w:sz w:val="22"/>
                <w:highlight w:val="none"/>
              </w:rPr>
              <w:t>数量</w:t>
            </w:r>
          </w:p>
        </w:tc>
        <w:tc>
          <w:tcPr>
            <w:tcW w:w="1440" w:type="dxa"/>
            <w:vAlign w:val="center"/>
          </w:tcPr>
          <w:p w14:paraId="4CB0EFA9">
            <w:pPr>
              <w:pStyle w:val="3"/>
              <w:adjustRightInd w:val="0"/>
              <w:snapToGrid w:val="0"/>
              <w:spacing w:line="460" w:lineRule="atLeast"/>
              <w:ind w:firstLine="221"/>
              <w:jc w:val="center"/>
              <w:rPr>
                <w:rFonts w:hAnsi="宋体"/>
                <w:b/>
                <w:sz w:val="22"/>
                <w:highlight w:val="none"/>
              </w:rPr>
            </w:pPr>
            <w:r>
              <w:rPr>
                <w:rFonts w:hint="eastAsia" w:hAnsi="宋体"/>
                <w:b/>
                <w:sz w:val="22"/>
                <w:highlight w:val="none"/>
              </w:rPr>
              <w:t>具体配置</w:t>
            </w:r>
          </w:p>
        </w:tc>
        <w:tc>
          <w:tcPr>
            <w:tcW w:w="1440" w:type="dxa"/>
            <w:vAlign w:val="center"/>
          </w:tcPr>
          <w:p w14:paraId="163CF74C">
            <w:pPr>
              <w:pStyle w:val="3"/>
              <w:adjustRightInd w:val="0"/>
              <w:snapToGrid w:val="0"/>
              <w:spacing w:line="460" w:lineRule="atLeast"/>
              <w:rPr>
                <w:rFonts w:hAnsi="宋体"/>
                <w:b/>
                <w:sz w:val="22"/>
                <w:highlight w:val="none"/>
              </w:rPr>
            </w:pPr>
            <w:r>
              <w:rPr>
                <w:rFonts w:hint="eastAsia" w:hAnsi="宋体"/>
                <w:b/>
                <w:sz w:val="22"/>
                <w:highlight w:val="none"/>
              </w:rPr>
              <w:t>已使用年限</w:t>
            </w:r>
          </w:p>
        </w:tc>
      </w:tr>
      <w:tr w14:paraId="30E4C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63BD763F">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3941BBEC">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2BFA095B">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2CD16B3E">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40B14EF7">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4C7995DC">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026D7E17">
            <w:pPr>
              <w:pStyle w:val="3"/>
              <w:adjustRightInd w:val="0"/>
              <w:snapToGrid w:val="0"/>
              <w:spacing w:line="460" w:lineRule="atLeast"/>
              <w:ind w:firstLine="221"/>
              <w:rPr>
                <w:rFonts w:hAnsi="宋体"/>
                <w:b/>
                <w:sz w:val="22"/>
                <w:highlight w:val="none"/>
              </w:rPr>
            </w:pPr>
          </w:p>
        </w:tc>
      </w:tr>
      <w:tr w14:paraId="5883F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910" w:type="dxa"/>
          </w:tcPr>
          <w:p w14:paraId="4757EEB3">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6CC906D3">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130E7F00">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06255333">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4CEEC334">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45E43C1A">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1DFB68A7">
            <w:pPr>
              <w:pStyle w:val="3"/>
              <w:adjustRightInd w:val="0"/>
              <w:snapToGrid w:val="0"/>
              <w:spacing w:line="460" w:lineRule="atLeast"/>
              <w:ind w:firstLine="221"/>
              <w:rPr>
                <w:rFonts w:hAnsi="宋体"/>
                <w:b/>
                <w:sz w:val="22"/>
                <w:highlight w:val="none"/>
              </w:rPr>
            </w:pPr>
          </w:p>
        </w:tc>
      </w:tr>
      <w:tr w14:paraId="540E2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28894EC7">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16AD9BAD">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54DF18F7">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445532BE">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77E19194">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3D86289A">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5E0C434C">
            <w:pPr>
              <w:pStyle w:val="3"/>
              <w:adjustRightInd w:val="0"/>
              <w:snapToGrid w:val="0"/>
              <w:spacing w:line="460" w:lineRule="atLeast"/>
              <w:ind w:firstLine="221"/>
              <w:rPr>
                <w:rFonts w:hAnsi="宋体"/>
                <w:b/>
                <w:sz w:val="22"/>
                <w:highlight w:val="none"/>
              </w:rPr>
            </w:pPr>
          </w:p>
        </w:tc>
      </w:tr>
      <w:tr w14:paraId="34384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35510B91">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2F43D875">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25E10489">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429591D9">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1C198387">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2ACEBFF6">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029B8306">
            <w:pPr>
              <w:pStyle w:val="3"/>
              <w:adjustRightInd w:val="0"/>
              <w:snapToGrid w:val="0"/>
              <w:spacing w:line="460" w:lineRule="atLeast"/>
              <w:ind w:firstLine="221"/>
              <w:rPr>
                <w:rFonts w:hAnsi="宋体"/>
                <w:b/>
                <w:sz w:val="22"/>
                <w:highlight w:val="none"/>
              </w:rPr>
            </w:pPr>
          </w:p>
        </w:tc>
      </w:tr>
      <w:tr w14:paraId="6E2DA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910" w:type="dxa"/>
          </w:tcPr>
          <w:p w14:paraId="67C5BBC5">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6EFB663B">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6B0F72CA">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18244689">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1951C2D0">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03F385E5">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79B0A865">
            <w:pPr>
              <w:pStyle w:val="3"/>
              <w:adjustRightInd w:val="0"/>
              <w:snapToGrid w:val="0"/>
              <w:spacing w:line="460" w:lineRule="atLeast"/>
              <w:ind w:firstLine="221"/>
              <w:rPr>
                <w:rFonts w:hAnsi="宋体"/>
                <w:b/>
                <w:sz w:val="22"/>
                <w:highlight w:val="none"/>
              </w:rPr>
            </w:pPr>
          </w:p>
        </w:tc>
      </w:tr>
      <w:tr w14:paraId="25C8E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6B2DEBB2">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3FB767D0">
            <w:pPr>
              <w:pStyle w:val="3"/>
              <w:adjustRightInd w:val="0"/>
              <w:snapToGrid w:val="0"/>
              <w:spacing w:line="460" w:lineRule="atLeast"/>
              <w:ind w:firstLine="442" w:firstLineChars="200"/>
              <w:rPr>
                <w:rFonts w:hAnsi="宋体"/>
                <w:b/>
                <w:sz w:val="22"/>
                <w:highlight w:val="none"/>
              </w:rPr>
            </w:pPr>
          </w:p>
        </w:tc>
        <w:tc>
          <w:tcPr>
            <w:tcW w:w="1396" w:type="dxa"/>
            <w:tcBorders>
              <w:left w:val="single" w:color="auto" w:sz="4" w:space="0"/>
            </w:tcBorders>
          </w:tcPr>
          <w:p w14:paraId="39D55BA4">
            <w:pPr>
              <w:pStyle w:val="3"/>
              <w:adjustRightInd w:val="0"/>
              <w:snapToGrid w:val="0"/>
              <w:spacing w:line="460" w:lineRule="atLeast"/>
              <w:ind w:firstLine="442" w:firstLineChars="200"/>
              <w:rPr>
                <w:rFonts w:hAnsi="宋体"/>
                <w:b/>
                <w:sz w:val="22"/>
                <w:highlight w:val="none"/>
              </w:rPr>
            </w:pPr>
          </w:p>
        </w:tc>
        <w:tc>
          <w:tcPr>
            <w:tcW w:w="949" w:type="dxa"/>
            <w:tcBorders>
              <w:left w:val="single" w:color="auto" w:sz="4" w:space="0"/>
            </w:tcBorders>
          </w:tcPr>
          <w:p w14:paraId="02BDF2B1">
            <w:pPr>
              <w:pStyle w:val="3"/>
              <w:adjustRightInd w:val="0"/>
              <w:snapToGrid w:val="0"/>
              <w:spacing w:line="460" w:lineRule="atLeast"/>
              <w:ind w:firstLine="442" w:firstLineChars="200"/>
              <w:rPr>
                <w:rFonts w:hAnsi="宋体"/>
                <w:b/>
                <w:sz w:val="22"/>
                <w:highlight w:val="none"/>
              </w:rPr>
            </w:pPr>
          </w:p>
        </w:tc>
        <w:tc>
          <w:tcPr>
            <w:tcW w:w="1080" w:type="dxa"/>
            <w:tcBorders>
              <w:left w:val="single" w:color="auto" w:sz="4" w:space="0"/>
            </w:tcBorders>
          </w:tcPr>
          <w:p w14:paraId="68FB0D50">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16161827">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54E265B7">
            <w:pPr>
              <w:pStyle w:val="3"/>
              <w:adjustRightInd w:val="0"/>
              <w:snapToGrid w:val="0"/>
              <w:spacing w:line="460" w:lineRule="atLeast"/>
              <w:ind w:firstLine="221"/>
              <w:rPr>
                <w:rFonts w:hAnsi="宋体"/>
                <w:b/>
                <w:sz w:val="22"/>
                <w:highlight w:val="none"/>
              </w:rPr>
            </w:pPr>
          </w:p>
        </w:tc>
      </w:tr>
      <w:tr w14:paraId="6385E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0E2259DC">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78DE1F67">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646578FC">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03D3052E">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757E3B04">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2952BF35">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5000C759">
            <w:pPr>
              <w:pStyle w:val="3"/>
              <w:adjustRightInd w:val="0"/>
              <w:snapToGrid w:val="0"/>
              <w:spacing w:line="460" w:lineRule="atLeast"/>
              <w:ind w:firstLine="221"/>
              <w:rPr>
                <w:rFonts w:hAnsi="宋体"/>
                <w:b/>
                <w:sz w:val="22"/>
                <w:highlight w:val="none"/>
              </w:rPr>
            </w:pPr>
          </w:p>
        </w:tc>
      </w:tr>
      <w:tr w14:paraId="56E1E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910" w:type="dxa"/>
          </w:tcPr>
          <w:p w14:paraId="3F0A4747">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4868C508">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07DEDA72">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061C664C">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34CF84FA">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5DFCF0E0">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5E51ACF0">
            <w:pPr>
              <w:pStyle w:val="3"/>
              <w:adjustRightInd w:val="0"/>
              <w:snapToGrid w:val="0"/>
              <w:spacing w:line="460" w:lineRule="atLeast"/>
              <w:ind w:firstLine="221"/>
              <w:rPr>
                <w:rFonts w:hAnsi="宋体"/>
                <w:b/>
                <w:sz w:val="22"/>
                <w:highlight w:val="none"/>
              </w:rPr>
            </w:pPr>
          </w:p>
        </w:tc>
      </w:tr>
      <w:tr w14:paraId="7EE6F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118BAADF">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36635A5E">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28D195D5">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2F476BE9">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6A0F8224">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53159D2F">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4B24D239">
            <w:pPr>
              <w:pStyle w:val="3"/>
              <w:adjustRightInd w:val="0"/>
              <w:snapToGrid w:val="0"/>
              <w:spacing w:line="460" w:lineRule="atLeast"/>
              <w:ind w:firstLine="221"/>
              <w:rPr>
                <w:rFonts w:hAnsi="宋体"/>
                <w:b/>
                <w:sz w:val="22"/>
                <w:highlight w:val="none"/>
              </w:rPr>
            </w:pPr>
          </w:p>
        </w:tc>
      </w:tr>
      <w:tr w14:paraId="701F0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0B473131">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2C6C73B4">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7D20015A">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7372E1DA">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1361062D">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25CC123C">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222D6CB7">
            <w:pPr>
              <w:pStyle w:val="3"/>
              <w:adjustRightInd w:val="0"/>
              <w:snapToGrid w:val="0"/>
              <w:spacing w:line="460" w:lineRule="atLeast"/>
              <w:ind w:firstLine="221"/>
              <w:rPr>
                <w:rFonts w:hAnsi="宋体"/>
                <w:b/>
                <w:sz w:val="22"/>
                <w:highlight w:val="none"/>
              </w:rPr>
            </w:pPr>
          </w:p>
        </w:tc>
      </w:tr>
      <w:tr w14:paraId="5030D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910" w:type="dxa"/>
          </w:tcPr>
          <w:p w14:paraId="4EEAE6CF">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71FF5788">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45191F59">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60B3B06E">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6C3B1B3A">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5E5597CB">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48CBC1DC">
            <w:pPr>
              <w:pStyle w:val="3"/>
              <w:adjustRightInd w:val="0"/>
              <w:snapToGrid w:val="0"/>
              <w:spacing w:line="460" w:lineRule="atLeast"/>
              <w:ind w:firstLine="221"/>
              <w:rPr>
                <w:rFonts w:hAnsi="宋体"/>
                <w:b/>
                <w:sz w:val="22"/>
                <w:highlight w:val="none"/>
              </w:rPr>
            </w:pPr>
          </w:p>
        </w:tc>
      </w:tr>
      <w:tr w14:paraId="12FDA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4582D636">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1250D4C2">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5F3D9098">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288A18C9">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369A9FB1">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0ED67A12">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2FDB23A0">
            <w:pPr>
              <w:pStyle w:val="3"/>
              <w:adjustRightInd w:val="0"/>
              <w:snapToGrid w:val="0"/>
              <w:spacing w:line="460" w:lineRule="atLeast"/>
              <w:ind w:firstLine="221"/>
              <w:rPr>
                <w:rFonts w:hAnsi="宋体"/>
                <w:b/>
                <w:sz w:val="22"/>
                <w:highlight w:val="none"/>
              </w:rPr>
            </w:pPr>
          </w:p>
        </w:tc>
      </w:tr>
      <w:tr w14:paraId="7DE4B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793FC1A9">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018765E4">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73113A8E">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54800526">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7A8817F8">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3E7205BD">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44CCC0E4">
            <w:pPr>
              <w:pStyle w:val="3"/>
              <w:adjustRightInd w:val="0"/>
              <w:snapToGrid w:val="0"/>
              <w:spacing w:line="460" w:lineRule="atLeast"/>
              <w:ind w:firstLine="221"/>
              <w:rPr>
                <w:rFonts w:hAnsi="宋体"/>
                <w:b/>
                <w:sz w:val="22"/>
                <w:highlight w:val="none"/>
              </w:rPr>
            </w:pPr>
          </w:p>
        </w:tc>
      </w:tr>
      <w:tr w14:paraId="6EFF8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910" w:type="dxa"/>
          </w:tcPr>
          <w:p w14:paraId="0CFD4948">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4D1AD331">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30F630F3">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713E7FD7">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288A0DF0">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44A2742D">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0C0C20AD">
            <w:pPr>
              <w:pStyle w:val="3"/>
              <w:adjustRightInd w:val="0"/>
              <w:snapToGrid w:val="0"/>
              <w:spacing w:line="460" w:lineRule="atLeast"/>
              <w:ind w:firstLine="221"/>
              <w:rPr>
                <w:rFonts w:hAnsi="宋体"/>
                <w:b/>
                <w:sz w:val="22"/>
                <w:highlight w:val="none"/>
              </w:rPr>
            </w:pPr>
          </w:p>
        </w:tc>
      </w:tr>
      <w:tr w14:paraId="63C16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75ABA1D7">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22ED5AAD">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23529FEC">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07BC533E">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5FB9346F">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273FE2FB">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64A6C618">
            <w:pPr>
              <w:pStyle w:val="3"/>
              <w:adjustRightInd w:val="0"/>
              <w:snapToGrid w:val="0"/>
              <w:spacing w:line="460" w:lineRule="atLeast"/>
              <w:ind w:firstLine="221"/>
              <w:rPr>
                <w:rFonts w:hAnsi="宋体"/>
                <w:b/>
                <w:sz w:val="22"/>
                <w:highlight w:val="none"/>
              </w:rPr>
            </w:pPr>
          </w:p>
        </w:tc>
      </w:tr>
      <w:tr w14:paraId="27D6F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910" w:type="dxa"/>
          </w:tcPr>
          <w:p w14:paraId="54593FFD">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026090F7">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71F25579">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112EE218">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517FAC78">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7E14CBF7">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026AF38E">
            <w:pPr>
              <w:pStyle w:val="3"/>
              <w:adjustRightInd w:val="0"/>
              <w:snapToGrid w:val="0"/>
              <w:spacing w:line="460" w:lineRule="atLeast"/>
              <w:ind w:firstLine="221"/>
              <w:rPr>
                <w:rFonts w:hAnsi="宋体"/>
                <w:b/>
                <w:sz w:val="22"/>
                <w:highlight w:val="none"/>
              </w:rPr>
            </w:pPr>
          </w:p>
        </w:tc>
      </w:tr>
      <w:tr w14:paraId="1844A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910" w:type="dxa"/>
          </w:tcPr>
          <w:p w14:paraId="60F40F0D">
            <w:pPr>
              <w:pStyle w:val="3"/>
              <w:adjustRightInd w:val="0"/>
              <w:snapToGrid w:val="0"/>
              <w:spacing w:line="460" w:lineRule="atLeast"/>
              <w:ind w:firstLine="221"/>
              <w:rPr>
                <w:rFonts w:hAnsi="宋体"/>
                <w:b/>
                <w:sz w:val="22"/>
                <w:highlight w:val="none"/>
              </w:rPr>
            </w:pPr>
          </w:p>
        </w:tc>
        <w:tc>
          <w:tcPr>
            <w:tcW w:w="1395" w:type="dxa"/>
            <w:tcBorders>
              <w:left w:val="single" w:color="auto" w:sz="4" w:space="0"/>
            </w:tcBorders>
          </w:tcPr>
          <w:p w14:paraId="05500ACC">
            <w:pPr>
              <w:pStyle w:val="3"/>
              <w:adjustRightInd w:val="0"/>
              <w:snapToGrid w:val="0"/>
              <w:spacing w:line="460" w:lineRule="atLeast"/>
              <w:ind w:firstLine="221"/>
              <w:rPr>
                <w:rFonts w:hAnsi="宋体"/>
                <w:b/>
                <w:sz w:val="22"/>
                <w:highlight w:val="none"/>
              </w:rPr>
            </w:pPr>
          </w:p>
        </w:tc>
        <w:tc>
          <w:tcPr>
            <w:tcW w:w="1396" w:type="dxa"/>
            <w:tcBorders>
              <w:left w:val="single" w:color="auto" w:sz="4" w:space="0"/>
            </w:tcBorders>
          </w:tcPr>
          <w:p w14:paraId="342A5F78">
            <w:pPr>
              <w:pStyle w:val="3"/>
              <w:adjustRightInd w:val="0"/>
              <w:snapToGrid w:val="0"/>
              <w:spacing w:line="460" w:lineRule="atLeast"/>
              <w:ind w:firstLine="221"/>
              <w:rPr>
                <w:rFonts w:hAnsi="宋体"/>
                <w:b/>
                <w:sz w:val="22"/>
                <w:highlight w:val="none"/>
              </w:rPr>
            </w:pPr>
          </w:p>
        </w:tc>
        <w:tc>
          <w:tcPr>
            <w:tcW w:w="949" w:type="dxa"/>
            <w:tcBorders>
              <w:left w:val="single" w:color="auto" w:sz="4" w:space="0"/>
            </w:tcBorders>
          </w:tcPr>
          <w:p w14:paraId="247E3106">
            <w:pPr>
              <w:pStyle w:val="3"/>
              <w:adjustRightInd w:val="0"/>
              <w:snapToGrid w:val="0"/>
              <w:spacing w:line="460" w:lineRule="atLeast"/>
              <w:ind w:firstLine="221"/>
              <w:rPr>
                <w:rFonts w:hAnsi="宋体"/>
                <w:b/>
                <w:sz w:val="22"/>
                <w:highlight w:val="none"/>
              </w:rPr>
            </w:pPr>
          </w:p>
        </w:tc>
        <w:tc>
          <w:tcPr>
            <w:tcW w:w="1080" w:type="dxa"/>
            <w:tcBorders>
              <w:left w:val="single" w:color="auto" w:sz="4" w:space="0"/>
            </w:tcBorders>
          </w:tcPr>
          <w:p w14:paraId="23D2DF9C">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63CDDD76">
            <w:pPr>
              <w:pStyle w:val="3"/>
              <w:adjustRightInd w:val="0"/>
              <w:snapToGrid w:val="0"/>
              <w:spacing w:line="460" w:lineRule="atLeast"/>
              <w:ind w:firstLine="221"/>
              <w:rPr>
                <w:rFonts w:hAnsi="宋体"/>
                <w:b/>
                <w:sz w:val="22"/>
                <w:highlight w:val="none"/>
              </w:rPr>
            </w:pPr>
          </w:p>
        </w:tc>
        <w:tc>
          <w:tcPr>
            <w:tcW w:w="1440" w:type="dxa"/>
            <w:tcBorders>
              <w:left w:val="single" w:color="auto" w:sz="4" w:space="0"/>
            </w:tcBorders>
          </w:tcPr>
          <w:p w14:paraId="528DF2D6">
            <w:pPr>
              <w:pStyle w:val="3"/>
              <w:adjustRightInd w:val="0"/>
              <w:snapToGrid w:val="0"/>
              <w:spacing w:line="460" w:lineRule="atLeast"/>
              <w:ind w:firstLine="221"/>
              <w:rPr>
                <w:rFonts w:hAnsi="宋体"/>
                <w:b/>
                <w:sz w:val="22"/>
                <w:highlight w:val="none"/>
              </w:rPr>
            </w:pPr>
          </w:p>
        </w:tc>
      </w:tr>
    </w:tbl>
    <w:p w14:paraId="29ECCB1B">
      <w:pPr>
        <w:spacing w:line="480" w:lineRule="auto"/>
        <w:ind w:firstLine="4410" w:firstLineChars="2100"/>
        <w:rPr>
          <w:rFonts w:hint="eastAsia" w:ascii="宋体" w:hAnsi="宋体"/>
          <w:szCs w:val="21"/>
          <w:highlight w:val="none"/>
        </w:rPr>
      </w:pPr>
    </w:p>
    <w:p w14:paraId="4CA8453E">
      <w:pPr>
        <w:spacing w:line="480" w:lineRule="auto"/>
        <w:ind w:firstLine="4410" w:firstLineChars="2100"/>
        <w:rPr>
          <w:rFonts w:hint="eastAsia" w:ascii="宋体" w:hAnsi="宋体"/>
          <w:szCs w:val="21"/>
          <w:highlight w:val="none"/>
        </w:rPr>
      </w:pPr>
    </w:p>
    <w:p w14:paraId="3433AF91">
      <w:pPr>
        <w:spacing w:line="480" w:lineRule="auto"/>
        <w:ind w:firstLine="4410" w:firstLineChars="2100"/>
        <w:rPr>
          <w:rFonts w:ascii="宋体"/>
          <w:szCs w:val="21"/>
          <w:highlight w:val="none"/>
        </w:rPr>
      </w:pPr>
      <w:r>
        <w:rPr>
          <w:rFonts w:hint="eastAsia" w:ascii="宋体" w:hAnsi="宋体"/>
          <w:szCs w:val="21"/>
          <w:highlight w:val="none"/>
        </w:rPr>
        <w:t>磋商供应商（</w:t>
      </w:r>
      <w:r>
        <w:rPr>
          <w:rFonts w:hint="eastAsia" w:ascii="宋体" w:hAnsi="宋体"/>
          <w:highlight w:val="none"/>
        </w:rPr>
        <w:t>公章</w:t>
      </w:r>
      <w:r>
        <w:rPr>
          <w:rFonts w:hint="eastAsia" w:ascii="宋体" w:hAnsi="宋体"/>
          <w:szCs w:val="21"/>
          <w:highlight w:val="none"/>
        </w:rPr>
        <w:t>）：</w:t>
      </w:r>
    </w:p>
    <w:p w14:paraId="313988AB">
      <w:pPr>
        <w:spacing w:after="156" w:afterLines="50" w:line="400" w:lineRule="exact"/>
        <w:ind w:firstLine="4410" w:firstLineChars="2100"/>
        <w:rPr>
          <w:rFonts w:ascii="Arial" w:hAnsi="Arial"/>
          <w:highlight w:val="none"/>
        </w:rPr>
      </w:pPr>
      <w:r>
        <w:rPr>
          <w:rFonts w:hint="eastAsia" w:ascii="Arial" w:hAnsi="Arial"/>
          <w:highlight w:val="none"/>
        </w:rPr>
        <w:t>法定代表人或授权代表（签字或盖章）：</w:t>
      </w:r>
    </w:p>
    <w:p w14:paraId="6D2C0AFB">
      <w:pPr>
        <w:spacing w:line="340" w:lineRule="exact"/>
        <w:ind w:firstLine="4410" w:firstLineChars="2100"/>
        <w:rPr>
          <w:rFonts w:ascii="Arial" w:hAnsi="Arial"/>
          <w:highlight w:val="none"/>
        </w:rPr>
      </w:pPr>
      <w:r>
        <w:rPr>
          <w:rFonts w:hint="eastAsia" w:ascii="宋体" w:hAnsi="宋体"/>
          <w:highlight w:val="none"/>
        </w:rPr>
        <w:t>日期：   年  月  日</w:t>
      </w:r>
    </w:p>
    <w:p w14:paraId="767B2E85">
      <w:pPr>
        <w:tabs>
          <w:tab w:val="left" w:pos="840"/>
        </w:tabs>
        <w:jc w:val="center"/>
        <w:outlineLvl w:val="9"/>
        <w:rPr>
          <w:rFonts w:ascii="Arial" w:hAnsi="Arial" w:cs="Arial"/>
          <w:b/>
          <w:sz w:val="28"/>
          <w:highlight w:val="none"/>
        </w:rPr>
      </w:pPr>
    </w:p>
    <w:p w14:paraId="6219B7D2">
      <w:pPr>
        <w:tabs>
          <w:tab w:val="left" w:pos="840"/>
        </w:tabs>
        <w:jc w:val="both"/>
        <w:outlineLvl w:val="1"/>
        <w:rPr>
          <w:rFonts w:ascii="Arial" w:hAnsi="Arial" w:cs="Arial"/>
          <w:b/>
          <w:sz w:val="28"/>
          <w:highlight w:val="none"/>
        </w:rPr>
      </w:pPr>
    </w:p>
    <w:p w14:paraId="1E31B8A2">
      <w:pPr>
        <w:tabs>
          <w:tab w:val="left" w:pos="840"/>
        </w:tabs>
        <w:jc w:val="center"/>
        <w:outlineLvl w:val="1"/>
        <w:rPr>
          <w:rFonts w:ascii="Arial" w:hAnsi="Arial" w:cs="Arial"/>
          <w:b/>
          <w:sz w:val="28"/>
          <w:highlight w:val="none"/>
        </w:rPr>
      </w:pPr>
      <w:r>
        <w:rPr>
          <w:rFonts w:ascii="Arial" w:hAnsi="Arial" w:cs="Arial"/>
          <w:b/>
          <w:sz w:val="28"/>
          <w:highlight w:val="none"/>
        </w:rPr>
        <w:t>附件</w:t>
      </w:r>
      <w:r>
        <w:rPr>
          <w:rFonts w:hint="eastAsia" w:ascii="Arial" w:hAnsi="Arial" w:cs="Arial"/>
          <w:b/>
          <w:sz w:val="28"/>
          <w:highlight w:val="none"/>
          <w:lang w:val="en-US" w:eastAsia="zh-CN"/>
        </w:rPr>
        <w:t>十二</w:t>
      </w:r>
      <w:r>
        <w:rPr>
          <w:rFonts w:ascii="Arial" w:hAnsi="Arial" w:cs="Arial"/>
          <w:b/>
          <w:sz w:val="28"/>
          <w:highlight w:val="none"/>
        </w:rPr>
        <w:t xml:space="preserve">  </w:t>
      </w:r>
      <w:r>
        <w:rPr>
          <w:rFonts w:hint="eastAsia" w:ascii="Arial" w:hAnsi="Arial" w:cs="Arial"/>
          <w:b/>
          <w:sz w:val="28"/>
          <w:highlight w:val="none"/>
          <w:lang w:val="en-US" w:eastAsia="zh-CN"/>
        </w:rPr>
        <w:t xml:space="preserve"> </w:t>
      </w:r>
      <w:r>
        <w:rPr>
          <w:rFonts w:ascii="Arial" w:hAnsi="Arial" w:cs="Arial"/>
          <w:b/>
          <w:sz w:val="28"/>
          <w:highlight w:val="none"/>
        </w:rPr>
        <w:t>磋商供应</w:t>
      </w:r>
      <w:r>
        <w:rPr>
          <w:rFonts w:ascii="Arial" w:hAnsi="Arial" w:cs="Arial"/>
          <w:b/>
          <w:sz w:val="28"/>
          <w:szCs w:val="28"/>
          <w:highlight w:val="none"/>
        </w:rPr>
        <w:t>商</w:t>
      </w:r>
      <w:r>
        <w:rPr>
          <w:rFonts w:ascii="Arial" w:hAnsi="Arial" w:cs="Arial"/>
          <w:b/>
          <w:kern w:val="28"/>
          <w:sz w:val="28"/>
          <w:szCs w:val="28"/>
          <w:highlight w:val="none"/>
        </w:rPr>
        <w:t>202</w:t>
      </w:r>
      <w:r>
        <w:rPr>
          <w:rFonts w:hint="eastAsia" w:ascii="Arial" w:hAnsi="Arial" w:cs="Arial"/>
          <w:b/>
          <w:kern w:val="28"/>
          <w:sz w:val="28"/>
          <w:szCs w:val="28"/>
          <w:highlight w:val="none"/>
          <w:lang w:val="en-US" w:eastAsia="zh-CN"/>
        </w:rPr>
        <w:t>2</w:t>
      </w:r>
      <w:r>
        <w:rPr>
          <w:rFonts w:ascii="Arial" w:hAnsi="Arial" w:cs="Arial"/>
          <w:b/>
          <w:kern w:val="28"/>
          <w:sz w:val="28"/>
          <w:szCs w:val="28"/>
          <w:highlight w:val="none"/>
        </w:rPr>
        <w:t>年1月1日</w:t>
      </w:r>
      <w:r>
        <w:rPr>
          <w:rFonts w:ascii="Arial" w:hAnsi="Arial" w:cs="Arial"/>
          <w:b/>
          <w:sz w:val="28"/>
          <w:highlight w:val="none"/>
        </w:rPr>
        <w:t>以来</w:t>
      </w:r>
      <w:r>
        <w:rPr>
          <w:rFonts w:hint="eastAsia" w:ascii="Arial" w:hAnsi="Arial" w:cs="Arial"/>
          <w:b/>
          <w:sz w:val="28"/>
          <w:highlight w:val="none"/>
          <w:lang w:val="en-US" w:eastAsia="zh-CN"/>
        </w:rPr>
        <w:t>类似项目</w:t>
      </w:r>
      <w:r>
        <w:rPr>
          <w:rFonts w:ascii="Arial" w:hAnsi="Arial" w:cs="Arial"/>
          <w:b/>
          <w:sz w:val="28"/>
          <w:highlight w:val="none"/>
        </w:rPr>
        <w:t>业绩一览表</w:t>
      </w:r>
      <w:bookmarkEnd w:id="469"/>
      <w:bookmarkEnd w:id="470"/>
      <w:bookmarkEnd w:id="471"/>
      <w:bookmarkEnd w:id="472"/>
      <w:bookmarkEnd w:id="473"/>
      <w:bookmarkEnd w:id="474"/>
    </w:p>
    <w:tbl>
      <w:tblPr>
        <w:tblStyle w:val="25"/>
        <w:tblW w:w="81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3"/>
        <w:gridCol w:w="1948"/>
        <w:gridCol w:w="1764"/>
        <w:gridCol w:w="1203"/>
        <w:gridCol w:w="1093"/>
        <w:gridCol w:w="1440"/>
      </w:tblGrid>
      <w:tr w14:paraId="749EE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5D3ED8EA">
            <w:pPr>
              <w:spacing w:line="380" w:lineRule="exact"/>
              <w:jc w:val="center"/>
              <w:rPr>
                <w:rFonts w:ascii="Arial" w:hAnsi="Arial" w:cs="Arial"/>
                <w:b/>
                <w:bCs/>
                <w:sz w:val="22"/>
                <w:highlight w:val="none"/>
              </w:rPr>
            </w:pPr>
            <w:r>
              <w:rPr>
                <w:rFonts w:ascii="Arial" w:hAnsi="Arial" w:cs="Arial"/>
                <w:b/>
                <w:bCs/>
                <w:sz w:val="22"/>
                <w:highlight w:val="none"/>
              </w:rPr>
              <w:t>序号</w:t>
            </w:r>
          </w:p>
        </w:tc>
        <w:tc>
          <w:tcPr>
            <w:tcW w:w="1948" w:type="dxa"/>
            <w:vAlign w:val="center"/>
          </w:tcPr>
          <w:p w14:paraId="7A7CEDCE">
            <w:pPr>
              <w:spacing w:line="380" w:lineRule="exact"/>
              <w:jc w:val="center"/>
              <w:rPr>
                <w:rFonts w:ascii="Arial" w:hAnsi="Arial" w:cs="Arial"/>
                <w:b/>
                <w:bCs/>
                <w:sz w:val="22"/>
                <w:highlight w:val="none"/>
              </w:rPr>
            </w:pPr>
            <w:r>
              <w:rPr>
                <w:rFonts w:ascii="Arial" w:hAnsi="Arial" w:cs="Arial"/>
                <w:b/>
                <w:bCs/>
                <w:sz w:val="22"/>
                <w:highlight w:val="none"/>
              </w:rPr>
              <w:t>项目名称</w:t>
            </w:r>
          </w:p>
        </w:tc>
        <w:tc>
          <w:tcPr>
            <w:tcW w:w="1764" w:type="dxa"/>
            <w:vAlign w:val="center"/>
          </w:tcPr>
          <w:p w14:paraId="50B99C77">
            <w:pPr>
              <w:spacing w:line="380" w:lineRule="exact"/>
              <w:jc w:val="center"/>
              <w:rPr>
                <w:rFonts w:ascii="Arial" w:hAnsi="Arial" w:cs="Arial"/>
                <w:b/>
                <w:bCs/>
                <w:sz w:val="22"/>
                <w:highlight w:val="none"/>
              </w:rPr>
            </w:pPr>
            <w:r>
              <w:rPr>
                <w:rFonts w:ascii="Arial" w:hAnsi="Arial" w:cs="Arial"/>
                <w:b/>
                <w:bCs/>
                <w:sz w:val="22"/>
                <w:highlight w:val="none"/>
              </w:rPr>
              <w:t>用户单位</w:t>
            </w:r>
          </w:p>
        </w:tc>
        <w:tc>
          <w:tcPr>
            <w:tcW w:w="1203" w:type="dxa"/>
            <w:vAlign w:val="center"/>
          </w:tcPr>
          <w:p w14:paraId="703B87AA">
            <w:pPr>
              <w:spacing w:line="380" w:lineRule="exact"/>
              <w:jc w:val="center"/>
              <w:rPr>
                <w:rFonts w:ascii="Arial" w:hAnsi="Arial" w:cs="Arial"/>
                <w:b/>
                <w:bCs/>
                <w:sz w:val="22"/>
                <w:highlight w:val="none"/>
              </w:rPr>
            </w:pPr>
            <w:r>
              <w:rPr>
                <w:rFonts w:ascii="Arial" w:hAnsi="Arial" w:cs="Arial"/>
                <w:b/>
                <w:bCs/>
                <w:sz w:val="22"/>
                <w:highlight w:val="none"/>
              </w:rPr>
              <w:t>合同金额</w:t>
            </w:r>
          </w:p>
        </w:tc>
        <w:tc>
          <w:tcPr>
            <w:tcW w:w="1093" w:type="dxa"/>
            <w:vAlign w:val="center"/>
          </w:tcPr>
          <w:p w14:paraId="05B76466">
            <w:pPr>
              <w:spacing w:line="380" w:lineRule="exact"/>
              <w:jc w:val="center"/>
              <w:rPr>
                <w:rFonts w:ascii="Arial" w:hAnsi="Arial" w:cs="Arial"/>
                <w:b/>
                <w:bCs/>
                <w:sz w:val="22"/>
                <w:highlight w:val="none"/>
              </w:rPr>
            </w:pPr>
            <w:r>
              <w:rPr>
                <w:rFonts w:ascii="Arial" w:hAnsi="Arial" w:cs="Arial"/>
                <w:b/>
                <w:bCs/>
                <w:sz w:val="22"/>
                <w:highlight w:val="none"/>
              </w:rPr>
              <w:t>合同签订时间</w:t>
            </w:r>
          </w:p>
        </w:tc>
        <w:tc>
          <w:tcPr>
            <w:tcW w:w="1440" w:type="dxa"/>
            <w:vAlign w:val="center"/>
          </w:tcPr>
          <w:p w14:paraId="1ACC7316">
            <w:pPr>
              <w:spacing w:line="380" w:lineRule="exact"/>
              <w:jc w:val="center"/>
              <w:rPr>
                <w:rFonts w:ascii="Arial" w:hAnsi="Arial" w:cs="Arial"/>
                <w:b/>
                <w:bCs/>
                <w:sz w:val="22"/>
                <w:highlight w:val="none"/>
              </w:rPr>
            </w:pPr>
            <w:r>
              <w:rPr>
                <w:rFonts w:ascii="Arial" w:hAnsi="Arial" w:cs="Arial"/>
                <w:b/>
                <w:bCs/>
                <w:sz w:val="22"/>
                <w:highlight w:val="none"/>
              </w:rPr>
              <w:t>用户联系人/联系方式</w:t>
            </w:r>
          </w:p>
        </w:tc>
      </w:tr>
      <w:tr w14:paraId="37535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1DA56364">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564CBA4D">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343FA787">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6A77F92A">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52BE2290">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418B71EB">
            <w:pPr>
              <w:spacing w:line="380" w:lineRule="exact"/>
              <w:jc w:val="center"/>
              <w:rPr>
                <w:rFonts w:ascii="Arial" w:hAnsi="Arial" w:cs="Arial"/>
                <w:b/>
                <w:bCs/>
                <w:sz w:val="22"/>
                <w:highlight w:val="none"/>
              </w:rPr>
            </w:pPr>
          </w:p>
        </w:tc>
      </w:tr>
      <w:tr w14:paraId="48304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11492869">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49210623">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044FA443">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71873D27">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04BE5FED">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7001EBA3">
            <w:pPr>
              <w:spacing w:line="380" w:lineRule="exact"/>
              <w:jc w:val="center"/>
              <w:rPr>
                <w:rFonts w:ascii="Arial" w:hAnsi="Arial" w:cs="Arial"/>
                <w:b/>
                <w:bCs/>
                <w:sz w:val="22"/>
                <w:highlight w:val="none"/>
              </w:rPr>
            </w:pPr>
          </w:p>
        </w:tc>
      </w:tr>
      <w:tr w14:paraId="70FFC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27DFEC73">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7A14571B">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3F500380">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12C3DA4E">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736FE7A1">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6D0E1BFD">
            <w:pPr>
              <w:spacing w:line="380" w:lineRule="exact"/>
              <w:jc w:val="center"/>
              <w:rPr>
                <w:rFonts w:ascii="Arial" w:hAnsi="Arial" w:cs="Arial"/>
                <w:b/>
                <w:bCs/>
                <w:sz w:val="22"/>
                <w:highlight w:val="none"/>
              </w:rPr>
            </w:pPr>
          </w:p>
        </w:tc>
      </w:tr>
      <w:tr w14:paraId="19B5A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1F3C39C5">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321E3877">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3E2B9486">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19746E30">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4F48CB66">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39824899">
            <w:pPr>
              <w:spacing w:line="380" w:lineRule="exact"/>
              <w:jc w:val="center"/>
              <w:rPr>
                <w:rFonts w:ascii="Arial" w:hAnsi="Arial" w:cs="Arial"/>
                <w:b/>
                <w:bCs/>
                <w:sz w:val="22"/>
                <w:highlight w:val="none"/>
              </w:rPr>
            </w:pPr>
          </w:p>
        </w:tc>
      </w:tr>
      <w:tr w14:paraId="441B8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3AF41933">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63F96869">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561F89EF">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729F770C">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177D9CF9">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4E43DC7D">
            <w:pPr>
              <w:spacing w:line="380" w:lineRule="exact"/>
              <w:jc w:val="center"/>
              <w:rPr>
                <w:rFonts w:ascii="Arial" w:hAnsi="Arial" w:cs="Arial"/>
                <w:b/>
                <w:bCs/>
                <w:sz w:val="22"/>
                <w:highlight w:val="none"/>
              </w:rPr>
            </w:pPr>
          </w:p>
        </w:tc>
      </w:tr>
      <w:tr w14:paraId="7A864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62DC0091">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05C335A3">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14B21911">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2F2F63F9">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21D76705">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04B2ABBD">
            <w:pPr>
              <w:spacing w:line="380" w:lineRule="exact"/>
              <w:jc w:val="center"/>
              <w:rPr>
                <w:rFonts w:ascii="Arial" w:hAnsi="Arial" w:cs="Arial"/>
                <w:b/>
                <w:bCs/>
                <w:sz w:val="22"/>
                <w:highlight w:val="none"/>
              </w:rPr>
            </w:pPr>
          </w:p>
        </w:tc>
      </w:tr>
      <w:tr w14:paraId="19B4C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2BDF6941">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412B6F4D">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0517B055">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23A890BC">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6AA4D8FC">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79FEBE79">
            <w:pPr>
              <w:spacing w:line="380" w:lineRule="exact"/>
              <w:jc w:val="center"/>
              <w:rPr>
                <w:rFonts w:ascii="Arial" w:hAnsi="Arial" w:cs="Arial"/>
                <w:b/>
                <w:bCs/>
                <w:sz w:val="22"/>
                <w:highlight w:val="none"/>
              </w:rPr>
            </w:pPr>
          </w:p>
        </w:tc>
      </w:tr>
      <w:tr w14:paraId="36FDC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20F97141">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2E361368">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2611E7E2">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4486715A">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6C5D3F08">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3F0026F2">
            <w:pPr>
              <w:spacing w:line="380" w:lineRule="exact"/>
              <w:jc w:val="center"/>
              <w:rPr>
                <w:rFonts w:ascii="Arial" w:hAnsi="Arial" w:cs="Arial"/>
                <w:b/>
                <w:bCs/>
                <w:sz w:val="22"/>
                <w:highlight w:val="none"/>
              </w:rPr>
            </w:pPr>
          </w:p>
        </w:tc>
      </w:tr>
      <w:tr w14:paraId="1A6BE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63ED4DA7">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3CD029A7">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629C84CA">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4619318F">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4DD96A90">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560E6AFC">
            <w:pPr>
              <w:spacing w:line="380" w:lineRule="exact"/>
              <w:jc w:val="center"/>
              <w:rPr>
                <w:rFonts w:ascii="Arial" w:hAnsi="Arial" w:cs="Arial"/>
                <w:b/>
                <w:bCs/>
                <w:sz w:val="22"/>
                <w:highlight w:val="none"/>
              </w:rPr>
            </w:pPr>
          </w:p>
        </w:tc>
      </w:tr>
      <w:tr w14:paraId="5A4FC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0B5878C6">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2B370954">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783C7F8A">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665D5832">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331E01E6">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3D04F094">
            <w:pPr>
              <w:spacing w:line="380" w:lineRule="exact"/>
              <w:jc w:val="center"/>
              <w:rPr>
                <w:rFonts w:ascii="Arial" w:hAnsi="Arial" w:cs="Arial"/>
                <w:b/>
                <w:bCs/>
                <w:sz w:val="22"/>
                <w:highlight w:val="none"/>
              </w:rPr>
            </w:pPr>
          </w:p>
        </w:tc>
      </w:tr>
      <w:tr w14:paraId="68C80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0E41ED19">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43ADBD63">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57AB8914">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480C308F">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6B763E8F">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38E5BF41">
            <w:pPr>
              <w:spacing w:line="380" w:lineRule="exact"/>
              <w:jc w:val="center"/>
              <w:rPr>
                <w:rFonts w:ascii="Arial" w:hAnsi="Arial" w:cs="Arial"/>
                <w:b/>
                <w:bCs/>
                <w:sz w:val="22"/>
                <w:highlight w:val="none"/>
              </w:rPr>
            </w:pPr>
          </w:p>
        </w:tc>
      </w:tr>
      <w:tr w14:paraId="57C5E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28A198FD">
            <w:pPr>
              <w:spacing w:line="380" w:lineRule="exact"/>
              <w:jc w:val="center"/>
              <w:rPr>
                <w:rFonts w:ascii="Arial" w:hAnsi="Arial" w:cs="Arial"/>
                <w:b/>
                <w:bCs/>
                <w:sz w:val="22"/>
                <w:highlight w:val="none"/>
              </w:rPr>
            </w:pPr>
          </w:p>
        </w:tc>
        <w:tc>
          <w:tcPr>
            <w:tcW w:w="1948" w:type="dxa"/>
            <w:tcBorders>
              <w:left w:val="single" w:color="auto" w:sz="4" w:space="0"/>
            </w:tcBorders>
            <w:vAlign w:val="center"/>
          </w:tcPr>
          <w:p w14:paraId="5FF44C46">
            <w:pPr>
              <w:spacing w:line="380" w:lineRule="exact"/>
              <w:jc w:val="center"/>
              <w:rPr>
                <w:rFonts w:ascii="Arial" w:hAnsi="Arial" w:cs="Arial"/>
                <w:b/>
                <w:bCs/>
                <w:sz w:val="22"/>
                <w:highlight w:val="none"/>
              </w:rPr>
            </w:pPr>
          </w:p>
        </w:tc>
        <w:tc>
          <w:tcPr>
            <w:tcW w:w="1764" w:type="dxa"/>
            <w:tcBorders>
              <w:left w:val="single" w:color="auto" w:sz="4" w:space="0"/>
            </w:tcBorders>
            <w:vAlign w:val="center"/>
          </w:tcPr>
          <w:p w14:paraId="1E594727">
            <w:pPr>
              <w:spacing w:line="380" w:lineRule="exact"/>
              <w:jc w:val="center"/>
              <w:rPr>
                <w:rFonts w:ascii="Arial" w:hAnsi="Arial" w:cs="Arial"/>
                <w:b/>
                <w:bCs/>
                <w:sz w:val="22"/>
                <w:highlight w:val="none"/>
              </w:rPr>
            </w:pPr>
          </w:p>
        </w:tc>
        <w:tc>
          <w:tcPr>
            <w:tcW w:w="1203" w:type="dxa"/>
            <w:tcBorders>
              <w:left w:val="single" w:color="auto" w:sz="4" w:space="0"/>
            </w:tcBorders>
            <w:vAlign w:val="center"/>
          </w:tcPr>
          <w:p w14:paraId="08DE0066">
            <w:pPr>
              <w:spacing w:line="380" w:lineRule="exact"/>
              <w:jc w:val="center"/>
              <w:rPr>
                <w:rFonts w:ascii="Arial" w:hAnsi="Arial" w:cs="Arial"/>
                <w:b/>
                <w:bCs/>
                <w:sz w:val="22"/>
                <w:highlight w:val="none"/>
              </w:rPr>
            </w:pPr>
          </w:p>
        </w:tc>
        <w:tc>
          <w:tcPr>
            <w:tcW w:w="1093" w:type="dxa"/>
            <w:tcBorders>
              <w:left w:val="single" w:color="auto" w:sz="4" w:space="0"/>
            </w:tcBorders>
            <w:vAlign w:val="center"/>
          </w:tcPr>
          <w:p w14:paraId="0E4801FB">
            <w:pPr>
              <w:spacing w:line="380" w:lineRule="exact"/>
              <w:jc w:val="center"/>
              <w:rPr>
                <w:rFonts w:ascii="Arial" w:hAnsi="Arial" w:cs="Arial"/>
                <w:b/>
                <w:bCs/>
                <w:sz w:val="22"/>
                <w:highlight w:val="none"/>
              </w:rPr>
            </w:pPr>
          </w:p>
        </w:tc>
        <w:tc>
          <w:tcPr>
            <w:tcW w:w="1440" w:type="dxa"/>
            <w:tcBorders>
              <w:left w:val="single" w:color="auto" w:sz="4" w:space="0"/>
            </w:tcBorders>
            <w:vAlign w:val="center"/>
          </w:tcPr>
          <w:p w14:paraId="6AC9758C">
            <w:pPr>
              <w:spacing w:line="380" w:lineRule="exact"/>
              <w:jc w:val="center"/>
              <w:rPr>
                <w:rFonts w:ascii="Arial" w:hAnsi="Arial" w:cs="Arial"/>
                <w:b/>
                <w:bCs/>
                <w:sz w:val="22"/>
                <w:highlight w:val="none"/>
              </w:rPr>
            </w:pPr>
          </w:p>
        </w:tc>
      </w:tr>
    </w:tbl>
    <w:p w14:paraId="7EE9EDB6">
      <w:pPr>
        <w:autoSpaceDE w:val="0"/>
        <w:autoSpaceDN w:val="0"/>
        <w:adjustRightInd w:val="0"/>
        <w:spacing w:line="360" w:lineRule="auto"/>
        <w:rPr>
          <w:rFonts w:ascii="Arial" w:hAnsi="Arial" w:cs="Arial"/>
          <w:b/>
          <w:bCs/>
          <w:szCs w:val="21"/>
          <w:highlight w:val="none"/>
          <w:lang w:val="zh-CN"/>
        </w:rPr>
      </w:pPr>
      <w:r>
        <w:rPr>
          <w:rFonts w:ascii="Arial" w:hAnsi="Arial" w:cs="Arial"/>
          <w:b/>
          <w:szCs w:val="21"/>
          <w:highlight w:val="none"/>
        </w:rPr>
        <w:t>注：</w:t>
      </w:r>
      <w:r>
        <w:rPr>
          <w:rFonts w:ascii="宋体" w:hAnsi="宋体" w:cs="Arial"/>
          <w:b/>
          <w:szCs w:val="21"/>
          <w:highlight w:val="none"/>
        </w:rPr>
        <w:t>业绩有效性认定：提供202</w:t>
      </w:r>
      <w:r>
        <w:rPr>
          <w:rFonts w:hint="eastAsia" w:ascii="宋体" w:hAnsi="宋体" w:cs="Arial"/>
          <w:b/>
          <w:szCs w:val="21"/>
          <w:highlight w:val="none"/>
          <w:lang w:val="en-US" w:eastAsia="zh-CN"/>
        </w:rPr>
        <w:t>1</w:t>
      </w:r>
      <w:r>
        <w:rPr>
          <w:rFonts w:ascii="宋体" w:hAnsi="宋体" w:cs="Arial"/>
          <w:b/>
          <w:szCs w:val="21"/>
          <w:highlight w:val="none"/>
        </w:rPr>
        <w:t>年1月1日以来的中标通知书和合同扫描件并加盖公章，或者提供合同和发票扫描件并加盖公章</w:t>
      </w:r>
      <w:r>
        <w:rPr>
          <w:rFonts w:ascii="宋体" w:hAnsi="宋体" w:cs="宋体"/>
          <w:b/>
          <w:bCs/>
          <w:szCs w:val="21"/>
          <w:highlight w:val="none"/>
        </w:rPr>
        <w:t>；</w:t>
      </w:r>
      <w:r>
        <w:rPr>
          <w:rFonts w:ascii="宋体" w:hAnsi="宋体" w:cs="Arial"/>
          <w:b/>
          <w:szCs w:val="21"/>
          <w:highlight w:val="none"/>
        </w:rPr>
        <w:t>业绩认定时间以合同的签订时间为准。</w:t>
      </w:r>
    </w:p>
    <w:p w14:paraId="5B8E8FB5">
      <w:pPr>
        <w:rPr>
          <w:rFonts w:ascii="Arial" w:hAnsi="Arial" w:cs="Arial"/>
          <w:highlight w:val="none"/>
        </w:rPr>
      </w:pPr>
    </w:p>
    <w:p w14:paraId="2B022222">
      <w:pPr>
        <w:spacing w:before="312" w:beforeLines="100" w:after="312" w:afterLines="100" w:line="400" w:lineRule="atLeast"/>
        <w:ind w:firstLine="4200" w:firstLineChars="2000"/>
        <w:rPr>
          <w:rFonts w:ascii="Arial" w:hAnsi="Arial" w:cs="Arial"/>
          <w:szCs w:val="21"/>
          <w:highlight w:val="none"/>
        </w:rPr>
      </w:pPr>
      <w:r>
        <w:rPr>
          <w:rFonts w:ascii="Arial" w:hAnsi="Arial" w:cs="Arial"/>
          <w:szCs w:val="21"/>
          <w:highlight w:val="none"/>
        </w:rPr>
        <w:t>磋商供应商全称（盖章）：</w:t>
      </w:r>
    </w:p>
    <w:p w14:paraId="561E6445">
      <w:pPr>
        <w:spacing w:before="312" w:beforeLines="100" w:after="312" w:afterLines="100" w:line="400" w:lineRule="atLeast"/>
        <w:rPr>
          <w:rFonts w:ascii="Arial" w:hAnsi="Arial" w:cs="Arial"/>
          <w:szCs w:val="21"/>
          <w:highlight w:val="none"/>
        </w:rPr>
      </w:pPr>
      <w:r>
        <w:rPr>
          <w:rFonts w:ascii="Arial" w:hAnsi="Arial" w:cs="Arial"/>
          <w:szCs w:val="21"/>
          <w:highlight w:val="none"/>
        </w:rPr>
        <w:t xml:space="preserve">                                        法定代表人或授权代表（签字或盖章）：</w:t>
      </w:r>
    </w:p>
    <w:p w14:paraId="3B14D378">
      <w:pPr>
        <w:jc w:val="center"/>
        <w:rPr>
          <w:rFonts w:ascii="Arial" w:hAnsi="Arial" w:cs="Arial"/>
          <w:szCs w:val="21"/>
          <w:highlight w:val="none"/>
        </w:rPr>
      </w:pPr>
      <w:r>
        <w:rPr>
          <w:rFonts w:ascii="Arial" w:hAnsi="Arial" w:cs="Arial"/>
          <w:szCs w:val="21"/>
          <w:highlight w:val="none"/>
        </w:rPr>
        <w:t xml:space="preserve">                  </w:t>
      </w:r>
      <w:r>
        <w:rPr>
          <w:rFonts w:hint="eastAsia" w:ascii="Arial" w:hAnsi="Arial" w:cs="Arial"/>
          <w:szCs w:val="21"/>
          <w:highlight w:val="none"/>
          <w:lang w:val="en-US" w:eastAsia="zh-CN"/>
        </w:rPr>
        <w:t xml:space="preserve">       </w:t>
      </w:r>
      <w:r>
        <w:rPr>
          <w:rFonts w:ascii="Arial" w:hAnsi="Arial" w:cs="Arial"/>
          <w:szCs w:val="21"/>
          <w:highlight w:val="none"/>
        </w:rPr>
        <w:t>日 期：    年   月    日</w:t>
      </w:r>
    </w:p>
    <w:p w14:paraId="75804A71">
      <w:pPr>
        <w:pStyle w:val="13"/>
        <w:rPr>
          <w:rFonts w:ascii="Arial" w:hAnsi="Arial" w:cs="Arial"/>
          <w:szCs w:val="21"/>
          <w:highlight w:val="none"/>
        </w:rPr>
      </w:pPr>
    </w:p>
    <w:p w14:paraId="7BC1F37D">
      <w:pPr>
        <w:pStyle w:val="13"/>
        <w:spacing w:line="360" w:lineRule="auto"/>
        <w:ind w:left="0" w:leftChars="0" w:firstLine="0"/>
        <w:rPr>
          <w:highlight w:val="none"/>
        </w:rPr>
      </w:pPr>
    </w:p>
    <w:p w14:paraId="7782C46C">
      <w:pPr>
        <w:jc w:val="center"/>
        <w:outlineLvl w:val="1"/>
        <w:rPr>
          <w:rFonts w:ascii="宋体" w:hAnsi="宋体" w:cs="宋体"/>
          <w:b/>
          <w:bCs/>
          <w:szCs w:val="28"/>
          <w:highlight w:val="none"/>
        </w:rPr>
      </w:pPr>
      <w:bookmarkStart w:id="475" w:name="_Toc15745"/>
      <w:r>
        <w:rPr>
          <w:b/>
          <w:bCs/>
          <w:sz w:val="28"/>
          <w:szCs w:val="28"/>
          <w:highlight w:val="none"/>
        </w:rPr>
        <w:t>附件十</w:t>
      </w:r>
      <w:r>
        <w:rPr>
          <w:rFonts w:hint="eastAsia"/>
          <w:b/>
          <w:bCs/>
          <w:sz w:val="28"/>
          <w:szCs w:val="28"/>
          <w:highlight w:val="none"/>
          <w:lang w:val="en-US" w:eastAsia="zh-CN"/>
        </w:rPr>
        <w:t xml:space="preserve">三 </w:t>
      </w:r>
      <w:r>
        <w:rPr>
          <w:b/>
          <w:bCs/>
          <w:sz w:val="28"/>
          <w:szCs w:val="28"/>
          <w:highlight w:val="none"/>
        </w:rPr>
        <w:t xml:space="preserve">  报价一览表</w:t>
      </w:r>
      <w:bookmarkEnd w:id="475"/>
    </w:p>
    <w:p w14:paraId="2664D1C7">
      <w:pPr>
        <w:pStyle w:val="12"/>
        <w:spacing w:line="400" w:lineRule="exact"/>
        <w:ind w:firstLine="0"/>
        <w:rPr>
          <w:rFonts w:ascii="宋体" w:hAnsi="宋体" w:eastAsia="宋体" w:cs="宋体"/>
          <w:sz w:val="21"/>
          <w:szCs w:val="21"/>
          <w:highlight w:val="none"/>
        </w:rPr>
      </w:pPr>
      <w:r>
        <w:rPr>
          <w:rFonts w:ascii="宋体" w:hAnsi="宋体" w:eastAsia="宋体" w:cs="宋体"/>
          <w:sz w:val="21"/>
          <w:szCs w:val="21"/>
          <w:highlight w:val="none"/>
        </w:rPr>
        <w:t>项目名称：                                                 项目编号：</w:t>
      </w:r>
    </w:p>
    <w:tbl>
      <w:tblPr>
        <w:tblStyle w:val="25"/>
        <w:tblpPr w:leftFromText="180" w:rightFromText="180" w:vertAnchor="text" w:horzAnchor="page" w:tblpXSpec="center" w:tblpY="423"/>
        <w:tblOverlap w:val="never"/>
        <w:tblW w:w="89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0"/>
        <w:gridCol w:w="1923"/>
        <w:gridCol w:w="1952"/>
        <w:gridCol w:w="1077"/>
        <w:gridCol w:w="1255"/>
        <w:gridCol w:w="914"/>
      </w:tblGrid>
      <w:tr w14:paraId="56902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820" w:type="dxa"/>
            <w:vAlign w:val="center"/>
          </w:tcPr>
          <w:p w14:paraId="1F692266">
            <w:pPr>
              <w:spacing w:line="240" w:lineRule="atLeast"/>
              <w:ind w:right="-21" w:rightChars="-10"/>
              <w:jc w:val="center"/>
              <w:rPr>
                <w:rFonts w:ascii="宋体" w:hAnsi="宋体"/>
                <w:b/>
                <w:bCs/>
                <w:highlight w:val="none"/>
              </w:rPr>
            </w:pPr>
            <w:r>
              <w:rPr>
                <w:rFonts w:ascii="宋体" w:hAnsi="宋体"/>
                <w:b/>
                <w:bCs/>
                <w:highlight w:val="none"/>
              </w:rPr>
              <w:t>项目名称</w:t>
            </w:r>
          </w:p>
        </w:tc>
        <w:tc>
          <w:tcPr>
            <w:tcW w:w="1923" w:type="dxa"/>
            <w:vAlign w:val="center"/>
          </w:tcPr>
          <w:p w14:paraId="5F16259E">
            <w:pPr>
              <w:jc w:val="center"/>
              <w:rPr>
                <w:rFonts w:ascii="宋体" w:hAnsi="宋体"/>
                <w:b/>
                <w:sz w:val="21"/>
                <w:szCs w:val="18"/>
                <w:highlight w:val="none"/>
              </w:rPr>
            </w:pPr>
            <w:r>
              <w:rPr>
                <w:rFonts w:hint="eastAsia" w:ascii="宋体" w:hAnsi="宋体"/>
                <w:b/>
                <w:sz w:val="21"/>
                <w:szCs w:val="18"/>
                <w:highlight w:val="none"/>
              </w:rPr>
              <w:t>投标报价（单价）</w:t>
            </w:r>
          </w:p>
          <w:p w14:paraId="3122AC59">
            <w:pPr>
              <w:jc w:val="center"/>
              <w:rPr>
                <w:rFonts w:ascii="宋体" w:hAnsi="宋体" w:eastAsia="宋体" w:cs="Times New Roman"/>
                <w:b/>
                <w:kern w:val="2"/>
                <w:sz w:val="21"/>
                <w:szCs w:val="18"/>
                <w:highlight w:val="none"/>
                <w:lang w:val="en-US" w:eastAsia="zh-CN" w:bidi="ar-SA"/>
              </w:rPr>
            </w:pPr>
            <w:r>
              <w:rPr>
                <w:rFonts w:hint="eastAsia" w:ascii="宋体" w:hAnsi="宋体"/>
                <w:b/>
                <w:sz w:val="21"/>
                <w:szCs w:val="18"/>
                <w:highlight w:val="none"/>
              </w:rPr>
              <w:t>（元/场）</w:t>
            </w:r>
          </w:p>
        </w:tc>
        <w:tc>
          <w:tcPr>
            <w:tcW w:w="1952" w:type="dxa"/>
            <w:vAlign w:val="center"/>
          </w:tcPr>
          <w:p w14:paraId="72F0F85F">
            <w:pPr>
              <w:spacing w:line="240" w:lineRule="atLeast"/>
              <w:ind w:right="-21" w:rightChars="-10"/>
              <w:jc w:val="center"/>
              <w:rPr>
                <w:rFonts w:hint="eastAsia" w:ascii="宋体" w:hAnsi="宋体" w:eastAsia="宋体"/>
                <w:b/>
                <w:bCs/>
                <w:szCs w:val="21"/>
                <w:highlight w:val="none"/>
                <w:lang w:val="en-US" w:eastAsia="zh-CN"/>
              </w:rPr>
            </w:pPr>
            <w:r>
              <w:rPr>
                <w:rFonts w:hint="eastAsia" w:ascii="宋体" w:hAnsi="宋体" w:eastAsia="宋体"/>
                <w:b/>
                <w:bCs/>
                <w:szCs w:val="21"/>
                <w:highlight w:val="none"/>
                <w:lang w:val="en-US" w:eastAsia="zh-CN"/>
              </w:rPr>
              <w:t>最高限价</w:t>
            </w:r>
          </w:p>
          <w:p w14:paraId="08A1D58B">
            <w:pPr>
              <w:spacing w:line="240" w:lineRule="atLeast"/>
              <w:ind w:right="-21" w:rightChars="-10"/>
              <w:jc w:val="center"/>
              <w:rPr>
                <w:b/>
                <w:bCs/>
                <w:highlight w:val="none"/>
              </w:rPr>
            </w:pPr>
            <w:r>
              <w:rPr>
                <w:rFonts w:hint="eastAsia" w:ascii="宋体" w:hAnsi="宋体" w:eastAsia="宋体"/>
                <w:b/>
                <w:bCs/>
                <w:szCs w:val="21"/>
                <w:highlight w:val="none"/>
                <w:lang w:val="en-US" w:eastAsia="zh-CN"/>
              </w:rPr>
              <w:t>（人民币</w:t>
            </w:r>
            <w:r>
              <w:rPr>
                <w:rFonts w:hint="eastAsia" w:ascii="宋体" w:hAnsi="宋体"/>
                <w:b/>
                <w:bCs/>
                <w:szCs w:val="21"/>
                <w:highlight w:val="none"/>
                <w:lang w:val="en-US" w:eastAsia="zh-CN"/>
              </w:rPr>
              <w:t>：</w:t>
            </w:r>
            <w:r>
              <w:rPr>
                <w:rFonts w:hint="eastAsia" w:ascii="宋体" w:hAnsi="宋体"/>
                <w:b/>
                <w:sz w:val="21"/>
                <w:szCs w:val="18"/>
                <w:highlight w:val="none"/>
              </w:rPr>
              <w:t>元/场</w:t>
            </w:r>
            <w:r>
              <w:rPr>
                <w:rFonts w:hint="eastAsia" w:ascii="宋体" w:hAnsi="宋体" w:eastAsia="宋体"/>
                <w:b/>
                <w:bCs/>
                <w:szCs w:val="21"/>
                <w:highlight w:val="none"/>
                <w:lang w:val="en-US" w:eastAsia="zh-CN"/>
              </w:rPr>
              <w:t>）</w:t>
            </w:r>
          </w:p>
        </w:tc>
        <w:tc>
          <w:tcPr>
            <w:tcW w:w="1077" w:type="dxa"/>
            <w:vAlign w:val="center"/>
          </w:tcPr>
          <w:p w14:paraId="18883E86">
            <w:pPr>
              <w:spacing w:line="360" w:lineRule="auto"/>
              <w:ind w:right="-21" w:rightChars="-10"/>
              <w:jc w:val="center"/>
              <w:rPr>
                <w:highlight w:val="none"/>
              </w:rPr>
            </w:pPr>
            <w:r>
              <w:rPr>
                <w:rFonts w:ascii="Arial" w:hAnsi="Arial" w:eastAsia="新宋体" w:cs="Arial"/>
                <w:b/>
                <w:szCs w:val="21"/>
                <w:highlight w:val="none"/>
              </w:rPr>
              <w:t>服务期</w:t>
            </w:r>
          </w:p>
        </w:tc>
        <w:tc>
          <w:tcPr>
            <w:tcW w:w="1255" w:type="dxa"/>
            <w:vAlign w:val="center"/>
          </w:tcPr>
          <w:p w14:paraId="37BC969D">
            <w:pPr>
              <w:spacing w:line="240" w:lineRule="atLeast"/>
              <w:ind w:right="-21" w:rightChars="-10"/>
              <w:jc w:val="center"/>
              <w:rPr>
                <w:highlight w:val="none"/>
              </w:rPr>
            </w:pPr>
            <w:r>
              <w:rPr>
                <w:rFonts w:hint="eastAsia" w:ascii="Arial" w:hAnsi="Arial" w:eastAsia="新宋体" w:cs="Arial"/>
                <w:b/>
                <w:szCs w:val="21"/>
                <w:highlight w:val="none"/>
              </w:rPr>
              <w:t>项目负责人</w:t>
            </w:r>
          </w:p>
        </w:tc>
        <w:tc>
          <w:tcPr>
            <w:tcW w:w="914" w:type="dxa"/>
            <w:vAlign w:val="center"/>
          </w:tcPr>
          <w:p w14:paraId="7C2ACE46">
            <w:pPr>
              <w:spacing w:line="240" w:lineRule="atLeast"/>
              <w:ind w:right="-21" w:rightChars="-10"/>
              <w:jc w:val="center"/>
              <w:rPr>
                <w:rFonts w:hint="eastAsia" w:ascii="Arial" w:hAnsi="Arial" w:eastAsia="新宋体" w:cs="Arial"/>
                <w:b/>
                <w:szCs w:val="21"/>
                <w:highlight w:val="none"/>
                <w:lang w:val="en-US" w:eastAsia="zh-CN"/>
              </w:rPr>
            </w:pPr>
            <w:r>
              <w:rPr>
                <w:rFonts w:hint="eastAsia" w:ascii="Arial" w:hAnsi="Arial" w:eastAsia="新宋体" w:cs="Arial"/>
                <w:b/>
                <w:szCs w:val="21"/>
                <w:highlight w:val="none"/>
                <w:lang w:val="en-US" w:eastAsia="zh-CN"/>
              </w:rPr>
              <w:t>备注</w:t>
            </w:r>
          </w:p>
        </w:tc>
      </w:tr>
      <w:tr w14:paraId="01F82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trPr>
        <w:tc>
          <w:tcPr>
            <w:tcW w:w="1820" w:type="dxa"/>
            <w:vAlign w:val="center"/>
          </w:tcPr>
          <w:p w14:paraId="5F98E61F">
            <w:pPr>
              <w:spacing w:line="240" w:lineRule="atLeast"/>
              <w:ind w:right="-21" w:rightChars="-10"/>
              <w:jc w:val="center"/>
              <w:rPr>
                <w:rFonts w:ascii="宋体" w:hAnsi="宋体"/>
                <w:bCs/>
                <w:highlight w:val="none"/>
              </w:rPr>
            </w:pPr>
            <w:r>
              <w:rPr>
                <w:rFonts w:ascii="宋体" w:hAnsi="宋体"/>
                <w:bCs/>
                <w:highlight w:val="none"/>
              </w:rPr>
              <w:t xml:space="preserve"> </w:t>
            </w:r>
          </w:p>
        </w:tc>
        <w:tc>
          <w:tcPr>
            <w:tcW w:w="1923" w:type="dxa"/>
            <w:tcBorders>
              <w:left w:val="single" w:color="auto" w:sz="4" w:space="0"/>
            </w:tcBorders>
            <w:vAlign w:val="center"/>
          </w:tcPr>
          <w:p w14:paraId="7FB475BC">
            <w:pPr>
              <w:bidi w:val="0"/>
              <w:rPr>
                <w:rFonts w:hint="eastAsia"/>
                <w:highlight w:val="none"/>
                <w:lang w:val="en-US" w:eastAsia="zh-CN"/>
              </w:rPr>
            </w:pPr>
            <w:r>
              <w:rPr>
                <w:rFonts w:hint="eastAsia"/>
                <w:highlight w:val="none"/>
                <w:lang w:val="en-US" w:eastAsia="zh-CN"/>
              </w:rPr>
              <w:t>小写：</w:t>
            </w:r>
          </w:p>
          <w:p w14:paraId="15A86101">
            <w:pPr>
              <w:bidi w:val="0"/>
              <w:rPr>
                <w:highlight w:val="none"/>
              </w:rPr>
            </w:pPr>
            <w:r>
              <w:rPr>
                <w:rFonts w:hint="eastAsia"/>
                <w:highlight w:val="none"/>
                <w:lang w:val="en-US" w:eastAsia="zh-CN"/>
              </w:rPr>
              <w:t>大写：</w:t>
            </w:r>
          </w:p>
        </w:tc>
        <w:tc>
          <w:tcPr>
            <w:tcW w:w="1952" w:type="dxa"/>
            <w:tcBorders>
              <w:left w:val="single" w:color="auto" w:sz="4" w:space="0"/>
            </w:tcBorders>
            <w:vAlign w:val="center"/>
          </w:tcPr>
          <w:p w14:paraId="02DB89C2">
            <w:pPr>
              <w:spacing w:line="360" w:lineRule="auto"/>
              <w:ind w:right="-21" w:rightChars="-10"/>
              <w:jc w:val="center"/>
              <w:rPr>
                <w:highlight w:val="none"/>
                <w:lang w:val="en-US"/>
              </w:rPr>
            </w:pPr>
            <w:r>
              <w:rPr>
                <w:rFonts w:hint="eastAsia"/>
                <w:b w:val="0"/>
                <w:bCs w:val="0"/>
                <w:highlight w:val="none"/>
                <w:lang w:val="en-US" w:eastAsia="zh-CN"/>
              </w:rPr>
              <w:t>合计：210</w:t>
            </w:r>
          </w:p>
        </w:tc>
        <w:tc>
          <w:tcPr>
            <w:tcW w:w="1077" w:type="dxa"/>
            <w:tcBorders>
              <w:left w:val="single" w:color="auto" w:sz="4" w:space="0"/>
            </w:tcBorders>
            <w:vAlign w:val="center"/>
          </w:tcPr>
          <w:p w14:paraId="5CEE96D0">
            <w:pPr>
              <w:spacing w:line="360" w:lineRule="auto"/>
              <w:ind w:right="-21" w:rightChars="-10"/>
              <w:jc w:val="center"/>
              <w:rPr>
                <w:highlight w:val="none"/>
              </w:rPr>
            </w:pPr>
          </w:p>
        </w:tc>
        <w:tc>
          <w:tcPr>
            <w:tcW w:w="1255" w:type="dxa"/>
            <w:tcBorders>
              <w:left w:val="single" w:color="auto" w:sz="4" w:space="0"/>
            </w:tcBorders>
            <w:vAlign w:val="center"/>
          </w:tcPr>
          <w:p w14:paraId="2EB7606C">
            <w:pPr>
              <w:spacing w:line="360" w:lineRule="auto"/>
              <w:ind w:right="-21" w:rightChars="-10"/>
              <w:jc w:val="center"/>
              <w:rPr>
                <w:highlight w:val="none"/>
              </w:rPr>
            </w:pPr>
          </w:p>
        </w:tc>
        <w:tc>
          <w:tcPr>
            <w:tcW w:w="914" w:type="dxa"/>
            <w:tcBorders>
              <w:left w:val="single" w:color="auto" w:sz="4" w:space="0"/>
            </w:tcBorders>
            <w:vAlign w:val="center"/>
          </w:tcPr>
          <w:p w14:paraId="249A151D">
            <w:pPr>
              <w:spacing w:line="360" w:lineRule="auto"/>
              <w:ind w:right="-21" w:rightChars="-10"/>
              <w:jc w:val="center"/>
              <w:rPr>
                <w:highlight w:val="none"/>
              </w:rPr>
            </w:pPr>
          </w:p>
        </w:tc>
      </w:tr>
    </w:tbl>
    <w:p w14:paraId="2DCB1BE1">
      <w:pPr>
        <w:spacing w:line="360" w:lineRule="auto"/>
        <w:ind w:left="660" w:leftChars="104" w:hanging="442" w:hangingChars="200"/>
        <w:rPr>
          <w:rFonts w:hint="eastAsia" w:ascii="宋体" w:hAnsi="宋体" w:cs="宋体"/>
          <w:szCs w:val="21"/>
          <w:highlight w:val="none"/>
        </w:rPr>
      </w:pPr>
      <w:r>
        <w:rPr>
          <w:rFonts w:ascii="宋体" w:hAnsi="宋体" w:cs="宋体"/>
          <w:b/>
          <w:bCs/>
          <w:sz w:val="22"/>
          <w:szCs w:val="22"/>
          <w:highlight w:val="none"/>
        </w:rPr>
        <w:t>注：</w:t>
      </w:r>
      <w:r>
        <w:rPr>
          <w:rFonts w:hint="eastAsia" w:ascii="宋体" w:hAnsi="宋体" w:cs="宋体"/>
          <w:szCs w:val="21"/>
          <w:highlight w:val="none"/>
        </w:rPr>
        <w:t>1</w:t>
      </w:r>
      <w:r>
        <w:rPr>
          <w:rFonts w:hint="eastAsia" w:ascii="宋体" w:hAnsi="宋体" w:cs="宋体"/>
          <w:szCs w:val="21"/>
          <w:highlight w:val="none"/>
          <w:lang w:val="en-US" w:eastAsia="zh-CN"/>
        </w:rPr>
        <w:t>.</w:t>
      </w:r>
      <w:r>
        <w:rPr>
          <w:rFonts w:hint="eastAsia" w:ascii="宋体" w:hAnsi="宋体" w:cs="宋体"/>
          <w:szCs w:val="21"/>
          <w:highlight w:val="none"/>
        </w:rPr>
        <w:t>投标报价是履行合同的最终价格，包含完成本次项目的全部费用，未列费用均视为综合考虑包含在投标报价内。</w:t>
      </w:r>
    </w:p>
    <w:p w14:paraId="3EE031C0">
      <w:pPr>
        <w:spacing w:line="360" w:lineRule="auto"/>
        <w:ind w:left="630" w:hanging="630" w:hangingChars="300"/>
        <w:rPr>
          <w:rFonts w:hint="eastAsia" w:ascii="宋体" w:hAnsi="宋体" w:eastAsia="宋体" w:cs="宋体"/>
          <w:szCs w:val="21"/>
          <w:highlight w:val="none"/>
          <w:lang w:eastAsia="zh-CN"/>
        </w:rPr>
      </w:pPr>
      <w:r>
        <w:rPr>
          <w:rFonts w:ascii="宋体" w:hAnsi="宋体" w:cs="宋体"/>
          <w:szCs w:val="21"/>
          <w:highlight w:val="none"/>
        </w:rPr>
        <w:t xml:space="preserve">    </w:t>
      </w:r>
      <w:r>
        <w:rPr>
          <w:rFonts w:hint="eastAsia" w:ascii="宋体" w:hAnsi="宋体" w:cs="宋体"/>
          <w:szCs w:val="21"/>
          <w:highlight w:val="none"/>
          <w:lang w:val="en-US" w:eastAsia="zh-CN"/>
        </w:rPr>
        <w:t>2</w:t>
      </w:r>
      <w:r>
        <w:rPr>
          <w:rFonts w:ascii="宋体" w:hAnsi="宋体" w:cs="宋体"/>
          <w:szCs w:val="21"/>
          <w:highlight w:val="none"/>
        </w:rPr>
        <w:t>.▲</w:t>
      </w:r>
      <w:r>
        <w:rPr>
          <w:rFonts w:hint="eastAsia" w:ascii="宋体" w:hAnsi="宋体" w:eastAsia="宋体" w:cs="宋体"/>
          <w:szCs w:val="21"/>
          <w:highlight w:val="none"/>
          <w:lang w:val="en-US" w:eastAsia="zh-CN"/>
        </w:rPr>
        <w:t>投标综合单价超过最高限价的</w:t>
      </w:r>
      <w:r>
        <w:rPr>
          <w:rFonts w:hint="eastAsia" w:ascii="宋体" w:hAnsi="宋体" w:eastAsia="宋体" w:cs="宋体"/>
          <w:szCs w:val="21"/>
          <w:highlight w:val="none"/>
        </w:rPr>
        <w:t>，作无效标处理</w:t>
      </w:r>
      <w:r>
        <w:rPr>
          <w:rFonts w:hint="eastAsia" w:ascii="宋体" w:hAnsi="宋体" w:cs="宋体"/>
          <w:szCs w:val="21"/>
          <w:highlight w:val="none"/>
          <w:lang w:eastAsia="zh-CN"/>
        </w:rPr>
        <w:t>。</w:t>
      </w:r>
    </w:p>
    <w:p w14:paraId="033CC667">
      <w:pPr>
        <w:spacing w:line="360" w:lineRule="auto"/>
        <w:ind w:firstLine="630" w:firstLineChars="300"/>
        <w:rPr>
          <w:highlight w:val="none"/>
        </w:rPr>
      </w:pPr>
      <w:r>
        <w:rPr>
          <w:rStyle w:val="36"/>
          <w:rFonts w:hint="eastAsia" w:ascii="宋体" w:hAnsi="宋体" w:cs="宋体"/>
          <w:szCs w:val="21"/>
          <w:highlight w:val="none"/>
          <w:lang w:val="en-US" w:eastAsia="zh-CN"/>
        </w:rPr>
        <w:t>3</w:t>
      </w:r>
      <w:r>
        <w:rPr>
          <w:rStyle w:val="36"/>
          <w:rFonts w:ascii="宋体" w:hAnsi="宋体" w:cs="宋体"/>
          <w:szCs w:val="21"/>
          <w:highlight w:val="none"/>
        </w:rPr>
        <w:t>.▲</w:t>
      </w:r>
      <w:r>
        <w:rPr>
          <w:highlight w:val="none"/>
        </w:rPr>
        <w:t>此表不得自行增减内容。</w:t>
      </w:r>
    </w:p>
    <w:p w14:paraId="19C0521C">
      <w:pPr>
        <w:pStyle w:val="13"/>
        <w:spacing w:line="360" w:lineRule="auto"/>
        <w:ind w:firstLine="210" w:firstLineChars="100"/>
        <w:rPr>
          <w:rFonts w:hint="eastAsia" w:ascii="宋体" w:hAnsi="宋体" w:eastAsia="宋体" w:cs="宋体"/>
          <w:b w:val="0"/>
          <w:bCs w:val="0"/>
          <w:highlight w:val="none"/>
        </w:rPr>
      </w:pPr>
      <w:r>
        <w:rPr>
          <w:rFonts w:hint="eastAsia" w:ascii="宋体" w:hAnsi="宋体" w:eastAsia="宋体" w:cs="宋体"/>
          <w:b w:val="0"/>
          <w:bCs w:val="0"/>
          <w:highlight w:val="none"/>
          <w:lang w:val="en-US" w:eastAsia="zh-CN"/>
        </w:rPr>
        <w:t>4.</w:t>
      </w:r>
      <w:r>
        <w:rPr>
          <w:rFonts w:hint="eastAsia" w:ascii="宋体" w:hAnsi="宋体" w:eastAsia="宋体" w:cs="宋体"/>
          <w:b w:val="0"/>
          <w:bCs w:val="0"/>
          <w:highlight w:val="none"/>
        </w:rPr>
        <w:t>▲不提供此表的报价，视为没有实质性响应磋商文件要求。</w:t>
      </w:r>
    </w:p>
    <w:p w14:paraId="3F58BD47">
      <w:pPr>
        <w:pStyle w:val="19"/>
        <w:rPr>
          <w:highlight w:val="none"/>
        </w:rPr>
      </w:pPr>
    </w:p>
    <w:p w14:paraId="6A41CCDE">
      <w:pPr>
        <w:spacing w:before="312" w:beforeLines="100" w:after="312" w:afterLines="100" w:line="400" w:lineRule="atLeast"/>
        <w:ind w:left="4620" w:leftChars="2200"/>
        <w:rPr>
          <w:rFonts w:ascii="宋体" w:hAnsi="宋体"/>
          <w:szCs w:val="21"/>
          <w:highlight w:val="none"/>
        </w:rPr>
      </w:pPr>
      <w:r>
        <w:rPr>
          <w:rFonts w:ascii="宋体" w:hAnsi="宋体"/>
          <w:szCs w:val="21"/>
          <w:highlight w:val="none"/>
        </w:rPr>
        <w:t>磋商供应商全称（盖章）：</w:t>
      </w:r>
    </w:p>
    <w:p w14:paraId="226F4BC2">
      <w:pPr>
        <w:spacing w:before="312" w:beforeLines="100" w:after="312" w:afterLines="100" w:line="400" w:lineRule="atLeast"/>
        <w:ind w:firstLine="4620" w:firstLineChars="2200"/>
        <w:rPr>
          <w:rFonts w:ascii="宋体" w:hAnsi="宋体"/>
          <w:szCs w:val="21"/>
          <w:highlight w:val="none"/>
        </w:rPr>
      </w:pPr>
      <w:r>
        <w:rPr>
          <w:rFonts w:ascii="宋体" w:hAnsi="宋体"/>
          <w:szCs w:val="21"/>
          <w:highlight w:val="none"/>
        </w:rPr>
        <w:t>法定代表人或授权代表（签字或盖章）：</w:t>
      </w:r>
    </w:p>
    <w:p w14:paraId="1050CFE7">
      <w:pPr>
        <w:spacing w:before="312" w:beforeLines="100" w:after="312" w:afterLines="100" w:line="400" w:lineRule="atLeast"/>
        <w:jc w:val="center"/>
        <w:rPr>
          <w:rFonts w:ascii="宋体" w:hAnsi="宋体" w:cs="宋体"/>
          <w:b/>
          <w:bCs/>
          <w:sz w:val="28"/>
          <w:szCs w:val="28"/>
          <w:highlight w:val="none"/>
        </w:rPr>
      </w:pPr>
      <w:r>
        <w:rPr>
          <w:rFonts w:ascii="宋体" w:hAnsi="宋体"/>
          <w:szCs w:val="21"/>
          <w:highlight w:val="none"/>
        </w:rPr>
        <w:t xml:space="preserve">                        </w:t>
      </w:r>
      <w:r>
        <w:rPr>
          <w:rFonts w:hint="eastAsia" w:ascii="宋体" w:hAnsi="宋体"/>
          <w:szCs w:val="21"/>
          <w:highlight w:val="none"/>
          <w:lang w:val="en-US" w:eastAsia="zh-CN"/>
        </w:rPr>
        <w:t xml:space="preserve">      </w:t>
      </w:r>
      <w:r>
        <w:rPr>
          <w:rFonts w:ascii="宋体" w:hAnsi="宋体"/>
          <w:szCs w:val="21"/>
          <w:highlight w:val="none"/>
        </w:rPr>
        <w:t xml:space="preserve"> </w:t>
      </w:r>
      <w:r>
        <w:rPr>
          <w:rFonts w:hint="eastAsia" w:ascii="宋体" w:hAnsi="宋体"/>
          <w:szCs w:val="21"/>
          <w:highlight w:val="none"/>
          <w:lang w:val="en-US" w:eastAsia="zh-CN"/>
        </w:rPr>
        <w:t xml:space="preserve">  </w:t>
      </w:r>
      <w:r>
        <w:rPr>
          <w:rFonts w:ascii="宋体" w:hAnsi="宋体"/>
          <w:szCs w:val="21"/>
          <w:highlight w:val="none"/>
        </w:rPr>
        <w:t xml:space="preserve"> 日</w:t>
      </w:r>
      <w:r>
        <w:rPr>
          <w:rFonts w:hint="eastAsia" w:ascii="宋体" w:hAnsi="宋体"/>
          <w:szCs w:val="21"/>
          <w:highlight w:val="none"/>
          <w:lang w:val="en-US" w:eastAsia="zh-CN"/>
        </w:rPr>
        <w:t xml:space="preserve">  </w:t>
      </w:r>
      <w:r>
        <w:rPr>
          <w:rFonts w:ascii="宋体" w:hAnsi="宋体"/>
          <w:szCs w:val="21"/>
          <w:highlight w:val="none"/>
        </w:rPr>
        <w:t>期：    年   月    日</w:t>
      </w:r>
    </w:p>
    <w:p w14:paraId="6364E844">
      <w:pPr>
        <w:spacing w:before="312" w:beforeLines="100" w:after="312" w:afterLines="100" w:line="400" w:lineRule="atLeast"/>
        <w:rPr>
          <w:rFonts w:ascii="宋体" w:hAnsi="宋体" w:cs="宋体"/>
          <w:b/>
          <w:bCs/>
          <w:sz w:val="28"/>
          <w:szCs w:val="28"/>
          <w:highlight w:val="none"/>
        </w:rPr>
      </w:pPr>
    </w:p>
    <w:p w14:paraId="3B79C83A">
      <w:pPr>
        <w:rPr>
          <w:rFonts w:ascii="宋体" w:hAnsi="宋体" w:cs="宋体"/>
          <w:b/>
          <w:bCs/>
          <w:sz w:val="28"/>
          <w:szCs w:val="28"/>
          <w:highlight w:val="none"/>
        </w:rPr>
      </w:pPr>
    </w:p>
    <w:p w14:paraId="50610901">
      <w:pPr>
        <w:pStyle w:val="13"/>
        <w:rPr>
          <w:rFonts w:ascii="宋体" w:hAnsi="宋体" w:cs="宋体"/>
          <w:b/>
          <w:bCs/>
          <w:sz w:val="28"/>
          <w:szCs w:val="28"/>
          <w:highlight w:val="none"/>
        </w:rPr>
      </w:pPr>
    </w:p>
    <w:p w14:paraId="5470B51A">
      <w:pPr>
        <w:rPr>
          <w:rFonts w:ascii="宋体" w:hAnsi="宋体" w:cs="宋体"/>
          <w:b/>
          <w:bCs/>
          <w:sz w:val="28"/>
          <w:szCs w:val="28"/>
          <w:highlight w:val="none"/>
        </w:rPr>
      </w:pPr>
    </w:p>
    <w:p w14:paraId="6BA20F06">
      <w:pPr>
        <w:rPr>
          <w:rFonts w:ascii="宋体" w:hAnsi="宋体" w:cs="宋体"/>
          <w:b/>
          <w:bCs/>
          <w:sz w:val="28"/>
          <w:szCs w:val="28"/>
          <w:highlight w:val="none"/>
        </w:rPr>
      </w:pPr>
    </w:p>
    <w:p w14:paraId="47C4A633">
      <w:pPr>
        <w:widowControl/>
        <w:spacing w:before="156" w:beforeLines="50" w:after="312" w:afterLines="100"/>
        <w:jc w:val="center"/>
        <w:outlineLvl w:val="1"/>
        <w:rPr>
          <w:rFonts w:ascii="宋体" w:hAnsi="宋体" w:cs="宋体"/>
          <w:b/>
          <w:bCs/>
          <w:kern w:val="0"/>
          <w:sz w:val="28"/>
          <w:szCs w:val="28"/>
          <w:highlight w:val="none"/>
        </w:rPr>
      </w:pPr>
      <w:bookmarkStart w:id="476" w:name="_Toc5086"/>
      <w:bookmarkStart w:id="477" w:name="_Toc10810"/>
      <w:bookmarkStart w:id="478" w:name="_Toc12823"/>
      <w:bookmarkStart w:id="479" w:name="_Toc30234"/>
      <w:bookmarkStart w:id="480" w:name="_Toc17424"/>
    </w:p>
    <w:p w14:paraId="7B1F40F1">
      <w:pPr>
        <w:widowControl/>
        <w:spacing w:before="156" w:beforeLines="50" w:after="312" w:afterLines="100"/>
        <w:jc w:val="center"/>
        <w:outlineLvl w:val="1"/>
        <w:rPr>
          <w:rFonts w:ascii="宋体" w:hAnsi="宋体" w:cs="宋体"/>
          <w:b/>
          <w:bCs/>
          <w:kern w:val="0"/>
          <w:sz w:val="28"/>
          <w:szCs w:val="28"/>
          <w:highlight w:val="none"/>
        </w:rPr>
      </w:pPr>
    </w:p>
    <w:bookmarkEnd w:id="476"/>
    <w:bookmarkEnd w:id="477"/>
    <w:bookmarkEnd w:id="478"/>
    <w:bookmarkEnd w:id="479"/>
    <w:bookmarkEnd w:id="480"/>
    <w:p w14:paraId="3301D188">
      <w:pPr>
        <w:pStyle w:val="7"/>
        <w:keepNext w:val="0"/>
        <w:keepLines w:val="0"/>
        <w:spacing w:after="156" w:afterLines="50" w:line="400" w:lineRule="exact"/>
        <w:jc w:val="center"/>
        <w:rPr>
          <w:rFonts w:hAnsi="宋体" w:cs="宋体"/>
          <w:sz w:val="28"/>
          <w:szCs w:val="36"/>
          <w:highlight w:val="none"/>
        </w:rPr>
      </w:pPr>
      <w:r>
        <w:rPr>
          <w:highlight w:val="none"/>
        </w:rPr>
        <w:t xml:space="preserve">  </w:t>
      </w:r>
      <w:bookmarkStart w:id="481" w:name="_Toc17650"/>
      <w:bookmarkStart w:id="482" w:name="_Toc9567"/>
      <w:bookmarkStart w:id="483" w:name="_Toc5084"/>
      <w:bookmarkStart w:id="484" w:name="_Toc28862"/>
      <w:bookmarkStart w:id="485" w:name="_Toc24828"/>
      <w:bookmarkStart w:id="486" w:name="_Toc4507"/>
      <w:r>
        <w:rPr>
          <w:rFonts w:hAnsi="宋体" w:cs="宋体"/>
          <w:sz w:val="28"/>
          <w:szCs w:val="36"/>
          <w:highlight w:val="none"/>
        </w:rPr>
        <w:t>第六部分  评定办法</w:t>
      </w:r>
      <w:bookmarkEnd w:id="481"/>
      <w:bookmarkEnd w:id="482"/>
      <w:bookmarkEnd w:id="483"/>
      <w:bookmarkEnd w:id="484"/>
      <w:bookmarkEnd w:id="485"/>
      <w:bookmarkEnd w:id="486"/>
    </w:p>
    <w:p w14:paraId="3D6EAA47">
      <w:pPr>
        <w:spacing w:line="400" w:lineRule="exact"/>
        <w:ind w:firstLine="420" w:firstLineChars="200"/>
        <w:rPr>
          <w:rFonts w:ascii="宋体" w:hAnsi="宋体" w:cs="宋体"/>
          <w:bCs/>
          <w:kern w:val="28"/>
          <w:highlight w:val="none"/>
        </w:rPr>
      </w:pPr>
      <w:r>
        <w:rPr>
          <w:rFonts w:ascii="宋体" w:hAnsi="宋体" w:cs="宋体"/>
          <w:bCs/>
          <w:kern w:val="28"/>
          <w:highlight w:val="none"/>
        </w:rPr>
        <w:t>根据《中华人民共和国政府采购法》、《政府采购竞争性磋商采购方式管理暂行办法》和本项目磋商文件，按照公平、公正、科学、择优的原则选择成交人，特制定本办法。</w:t>
      </w:r>
    </w:p>
    <w:p w14:paraId="341CCBEE">
      <w:pPr>
        <w:spacing w:line="400" w:lineRule="exact"/>
        <w:ind w:firstLine="422" w:firstLineChars="200"/>
        <w:outlineLvl w:val="1"/>
        <w:rPr>
          <w:rFonts w:ascii="宋体" w:hAnsi="宋体" w:cs="宋体"/>
          <w:b/>
          <w:bCs/>
          <w:kern w:val="28"/>
          <w:highlight w:val="none"/>
        </w:rPr>
      </w:pPr>
      <w:bookmarkStart w:id="487" w:name="_Toc7454"/>
      <w:r>
        <w:rPr>
          <w:rFonts w:ascii="宋体" w:hAnsi="宋体" w:cs="宋体"/>
          <w:b/>
          <w:bCs/>
          <w:kern w:val="28"/>
          <w:highlight w:val="none"/>
        </w:rPr>
        <w:t>一、评定原则</w:t>
      </w:r>
      <w:bookmarkEnd w:id="487"/>
    </w:p>
    <w:p w14:paraId="28FDC579">
      <w:pPr>
        <w:spacing w:line="400" w:lineRule="exact"/>
        <w:ind w:firstLine="420" w:firstLineChars="200"/>
        <w:rPr>
          <w:rFonts w:ascii="宋体" w:hAnsi="宋体" w:cs="宋体"/>
          <w:bCs/>
          <w:kern w:val="28"/>
          <w:highlight w:val="none"/>
        </w:rPr>
      </w:pPr>
      <w:r>
        <w:rPr>
          <w:rFonts w:ascii="宋体" w:hAnsi="宋体" w:cs="宋体"/>
          <w:bCs/>
          <w:kern w:val="28"/>
          <w:highlight w:val="none"/>
        </w:rPr>
        <w:t>评审工作遵循公平、公正、民主、科学的原则和诚实、信誉、效率的服务原则。本着科学、严谨的态度，认真进行评审，择优选定服务单位。确保服务质量，节约投资，最大限度的保护当事人权益，严格按照磋商文件的商务、技术要求，对磋商响应文件进行综合评定，编写评标报告。评定人员必须严格遵守保密规定，不得泄漏评定的有关情况，不得索贿受贿，不得接受吃请和礼品，不得参加影响公正评标的有关活动。磋商供应商不得以任何方式干扰采购工作的进行，一经发现其磋商响应文件将被否决。</w:t>
      </w:r>
    </w:p>
    <w:p w14:paraId="10E7C830">
      <w:pPr>
        <w:spacing w:line="400" w:lineRule="exact"/>
        <w:ind w:firstLine="422" w:firstLineChars="200"/>
        <w:outlineLvl w:val="1"/>
        <w:rPr>
          <w:rFonts w:ascii="宋体" w:hAnsi="宋体" w:cs="宋体"/>
          <w:b/>
          <w:bCs/>
          <w:kern w:val="28"/>
          <w:highlight w:val="none"/>
        </w:rPr>
      </w:pPr>
      <w:bookmarkStart w:id="488" w:name="_Toc5819"/>
      <w:r>
        <w:rPr>
          <w:rFonts w:ascii="宋体" w:hAnsi="宋体" w:cs="宋体"/>
          <w:b/>
          <w:bCs/>
          <w:kern w:val="28"/>
          <w:highlight w:val="none"/>
        </w:rPr>
        <w:t>二、评标组织</w:t>
      </w:r>
      <w:bookmarkEnd w:id="488"/>
    </w:p>
    <w:p w14:paraId="337330DC">
      <w:pPr>
        <w:spacing w:line="400" w:lineRule="exact"/>
        <w:ind w:firstLine="420" w:firstLineChars="200"/>
        <w:rPr>
          <w:rFonts w:ascii="宋体" w:hAnsi="宋体" w:cs="宋体"/>
          <w:bCs/>
          <w:kern w:val="28"/>
          <w:highlight w:val="none"/>
        </w:rPr>
      </w:pPr>
      <w:r>
        <w:rPr>
          <w:rFonts w:ascii="宋体" w:hAnsi="宋体" w:cs="宋体"/>
          <w:bCs/>
          <w:kern w:val="28"/>
          <w:highlight w:val="none"/>
        </w:rPr>
        <w:t>开标后，首先采购人或采购代理机构对磋商响应文件进行资格性检查；接着磋商小组对符合资格的供应商进行符合性审查，以确定是否对磋商文件的要求作出响应凡磋商供应商资格不符合磋商文件要求；磋商响应文件内容和格式严重不符合有关规定或不响应磋商文件要求者，经磋商小组认定作为无效投标，不再进入后续磋商。对磋商文件完善后，由磋商小组对磋商供应商进行询标，磋商供应商做出书面答复作为磋商响应文件的补充文件。</w:t>
      </w:r>
    </w:p>
    <w:p w14:paraId="2D34611F">
      <w:pPr>
        <w:spacing w:line="400" w:lineRule="exact"/>
        <w:ind w:firstLine="420" w:firstLineChars="200"/>
        <w:rPr>
          <w:rFonts w:ascii="宋体" w:hAnsi="宋体" w:cs="宋体"/>
          <w:bCs/>
          <w:kern w:val="28"/>
          <w:highlight w:val="none"/>
        </w:rPr>
      </w:pPr>
      <w:r>
        <w:rPr>
          <w:rFonts w:ascii="宋体" w:hAnsi="宋体" w:cs="宋体"/>
          <w:highlight w:val="none"/>
        </w:rPr>
        <w:t>经资格性检查和符合性检查后，开、评标期间出现符合资格条件的供应商或者对磋商文件作出实质响应的供应商（有效供应商）不足三家的，按政府</w:t>
      </w:r>
      <w:r>
        <w:rPr>
          <w:rFonts w:ascii="宋体" w:hAnsi="宋体" w:cs="宋体"/>
          <w:szCs w:val="21"/>
          <w:highlight w:val="none"/>
        </w:rPr>
        <w:t>采购法律法规有关规定，依法继续进行或转为其它政府采购人式进行采购，或宣布本次招标失败，重新组织招标。</w:t>
      </w:r>
    </w:p>
    <w:p w14:paraId="7DE20323">
      <w:pPr>
        <w:spacing w:line="400" w:lineRule="exact"/>
        <w:ind w:firstLine="422" w:firstLineChars="200"/>
        <w:outlineLvl w:val="1"/>
        <w:rPr>
          <w:rFonts w:ascii="宋体" w:hAnsi="宋体" w:cs="宋体"/>
          <w:b/>
          <w:bCs/>
          <w:kern w:val="28"/>
          <w:highlight w:val="none"/>
        </w:rPr>
      </w:pPr>
      <w:bookmarkStart w:id="489" w:name="_Toc11299"/>
      <w:r>
        <w:rPr>
          <w:rFonts w:ascii="宋体" w:hAnsi="宋体" w:cs="宋体"/>
          <w:b/>
          <w:bCs/>
          <w:kern w:val="28"/>
          <w:highlight w:val="none"/>
        </w:rPr>
        <w:t>三、评定办法</w:t>
      </w:r>
      <w:bookmarkEnd w:id="489"/>
    </w:p>
    <w:p w14:paraId="0CB5E21E">
      <w:pPr>
        <w:spacing w:line="400" w:lineRule="exact"/>
        <w:ind w:firstLine="420" w:firstLineChars="200"/>
        <w:rPr>
          <w:rFonts w:ascii="宋体" w:hAnsi="宋体" w:cs="宋体"/>
          <w:bCs/>
          <w:kern w:val="28"/>
          <w:highlight w:val="none"/>
        </w:rPr>
      </w:pPr>
      <w:r>
        <w:rPr>
          <w:rFonts w:ascii="宋体" w:hAnsi="宋体" w:cs="宋体"/>
          <w:bCs/>
          <w:kern w:val="28"/>
          <w:highlight w:val="none"/>
        </w:rPr>
        <w:t>本次评标采用综合评分法，总分为100分，其中报价分</w:t>
      </w:r>
      <w:r>
        <w:rPr>
          <w:rFonts w:hint="eastAsia" w:ascii="宋体" w:hAnsi="宋体" w:cs="宋体"/>
          <w:bCs/>
          <w:kern w:val="28"/>
          <w:highlight w:val="none"/>
          <w:lang w:val="en-US" w:eastAsia="zh-CN"/>
        </w:rPr>
        <w:t>10</w:t>
      </w:r>
      <w:r>
        <w:rPr>
          <w:rFonts w:ascii="宋体" w:hAnsi="宋体" w:cs="宋体"/>
          <w:bCs/>
          <w:kern w:val="28"/>
          <w:highlight w:val="none"/>
        </w:rPr>
        <w:t>分、商务技术分</w:t>
      </w:r>
      <w:r>
        <w:rPr>
          <w:rFonts w:hint="eastAsia" w:ascii="宋体" w:hAnsi="宋体" w:cs="宋体"/>
          <w:bCs/>
          <w:kern w:val="28"/>
          <w:highlight w:val="none"/>
          <w:lang w:val="en-US" w:eastAsia="zh-CN"/>
        </w:rPr>
        <w:t>90</w:t>
      </w:r>
      <w:r>
        <w:rPr>
          <w:rFonts w:ascii="宋体" w:hAnsi="宋体" w:cs="宋体"/>
          <w:bCs/>
          <w:kern w:val="28"/>
          <w:highlight w:val="none"/>
        </w:rPr>
        <w:t>分。合格供应商的评标得分为各项目汇总得分。评分过程中数值计算采用四舍五入法，并保留小数2位。</w:t>
      </w:r>
    </w:p>
    <w:tbl>
      <w:tblPr>
        <w:tblStyle w:val="25"/>
        <w:tblpPr w:leftFromText="180" w:rightFromText="180" w:vertAnchor="text" w:horzAnchor="page" w:tblpX="1746" w:tblpY="814"/>
        <w:tblOverlap w:val="never"/>
        <w:tblW w:w="90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459"/>
        <w:gridCol w:w="914"/>
        <w:gridCol w:w="1551"/>
        <w:gridCol w:w="4340"/>
      </w:tblGrid>
      <w:tr w14:paraId="5750E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7" w:hRule="atLeast"/>
        </w:trPr>
        <w:tc>
          <w:tcPr>
            <w:tcW w:w="750" w:type="dxa"/>
            <w:vAlign w:val="center"/>
          </w:tcPr>
          <w:p w14:paraId="33210B47">
            <w:pPr>
              <w:ind w:right="3"/>
              <w:jc w:val="center"/>
              <w:rPr>
                <w:rFonts w:ascii="宋体" w:hAnsi="宋体" w:cs="宋体"/>
                <w:b/>
                <w:bCs/>
                <w:szCs w:val="21"/>
                <w:highlight w:val="none"/>
              </w:rPr>
            </w:pPr>
            <w:r>
              <w:rPr>
                <w:rFonts w:ascii="宋体" w:hAnsi="宋体" w:cs="宋体"/>
                <w:b/>
                <w:bCs/>
                <w:szCs w:val="21"/>
                <w:highlight w:val="none"/>
              </w:rPr>
              <w:t>序号</w:t>
            </w:r>
          </w:p>
        </w:tc>
        <w:tc>
          <w:tcPr>
            <w:tcW w:w="1459" w:type="dxa"/>
            <w:vAlign w:val="center"/>
          </w:tcPr>
          <w:p w14:paraId="4A09033C">
            <w:pPr>
              <w:ind w:right="3"/>
              <w:jc w:val="center"/>
              <w:rPr>
                <w:rFonts w:ascii="宋体" w:hAnsi="宋体" w:cs="宋体"/>
                <w:b/>
                <w:bCs/>
                <w:szCs w:val="21"/>
                <w:highlight w:val="none"/>
              </w:rPr>
            </w:pPr>
            <w:r>
              <w:rPr>
                <w:rFonts w:ascii="宋体" w:hAnsi="宋体" w:cs="宋体"/>
                <w:b/>
                <w:bCs/>
                <w:szCs w:val="21"/>
                <w:highlight w:val="none"/>
              </w:rPr>
              <w:t>评审类型</w:t>
            </w:r>
          </w:p>
        </w:tc>
        <w:tc>
          <w:tcPr>
            <w:tcW w:w="2465" w:type="dxa"/>
            <w:gridSpan w:val="2"/>
            <w:vAlign w:val="center"/>
          </w:tcPr>
          <w:p w14:paraId="37A4DCF0">
            <w:pPr>
              <w:pStyle w:val="12"/>
              <w:ind w:firstLine="0"/>
              <w:jc w:val="center"/>
              <w:rPr>
                <w:rFonts w:ascii="宋体" w:hAnsi="宋体" w:cs="宋体"/>
                <w:b/>
                <w:bCs/>
                <w:sz w:val="21"/>
                <w:szCs w:val="21"/>
                <w:highlight w:val="none"/>
              </w:rPr>
            </w:pPr>
            <w:r>
              <w:rPr>
                <w:rFonts w:ascii="宋体" w:hAnsi="宋体" w:cs="宋体"/>
                <w:b/>
                <w:bCs/>
                <w:sz w:val="21"/>
                <w:szCs w:val="21"/>
                <w:highlight w:val="none"/>
              </w:rPr>
              <w:t>评审内容</w:t>
            </w:r>
          </w:p>
        </w:tc>
        <w:tc>
          <w:tcPr>
            <w:tcW w:w="4340" w:type="dxa"/>
            <w:vAlign w:val="center"/>
          </w:tcPr>
          <w:p w14:paraId="52E4611C">
            <w:pPr>
              <w:pStyle w:val="12"/>
              <w:ind w:firstLine="0"/>
              <w:jc w:val="center"/>
              <w:rPr>
                <w:rFonts w:ascii="宋体" w:hAnsi="宋体" w:cs="宋体"/>
                <w:b/>
                <w:bCs/>
                <w:sz w:val="21"/>
                <w:szCs w:val="21"/>
                <w:highlight w:val="none"/>
              </w:rPr>
            </w:pPr>
            <w:r>
              <w:rPr>
                <w:rFonts w:ascii="宋体" w:hAnsi="宋体" w:cs="宋体"/>
                <w:b/>
                <w:bCs/>
                <w:sz w:val="21"/>
                <w:szCs w:val="21"/>
                <w:highlight w:val="none"/>
              </w:rPr>
              <w:t>评审标准</w:t>
            </w:r>
          </w:p>
        </w:tc>
      </w:tr>
      <w:tr w14:paraId="776D7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750" w:type="dxa"/>
            <w:vMerge w:val="restart"/>
            <w:vAlign w:val="center"/>
          </w:tcPr>
          <w:p w14:paraId="489E4959">
            <w:pPr>
              <w:ind w:right="3"/>
              <w:jc w:val="center"/>
              <w:rPr>
                <w:rFonts w:ascii="宋体" w:hAnsi="宋体" w:cs="宋体"/>
                <w:spacing w:val="4"/>
                <w:szCs w:val="21"/>
                <w:highlight w:val="none"/>
              </w:rPr>
            </w:pPr>
            <w:r>
              <w:rPr>
                <w:rFonts w:ascii="宋体" w:hAnsi="宋体" w:cs="宋体"/>
                <w:spacing w:val="4"/>
                <w:szCs w:val="21"/>
                <w:highlight w:val="none"/>
              </w:rPr>
              <w:t>1</w:t>
            </w:r>
          </w:p>
        </w:tc>
        <w:tc>
          <w:tcPr>
            <w:tcW w:w="1459" w:type="dxa"/>
            <w:vMerge w:val="restart"/>
            <w:tcBorders>
              <w:left w:val="single" w:color="auto" w:sz="4" w:space="0"/>
            </w:tcBorders>
            <w:vAlign w:val="center"/>
          </w:tcPr>
          <w:p w14:paraId="3441A2BA">
            <w:pPr>
              <w:ind w:right="3"/>
              <w:jc w:val="center"/>
              <w:rPr>
                <w:rFonts w:ascii="宋体" w:hAnsi="宋体" w:cs="宋体"/>
                <w:b/>
                <w:bCs/>
                <w:kern w:val="28"/>
                <w:szCs w:val="21"/>
                <w:highlight w:val="none"/>
              </w:rPr>
            </w:pPr>
            <w:r>
              <w:rPr>
                <w:rFonts w:ascii="宋体" w:hAnsi="宋体" w:cs="宋体"/>
                <w:b/>
                <w:szCs w:val="21"/>
                <w:highlight w:val="none"/>
              </w:rPr>
              <w:t>资格</w:t>
            </w:r>
            <w:r>
              <w:rPr>
                <w:rFonts w:ascii="宋体" w:hAnsi="宋体" w:cs="宋体"/>
                <w:b/>
                <w:bCs/>
                <w:kern w:val="28"/>
                <w:szCs w:val="21"/>
                <w:highlight w:val="none"/>
              </w:rPr>
              <w:t>性</w:t>
            </w:r>
          </w:p>
          <w:p w14:paraId="0A020F3A">
            <w:pPr>
              <w:ind w:right="3"/>
              <w:jc w:val="center"/>
              <w:rPr>
                <w:rFonts w:ascii="宋体" w:hAnsi="宋体" w:cs="宋体"/>
                <w:b/>
                <w:spacing w:val="4"/>
                <w:szCs w:val="21"/>
                <w:highlight w:val="none"/>
              </w:rPr>
            </w:pPr>
            <w:r>
              <w:rPr>
                <w:rFonts w:ascii="宋体" w:hAnsi="宋体" w:cs="宋体"/>
                <w:b/>
                <w:bCs/>
                <w:kern w:val="28"/>
                <w:szCs w:val="21"/>
                <w:highlight w:val="none"/>
              </w:rPr>
              <w:t>检查</w:t>
            </w:r>
          </w:p>
        </w:tc>
        <w:tc>
          <w:tcPr>
            <w:tcW w:w="2465" w:type="dxa"/>
            <w:gridSpan w:val="2"/>
            <w:tcBorders>
              <w:left w:val="single" w:color="auto" w:sz="4" w:space="0"/>
            </w:tcBorders>
            <w:vAlign w:val="center"/>
          </w:tcPr>
          <w:p w14:paraId="11F7A11A">
            <w:pPr>
              <w:pStyle w:val="12"/>
              <w:ind w:firstLine="0"/>
              <w:jc w:val="center"/>
              <w:rPr>
                <w:rFonts w:ascii="宋体" w:hAnsi="宋体" w:cs="宋体"/>
                <w:sz w:val="21"/>
                <w:szCs w:val="21"/>
                <w:highlight w:val="none"/>
              </w:rPr>
            </w:pPr>
            <w:r>
              <w:rPr>
                <w:rFonts w:ascii="宋体" w:hAnsi="宋体" w:cs="宋体"/>
                <w:sz w:val="21"/>
                <w:szCs w:val="21"/>
                <w:highlight w:val="none"/>
              </w:rPr>
              <w:t>营业执照</w:t>
            </w:r>
          </w:p>
        </w:tc>
        <w:tc>
          <w:tcPr>
            <w:tcW w:w="4340" w:type="dxa"/>
            <w:tcBorders>
              <w:left w:val="single" w:color="auto" w:sz="4" w:space="0"/>
            </w:tcBorders>
            <w:vAlign w:val="center"/>
          </w:tcPr>
          <w:p w14:paraId="3D80D592">
            <w:pPr>
              <w:pStyle w:val="12"/>
              <w:ind w:firstLine="0"/>
              <w:jc w:val="center"/>
              <w:rPr>
                <w:rFonts w:ascii="宋体" w:hAnsi="宋体" w:cs="宋体"/>
                <w:sz w:val="21"/>
                <w:szCs w:val="21"/>
                <w:highlight w:val="none"/>
              </w:rPr>
            </w:pPr>
            <w:r>
              <w:rPr>
                <w:rFonts w:ascii="宋体" w:hAnsi="宋体" w:cs="宋体"/>
                <w:sz w:val="21"/>
                <w:szCs w:val="21"/>
                <w:highlight w:val="none"/>
              </w:rPr>
              <w:t>具备有效的营业执照</w:t>
            </w:r>
          </w:p>
        </w:tc>
      </w:tr>
      <w:tr w14:paraId="47958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trPr>
        <w:tc>
          <w:tcPr>
            <w:tcW w:w="750" w:type="dxa"/>
            <w:vMerge w:val="continue"/>
            <w:vAlign w:val="center"/>
          </w:tcPr>
          <w:p w14:paraId="3B74EDFC">
            <w:pPr>
              <w:rPr>
                <w:highlight w:val="none"/>
              </w:rPr>
            </w:pPr>
          </w:p>
        </w:tc>
        <w:tc>
          <w:tcPr>
            <w:tcW w:w="1459" w:type="dxa"/>
            <w:vMerge w:val="continue"/>
            <w:tcBorders>
              <w:left w:val="single" w:color="auto" w:sz="4" w:space="0"/>
            </w:tcBorders>
            <w:vAlign w:val="center"/>
          </w:tcPr>
          <w:p w14:paraId="25F41393">
            <w:pPr>
              <w:rPr>
                <w:highlight w:val="none"/>
              </w:rPr>
            </w:pPr>
          </w:p>
        </w:tc>
        <w:tc>
          <w:tcPr>
            <w:tcW w:w="2465" w:type="dxa"/>
            <w:gridSpan w:val="2"/>
            <w:tcBorders>
              <w:left w:val="single" w:color="auto" w:sz="4" w:space="0"/>
            </w:tcBorders>
            <w:vAlign w:val="center"/>
          </w:tcPr>
          <w:p w14:paraId="36DD902D">
            <w:pPr>
              <w:pStyle w:val="12"/>
              <w:spacing w:line="320" w:lineRule="exact"/>
              <w:ind w:firstLine="0"/>
              <w:jc w:val="center"/>
              <w:rPr>
                <w:rFonts w:ascii="宋体" w:hAnsi="宋体" w:cs="宋体"/>
                <w:sz w:val="21"/>
                <w:szCs w:val="21"/>
                <w:highlight w:val="none"/>
              </w:rPr>
            </w:pPr>
            <w:r>
              <w:rPr>
                <w:rFonts w:ascii="宋体" w:hAnsi="宋体" w:cs="宋体"/>
                <w:sz w:val="21"/>
                <w:szCs w:val="21"/>
                <w:highlight w:val="none"/>
              </w:rPr>
              <w:t>法定代表人授权委托书或法定代表人身份证明</w:t>
            </w:r>
          </w:p>
        </w:tc>
        <w:tc>
          <w:tcPr>
            <w:tcW w:w="4340" w:type="dxa"/>
            <w:tcBorders>
              <w:left w:val="single" w:color="auto" w:sz="4" w:space="0"/>
            </w:tcBorders>
            <w:vAlign w:val="center"/>
          </w:tcPr>
          <w:p w14:paraId="293E705C">
            <w:pPr>
              <w:pStyle w:val="12"/>
              <w:spacing w:line="320" w:lineRule="exact"/>
              <w:ind w:firstLine="0"/>
              <w:jc w:val="center"/>
              <w:rPr>
                <w:rFonts w:ascii="宋体" w:hAnsi="宋体" w:cs="宋体"/>
                <w:sz w:val="21"/>
                <w:szCs w:val="21"/>
                <w:highlight w:val="none"/>
              </w:rPr>
            </w:pPr>
            <w:r>
              <w:rPr>
                <w:rFonts w:ascii="宋体" w:hAnsi="宋体" w:cs="宋体"/>
                <w:sz w:val="21"/>
                <w:szCs w:val="21"/>
                <w:highlight w:val="none"/>
              </w:rPr>
              <w:t>符合磋商文件要求</w:t>
            </w:r>
          </w:p>
        </w:tc>
      </w:tr>
      <w:tr w14:paraId="08E43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6" w:hRule="atLeast"/>
        </w:trPr>
        <w:tc>
          <w:tcPr>
            <w:tcW w:w="750" w:type="dxa"/>
            <w:vMerge w:val="continue"/>
            <w:vAlign w:val="center"/>
          </w:tcPr>
          <w:p w14:paraId="4A2643A7">
            <w:pPr>
              <w:rPr>
                <w:highlight w:val="none"/>
              </w:rPr>
            </w:pPr>
          </w:p>
        </w:tc>
        <w:tc>
          <w:tcPr>
            <w:tcW w:w="1459" w:type="dxa"/>
            <w:vMerge w:val="continue"/>
            <w:tcBorders>
              <w:left w:val="single" w:color="auto" w:sz="4" w:space="0"/>
            </w:tcBorders>
            <w:vAlign w:val="center"/>
          </w:tcPr>
          <w:p w14:paraId="7E978D5B">
            <w:pPr>
              <w:rPr>
                <w:highlight w:val="none"/>
              </w:rPr>
            </w:pPr>
          </w:p>
        </w:tc>
        <w:tc>
          <w:tcPr>
            <w:tcW w:w="2465" w:type="dxa"/>
            <w:gridSpan w:val="2"/>
            <w:tcBorders>
              <w:left w:val="single" w:color="auto" w:sz="4" w:space="0"/>
            </w:tcBorders>
            <w:vAlign w:val="center"/>
          </w:tcPr>
          <w:p w14:paraId="18666F75">
            <w:pPr>
              <w:pStyle w:val="12"/>
              <w:spacing w:line="320" w:lineRule="exact"/>
              <w:ind w:firstLine="0"/>
              <w:jc w:val="center"/>
              <w:rPr>
                <w:rFonts w:ascii="宋体" w:hAnsi="宋体" w:cs="宋体"/>
                <w:sz w:val="21"/>
                <w:szCs w:val="21"/>
                <w:highlight w:val="none"/>
              </w:rPr>
            </w:pPr>
            <w:r>
              <w:rPr>
                <w:rFonts w:ascii="宋体" w:hAnsi="宋体" w:cs="宋体"/>
                <w:sz w:val="21"/>
                <w:szCs w:val="21"/>
                <w:highlight w:val="none"/>
              </w:rPr>
              <w:t>提供关于《中华人民共和国政府采购法》第二十二条规定的承诺函</w:t>
            </w:r>
          </w:p>
        </w:tc>
        <w:tc>
          <w:tcPr>
            <w:tcW w:w="4340" w:type="dxa"/>
            <w:tcBorders>
              <w:left w:val="single" w:color="auto" w:sz="4" w:space="0"/>
            </w:tcBorders>
            <w:vAlign w:val="center"/>
          </w:tcPr>
          <w:p w14:paraId="6AAA3F50">
            <w:pPr>
              <w:pStyle w:val="12"/>
              <w:spacing w:line="320" w:lineRule="exact"/>
              <w:ind w:firstLine="0"/>
              <w:jc w:val="center"/>
              <w:rPr>
                <w:rFonts w:ascii="宋体" w:hAnsi="宋体" w:cs="宋体"/>
                <w:sz w:val="21"/>
                <w:szCs w:val="21"/>
                <w:highlight w:val="none"/>
              </w:rPr>
            </w:pPr>
            <w:r>
              <w:rPr>
                <w:rFonts w:ascii="宋体" w:hAnsi="宋体" w:cs="宋体"/>
                <w:sz w:val="21"/>
                <w:szCs w:val="21"/>
                <w:highlight w:val="none"/>
              </w:rPr>
              <w:t>符合磋商文件要求</w:t>
            </w:r>
          </w:p>
        </w:tc>
      </w:tr>
      <w:tr w14:paraId="33C96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6" w:hRule="atLeast"/>
        </w:trPr>
        <w:tc>
          <w:tcPr>
            <w:tcW w:w="750" w:type="dxa"/>
            <w:vMerge w:val="continue"/>
            <w:vAlign w:val="center"/>
          </w:tcPr>
          <w:p w14:paraId="6448BFE7">
            <w:pPr>
              <w:rPr>
                <w:highlight w:val="none"/>
              </w:rPr>
            </w:pPr>
          </w:p>
        </w:tc>
        <w:tc>
          <w:tcPr>
            <w:tcW w:w="1459" w:type="dxa"/>
            <w:vMerge w:val="continue"/>
            <w:tcBorders>
              <w:left w:val="single" w:color="auto" w:sz="4" w:space="0"/>
            </w:tcBorders>
            <w:vAlign w:val="center"/>
          </w:tcPr>
          <w:p w14:paraId="7777BEFE">
            <w:pPr>
              <w:rPr>
                <w:highlight w:val="none"/>
              </w:rPr>
            </w:pPr>
          </w:p>
        </w:tc>
        <w:tc>
          <w:tcPr>
            <w:tcW w:w="2465" w:type="dxa"/>
            <w:gridSpan w:val="2"/>
            <w:tcBorders>
              <w:left w:val="single" w:color="auto" w:sz="4" w:space="0"/>
            </w:tcBorders>
            <w:vAlign w:val="center"/>
          </w:tcPr>
          <w:p w14:paraId="3C648102">
            <w:pPr>
              <w:pStyle w:val="12"/>
              <w:spacing w:line="320" w:lineRule="exact"/>
              <w:ind w:firstLine="0"/>
              <w:jc w:val="center"/>
              <w:rPr>
                <w:rFonts w:ascii="宋体" w:hAnsi="宋体" w:cs="宋体"/>
                <w:sz w:val="21"/>
                <w:szCs w:val="21"/>
                <w:highlight w:val="none"/>
              </w:rPr>
            </w:pPr>
            <w:r>
              <w:rPr>
                <w:rFonts w:ascii="宋体" w:hAnsi="宋体" w:cs="宋体"/>
                <w:szCs w:val="21"/>
                <w:highlight w:val="none"/>
              </w:rPr>
              <w:t>落实政府采购政策需满足的资格要求</w:t>
            </w:r>
          </w:p>
        </w:tc>
        <w:tc>
          <w:tcPr>
            <w:tcW w:w="4340" w:type="dxa"/>
            <w:tcBorders>
              <w:left w:val="single" w:color="auto" w:sz="4" w:space="0"/>
            </w:tcBorders>
            <w:vAlign w:val="center"/>
          </w:tcPr>
          <w:p w14:paraId="03696445">
            <w:pPr>
              <w:pStyle w:val="12"/>
              <w:spacing w:line="320" w:lineRule="exact"/>
              <w:ind w:firstLine="0"/>
              <w:jc w:val="center"/>
              <w:rPr>
                <w:rFonts w:ascii="宋体" w:hAnsi="宋体" w:cs="宋体"/>
                <w:sz w:val="21"/>
                <w:szCs w:val="21"/>
                <w:highlight w:val="none"/>
              </w:rPr>
            </w:pPr>
            <w:r>
              <w:rPr>
                <w:rFonts w:ascii="宋体" w:hAnsi="宋体" w:cs="宋体"/>
                <w:sz w:val="21"/>
                <w:szCs w:val="21"/>
                <w:highlight w:val="none"/>
              </w:rPr>
              <w:t>符合磋商文件要求</w:t>
            </w:r>
          </w:p>
        </w:tc>
      </w:tr>
      <w:tr w14:paraId="48686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6" w:hRule="atLeast"/>
        </w:trPr>
        <w:tc>
          <w:tcPr>
            <w:tcW w:w="750" w:type="dxa"/>
            <w:vMerge w:val="continue"/>
            <w:vAlign w:val="center"/>
          </w:tcPr>
          <w:p w14:paraId="7588D4B6">
            <w:pPr>
              <w:rPr>
                <w:highlight w:val="none"/>
              </w:rPr>
            </w:pPr>
          </w:p>
        </w:tc>
        <w:tc>
          <w:tcPr>
            <w:tcW w:w="1459" w:type="dxa"/>
            <w:vMerge w:val="continue"/>
            <w:tcBorders>
              <w:left w:val="single" w:color="auto" w:sz="4" w:space="0"/>
            </w:tcBorders>
            <w:vAlign w:val="center"/>
          </w:tcPr>
          <w:p w14:paraId="20CD1E14">
            <w:pPr>
              <w:rPr>
                <w:highlight w:val="none"/>
              </w:rPr>
            </w:pPr>
          </w:p>
        </w:tc>
        <w:tc>
          <w:tcPr>
            <w:tcW w:w="2465" w:type="dxa"/>
            <w:gridSpan w:val="2"/>
            <w:tcBorders>
              <w:left w:val="single" w:color="auto" w:sz="4" w:space="0"/>
            </w:tcBorders>
            <w:vAlign w:val="center"/>
          </w:tcPr>
          <w:p w14:paraId="6594674B">
            <w:pPr>
              <w:pStyle w:val="12"/>
              <w:spacing w:line="320" w:lineRule="exact"/>
              <w:ind w:firstLine="0"/>
              <w:jc w:val="center"/>
              <w:rPr>
                <w:rFonts w:ascii="宋体" w:hAnsi="宋体" w:cs="宋体"/>
                <w:sz w:val="21"/>
                <w:szCs w:val="21"/>
                <w:highlight w:val="none"/>
              </w:rPr>
            </w:pPr>
            <w:r>
              <w:rPr>
                <w:rFonts w:hint="eastAsia" w:ascii="宋体" w:hAnsi="宋体" w:cs="宋体"/>
                <w:szCs w:val="21"/>
                <w:highlight w:val="none"/>
              </w:rPr>
              <w:t>特定资格要求</w:t>
            </w:r>
          </w:p>
        </w:tc>
        <w:tc>
          <w:tcPr>
            <w:tcW w:w="4340" w:type="dxa"/>
            <w:tcBorders>
              <w:left w:val="single" w:color="auto" w:sz="4" w:space="0"/>
            </w:tcBorders>
            <w:vAlign w:val="center"/>
          </w:tcPr>
          <w:p w14:paraId="2B8300CB">
            <w:pPr>
              <w:pStyle w:val="12"/>
              <w:spacing w:line="320" w:lineRule="exact"/>
              <w:ind w:firstLine="0"/>
              <w:jc w:val="center"/>
              <w:rPr>
                <w:rFonts w:ascii="宋体" w:hAnsi="宋体" w:cs="宋体"/>
                <w:sz w:val="21"/>
                <w:szCs w:val="21"/>
                <w:highlight w:val="none"/>
              </w:rPr>
            </w:pPr>
            <w:r>
              <w:rPr>
                <w:rFonts w:ascii="宋体" w:hAnsi="宋体" w:cs="宋体"/>
                <w:sz w:val="21"/>
                <w:szCs w:val="21"/>
                <w:highlight w:val="none"/>
              </w:rPr>
              <w:t>符合磋商文件要求</w:t>
            </w:r>
          </w:p>
        </w:tc>
      </w:tr>
      <w:tr w14:paraId="06EA9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750" w:type="dxa"/>
            <w:vMerge w:val="continue"/>
            <w:vAlign w:val="center"/>
          </w:tcPr>
          <w:p w14:paraId="5A3BC99C">
            <w:pPr>
              <w:rPr>
                <w:highlight w:val="none"/>
              </w:rPr>
            </w:pPr>
          </w:p>
        </w:tc>
        <w:tc>
          <w:tcPr>
            <w:tcW w:w="1459" w:type="dxa"/>
            <w:vMerge w:val="continue"/>
            <w:tcBorders>
              <w:left w:val="single" w:color="auto" w:sz="4" w:space="0"/>
            </w:tcBorders>
            <w:vAlign w:val="center"/>
          </w:tcPr>
          <w:p w14:paraId="0ABF5AE3">
            <w:pPr>
              <w:rPr>
                <w:highlight w:val="none"/>
              </w:rPr>
            </w:pPr>
          </w:p>
        </w:tc>
        <w:tc>
          <w:tcPr>
            <w:tcW w:w="2465" w:type="dxa"/>
            <w:gridSpan w:val="2"/>
            <w:tcBorders>
              <w:left w:val="single" w:color="auto" w:sz="4" w:space="0"/>
            </w:tcBorders>
            <w:vAlign w:val="center"/>
          </w:tcPr>
          <w:p w14:paraId="2A9B9172">
            <w:pPr>
              <w:pStyle w:val="12"/>
              <w:widowControl/>
              <w:spacing w:line="400" w:lineRule="exact"/>
              <w:ind w:firstLine="0"/>
              <w:jc w:val="center"/>
              <w:rPr>
                <w:rFonts w:ascii="宋体" w:hAnsi="宋体" w:cs="宋体"/>
                <w:sz w:val="21"/>
                <w:szCs w:val="21"/>
                <w:highlight w:val="none"/>
              </w:rPr>
            </w:pPr>
            <w:r>
              <w:rPr>
                <w:rFonts w:ascii="宋体" w:hAnsi="宋体" w:cs="宋体"/>
                <w:sz w:val="21"/>
                <w:szCs w:val="21"/>
                <w:highlight w:val="none"/>
              </w:rPr>
              <w:t>未被“信用中国”、“中国政府采购网”、列入失信被执行人、重大违法案件当事人名单、政府采购严重违法失信行为记录名单。（以采购组织机构在开标当日在“信用中国”（www.creditchina.go</w:t>
            </w:r>
            <w:r>
              <w:rPr>
                <w:rFonts w:hint="eastAsia" w:ascii="宋体" w:hAnsi="宋体" w:cs="宋体"/>
                <w:sz w:val="21"/>
                <w:szCs w:val="21"/>
                <w:highlight w:val="none"/>
                <w:lang w:val="en-US" w:eastAsia="zh-CN"/>
              </w:rPr>
              <w:t>v</w:t>
            </w:r>
            <w:r>
              <w:rPr>
                <w:rFonts w:ascii="宋体" w:hAnsi="宋体" w:cs="宋体"/>
                <w:sz w:val="21"/>
                <w:szCs w:val="21"/>
                <w:highlight w:val="none"/>
              </w:rPr>
              <w:t>.cn）、中国政府采购网（www.ccgp.go</w:t>
            </w:r>
            <w:r>
              <w:rPr>
                <w:rFonts w:hint="eastAsia" w:ascii="宋体" w:hAnsi="宋体" w:cs="宋体"/>
                <w:sz w:val="21"/>
                <w:szCs w:val="21"/>
                <w:highlight w:val="none"/>
                <w:lang w:val="en-US" w:eastAsia="zh-CN"/>
              </w:rPr>
              <w:t>v</w:t>
            </w:r>
            <w:r>
              <w:rPr>
                <w:rFonts w:ascii="宋体" w:hAnsi="宋体" w:cs="宋体"/>
                <w:sz w:val="21"/>
                <w:szCs w:val="21"/>
                <w:highlight w:val="none"/>
              </w:rPr>
              <w:t>.cn）网页查询记录为准。）</w:t>
            </w:r>
          </w:p>
        </w:tc>
        <w:tc>
          <w:tcPr>
            <w:tcW w:w="4340" w:type="dxa"/>
            <w:tcBorders>
              <w:left w:val="single" w:color="auto" w:sz="4" w:space="0"/>
            </w:tcBorders>
            <w:vAlign w:val="center"/>
          </w:tcPr>
          <w:p w14:paraId="5257214D">
            <w:pPr>
              <w:pStyle w:val="12"/>
              <w:widowControl/>
              <w:spacing w:line="400" w:lineRule="exact"/>
              <w:ind w:firstLine="0"/>
              <w:jc w:val="center"/>
              <w:rPr>
                <w:rFonts w:ascii="宋体" w:hAnsi="宋体" w:cs="宋体"/>
                <w:sz w:val="21"/>
                <w:szCs w:val="21"/>
                <w:highlight w:val="none"/>
              </w:rPr>
            </w:pPr>
            <w:r>
              <w:rPr>
                <w:rFonts w:ascii="宋体" w:hAnsi="宋体" w:cs="宋体"/>
                <w:sz w:val="21"/>
                <w:szCs w:val="21"/>
                <w:highlight w:val="none"/>
              </w:rPr>
              <w:t>符合磋商文件要求</w:t>
            </w:r>
          </w:p>
        </w:tc>
      </w:tr>
      <w:tr w14:paraId="4C2A1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trPr>
        <w:tc>
          <w:tcPr>
            <w:tcW w:w="750" w:type="dxa"/>
            <w:vMerge w:val="restart"/>
            <w:tcBorders>
              <w:top w:val="single" w:color="auto" w:sz="4" w:space="0"/>
              <w:left w:val="single" w:color="auto" w:sz="4" w:space="0"/>
              <w:bottom w:val="single" w:color="auto" w:sz="4" w:space="0"/>
              <w:right w:val="single" w:color="auto" w:sz="4" w:space="0"/>
            </w:tcBorders>
            <w:vAlign w:val="center"/>
          </w:tcPr>
          <w:p w14:paraId="0BD56356">
            <w:pPr>
              <w:ind w:right="3"/>
              <w:jc w:val="center"/>
              <w:rPr>
                <w:rFonts w:ascii="宋体" w:hAnsi="宋体" w:cs="宋体"/>
                <w:szCs w:val="21"/>
                <w:highlight w:val="none"/>
              </w:rPr>
            </w:pPr>
            <w:r>
              <w:rPr>
                <w:rFonts w:ascii="宋体" w:hAnsi="宋体" w:cs="宋体"/>
                <w:szCs w:val="21"/>
                <w:highlight w:val="none"/>
              </w:rPr>
              <w:t>2</w:t>
            </w:r>
          </w:p>
        </w:tc>
        <w:tc>
          <w:tcPr>
            <w:tcW w:w="1459" w:type="dxa"/>
            <w:vMerge w:val="restart"/>
            <w:tcBorders>
              <w:top w:val="single" w:color="auto" w:sz="4" w:space="0"/>
              <w:left w:val="single" w:color="auto" w:sz="4" w:space="0"/>
              <w:bottom w:val="single" w:color="auto" w:sz="4" w:space="0"/>
              <w:right w:val="single" w:color="auto" w:sz="4" w:space="0"/>
            </w:tcBorders>
            <w:vAlign w:val="center"/>
          </w:tcPr>
          <w:p w14:paraId="5D290F9A">
            <w:pPr>
              <w:ind w:right="3"/>
              <w:jc w:val="center"/>
              <w:rPr>
                <w:rFonts w:ascii="宋体" w:hAnsi="宋体" w:cs="宋体"/>
                <w:b/>
                <w:bCs/>
                <w:kern w:val="28"/>
                <w:szCs w:val="21"/>
                <w:highlight w:val="none"/>
              </w:rPr>
            </w:pPr>
            <w:r>
              <w:rPr>
                <w:rFonts w:ascii="宋体" w:hAnsi="宋体" w:cs="宋体"/>
                <w:b/>
                <w:bCs/>
                <w:kern w:val="28"/>
                <w:szCs w:val="21"/>
                <w:highlight w:val="none"/>
              </w:rPr>
              <w:t>符合性</w:t>
            </w:r>
          </w:p>
          <w:p w14:paraId="0F26CE60">
            <w:pPr>
              <w:ind w:right="3"/>
              <w:jc w:val="center"/>
              <w:rPr>
                <w:rFonts w:ascii="宋体" w:hAnsi="宋体" w:cs="宋体"/>
                <w:b/>
                <w:szCs w:val="21"/>
                <w:highlight w:val="none"/>
              </w:rPr>
            </w:pPr>
            <w:r>
              <w:rPr>
                <w:rFonts w:ascii="宋体" w:hAnsi="宋体" w:cs="宋体"/>
                <w:b/>
                <w:bCs/>
                <w:kern w:val="28"/>
                <w:szCs w:val="21"/>
                <w:highlight w:val="none"/>
              </w:rPr>
              <w:t>检查</w:t>
            </w:r>
          </w:p>
        </w:tc>
        <w:tc>
          <w:tcPr>
            <w:tcW w:w="2465" w:type="dxa"/>
            <w:gridSpan w:val="2"/>
            <w:tcBorders>
              <w:top w:val="single" w:color="auto" w:sz="4" w:space="0"/>
              <w:left w:val="single" w:color="auto" w:sz="4" w:space="0"/>
              <w:bottom w:val="single" w:color="auto" w:sz="4" w:space="0"/>
              <w:right w:val="single" w:color="auto" w:sz="4" w:space="0"/>
            </w:tcBorders>
            <w:vAlign w:val="center"/>
          </w:tcPr>
          <w:p w14:paraId="13645C35">
            <w:pPr>
              <w:pStyle w:val="12"/>
              <w:ind w:firstLine="0"/>
              <w:jc w:val="center"/>
              <w:rPr>
                <w:rFonts w:ascii="宋体" w:hAnsi="宋体" w:cs="宋体"/>
                <w:sz w:val="21"/>
                <w:szCs w:val="21"/>
                <w:highlight w:val="none"/>
              </w:rPr>
            </w:pPr>
            <w:r>
              <w:rPr>
                <w:rFonts w:ascii="宋体" w:hAnsi="宋体" w:cs="宋体"/>
                <w:sz w:val="21"/>
                <w:szCs w:val="21"/>
                <w:highlight w:val="none"/>
              </w:rPr>
              <w:t>供应商名称</w:t>
            </w:r>
          </w:p>
        </w:tc>
        <w:tc>
          <w:tcPr>
            <w:tcW w:w="4340" w:type="dxa"/>
            <w:tcBorders>
              <w:top w:val="single" w:color="auto" w:sz="4" w:space="0"/>
              <w:left w:val="single" w:color="auto" w:sz="4" w:space="0"/>
              <w:bottom w:val="single" w:color="auto" w:sz="4" w:space="0"/>
              <w:right w:val="single" w:color="auto" w:sz="4" w:space="0"/>
            </w:tcBorders>
            <w:vAlign w:val="center"/>
          </w:tcPr>
          <w:p w14:paraId="1F9F1860">
            <w:pPr>
              <w:pStyle w:val="12"/>
              <w:ind w:firstLine="0"/>
              <w:jc w:val="center"/>
              <w:rPr>
                <w:rFonts w:ascii="宋体" w:hAnsi="宋体" w:cs="宋体"/>
                <w:sz w:val="21"/>
                <w:szCs w:val="21"/>
                <w:highlight w:val="none"/>
              </w:rPr>
            </w:pPr>
            <w:r>
              <w:rPr>
                <w:rFonts w:ascii="宋体" w:hAnsi="宋体" w:cs="宋体"/>
                <w:sz w:val="21"/>
                <w:szCs w:val="21"/>
                <w:highlight w:val="none"/>
              </w:rPr>
              <w:t>与营业执照一致</w:t>
            </w:r>
          </w:p>
        </w:tc>
      </w:tr>
      <w:tr w14:paraId="6C823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750" w:type="dxa"/>
            <w:vMerge w:val="continue"/>
            <w:tcBorders>
              <w:top w:val="single" w:color="auto" w:sz="4" w:space="0"/>
              <w:left w:val="single" w:color="auto" w:sz="4" w:space="0"/>
              <w:bottom w:val="single" w:color="auto" w:sz="4" w:space="0"/>
              <w:right w:val="single" w:color="auto" w:sz="4" w:space="0"/>
            </w:tcBorders>
            <w:vAlign w:val="center"/>
          </w:tcPr>
          <w:p w14:paraId="279DBE6D">
            <w:pPr>
              <w:rPr>
                <w:highlight w:val="none"/>
              </w:rPr>
            </w:pPr>
          </w:p>
        </w:tc>
        <w:tc>
          <w:tcPr>
            <w:tcW w:w="1459" w:type="dxa"/>
            <w:vMerge w:val="continue"/>
            <w:tcBorders>
              <w:top w:val="single" w:color="auto" w:sz="4" w:space="0"/>
              <w:left w:val="single" w:color="auto" w:sz="4" w:space="0"/>
              <w:bottom w:val="single" w:color="auto" w:sz="4" w:space="0"/>
              <w:right w:val="single" w:color="auto" w:sz="4" w:space="0"/>
            </w:tcBorders>
            <w:vAlign w:val="center"/>
          </w:tcPr>
          <w:p w14:paraId="44DE1D5D">
            <w:pPr>
              <w:rPr>
                <w:highlight w:val="none"/>
              </w:rPr>
            </w:pPr>
          </w:p>
        </w:tc>
        <w:tc>
          <w:tcPr>
            <w:tcW w:w="2465" w:type="dxa"/>
            <w:gridSpan w:val="2"/>
            <w:tcBorders>
              <w:top w:val="single" w:color="auto" w:sz="4" w:space="0"/>
              <w:left w:val="single" w:color="auto" w:sz="4" w:space="0"/>
              <w:bottom w:val="single" w:color="auto" w:sz="4" w:space="0"/>
              <w:right w:val="single" w:color="auto" w:sz="4" w:space="0"/>
            </w:tcBorders>
            <w:vAlign w:val="center"/>
          </w:tcPr>
          <w:p w14:paraId="4A4A6BCC">
            <w:pPr>
              <w:jc w:val="center"/>
              <w:rPr>
                <w:rFonts w:ascii="宋体" w:hAnsi="宋体" w:cs="宋体"/>
                <w:szCs w:val="21"/>
                <w:highlight w:val="none"/>
              </w:rPr>
            </w:pPr>
            <w:r>
              <w:rPr>
                <w:rFonts w:ascii="宋体" w:hAnsi="宋体" w:cs="宋体"/>
                <w:szCs w:val="21"/>
                <w:highlight w:val="none"/>
              </w:rPr>
              <w:t>磋商响应函签字盖章</w:t>
            </w:r>
          </w:p>
        </w:tc>
        <w:tc>
          <w:tcPr>
            <w:tcW w:w="4340" w:type="dxa"/>
            <w:tcBorders>
              <w:top w:val="single" w:color="auto" w:sz="4" w:space="0"/>
              <w:left w:val="single" w:color="auto" w:sz="4" w:space="0"/>
              <w:bottom w:val="single" w:color="auto" w:sz="4" w:space="0"/>
              <w:right w:val="single" w:color="auto" w:sz="4" w:space="0"/>
            </w:tcBorders>
            <w:vAlign w:val="center"/>
          </w:tcPr>
          <w:p w14:paraId="3CCCF006">
            <w:pPr>
              <w:jc w:val="center"/>
              <w:rPr>
                <w:szCs w:val="21"/>
                <w:highlight w:val="none"/>
              </w:rPr>
            </w:pPr>
            <w:r>
              <w:rPr>
                <w:szCs w:val="21"/>
                <w:highlight w:val="none"/>
              </w:rPr>
              <w:t>有法定代表人或其授权代表签字</w:t>
            </w:r>
          </w:p>
          <w:p w14:paraId="6FEC713C">
            <w:pPr>
              <w:jc w:val="center"/>
              <w:rPr>
                <w:szCs w:val="21"/>
                <w:highlight w:val="none"/>
              </w:rPr>
            </w:pPr>
            <w:r>
              <w:rPr>
                <w:szCs w:val="21"/>
                <w:highlight w:val="none"/>
              </w:rPr>
              <w:t>并加盖电子签章</w:t>
            </w:r>
          </w:p>
        </w:tc>
      </w:tr>
      <w:tr w14:paraId="461C6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3" w:hRule="atLeast"/>
        </w:trPr>
        <w:tc>
          <w:tcPr>
            <w:tcW w:w="750" w:type="dxa"/>
            <w:vMerge w:val="continue"/>
            <w:tcBorders>
              <w:top w:val="single" w:color="auto" w:sz="4" w:space="0"/>
              <w:left w:val="single" w:color="auto" w:sz="4" w:space="0"/>
              <w:bottom w:val="single" w:color="auto" w:sz="4" w:space="0"/>
              <w:right w:val="single" w:color="auto" w:sz="4" w:space="0"/>
            </w:tcBorders>
            <w:vAlign w:val="center"/>
          </w:tcPr>
          <w:p w14:paraId="07E28D00">
            <w:pPr>
              <w:rPr>
                <w:highlight w:val="none"/>
              </w:rPr>
            </w:pPr>
          </w:p>
        </w:tc>
        <w:tc>
          <w:tcPr>
            <w:tcW w:w="1459" w:type="dxa"/>
            <w:vMerge w:val="continue"/>
            <w:tcBorders>
              <w:top w:val="single" w:color="auto" w:sz="4" w:space="0"/>
              <w:left w:val="single" w:color="auto" w:sz="4" w:space="0"/>
              <w:bottom w:val="single" w:color="auto" w:sz="4" w:space="0"/>
              <w:right w:val="single" w:color="auto" w:sz="4" w:space="0"/>
            </w:tcBorders>
            <w:vAlign w:val="center"/>
          </w:tcPr>
          <w:p w14:paraId="70454FF0">
            <w:pPr>
              <w:rPr>
                <w:highlight w:val="none"/>
              </w:rPr>
            </w:pPr>
          </w:p>
        </w:tc>
        <w:tc>
          <w:tcPr>
            <w:tcW w:w="2465" w:type="dxa"/>
            <w:gridSpan w:val="2"/>
            <w:tcBorders>
              <w:top w:val="single" w:color="auto" w:sz="4" w:space="0"/>
              <w:left w:val="single" w:color="auto" w:sz="4" w:space="0"/>
              <w:bottom w:val="single" w:color="auto" w:sz="4" w:space="0"/>
              <w:right w:val="single" w:color="auto" w:sz="4" w:space="0"/>
            </w:tcBorders>
            <w:vAlign w:val="center"/>
          </w:tcPr>
          <w:p w14:paraId="14016288">
            <w:pPr>
              <w:jc w:val="center"/>
              <w:rPr>
                <w:rFonts w:ascii="宋体" w:hAnsi="宋体" w:cs="宋体"/>
                <w:szCs w:val="21"/>
                <w:highlight w:val="none"/>
              </w:rPr>
            </w:pPr>
            <w:r>
              <w:rPr>
                <w:rFonts w:ascii="宋体" w:hAnsi="宋体" w:cs="宋体"/>
                <w:szCs w:val="21"/>
                <w:highlight w:val="none"/>
              </w:rPr>
              <w:t>磋商响应文件格式</w:t>
            </w:r>
          </w:p>
        </w:tc>
        <w:tc>
          <w:tcPr>
            <w:tcW w:w="4340" w:type="dxa"/>
            <w:tcBorders>
              <w:top w:val="single" w:color="auto" w:sz="4" w:space="0"/>
              <w:left w:val="single" w:color="auto" w:sz="4" w:space="0"/>
              <w:bottom w:val="single" w:color="auto" w:sz="4" w:space="0"/>
              <w:right w:val="single" w:color="auto" w:sz="4" w:space="0"/>
            </w:tcBorders>
            <w:vAlign w:val="center"/>
          </w:tcPr>
          <w:p w14:paraId="1AD91BF1">
            <w:pPr>
              <w:jc w:val="center"/>
              <w:rPr>
                <w:szCs w:val="21"/>
                <w:highlight w:val="none"/>
              </w:rPr>
            </w:pPr>
            <w:r>
              <w:rPr>
                <w:szCs w:val="21"/>
                <w:highlight w:val="none"/>
              </w:rPr>
              <w:t>符合第五部分“磋商响应文件格式”的要求</w:t>
            </w:r>
          </w:p>
        </w:tc>
      </w:tr>
      <w:tr w14:paraId="4E236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6" w:hRule="atLeast"/>
        </w:trPr>
        <w:tc>
          <w:tcPr>
            <w:tcW w:w="750" w:type="dxa"/>
            <w:vMerge w:val="continue"/>
            <w:tcBorders>
              <w:top w:val="single" w:color="auto" w:sz="4" w:space="0"/>
              <w:left w:val="single" w:color="auto" w:sz="4" w:space="0"/>
              <w:bottom w:val="single" w:color="auto" w:sz="4" w:space="0"/>
              <w:right w:val="single" w:color="auto" w:sz="4" w:space="0"/>
            </w:tcBorders>
            <w:vAlign w:val="center"/>
          </w:tcPr>
          <w:p w14:paraId="264396ED">
            <w:pPr>
              <w:rPr>
                <w:highlight w:val="none"/>
              </w:rPr>
            </w:pPr>
          </w:p>
        </w:tc>
        <w:tc>
          <w:tcPr>
            <w:tcW w:w="1459" w:type="dxa"/>
            <w:vMerge w:val="continue"/>
            <w:tcBorders>
              <w:top w:val="single" w:color="auto" w:sz="4" w:space="0"/>
              <w:left w:val="single" w:color="auto" w:sz="4" w:space="0"/>
              <w:bottom w:val="single" w:color="auto" w:sz="4" w:space="0"/>
              <w:right w:val="single" w:color="auto" w:sz="4" w:space="0"/>
            </w:tcBorders>
            <w:vAlign w:val="center"/>
          </w:tcPr>
          <w:p w14:paraId="295F38E8">
            <w:pPr>
              <w:rPr>
                <w:highlight w:val="none"/>
              </w:rPr>
            </w:pPr>
          </w:p>
        </w:tc>
        <w:tc>
          <w:tcPr>
            <w:tcW w:w="2465" w:type="dxa"/>
            <w:gridSpan w:val="2"/>
            <w:tcBorders>
              <w:top w:val="single" w:color="auto" w:sz="4" w:space="0"/>
              <w:left w:val="single" w:color="auto" w:sz="4" w:space="0"/>
              <w:bottom w:val="single" w:color="auto" w:sz="4" w:space="0"/>
              <w:right w:val="single" w:color="auto" w:sz="4" w:space="0"/>
            </w:tcBorders>
            <w:vAlign w:val="center"/>
          </w:tcPr>
          <w:p w14:paraId="795927E9">
            <w:pPr>
              <w:pStyle w:val="12"/>
              <w:spacing w:line="320" w:lineRule="exact"/>
              <w:ind w:firstLine="0"/>
              <w:jc w:val="center"/>
              <w:rPr>
                <w:rFonts w:ascii="宋体" w:hAnsi="宋体" w:cs="宋体"/>
                <w:sz w:val="21"/>
                <w:szCs w:val="21"/>
                <w:highlight w:val="none"/>
              </w:rPr>
            </w:pPr>
            <w:r>
              <w:rPr>
                <w:rFonts w:ascii="宋体" w:hAnsi="宋体" w:cs="宋体"/>
                <w:sz w:val="21"/>
                <w:szCs w:val="21"/>
                <w:highlight w:val="none"/>
              </w:rPr>
              <w:t>磋商响应文件编制</w:t>
            </w:r>
          </w:p>
        </w:tc>
        <w:tc>
          <w:tcPr>
            <w:tcW w:w="4340" w:type="dxa"/>
            <w:tcBorders>
              <w:top w:val="single" w:color="auto" w:sz="4" w:space="0"/>
              <w:left w:val="single" w:color="auto" w:sz="4" w:space="0"/>
              <w:bottom w:val="single" w:color="auto" w:sz="4" w:space="0"/>
              <w:right w:val="single" w:color="auto" w:sz="4" w:space="0"/>
            </w:tcBorders>
            <w:vAlign w:val="center"/>
          </w:tcPr>
          <w:p w14:paraId="3987FFBD">
            <w:pPr>
              <w:jc w:val="center"/>
              <w:rPr>
                <w:szCs w:val="21"/>
                <w:highlight w:val="none"/>
              </w:rPr>
            </w:pPr>
            <w:r>
              <w:rPr>
                <w:szCs w:val="21"/>
                <w:highlight w:val="none"/>
              </w:rPr>
              <w:t>资格审查部分、商务技术部分和报价部分</w:t>
            </w:r>
          </w:p>
          <w:p w14:paraId="7387E5E1">
            <w:pPr>
              <w:jc w:val="center"/>
              <w:rPr>
                <w:szCs w:val="21"/>
                <w:highlight w:val="none"/>
              </w:rPr>
            </w:pPr>
            <w:r>
              <w:rPr>
                <w:szCs w:val="21"/>
                <w:highlight w:val="none"/>
              </w:rPr>
              <w:t>三部分内容分开制作</w:t>
            </w:r>
          </w:p>
        </w:tc>
      </w:tr>
      <w:tr w14:paraId="7A825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5" w:hRule="atLeast"/>
        </w:trPr>
        <w:tc>
          <w:tcPr>
            <w:tcW w:w="750" w:type="dxa"/>
            <w:vMerge w:val="continue"/>
            <w:tcBorders>
              <w:top w:val="single" w:color="auto" w:sz="4" w:space="0"/>
              <w:left w:val="single" w:color="auto" w:sz="4" w:space="0"/>
              <w:bottom w:val="single" w:color="auto" w:sz="4" w:space="0"/>
              <w:right w:val="single" w:color="auto" w:sz="4" w:space="0"/>
            </w:tcBorders>
            <w:vAlign w:val="center"/>
          </w:tcPr>
          <w:p w14:paraId="00C1BCDF">
            <w:pPr>
              <w:rPr>
                <w:highlight w:val="none"/>
              </w:rPr>
            </w:pPr>
          </w:p>
        </w:tc>
        <w:tc>
          <w:tcPr>
            <w:tcW w:w="1459" w:type="dxa"/>
            <w:vMerge w:val="continue"/>
            <w:tcBorders>
              <w:top w:val="single" w:color="auto" w:sz="4" w:space="0"/>
              <w:left w:val="single" w:color="auto" w:sz="4" w:space="0"/>
              <w:bottom w:val="single" w:color="auto" w:sz="4" w:space="0"/>
              <w:right w:val="single" w:color="auto" w:sz="4" w:space="0"/>
            </w:tcBorders>
            <w:vAlign w:val="center"/>
          </w:tcPr>
          <w:p w14:paraId="41D5D36F">
            <w:pPr>
              <w:rPr>
                <w:highlight w:val="none"/>
              </w:rPr>
            </w:pPr>
          </w:p>
        </w:tc>
        <w:tc>
          <w:tcPr>
            <w:tcW w:w="2465" w:type="dxa"/>
            <w:gridSpan w:val="2"/>
            <w:tcBorders>
              <w:top w:val="single" w:color="auto" w:sz="4" w:space="0"/>
              <w:left w:val="single" w:color="auto" w:sz="4" w:space="0"/>
              <w:bottom w:val="single" w:color="auto" w:sz="4" w:space="0"/>
              <w:right w:val="single" w:color="auto" w:sz="4" w:space="0"/>
            </w:tcBorders>
            <w:vAlign w:val="center"/>
          </w:tcPr>
          <w:p w14:paraId="21C3C4BE">
            <w:pPr>
              <w:jc w:val="center"/>
              <w:rPr>
                <w:rFonts w:ascii="宋体" w:hAnsi="宋体" w:cs="宋体"/>
                <w:szCs w:val="21"/>
                <w:highlight w:val="none"/>
              </w:rPr>
            </w:pPr>
            <w:r>
              <w:rPr>
                <w:rFonts w:ascii="宋体" w:hAnsi="宋体" w:cs="宋体"/>
                <w:szCs w:val="21"/>
                <w:highlight w:val="none"/>
              </w:rPr>
              <w:t>投标有效期</w:t>
            </w:r>
          </w:p>
        </w:tc>
        <w:tc>
          <w:tcPr>
            <w:tcW w:w="4340" w:type="dxa"/>
            <w:tcBorders>
              <w:top w:val="single" w:color="auto" w:sz="4" w:space="0"/>
              <w:left w:val="single" w:color="auto" w:sz="4" w:space="0"/>
              <w:bottom w:val="single" w:color="auto" w:sz="4" w:space="0"/>
              <w:right w:val="single" w:color="auto" w:sz="4" w:space="0"/>
            </w:tcBorders>
            <w:vAlign w:val="center"/>
          </w:tcPr>
          <w:p w14:paraId="10F2A111">
            <w:pPr>
              <w:jc w:val="center"/>
              <w:rPr>
                <w:szCs w:val="21"/>
                <w:highlight w:val="none"/>
              </w:rPr>
            </w:pPr>
            <w:r>
              <w:rPr>
                <w:szCs w:val="21"/>
                <w:highlight w:val="none"/>
              </w:rPr>
              <w:t>不少于90天</w:t>
            </w:r>
          </w:p>
        </w:tc>
      </w:tr>
      <w:tr w14:paraId="0B5AF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750" w:type="dxa"/>
            <w:vMerge w:val="continue"/>
            <w:tcBorders>
              <w:top w:val="single" w:color="auto" w:sz="4" w:space="0"/>
              <w:left w:val="single" w:color="auto" w:sz="4" w:space="0"/>
              <w:bottom w:val="single" w:color="auto" w:sz="4" w:space="0"/>
              <w:right w:val="single" w:color="auto" w:sz="4" w:space="0"/>
            </w:tcBorders>
            <w:vAlign w:val="center"/>
          </w:tcPr>
          <w:p w14:paraId="4A3FCB5E">
            <w:pPr>
              <w:rPr>
                <w:highlight w:val="none"/>
              </w:rPr>
            </w:pPr>
          </w:p>
        </w:tc>
        <w:tc>
          <w:tcPr>
            <w:tcW w:w="1459" w:type="dxa"/>
            <w:vMerge w:val="continue"/>
            <w:tcBorders>
              <w:top w:val="single" w:color="auto" w:sz="4" w:space="0"/>
              <w:left w:val="single" w:color="auto" w:sz="4" w:space="0"/>
              <w:bottom w:val="single" w:color="auto" w:sz="4" w:space="0"/>
              <w:right w:val="single" w:color="auto" w:sz="4" w:space="0"/>
            </w:tcBorders>
            <w:vAlign w:val="center"/>
          </w:tcPr>
          <w:p w14:paraId="380E60D6">
            <w:pPr>
              <w:rPr>
                <w:highlight w:val="none"/>
              </w:rPr>
            </w:pPr>
          </w:p>
        </w:tc>
        <w:tc>
          <w:tcPr>
            <w:tcW w:w="2465" w:type="dxa"/>
            <w:gridSpan w:val="2"/>
            <w:tcBorders>
              <w:top w:val="single" w:color="auto" w:sz="4" w:space="0"/>
              <w:left w:val="single" w:color="auto" w:sz="4" w:space="0"/>
              <w:bottom w:val="single" w:color="auto" w:sz="4" w:space="0"/>
              <w:right w:val="single" w:color="auto" w:sz="4" w:space="0"/>
            </w:tcBorders>
            <w:vAlign w:val="center"/>
          </w:tcPr>
          <w:p w14:paraId="088F97CC">
            <w:pPr>
              <w:pStyle w:val="12"/>
              <w:ind w:firstLine="0"/>
              <w:jc w:val="center"/>
              <w:rPr>
                <w:rFonts w:ascii="宋体" w:hAnsi="宋体" w:cs="宋体"/>
                <w:sz w:val="21"/>
                <w:szCs w:val="21"/>
                <w:highlight w:val="none"/>
              </w:rPr>
            </w:pPr>
            <w:r>
              <w:rPr>
                <w:rFonts w:ascii="宋体" w:hAnsi="宋体" w:cs="宋体"/>
                <w:sz w:val="21"/>
                <w:szCs w:val="21"/>
                <w:highlight w:val="none"/>
              </w:rPr>
              <w:t>磋商响应文件</w:t>
            </w:r>
          </w:p>
          <w:p w14:paraId="041AEB84">
            <w:pPr>
              <w:pStyle w:val="12"/>
              <w:ind w:firstLine="0"/>
              <w:jc w:val="center"/>
              <w:rPr>
                <w:rFonts w:ascii="宋体" w:hAnsi="宋体" w:cs="宋体"/>
                <w:sz w:val="21"/>
                <w:szCs w:val="21"/>
                <w:highlight w:val="none"/>
              </w:rPr>
            </w:pPr>
            <w:r>
              <w:rPr>
                <w:rFonts w:ascii="宋体" w:hAnsi="宋体" w:cs="宋体"/>
                <w:sz w:val="21"/>
                <w:szCs w:val="21"/>
                <w:highlight w:val="none"/>
              </w:rPr>
              <w:t>实质性内容</w:t>
            </w:r>
          </w:p>
        </w:tc>
        <w:tc>
          <w:tcPr>
            <w:tcW w:w="4340" w:type="dxa"/>
            <w:tcBorders>
              <w:top w:val="single" w:color="auto" w:sz="4" w:space="0"/>
              <w:left w:val="single" w:color="auto" w:sz="4" w:space="0"/>
              <w:bottom w:val="single" w:color="auto" w:sz="4" w:space="0"/>
              <w:right w:val="single" w:color="auto" w:sz="4" w:space="0"/>
            </w:tcBorders>
            <w:vAlign w:val="center"/>
          </w:tcPr>
          <w:p w14:paraId="4DA01055">
            <w:pPr>
              <w:jc w:val="center"/>
              <w:rPr>
                <w:rFonts w:ascii="宋体" w:hAnsi="宋体" w:cs="宋体"/>
                <w:szCs w:val="21"/>
                <w:highlight w:val="none"/>
              </w:rPr>
            </w:pPr>
            <w:r>
              <w:rPr>
                <w:rFonts w:ascii="宋体" w:hAnsi="宋体" w:cs="宋体"/>
                <w:szCs w:val="21"/>
                <w:highlight w:val="none"/>
              </w:rPr>
              <w:t>实质性响应磋商文件要求</w:t>
            </w:r>
          </w:p>
        </w:tc>
      </w:tr>
      <w:tr w14:paraId="7105D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60" w:hRule="atLeast"/>
        </w:trPr>
        <w:tc>
          <w:tcPr>
            <w:tcW w:w="750" w:type="dxa"/>
            <w:tcBorders>
              <w:top w:val="single" w:color="auto" w:sz="4" w:space="0"/>
              <w:left w:val="single" w:color="auto" w:sz="4" w:space="0"/>
              <w:bottom w:val="single" w:color="auto" w:sz="4" w:space="0"/>
              <w:right w:val="single" w:color="auto" w:sz="4" w:space="0"/>
            </w:tcBorders>
            <w:vAlign w:val="center"/>
          </w:tcPr>
          <w:p w14:paraId="2EAEC4A3">
            <w:pPr>
              <w:spacing w:line="360" w:lineRule="exact"/>
              <w:ind w:right="3"/>
              <w:jc w:val="center"/>
              <w:rPr>
                <w:rFonts w:ascii="宋体" w:hAnsi="宋体" w:cs="宋体"/>
                <w:szCs w:val="21"/>
                <w:highlight w:val="none"/>
              </w:rPr>
            </w:pPr>
            <w:r>
              <w:rPr>
                <w:rFonts w:ascii="宋体" w:hAnsi="宋体" w:cs="宋体"/>
                <w:szCs w:val="21"/>
                <w:highlight w:val="none"/>
              </w:rPr>
              <w:t>3</w:t>
            </w:r>
          </w:p>
        </w:tc>
        <w:tc>
          <w:tcPr>
            <w:tcW w:w="1459" w:type="dxa"/>
            <w:tcBorders>
              <w:top w:val="single" w:color="auto" w:sz="4" w:space="0"/>
              <w:left w:val="single" w:color="auto" w:sz="4" w:space="0"/>
              <w:bottom w:val="single" w:color="auto" w:sz="4" w:space="0"/>
              <w:right w:val="single" w:color="auto" w:sz="4" w:space="0"/>
            </w:tcBorders>
            <w:vAlign w:val="center"/>
          </w:tcPr>
          <w:p w14:paraId="5922AE31">
            <w:pPr>
              <w:spacing w:line="360" w:lineRule="exact"/>
              <w:ind w:right="3"/>
              <w:jc w:val="center"/>
              <w:rPr>
                <w:rFonts w:ascii="宋体" w:hAnsi="宋体" w:cs="宋体"/>
                <w:b/>
                <w:szCs w:val="21"/>
                <w:highlight w:val="none"/>
              </w:rPr>
            </w:pPr>
            <w:r>
              <w:rPr>
                <w:rFonts w:ascii="宋体" w:hAnsi="宋体" w:cs="宋体"/>
                <w:b/>
                <w:szCs w:val="21"/>
                <w:highlight w:val="none"/>
              </w:rPr>
              <w:t>无效标</w:t>
            </w:r>
          </w:p>
          <w:p w14:paraId="778EF072">
            <w:pPr>
              <w:spacing w:line="360" w:lineRule="exact"/>
              <w:ind w:right="3"/>
              <w:jc w:val="center"/>
              <w:rPr>
                <w:rFonts w:ascii="宋体" w:hAnsi="宋体" w:cs="宋体"/>
                <w:b/>
                <w:szCs w:val="21"/>
                <w:highlight w:val="none"/>
              </w:rPr>
            </w:pPr>
            <w:r>
              <w:rPr>
                <w:rFonts w:ascii="宋体" w:hAnsi="宋体" w:cs="宋体"/>
                <w:b/>
                <w:szCs w:val="21"/>
                <w:highlight w:val="none"/>
              </w:rPr>
              <w:t>条款</w:t>
            </w:r>
          </w:p>
        </w:tc>
        <w:tc>
          <w:tcPr>
            <w:tcW w:w="6805" w:type="dxa"/>
            <w:gridSpan w:val="3"/>
            <w:tcBorders>
              <w:top w:val="single" w:color="auto" w:sz="4" w:space="0"/>
              <w:left w:val="single" w:color="auto" w:sz="4" w:space="0"/>
              <w:bottom w:val="single" w:color="auto" w:sz="4" w:space="0"/>
              <w:right w:val="single" w:color="auto" w:sz="4" w:space="0"/>
            </w:tcBorders>
            <w:vAlign w:val="center"/>
          </w:tcPr>
          <w:p w14:paraId="19ED6B42">
            <w:pPr>
              <w:spacing w:line="360" w:lineRule="auto"/>
              <w:rPr>
                <w:highlight w:val="none"/>
              </w:rPr>
            </w:pPr>
            <w:r>
              <w:rPr>
                <w:highlight w:val="none"/>
              </w:rPr>
              <w:t>(1)</w:t>
            </w:r>
            <w:r>
              <w:rPr>
                <w:rFonts w:hint="eastAsia"/>
                <w:highlight w:val="none"/>
                <w:lang w:eastAsia="zh-CN"/>
              </w:rPr>
              <w:t>报价不是固定的或超过预算金额的或超过最高限价的</w:t>
            </w:r>
            <w:r>
              <w:rPr>
                <w:highlight w:val="none"/>
              </w:rPr>
              <w:t>；</w:t>
            </w:r>
          </w:p>
          <w:p w14:paraId="7200949A">
            <w:pPr>
              <w:spacing w:line="360" w:lineRule="auto"/>
              <w:rPr>
                <w:highlight w:val="none"/>
              </w:rPr>
            </w:pPr>
            <w:r>
              <w:rPr>
                <w:highlight w:val="none"/>
              </w:rPr>
              <w:t>(2)未在报价时限内提交最后报价的；</w:t>
            </w:r>
          </w:p>
          <w:p w14:paraId="58C6995C">
            <w:pPr>
              <w:spacing w:line="360" w:lineRule="auto"/>
              <w:rPr>
                <w:highlight w:val="none"/>
              </w:rPr>
            </w:pPr>
            <w:r>
              <w:rPr>
                <w:highlight w:val="none"/>
              </w:rPr>
              <w:t>(3)磋商小组认为响应文件未实质性响应磋商文件的要求的；</w:t>
            </w:r>
          </w:p>
          <w:p w14:paraId="76E8E187">
            <w:pPr>
              <w:spacing w:line="360" w:lineRule="auto"/>
              <w:rPr>
                <w:highlight w:val="none"/>
              </w:rPr>
            </w:pPr>
            <w:r>
              <w:rPr>
                <w:highlight w:val="none"/>
              </w:rPr>
              <w:t>(4)报价不是固定的或超过最高限价的；</w:t>
            </w:r>
          </w:p>
          <w:p w14:paraId="3A714DA3">
            <w:pPr>
              <w:spacing w:line="360" w:lineRule="auto"/>
              <w:rPr>
                <w:highlight w:val="none"/>
              </w:rPr>
            </w:pPr>
            <w:r>
              <w:rPr>
                <w:highlight w:val="none"/>
              </w:rPr>
              <w:t>(5)在报价评审中，发现价格计算有误，又不接受磋商小组修正的报价；</w:t>
            </w:r>
          </w:p>
          <w:p w14:paraId="7AFE6924">
            <w:pPr>
              <w:spacing w:line="360" w:lineRule="auto"/>
              <w:rPr>
                <w:highlight w:val="none"/>
              </w:rPr>
            </w:pPr>
            <w:r>
              <w:rPr>
                <w:highlight w:val="none"/>
              </w:rPr>
              <w:t>(6)不具备磋商文件中规定资格要求的；</w:t>
            </w:r>
          </w:p>
          <w:p w14:paraId="15C458E0">
            <w:pPr>
              <w:spacing w:line="360" w:lineRule="auto"/>
              <w:rPr>
                <w:highlight w:val="none"/>
              </w:rPr>
            </w:pPr>
            <w:r>
              <w:rPr>
                <w:highlight w:val="none"/>
              </w:rPr>
              <w:t>(7)未按规定提供关于满足《中华人民共和国政府采购法》第二十二条规定的承诺函的；</w:t>
            </w:r>
          </w:p>
          <w:p w14:paraId="56503741">
            <w:pPr>
              <w:spacing w:line="360" w:lineRule="auto"/>
              <w:rPr>
                <w:highlight w:val="none"/>
              </w:rPr>
            </w:pPr>
            <w:r>
              <w:rPr>
                <w:highlight w:val="none"/>
              </w:rPr>
              <w:t>(8)投标截止时间止，供应商仅递交了“备份响应文件”而未将电子加密投标文件上传至“政府采购云平台”的；</w:t>
            </w:r>
          </w:p>
          <w:p w14:paraId="41D0B7C3">
            <w:pPr>
              <w:spacing w:line="360" w:lineRule="auto"/>
              <w:rPr>
                <w:highlight w:val="none"/>
              </w:rPr>
            </w:pPr>
            <w:r>
              <w:rPr>
                <w:highlight w:val="none"/>
              </w:rPr>
              <w:t>(9)电子响应文件解密失败的，且未在规定时间内提交备份响应文件的；</w:t>
            </w:r>
          </w:p>
          <w:p w14:paraId="5BDA63F6">
            <w:pPr>
              <w:spacing w:line="360" w:lineRule="auto"/>
              <w:rPr>
                <w:highlight w:val="none"/>
              </w:rPr>
            </w:pPr>
            <w:r>
              <w:rPr>
                <w:highlight w:val="none"/>
              </w:rPr>
              <w:t>(1</w:t>
            </w:r>
            <w:r>
              <w:rPr>
                <w:rFonts w:hint="eastAsia"/>
                <w:highlight w:val="none"/>
                <w:lang w:val="en-US" w:eastAsia="zh-CN"/>
              </w:rPr>
              <w:t>0</w:t>
            </w:r>
            <w:r>
              <w:rPr>
                <w:highlight w:val="none"/>
              </w:rPr>
              <w:t>)资格性审查、符合性审查不符合要求的；</w:t>
            </w:r>
          </w:p>
          <w:p w14:paraId="2A72EF67">
            <w:pPr>
              <w:spacing w:line="360" w:lineRule="auto"/>
              <w:rPr>
                <w:highlight w:val="none"/>
              </w:rPr>
            </w:pPr>
            <w:r>
              <w:rPr>
                <w:highlight w:val="none"/>
              </w:rPr>
              <w:t>(1</w:t>
            </w:r>
            <w:r>
              <w:rPr>
                <w:rFonts w:hint="eastAsia"/>
                <w:highlight w:val="none"/>
                <w:lang w:val="en-US" w:eastAsia="zh-CN"/>
              </w:rPr>
              <w:t>1</w:t>
            </w:r>
            <w:r>
              <w:rPr>
                <w:highlight w:val="none"/>
              </w:rPr>
              <w:t>)存在串标、抬标或弄虚作假情况的；</w:t>
            </w:r>
          </w:p>
          <w:p w14:paraId="1B58DE33">
            <w:pPr>
              <w:spacing w:line="360" w:lineRule="auto"/>
              <w:rPr>
                <w:highlight w:val="none"/>
              </w:rPr>
            </w:pPr>
            <w:r>
              <w:rPr>
                <w:highlight w:val="none"/>
              </w:rPr>
              <w:t>(1</w:t>
            </w:r>
            <w:r>
              <w:rPr>
                <w:rFonts w:hint="eastAsia"/>
                <w:highlight w:val="none"/>
                <w:lang w:val="en-US" w:eastAsia="zh-CN"/>
              </w:rPr>
              <w:t>2</w:t>
            </w:r>
            <w:r>
              <w:rPr>
                <w:highlight w:val="none"/>
              </w:rPr>
              <w:t xml:space="preserve">)磋商响应文件中需签字或盖章的地方未加盖磋商供应商单位全称的电子签章，或使用投标专用章、合同章等类似图章代替，或未经法定代表人或其委托代理人签字或盖章； </w:t>
            </w:r>
          </w:p>
          <w:p w14:paraId="0D74AF6E">
            <w:pPr>
              <w:spacing w:line="360" w:lineRule="auto"/>
              <w:rPr>
                <w:highlight w:val="none"/>
              </w:rPr>
            </w:pPr>
            <w:r>
              <w:rPr>
                <w:highlight w:val="none"/>
              </w:rPr>
              <w:t>(1</w:t>
            </w:r>
            <w:r>
              <w:rPr>
                <w:rFonts w:hint="eastAsia"/>
                <w:highlight w:val="none"/>
                <w:lang w:val="en-US" w:eastAsia="zh-CN"/>
              </w:rPr>
              <w:t>3</w:t>
            </w:r>
            <w:r>
              <w:rPr>
                <w:highlight w:val="none"/>
              </w:rPr>
              <w:t>)磋商响应文件存在一个或一个以上备选（替代）投标方案的；</w:t>
            </w:r>
          </w:p>
          <w:p w14:paraId="0D520B1E">
            <w:pPr>
              <w:spacing w:line="360" w:lineRule="auto"/>
              <w:rPr>
                <w:highlight w:val="none"/>
              </w:rPr>
            </w:pPr>
            <w:r>
              <w:rPr>
                <w:highlight w:val="none"/>
              </w:rPr>
              <w:t>(1</w:t>
            </w:r>
            <w:r>
              <w:rPr>
                <w:rFonts w:hint="eastAsia"/>
                <w:highlight w:val="none"/>
                <w:lang w:val="en-US" w:eastAsia="zh-CN"/>
              </w:rPr>
              <w:t>4</w:t>
            </w:r>
            <w:r>
              <w:rPr>
                <w:highlight w:val="none"/>
              </w:rPr>
              <w:t>)在磋商结束前，磋商供应商发生重大变化或变更，未及时告知采购人或不再具备磋商文件规定的资格条件或者其投标影响招标公正性的；</w:t>
            </w:r>
          </w:p>
          <w:p w14:paraId="718B46E8">
            <w:pPr>
              <w:spacing w:line="360" w:lineRule="auto"/>
              <w:rPr>
                <w:highlight w:val="none"/>
              </w:rPr>
            </w:pPr>
            <w:r>
              <w:rPr>
                <w:highlight w:val="none"/>
              </w:rPr>
              <w:t>(1</w:t>
            </w:r>
            <w:r>
              <w:rPr>
                <w:rFonts w:hint="eastAsia"/>
                <w:highlight w:val="none"/>
                <w:lang w:val="en-US" w:eastAsia="zh-CN"/>
              </w:rPr>
              <w:t>5</w:t>
            </w:r>
            <w:r>
              <w:rPr>
                <w:highlight w:val="none"/>
              </w:rPr>
              <w:t>)磋商小组认为磋商供应商的报价明显低于其他通过符合性审查供应商的报价，有可能影响产品质量或者不能诚信履约的，应当要求其在规定时间内作出书面说明，必要时提交相关证明材料，供应商不能证明其报价合理性的；</w:t>
            </w:r>
          </w:p>
          <w:p w14:paraId="3A3D7D07">
            <w:pPr>
              <w:spacing w:line="360" w:lineRule="auto"/>
              <w:rPr>
                <w:highlight w:val="none"/>
              </w:rPr>
            </w:pPr>
            <w:r>
              <w:rPr>
                <w:highlight w:val="none"/>
              </w:rPr>
              <w:t>(1</w:t>
            </w:r>
            <w:r>
              <w:rPr>
                <w:rFonts w:hint="eastAsia"/>
                <w:highlight w:val="none"/>
                <w:lang w:val="en-US" w:eastAsia="zh-CN"/>
              </w:rPr>
              <w:t>6</w:t>
            </w:r>
            <w:r>
              <w:rPr>
                <w:highlight w:val="none"/>
              </w:rPr>
              <w:t>)不是法定代表人未在磋商响应文件中提供有效法定代表人授权委托书的；</w:t>
            </w:r>
          </w:p>
          <w:p w14:paraId="7F94E5E1">
            <w:pPr>
              <w:spacing w:line="360" w:lineRule="auto"/>
              <w:rPr>
                <w:highlight w:val="none"/>
              </w:rPr>
            </w:pPr>
            <w:r>
              <w:rPr>
                <w:highlight w:val="none"/>
              </w:rPr>
              <w:t>(1</w:t>
            </w:r>
            <w:r>
              <w:rPr>
                <w:rFonts w:hint="eastAsia"/>
                <w:highlight w:val="none"/>
                <w:lang w:val="en-US" w:eastAsia="zh-CN"/>
              </w:rPr>
              <w:t>7</w:t>
            </w:r>
            <w:r>
              <w:rPr>
                <w:highlight w:val="none"/>
              </w:rPr>
              <w:t>)被列入失信被执行人、重大税收违法案件当事人名单、政府采购严重违法失信行为记录名单的；</w:t>
            </w:r>
          </w:p>
          <w:p w14:paraId="005C4E60">
            <w:pPr>
              <w:spacing w:line="360" w:lineRule="auto"/>
              <w:rPr>
                <w:highlight w:val="none"/>
              </w:rPr>
            </w:pPr>
            <w:r>
              <w:rPr>
                <w:highlight w:val="none"/>
              </w:rPr>
              <w:t>(1</w:t>
            </w:r>
            <w:r>
              <w:rPr>
                <w:rFonts w:hint="eastAsia"/>
                <w:highlight w:val="none"/>
                <w:lang w:val="en-US" w:eastAsia="zh-CN"/>
              </w:rPr>
              <w:t>8</w:t>
            </w:r>
            <w:r>
              <w:rPr>
                <w:highlight w:val="none"/>
              </w:rPr>
              <w:t>)</w:t>
            </w:r>
            <w:r>
              <w:rPr>
                <w:rFonts w:ascii="宋体" w:hAnsi="宋体" w:cs="宋体"/>
                <w:highlight w:val="none"/>
              </w:rPr>
              <w:t>未提供中小型企业声明函或磋商供应商不属于中小型企业的</w:t>
            </w:r>
            <w:r>
              <w:rPr>
                <w:rFonts w:hint="eastAsia" w:ascii="宋体" w:hAnsi="宋体" w:cs="宋体"/>
                <w:highlight w:val="none"/>
                <w:lang w:eastAsia="zh-CN"/>
              </w:rPr>
              <w:t>；</w:t>
            </w:r>
          </w:p>
          <w:p w14:paraId="7215FC76">
            <w:pPr>
              <w:spacing w:line="360" w:lineRule="auto"/>
              <w:rPr>
                <w:highlight w:val="none"/>
              </w:rPr>
            </w:pPr>
            <w:r>
              <w:rPr>
                <w:highlight w:val="none"/>
              </w:rPr>
              <w:t>(1</w:t>
            </w:r>
            <w:r>
              <w:rPr>
                <w:rFonts w:hint="eastAsia"/>
                <w:highlight w:val="none"/>
                <w:lang w:val="en-US" w:eastAsia="zh-CN"/>
              </w:rPr>
              <w:t>9</w:t>
            </w:r>
            <w:r>
              <w:rPr>
                <w:highlight w:val="none"/>
              </w:rPr>
              <w:t>)不符合法律、法规和磋商文件中规定的其他实质性要求的。</w:t>
            </w:r>
          </w:p>
        </w:tc>
      </w:tr>
      <w:tr w14:paraId="5A7C3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0" w:type="dxa"/>
            <w:tcBorders>
              <w:top w:val="single" w:color="auto" w:sz="4" w:space="0"/>
            </w:tcBorders>
            <w:vAlign w:val="center"/>
          </w:tcPr>
          <w:p w14:paraId="0B393891">
            <w:pPr>
              <w:spacing w:line="360" w:lineRule="exact"/>
              <w:jc w:val="center"/>
              <w:rPr>
                <w:rFonts w:ascii="宋体" w:hAnsi="宋体" w:cs="宋体"/>
                <w:b/>
                <w:kern w:val="28"/>
                <w:szCs w:val="21"/>
                <w:highlight w:val="none"/>
              </w:rPr>
            </w:pPr>
            <w:r>
              <w:rPr>
                <w:rFonts w:ascii="宋体" w:hAnsi="宋体" w:cs="宋体"/>
                <w:b/>
                <w:kern w:val="28"/>
                <w:szCs w:val="21"/>
                <w:highlight w:val="none"/>
              </w:rPr>
              <w:t>序号</w:t>
            </w:r>
          </w:p>
        </w:tc>
        <w:tc>
          <w:tcPr>
            <w:tcW w:w="1459" w:type="dxa"/>
            <w:tcBorders>
              <w:top w:val="single" w:color="auto" w:sz="4" w:space="0"/>
            </w:tcBorders>
            <w:vAlign w:val="center"/>
          </w:tcPr>
          <w:p w14:paraId="63CE0528">
            <w:pPr>
              <w:spacing w:line="360" w:lineRule="exact"/>
              <w:jc w:val="center"/>
              <w:rPr>
                <w:rFonts w:ascii="宋体" w:hAnsi="宋体" w:cs="宋体"/>
                <w:b/>
                <w:kern w:val="28"/>
                <w:szCs w:val="21"/>
                <w:highlight w:val="none"/>
              </w:rPr>
            </w:pPr>
            <w:r>
              <w:rPr>
                <w:rFonts w:ascii="宋体" w:hAnsi="宋体" w:cs="宋体"/>
                <w:b/>
                <w:kern w:val="28"/>
                <w:szCs w:val="21"/>
                <w:highlight w:val="none"/>
              </w:rPr>
              <w:t>评审内容及分值</w:t>
            </w:r>
          </w:p>
        </w:tc>
        <w:tc>
          <w:tcPr>
            <w:tcW w:w="6805" w:type="dxa"/>
            <w:gridSpan w:val="3"/>
            <w:tcBorders>
              <w:top w:val="single" w:color="auto" w:sz="4" w:space="0"/>
            </w:tcBorders>
            <w:vAlign w:val="center"/>
          </w:tcPr>
          <w:p w14:paraId="0282C12D">
            <w:pPr>
              <w:spacing w:line="360" w:lineRule="exact"/>
              <w:jc w:val="center"/>
              <w:rPr>
                <w:rFonts w:ascii="宋体" w:hAnsi="宋体" w:cs="宋体"/>
                <w:b/>
                <w:kern w:val="28"/>
                <w:szCs w:val="21"/>
                <w:highlight w:val="none"/>
              </w:rPr>
            </w:pPr>
            <w:r>
              <w:rPr>
                <w:rFonts w:ascii="宋体" w:hAnsi="宋体" w:cs="宋体"/>
                <w:b/>
                <w:kern w:val="28"/>
                <w:szCs w:val="21"/>
                <w:highlight w:val="none"/>
              </w:rPr>
              <w:t>合计</w:t>
            </w:r>
            <w:r>
              <w:rPr>
                <w:rFonts w:hint="eastAsia" w:ascii="宋体" w:hAnsi="宋体" w:cs="宋体"/>
                <w:b/>
                <w:kern w:val="28"/>
                <w:szCs w:val="21"/>
                <w:highlight w:val="none"/>
                <w:lang w:val="en-US" w:eastAsia="zh-CN"/>
              </w:rPr>
              <w:t>10</w:t>
            </w:r>
            <w:r>
              <w:rPr>
                <w:rFonts w:ascii="宋体" w:hAnsi="宋体" w:cs="宋体"/>
                <w:b/>
                <w:kern w:val="28"/>
                <w:szCs w:val="21"/>
                <w:highlight w:val="none"/>
              </w:rPr>
              <w:t>分</w:t>
            </w:r>
          </w:p>
        </w:tc>
      </w:tr>
      <w:tr w14:paraId="032FF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5" w:hRule="atLeast"/>
        </w:trPr>
        <w:tc>
          <w:tcPr>
            <w:tcW w:w="750" w:type="dxa"/>
            <w:vAlign w:val="center"/>
          </w:tcPr>
          <w:p w14:paraId="7A23DA37">
            <w:pPr>
              <w:spacing w:line="400" w:lineRule="exact"/>
              <w:jc w:val="center"/>
              <w:rPr>
                <w:rFonts w:ascii="宋体" w:hAnsi="宋体" w:cs="宋体"/>
                <w:bCs/>
                <w:kern w:val="28"/>
                <w:szCs w:val="21"/>
                <w:highlight w:val="none"/>
              </w:rPr>
            </w:pPr>
            <w:r>
              <w:rPr>
                <w:rFonts w:ascii="宋体" w:hAnsi="宋体" w:cs="宋体"/>
                <w:bCs/>
                <w:kern w:val="28"/>
                <w:szCs w:val="21"/>
                <w:highlight w:val="none"/>
              </w:rPr>
              <w:t>4</w:t>
            </w:r>
          </w:p>
        </w:tc>
        <w:tc>
          <w:tcPr>
            <w:tcW w:w="1459" w:type="dxa"/>
            <w:tcBorders>
              <w:left w:val="single" w:color="auto" w:sz="4" w:space="0"/>
            </w:tcBorders>
            <w:vAlign w:val="center"/>
          </w:tcPr>
          <w:p w14:paraId="0C6FF129">
            <w:pPr>
              <w:spacing w:line="370" w:lineRule="exact"/>
              <w:jc w:val="center"/>
              <w:rPr>
                <w:rFonts w:ascii="宋体" w:hAnsi="宋体" w:cs="宋体"/>
                <w:bCs/>
                <w:kern w:val="28"/>
                <w:szCs w:val="21"/>
                <w:highlight w:val="none"/>
              </w:rPr>
            </w:pPr>
            <w:r>
              <w:rPr>
                <w:rFonts w:ascii="宋体" w:hAnsi="宋体" w:cs="宋体"/>
                <w:b/>
                <w:kern w:val="28"/>
                <w:szCs w:val="21"/>
                <w:highlight w:val="none"/>
              </w:rPr>
              <w:t>报价分</w:t>
            </w:r>
          </w:p>
        </w:tc>
        <w:tc>
          <w:tcPr>
            <w:tcW w:w="6805" w:type="dxa"/>
            <w:gridSpan w:val="3"/>
            <w:tcBorders>
              <w:left w:val="single" w:color="auto" w:sz="4" w:space="0"/>
            </w:tcBorders>
            <w:vAlign w:val="center"/>
          </w:tcPr>
          <w:p w14:paraId="1FB8A9CD">
            <w:pPr>
              <w:spacing w:line="360" w:lineRule="auto"/>
              <w:rPr>
                <w:rFonts w:hint="eastAsia" w:ascii="宋体" w:hAnsi="宋体" w:cs="Arial"/>
                <w:szCs w:val="21"/>
                <w:highlight w:val="none"/>
              </w:rPr>
            </w:pPr>
            <w:r>
              <w:rPr>
                <w:rFonts w:hint="eastAsia" w:ascii="宋体" w:hAnsi="宋体" w:cs="Arial"/>
                <w:szCs w:val="21"/>
                <w:highlight w:val="none"/>
              </w:rPr>
              <w:t>资格及符合性审查通过并且技术商务标合格的投标单位参加报价评分。</w:t>
            </w:r>
          </w:p>
          <w:p w14:paraId="3E51E05C">
            <w:pPr>
              <w:spacing w:line="360" w:lineRule="auto"/>
              <w:rPr>
                <w:rFonts w:ascii="宋体" w:hAnsi="宋体" w:cs="宋体"/>
                <w:bCs/>
                <w:kern w:val="28"/>
                <w:szCs w:val="21"/>
                <w:highlight w:val="none"/>
              </w:rPr>
            </w:pPr>
            <w:r>
              <w:rPr>
                <w:rFonts w:hint="eastAsia" w:ascii="宋体" w:hAnsi="宋体" w:cs="Arial"/>
                <w:szCs w:val="21"/>
                <w:highlight w:val="none"/>
              </w:rPr>
              <w:t>价格分统一采用低价优先法计算，即满足竞争性磋商文件要求且磋商价格最低的磋商报价(即评标价=投标报价)为评标基准价，其价格分为满分。其他供应商的价格分统一按照下列公式计算：磋商报价得分=（评标基准价/评标价）*价格权值*100。计算分数时四舍五入取小数点后两位。（价格权值指价格分值占总分值的比重）</w:t>
            </w:r>
          </w:p>
        </w:tc>
      </w:tr>
      <w:tr w14:paraId="6DAB6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9014" w:type="dxa"/>
            <w:gridSpan w:val="5"/>
            <w:vAlign w:val="center"/>
          </w:tcPr>
          <w:p w14:paraId="5786B20F">
            <w:pPr>
              <w:spacing w:line="360" w:lineRule="auto"/>
              <w:rPr>
                <w:rFonts w:ascii="宋体" w:hAnsi="宋体" w:cs="宋体"/>
                <w:bCs/>
                <w:kern w:val="28"/>
                <w:szCs w:val="21"/>
                <w:highlight w:val="none"/>
              </w:rPr>
            </w:pPr>
            <w:r>
              <w:rPr>
                <w:rFonts w:ascii="宋体" w:hAnsi="宋体" w:cs="宋体"/>
                <w:bCs/>
                <w:kern w:val="28"/>
                <w:szCs w:val="21"/>
                <w:highlight w:val="none"/>
              </w:rPr>
              <w:t>初审时发现价格计算有误，将按下述原则修正：</w:t>
            </w:r>
          </w:p>
          <w:p w14:paraId="3996E303">
            <w:pPr>
              <w:widowControl/>
              <w:snapToGrid w:val="0"/>
              <w:spacing w:line="360" w:lineRule="auto"/>
              <w:rPr>
                <w:rFonts w:ascii="宋体" w:hAnsi="宋体" w:cs="宋体"/>
                <w:szCs w:val="21"/>
                <w:highlight w:val="none"/>
              </w:rPr>
            </w:pPr>
            <w:r>
              <w:rPr>
                <w:rFonts w:ascii="宋体" w:hAnsi="宋体" w:cs="宋体"/>
                <w:szCs w:val="21"/>
                <w:highlight w:val="none"/>
              </w:rPr>
              <w:t>（1）报价文件上传的价格和报价一览表里填写的金额不一致时，以磋商供应商上传的报价文件为准，对磋商供应商的报价进行修正。</w:t>
            </w:r>
          </w:p>
          <w:p w14:paraId="0B7321B9">
            <w:pPr>
              <w:widowControl/>
              <w:snapToGrid w:val="0"/>
              <w:spacing w:line="360" w:lineRule="auto"/>
              <w:rPr>
                <w:rFonts w:ascii="宋体" w:hAnsi="宋体" w:cs="宋体"/>
                <w:szCs w:val="21"/>
                <w:highlight w:val="none"/>
              </w:rPr>
            </w:pPr>
            <w:r>
              <w:rPr>
                <w:rFonts w:ascii="宋体" w:hAnsi="宋体" w:cs="宋体"/>
                <w:szCs w:val="21"/>
                <w:highlight w:val="none"/>
              </w:rPr>
              <w:t>（2）大写金额和小写金额不一致的，以大写金额为准；</w:t>
            </w:r>
          </w:p>
          <w:p w14:paraId="17ED8BCD">
            <w:pPr>
              <w:widowControl/>
              <w:snapToGrid w:val="0"/>
              <w:spacing w:line="360" w:lineRule="auto"/>
              <w:rPr>
                <w:rFonts w:ascii="宋体" w:hAnsi="宋体" w:cs="宋体"/>
                <w:szCs w:val="21"/>
                <w:highlight w:val="none"/>
              </w:rPr>
            </w:pPr>
            <w:r>
              <w:rPr>
                <w:rFonts w:ascii="宋体" w:hAnsi="宋体" w:cs="宋体"/>
                <w:szCs w:val="21"/>
                <w:highlight w:val="none"/>
              </w:rPr>
              <w:t>（3）单价金额小数点或者百分比有明显错位的，以最终报价一览表的总价为准，并修正单价；</w:t>
            </w:r>
          </w:p>
          <w:p w14:paraId="3428CF11">
            <w:pPr>
              <w:widowControl/>
              <w:snapToGrid w:val="0"/>
              <w:spacing w:line="360" w:lineRule="auto"/>
              <w:rPr>
                <w:rFonts w:ascii="宋体" w:hAnsi="宋体" w:cs="宋体"/>
                <w:szCs w:val="21"/>
                <w:highlight w:val="none"/>
              </w:rPr>
            </w:pPr>
            <w:r>
              <w:rPr>
                <w:rFonts w:ascii="宋体" w:hAnsi="宋体" w:cs="宋体"/>
                <w:szCs w:val="21"/>
                <w:highlight w:val="none"/>
              </w:rPr>
              <w:t>（4）总价金额与按单价汇总金额不一致的，以单价金额计算结果为准。</w:t>
            </w:r>
          </w:p>
          <w:p w14:paraId="16D783BD">
            <w:pPr>
              <w:widowControl/>
              <w:snapToGrid w:val="0"/>
              <w:spacing w:line="360" w:lineRule="auto"/>
              <w:rPr>
                <w:rFonts w:ascii="宋体" w:hAnsi="宋体" w:cs="宋体"/>
                <w:szCs w:val="21"/>
                <w:highlight w:val="none"/>
              </w:rPr>
            </w:pPr>
            <w:r>
              <w:rPr>
                <w:rFonts w:ascii="宋体" w:hAnsi="宋体" w:cs="宋体"/>
                <w:szCs w:val="21"/>
                <w:highlight w:val="none"/>
              </w:rPr>
              <w:t>（5）如以文字表示的数据与数字表示的有差别，以文字为准修正数字。</w:t>
            </w:r>
          </w:p>
          <w:p w14:paraId="0DE7D609">
            <w:pPr>
              <w:widowControl/>
              <w:snapToGrid w:val="0"/>
              <w:spacing w:line="360" w:lineRule="auto"/>
              <w:rPr>
                <w:rFonts w:ascii="宋体" w:hAnsi="宋体" w:cs="宋体"/>
                <w:szCs w:val="21"/>
                <w:highlight w:val="none"/>
              </w:rPr>
            </w:pPr>
            <w:r>
              <w:rPr>
                <w:rFonts w:ascii="宋体" w:hAnsi="宋体" w:cs="宋体"/>
                <w:szCs w:val="21"/>
                <w:highlight w:val="none"/>
              </w:rPr>
              <w:t>（6）开评标供应商在报价文件上传的价格和报价一览表里填写的金额不一致时，以供应商上传的报价文件为准，对磋商供应商的报价进行修正。</w:t>
            </w:r>
          </w:p>
          <w:p w14:paraId="797CB0C6">
            <w:pPr>
              <w:widowControl/>
              <w:snapToGrid w:val="0"/>
              <w:spacing w:line="360" w:lineRule="auto"/>
              <w:rPr>
                <w:rFonts w:ascii="宋体" w:hAnsi="宋体" w:cs="宋体"/>
                <w:szCs w:val="21"/>
                <w:highlight w:val="none"/>
              </w:rPr>
            </w:pPr>
            <w:r>
              <w:rPr>
                <w:rFonts w:ascii="宋体" w:hAnsi="宋体" w:cs="宋体"/>
                <w:szCs w:val="21"/>
                <w:highlight w:val="none"/>
                <w:u w:val="wave"/>
              </w:rPr>
              <w:t>（7）▲如磋商供应商缺漏项价格比例达到投标报价的5%（含）以上时，属于重大偏离，磋商小组将对其投标按无效标处理。</w:t>
            </w:r>
          </w:p>
          <w:p w14:paraId="1DC37493">
            <w:pPr>
              <w:widowControl/>
              <w:snapToGrid w:val="0"/>
              <w:spacing w:line="360" w:lineRule="auto"/>
              <w:rPr>
                <w:rFonts w:ascii="宋体" w:hAnsi="宋体" w:cs="宋体"/>
                <w:szCs w:val="21"/>
                <w:highlight w:val="none"/>
              </w:rPr>
            </w:pPr>
            <w:r>
              <w:rPr>
                <w:rFonts w:ascii="宋体" w:hAnsi="宋体" w:cs="宋体"/>
                <w:szCs w:val="21"/>
                <w:highlight w:val="none"/>
              </w:rPr>
              <w:t xml:space="preserve">（8）如磋商供应商的磋商响应文件前后矛盾，磋商小组会将作出不利于磋商供应商的修正。 </w:t>
            </w:r>
          </w:p>
          <w:p w14:paraId="5678F28A">
            <w:pPr>
              <w:spacing w:line="360" w:lineRule="auto"/>
              <w:rPr>
                <w:rFonts w:ascii="宋体" w:hAnsi="宋体" w:cs="宋体"/>
                <w:bCs/>
                <w:kern w:val="28"/>
                <w:szCs w:val="21"/>
                <w:highlight w:val="none"/>
              </w:rPr>
            </w:pPr>
            <w:r>
              <w:rPr>
                <w:rFonts w:ascii="宋体" w:hAnsi="宋体" w:cs="宋体"/>
                <w:bCs/>
                <w:kern w:val="28"/>
                <w:szCs w:val="21"/>
                <w:highlight w:val="none"/>
              </w:rPr>
              <w:t>注：（1）~（6）同时出现两种以上不一致的，按照前款规定的顺序修正。修正后的报价按照相关法律规定经磋商供应商确认后产生约束力，磋商供应商在规定时间内不确认的，其磋商响应文件作无效处理。</w:t>
            </w:r>
          </w:p>
        </w:tc>
      </w:tr>
      <w:tr w14:paraId="49385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trPr>
        <w:tc>
          <w:tcPr>
            <w:tcW w:w="750" w:type="dxa"/>
            <w:tcBorders>
              <w:top w:val="single" w:color="auto" w:sz="4" w:space="0"/>
              <w:left w:val="single" w:color="auto" w:sz="4" w:space="0"/>
              <w:bottom w:val="single" w:color="auto" w:sz="4" w:space="0"/>
              <w:right w:val="single" w:color="auto" w:sz="4" w:space="0"/>
            </w:tcBorders>
            <w:vAlign w:val="center"/>
          </w:tcPr>
          <w:p w14:paraId="36D4F6F2">
            <w:pPr>
              <w:spacing w:line="360" w:lineRule="exact"/>
              <w:ind w:right="3"/>
              <w:jc w:val="center"/>
              <w:rPr>
                <w:rFonts w:ascii="宋体" w:hAnsi="宋体" w:cs="宋体"/>
                <w:b/>
                <w:szCs w:val="21"/>
                <w:highlight w:val="none"/>
              </w:rPr>
            </w:pPr>
            <w:r>
              <w:rPr>
                <w:rFonts w:ascii="宋体" w:hAnsi="宋体" w:cs="宋体"/>
                <w:b/>
                <w:szCs w:val="21"/>
                <w:highlight w:val="none"/>
              </w:rPr>
              <w:t>5</w:t>
            </w:r>
          </w:p>
        </w:tc>
        <w:tc>
          <w:tcPr>
            <w:tcW w:w="1459" w:type="dxa"/>
            <w:tcBorders>
              <w:top w:val="single" w:color="auto" w:sz="4" w:space="0"/>
              <w:left w:val="single" w:color="auto" w:sz="4" w:space="0"/>
              <w:bottom w:val="single" w:color="auto" w:sz="4" w:space="0"/>
              <w:right w:val="single" w:color="auto" w:sz="4" w:space="0"/>
            </w:tcBorders>
            <w:vAlign w:val="center"/>
          </w:tcPr>
          <w:p w14:paraId="092258C3">
            <w:pPr>
              <w:spacing w:line="360" w:lineRule="exact"/>
              <w:ind w:right="3"/>
              <w:jc w:val="center"/>
              <w:rPr>
                <w:rFonts w:ascii="宋体" w:hAnsi="宋体" w:cs="宋体"/>
                <w:b/>
                <w:szCs w:val="21"/>
                <w:highlight w:val="none"/>
              </w:rPr>
            </w:pPr>
            <w:r>
              <w:rPr>
                <w:rFonts w:ascii="宋体" w:hAnsi="宋体" w:cs="宋体"/>
                <w:b/>
                <w:szCs w:val="21"/>
                <w:highlight w:val="none"/>
              </w:rPr>
              <w:t>商务技术</w:t>
            </w:r>
          </w:p>
          <w:p w14:paraId="27CC2FD0">
            <w:pPr>
              <w:spacing w:line="360" w:lineRule="exact"/>
              <w:ind w:right="3"/>
              <w:jc w:val="center"/>
              <w:rPr>
                <w:rFonts w:ascii="宋体" w:hAnsi="宋体" w:cs="宋体"/>
                <w:b/>
                <w:szCs w:val="21"/>
                <w:highlight w:val="none"/>
              </w:rPr>
            </w:pPr>
            <w:r>
              <w:rPr>
                <w:rFonts w:ascii="宋体" w:hAnsi="宋体" w:cs="宋体"/>
                <w:b/>
                <w:szCs w:val="21"/>
                <w:highlight w:val="none"/>
              </w:rPr>
              <w:t>评分</w:t>
            </w:r>
          </w:p>
        </w:tc>
        <w:tc>
          <w:tcPr>
            <w:tcW w:w="6805" w:type="dxa"/>
            <w:gridSpan w:val="3"/>
            <w:tcBorders>
              <w:top w:val="single" w:color="auto" w:sz="4" w:space="0"/>
              <w:left w:val="single" w:color="auto" w:sz="4" w:space="0"/>
              <w:bottom w:val="single" w:color="auto" w:sz="4" w:space="0"/>
              <w:right w:val="single" w:color="auto" w:sz="4" w:space="0"/>
            </w:tcBorders>
            <w:vAlign w:val="center"/>
          </w:tcPr>
          <w:p w14:paraId="52EB3094">
            <w:pPr>
              <w:tabs>
                <w:tab w:val="left" w:pos="993"/>
                <w:tab w:val="left" w:pos="1276"/>
              </w:tabs>
              <w:spacing w:line="360" w:lineRule="exact"/>
              <w:jc w:val="center"/>
              <w:rPr>
                <w:rFonts w:ascii="宋体" w:hAnsi="宋体" w:cs="宋体"/>
                <w:b/>
                <w:szCs w:val="21"/>
                <w:highlight w:val="none"/>
              </w:rPr>
            </w:pPr>
            <w:r>
              <w:rPr>
                <w:rFonts w:ascii="宋体" w:hAnsi="宋体" w:cs="宋体"/>
                <w:b/>
                <w:szCs w:val="21"/>
                <w:highlight w:val="none"/>
              </w:rPr>
              <w:t>合计</w:t>
            </w:r>
            <w:r>
              <w:rPr>
                <w:rFonts w:hint="eastAsia" w:ascii="宋体" w:hAnsi="宋体" w:cs="宋体"/>
                <w:b/>
                <w:szCs w:val="21"/>
                <w:highlight w:val="none"/>
                <w:lang w:val="en-US" w:eastAsia="zh-CN"/>
              </w:rPr>
              <w:t>90</w:t>
            </w:r>
            <w:r>
              <w:rPr>
                <w:rFonts w:ascii="宋体" w:hAnsi="宋体" w:cs="宋体"/>
                <w:b/>
                <w:szCs w:val="21"/>
                <w:highlight w:val="none"/>
              </w:rPr>
              <w:t>分</w:t>
            </w:r>
          </w:p>
        </w:tc>
      </w:tr>
      <w:tr w14:paraId="7C6C3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750" w:type="dxa"/>
            <w:vAlign w:val="center"/>
          </w:tcPr>
          <w:p w14:paraId="00EFE3E0">
            <w:pPr>
              <w:spacing w:line="360" w:lineRule="exact"/>
              <w:ind w:left="-50"/>
              <w:jc w:val="center"/>
              <w:rPr>
                <w:rFonts w:ascii="宋体" w:hAnsi="宋体" w:cs="宋体"/>
                <w:snapToGrid w:val="0"/>
                <w:szCs w:val="21"/>
                <w:highlight w:val="none"/>
              </w:rPr>
            </w:pPr>
          </w:p>
        </w:tc>
        <w:tc>
          <w:tcPr>
            <w:tcW w:w="1459" w:type="dxa"/>
            <w:tcBorders>
              <w:left w:val="single" w:color="auto" w:sz="4" w:space="0"/>
            </w:tcBorders>
            <w:vAlign w:val="center"/>
          </w:tcPr>
          <w:p w14:paraId="2EE588D4">
            <w:pPr>
              <w:spacing w:line="360" w:lineRule="exact"/>
              <w:ind w:left="-50"/>
              <w:jc w:val="center"/>
              <w:rPr>
                <w:rFonts w:ascii="宋体" w:hAnsi="宋体" w:cs="宋体"/>
                <w:b/>
                <w:bCs/>
                <w:snapToGrid w:val="0"/>
                <w:szCs w:val="21"/>
                <w:highlight w:val="none"/>
              </w:rPr>
            </w:pPr>
            <w:r>
              <w:rPr>
                <w:rFonts w:ascii="宋体" w:hAnsi="宋体" w:cs="宋体"/>
                <w:b/>
                <w:bCs/>
                <w:snapToGrid w:val="0"/>
                <w:szCs w:val="21"/>
                <w:highlight w:val="none"/>
              </w:rPr>
              <w:t>评分内容</w:t>
            </w:r>
          </w:p>
        </w:tc>
        <w:tc>
          <w:tcPr>
            <w:tcW w:w="914" w:type="dxa"/>
            <w:tcBorders>
              <w:left w:val="single" w:color="auto" w:sz="4" w:space="0"/>
            </w:tcBorders>
            <w:vAlign w:val="center"/>
          </w:tcPr>
          <w:p w14:paraId="65748A9B">
            <w:pPr>
              <w:spacing w:line="360" w:lineRule="exact"/>
              <w:ind w:left="-50"/>
              <w:jc w:val="center"/>
              <w:rPr>
                <w:rFonts w:ascii="宋体" w:hAnsi="宋体" w:cs="宋体"/>
                <w:b/>
                <w:bCs/>
                <w:snapToGrid w:val="0"/>
                <w:szCs w:val="21"/>
                <w:highlight w:val="none"/>
              </w:rPr>
            </w:pPr>
            <w:r>
              <w:rPr>
                <w:rFonts w:ascii="宋体" w:hAnsi="宋体" w:cs="宋体"/>
                <w:b/>
                <w:bCs/>
                <w:snapToGrid w:val="0"/>
                <w:szCs w:val="21"/>
                <w:highlight w:val="none"/>
              </w:rPr>
              <w:t>分数值</w:t>
            </w:r>
          </w:p>
        </w:tc>
        <w:tc>
          <w:tcPr>
            <w:tcW w:w="5891" w:type="dxa"/>
            <w:gridSpan w:val="2"/>
            <w:tcBorders>
              <w:left w:val="single" w:color="auto" w:sz="4" w:space="0"/>
            </w:tcBorders>
            <w:vAlign w:val="center"/>
          </w:tcPr>
          <w:p w14:paraId="668C5701">
            <w:pPr>
              <w:spacing w:line="360" w:lineRule="exact"/>
              <w:ind w:left="-50"/>
              <w:jc w:val="center"/>
              <w:rPr>
                <w:rFonts w:ascii="宋体" w:hAnsi="宋体" w:cs="宋体"/>
                <w:snapToGrid w:val="0"/>
                <w:szCs w:val="21"/>
                <w:highlight w:val="none"/>
              </w:rPr>
            </w:pPr>
            <w:r>
              <w:rPr>
                <w:rFonts w:ascii="宋体" w:hAnsi="宋体" w:cs="宋体"/>
                <w:b/>
                <w:bCs/>
                <w:szCs w:val="21"/>
                <w:highlight w:val="none"/>
              </w:rPr>
              <w:t>评定原则</w:t>
            </w:r>
          </w:p>
        </w:tc>
      </w:tr>
      <w:tr w14:paraId="2EAF1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6" w:hRule="atLeast"/>
        </w:trPr>
        <w:tc>
          <w:tcPr>
            <w:tcW w:w="750" w:type="dxa"/>
            <w:vAlign w:val="center"/>
          </w:tcPr>
          <w:p w14:paraId="10E0D746">
            <w:pPr>
              <w:spacing w:line="360" w:lineRule="exact"/>
              <w:jc w:val="center"/>
              <w:rPr>
                <w:rFonts w:ascii="宋体" w:hAnsi="宋体" w:cs="宋体"/>
                <w:snapToGrid w:val="0"/>
                <w:szCs w:val="21"/>
                <w:highlight w:val="none"/>
              </w:rPr>
            </w:pPr>
            <w:r>
              <w:rPr>
                <w:rFonts w:ascii="宋体" w:hAnsi="宋体" w:cs="宋体"/>
                <w:snapToGrid w:val="0"/>
                <w:szCs w:val="21"/>
                <w:highlight w:val="none"/>
              </w:rPr>
              <w:t>5.1</w:t>
            </w:r>
          </w:p>
        </w:tc>
        <w:tc>
          <w:tcPr>
            <w:tcW w:w="1459" w:type="dxa"/>
            <w:tcBorders>
              <w:left w:val="single" w:color="auto" w:sz="4" w:space="0"/>
            </w:tcBorders>
            <w:vAlign w:val="center"/>
          </w:tcPr>
          <w:p w14:paraId="45B2C5DE">
            <w:pPr>
              <w:spacing w:line="360" w:lineRule="exact"/>
              <w:jc w:val="center"/>
              <w:rPr>
                <w:rFonts w:ascii="宋体" w:hAnsi="宋体" w:cs="宋体"/>
                <w:snapToGrid w:val="0"/>
                <w:szCs w:val="21"/>
                <w:highlight w:val="none"/>
              </w:rPr>
            </w:pPr>
            <w:r>
              <w:rPr>
                <w:rFonts w:hint="eastAsia" w:ascii="新宋体" w:hAnsi="新宋体" w:eastAsia="新宋体" w:cs="Arial Black"/>
                <w:snapToGrid w:val="0"/>
                <w:szCs w:val="21"/>
                <w:highlight w:val="none"/>
              </w:rPr>
              <w:t>磋商供应商业绩</w:t>
            </w:r>
          </w:p>
        </w:tc>
        <w:tc>
          <w:tcPr>
            <w:tcW w:w="914" w:type="dxa"/>
            <w:tcBorders>
              <w:left w:val="single" w:color="auto" w:sz="4" w:space="0"/>
            </w:tcBorders>
            <w:vAlign w:val="center"/>
          </w:tcPr>
          <w:p w14:paraId="2D446885">
            <w:pPr>
              <w:spacing w:line="360" w:lineRule="exact"/>
              <w:jc w:val="center"/>
              <w:rPr>
                <w:rFonts w:ascii="宋体" w:hAnsi="宋体" w:eastAsia="宋体" w:cs="宋体"/>
                <w:snapToGrid w:val="0"/>
                <w:szCs w:val="21"/>
                <w:highlight w:val="none"/>
                <w:lang w:val="en-US" w:eastAsia="zh-CN"/>
              </w:rPr>
            </w:pPr>
            <w:r>
              <w:rPr>
                <w:rFonts w:hint="eastAsia" w:ascii="宋体" w:hAnsi="宋体" w:cs="宋体"/>
                <w:snapToGrid w:val="0"/>
                <w:szCs w:val="21"/>
                <w:highlight w:val="none"/>
                <w:lang w:val="en-US" w:eastAsia="zh-CN"/>
              </w:rPr>
              <w:t>0-1分</w:t>
            </w:r>
          </w:p>
        </w:tc>
        <w:tc>
          <w:tcPr>
            <w:tcW w:w="5891" w:type="dxa"/>
            <w:gridSpan w:val="2"/>
            <w:tcBorders>
              <w:left w:val="single" w:color="auto" w:sz="4" w:space="0"/>
            </w:tcBorders>
            <w:vAlign w:val="center"/>
          </w:tcPr>
          <w:p w14:paraId="285801E4">
            <w:pPr>
              <w:spacing w:line="360" w:lineRule="auto"/>
              <w:ind w:left="-50"/>
              <w:jc w:val="left"/>
              <w:rPr>
                <w:rFonts w:hint="eastAsia"/>
                <w:highlight w:val="none"/>
              </w:rPr>
            </w:pPr>
            <w:r>
              <w:rPr>
                <w:rFonts w:hint="eastAsia"/>
                <w:highlight w:val="none"/>
              </w:rPr>
              <w:t>磋商供应商自202</w:t>
            </w:r>
            <w:r>
              <w:rPr>
                <w:rFonts w:hint="eastAsia"/>
                <w:highlight w:val="none"/>
                <w:lang w:val="en-US" w:eastAsia="zh-CN"/>
              </w:rPr>
              <w:t>2</w:t>
            </w:r>
            <w:r>
              <w:rPr>
                <w:rFonts w:hint="eastAsia"/>
                <w:highlight w:val="none"/>
              </w:rPr>
              <w:t>年1月1日以来类似项目业绩的证明材料，提供一个得</w:t>
            </w:r>
            <w:r>
              <w:rPr>
                <w:rFonts w:hint="eastAsia"/>
                <w:highlight w:val="none"/>
                <w:lang w:val="en-US" w:eastAsia="zh-CN"/>
              </w:rPr>
              <w:t>0.5</w:t>
            </w:r>
            <w:r>
              <w:rPr>
                <w:rFonts w:hint="eastAsia"/>
                <w:highlight w:val="none"/>
              </w:rPr>
              <w:t>分，最高得分</w:t>
            </w:r>
            <w:r>
              <w:rPr>
                <w:rFonts w:hint="eastAsia"/>
                <w:highlight w:val="none"/>
                <w:lang w:val="en-US" w:eastAsia="zh-CN"/>
              </w:rPr>
              <w:t>1</w:t>
            </w:r>
            <w:r>
              <w:rPr>
                <w:rFonts w:hint="eastAsia"/>
                <w:highlight w:val="none"/>
              </w:rPr>
              <w:t>分。</w:t>
            </w:r>
          </w:p>
          <w:p w14:paraId="25335CA9">
            <w:pPr>
              <w:spacing w:line="360" w:lineRule="auto"/>
              <w:ind w:left="-50"/>
              <w:jc w:val="left"/>
              <w:rPr>
                <w:rFonts w:ascii="宋体" w:hAnsi="宋体" w:cs="宋体"/>
                <w:b/>
                <w:bCs/>
                <w:szCs w:val="21"/>
                <w:highlight w:val="none"/>
              </w:rPr>
            </w:pPr>
            <w:r>
              <w:rPr>
                <w:rFonts w:hint="eastAsia"/>
                <w:b/>
                <w:bCs/>
                <w:highlight w:val="none"/>
              </w:rPr>
              <w:t>（①业绩有效性认定：提供中标通知书和合同扫描件并加盖电子签章，或者提供合同和发票扫描件并加盖电子签章；②业绩认定时间以合同的签订时间为准。）</w:t>
            </w:r>
          </w:p>
        </w:tc>
      </w:tr>
      <w:tr w14:paraId="0BF37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750" w:type="dxa"/>
            <w:vMerge w:val="restart"/>
            <w:vAlign w:val="center"/>
          </w:tcPr>
          <w:p w14:paraId="6D3BACF3">
            <w:pPr>
              <w:spacing w:line="360" w:lineRule="exact"/>
              <w:jc w:val="center"/>
              <w:rPr>
                <w:rFonts w:ascii="宋体" w:hAnsi="宋体" w:cs="宋体"/>
                <w:snapToGrid w:val="0"/>
                <w:szCs w:val="21"/>
                <w:highlight w:val="none"/>
              </w:rPr>
            </w:pPr>
            <w:r>
              <w:rPr>
                <w:rFonts w:ascii="宋体" w:hAnsi="宋体" w:cs="宋体"/>
                <w:snapToGrid w:val="0"/>
                <w:szCs w:val="21"/>
                <w:highlight w:val="none"/>
              </w:rPr>
              <w:t>5.2</w:t>
            </w:r>
          </w:p>
        </w:tc>
        <w:tc>
          <w:tcPr>
            <w:tcW w:w="1459" w:type="dxa"/>
            <w:vMerge w:val="restart"/>
            <w:tcBorders>
              <w:left w:val="single" w:color="auto" w:sz="4" w:space="0"/>
            </w:tcBorders>
            <w:vAlign w:val="center"/>
          </w:tcPr>
          <w:p w14:paraId="0BF387A6">
            <w:pPr>
              <w:spacing w:line="360" w:lineRule="exact"/>
              <w:jc w:val="center"/>
              <w:rPr>
                <w:rFonts w:ascii="新宋体" w:hAnsi="新宋体" w:eastAsia="新宋体" w:cs="Arial Black"/>
                <w:snapToGrid w:val="0"/>
                <w:szCs w:val="21"/>
                <w:highlight w:val="none"/>
              </w:rPr>
            </w:pPr>
            <w:r>
              <w:rPr>
                <w:rFonts w:ascii="新宋体" w:hAnsi="新宋体" w:eastAsia="新宋体" w:cs="Arial Black"/>
                <w:snapToGrid w:val="0"/>
                <w:szCs w:val="21"/>
                <w:highlight w:val="none"/>
              </w:rPr>
              <w:t>项目负责人</w:t>
            </w:r>
          </w:p>
        </w:tc>
        <w:tc>
          <w:tcPr>
            <w:tcW w:w="914" w:type="dxa"/>
            <w:vMerge w:val="restart"/>
            <w:tcBorders>
              <w:left w:val="single" w:color="auto" w:sz="4" w:space="0"/>
            </w:tcBorders>
            <w:vAlign w:val="center"/>
          </w:tcPr>
          <w:p w14:paraId="5ADD80AA">
            <w:pPr>
              <w:spacing w:line="360" w:lineRule="exact"/>
              <w:jc w:val="center"/>
              <w:rPr>
                <w:rFonts w:ascii="宋体" w:hAnsi="宋体" w:eastAsia="宋体" w:cs="宋体"/>
                <w:snapToGrid w:val="0"/>
                <w:szCs w:val="21"/>
                <w:highlight w:val="none"/>
                <w:lang w:val="en-US" w:eastAsia="zh-CN"/>
              </w:rPr>
            </w:pPr>
            <w:r>
              <w:rPr>
                <w:rFonts w:hint="eastAsia" w:ascii="宋体" w:hAnsi="宋体" w:cs="宋体"/>
                <w:snapToGrid w:val="0"/>
                <w:szCs w:val="21"/>
                <w:highlight w:val="none"/>
                <w:lang w:val="en-US" w:eastAsia="zh-CN"/>
              </w:rPr>
              <w:t>0-6分</w:t>
            </w:r>
          </w:p>
        </w:tc>
        <w:tc>
          <w:tcPr>
            <w:tcW w:w="5891" w:type="dxa"/>
            <w:gridSpan w:val="2"/>
            <w:tcBorders>
              <w:left w:val="single" w:color="auto" w:sz="4" w:space="0"/>
            </w:tcBorders>
            <w:vAlign w:val="center"/>
          </w:tcPr>
          <w:p w14:paraId="22F15A97">
            <w:pPr>
              <w:widowControl/>
              <w:spacing w:line="360" w:lineRule="auto"/>
              <w:jc w:val="left"/>
              <w:rPr>
                <w:rFonts w:ascii="新宋体" w:hAnsi="新宋体" w:eastAsia="新宋体" w:cs="Arial Black"/>
                <w:b/>
                <w:bCs/>
                <w:snapToGrid w:val="0"/>
                <w:szCs w:val="21"/>
                <w:highlight w:val="none"/>
              </w:rPr>
            </w:pPr>
            <w:r>
              <w:rPr>
                <w:rFonts w:ascii="新宋体" w:hAnsi="新宋体" w:eastAsia="新宋体" w:cs="Arial Black"/>
                <w:b w:val="0"/>
                <w:bCs w:val="0"/>
                <w:snapToGrid w:val="0"/>
                <w:szCs w:val="21"/>
                <w:highlight w:val="none"/>
              </w:rPr>
              <w:t>项目负责人具有电影放映技师职称（中级及以上），得</w:t>
            </w:r>
            <w:r>
              <w:rPr>
                <w:rFonts w:hint="eastAsia" w:ascii="新宋体" w:hAnsi="新宋体" w:eastAsia="新宋体" w:cs="Arial Black"/>
                <w:b w:val="0"/>
                <w:bCs w:val="0"/>
                <w:snapToGrid w:val="0"/>
                <w:szCs w:val="21"/>
                <w:highlight w:val="none"/>
                <w:lang w:val="en-US" w:eastAsia="zh-CN"/>
              </w:rPr>
              <w:t>3</w:t>
            </w:r>
            <w:r>
              <w:rPr>
                <w:rFonts w:ascii="新宋体" w:hAnsi="新宋体" w:eastAsia="新宋体" w:cs="Arial Black"/>
                <w:b w:val="0"/>
                <w:bCs w:val="0"/>
                <w:snapToGrid w:val="0"/>
                <w:szCs w:val="21"/>
                <w:highlight w:val="none"/>
              </w:rPr>
              <w:t>分。</w:t>
            </w:r>
          </w:p>
        </w:tc>
      </w:tr>
      <w:tr w14:paraId="162CC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750" w:type="dxa"/>
            <w:vMerge w:val="continue"/>
            <w:vAlign w:val="center"/>
          </w:tcPr>
          <w:p w14:paraId="332C2AF1">
            <w:pPr>
              <w:rPr>
                <w:highlight w:val="none"/>
              </w:rPr>
            </w:pPr>
          </w:p>
        </w:tc>
        <w:tc>
          <w:tcPr>
            <w:tcW w:w="1459" w:type="dxa"/>
            <w:vMerge w:val="continue"/>
            <w:tcBorders>
              <w:left w:val="single" w:color="auto" w:sz="4" w:space="0"/>
            </w:tcBorders>
            <w:vAlign w:val="center"/>
          </w:tcPr>
          <w:p w14:paraId="12E9E775">
            <w:pPr>
              <w:rPr>
                <w:highlight w:val="none"/>
              </w:rPr>
            </w:pPr>
          </w:p>
        </w:tc>
        <w:tc>
          <w:tcPr>
            <w:tcW w:w="914" w:type="dxa"/>
            <w:vMerge w:val="continue"/>
            <w:tcBorders>
              <w:left w:val="single" w:color="auto" w:sz="4" w:space="0"/>
            </w:tcBorders>
            <w:vAlign w:val="center"/>
          </w:tcPr>
          <w:p w14:paraId="3DDCB4B1">
            <w:pPr>
              <w:rPr>
                <w:highlight w:val="none"/>
              </w:rPr>
            </w:pPr>
          </w:p>
        </w:tc>
        <w:tc>
          <w:tcPr>
            <w:tcW w:w="5891" w:type="dxa"/>
            <w:gridSpan w:val="2"/>
            <w:tcBorders>
              <w:left w:val="single" w:color="auto" w:sz="4" w:space="0"/>
            </w:tcBorders>
            <w:vAlign w:val="center"/>
          </w:tcPr>
          <w:p w14:paraId="69386AEB">
            <w:pPr>
              <w:widowControl/>
              <w:spacing w:line="360" w:lineRule="auto"/>
              <w:jc w:val="left"/>
              <w:rPr>
                <w:rFonts w:ascii="新宋体" w:hAnsi="新宋体" w:eastAsia="新宋体" w:cs="Arial Black"/>
                <w:b w:val="0"/>
                <w:bCs w:val="0"/>
                <w:snapToGrid w:val="0"/>
                <w:szCs w:val="21"/>
                <w:highlight w:val="none"/>
              </w:rPr>
            </w:pPr>
            <w:r>
              <w:rPr>
                <w:rFonts w:ascii="新宋体" w:hAnsi="新宋体" w:eastAsia="新宋体" w:cs="Arial Black"/>
                <w:b w:val="0"/>
                <w:bCs w:val="0"/>
                <w:snapToGrid w:val="0"/>
                <w:szCs w:val="21"/>
                <w:highlight w:val="none"/>
              </w:rPr>
              <w:t>项目负责人的工作经验、专业性及工作能力等进行打分。</w:t>
            </w:r>
          </w:p>
          <w:p w14:paraId="2EE79C22">
            <w:pPr>
              <w:widowControl/>
              <w:spacing w:line="360" w:lineRule="auto"/>
              <w:jc w:val="left"/>
              <w:rPr>
                <w:rFonts w:hint="eastAsia" w:ascii="新宋体" w:hAnsi="新宋体" w:eastAsia="新宋体" w:cs="Arial Black"/>
                <w:b w:val="0"/>
                <w:bCs w:val="0"/>
                <w:snapToGrid w:val="0"/>
                <w:szCs w:val="21"/>
                <w:highlight w:val="none"/>
                <w:lang w:val="en-US" w:eastAsia="zh-CN"/>
              </w:rPr>
            </w:pPr>
            <w:r>
              <w:rPr>
                <w:rFonts w:hint="eastAsia" w:ascii="新宋体" w:hAnsi="新宋体" w:eastAsia="新宋体" w:cs="Arial Black"/>
                <w:b w:val="0"/>
                <w:bCs w:val="0"/>
                <w:snapToGrid w:val="0"/>
                <w:kern w:val="2"/>
                <w:sz w:val="21"/>
                <w:szCs w:val="21"/>
                <w:highlight w:val="none"/>
                <w:lang w:val="en-US" w:eastAsia="zh-CN" w:bidi="ar-SA"/>
              </w:rPr>
              <w:t xml:space="preserve">① </w:t>
            </w:r>
            <w:r>
              <w:rPr>
                <w:rFonts w:ascii="新宋体" w:hAnsi="新宋体" w:eastAsia="新宋体" w:cs="Arial Black"/>
                <w:b w:val="0"/>
                <w:bCs w:val="0"/>
                <w:snapToGrid w:val="0"/>
                <w:szCs w:val="21"/>
                <w:highlight w:val="none"/>
              </w:rPr>
              <w:t>项目负责人</w:t>
            </w:r>
            <w:r>
              <w:rPr>
                <w:rFonts w:hint="eastAsia" w:ascii="新宋体" w:hAnsi="新宋体" w:eastAsia="新宋体" w:cs="Arial Black"/>
                <w:b w:val="0"/>
                <w:bCs w:val="0"/>
                <w:snapToGrid w:val="0"/>
                <w:szCs w:val="21"/>
                <w:highlight w:val="none"/>
                <w:lang w:val="en-US" w:eastAsia="zh-CN"/>
              </w:rPr>
              <w:t>工作经验丰富，专业性强，工作能力出众的，得3分；</w:t>
            </w:r>
          </w:p>
          <w:p w14:paraId="2AA4B50E">
            <w:pPr>
              <w:widowControl/>
              <w:spacing w:line="360" w:lineRule="auto"/>
              <w:jc w:val="left"/>
              <w:rPr>
                <w:rFonts w:hint="eastAsia" w:ascii="新宋体" w:hAnsi="新宋体" w:eastAsia="新宋体" w:cs="Arial Black"/>
                <w:b w:val="0"/>
                <w:bCs w:val="0"/>
                <w:snapToGrid w:val="0"/>
                <w:szCs w:val="21"/>
                <w:highlight w:val="none"/>
                <w:lang w:val="en-US" w:eastAsia="zh-CN"/>
              </w:rPr>
            </w:pPr>
            <w:r>
              <w:rPr>
                <w:rFonts w:hint="eastAsia" w:ascii="新宋体" w:hAnsi="新宋体" w:eastAsia="新宋体" w:cs="Arial Black"/>
                <w:b w:val="0"/>
                <w:bCs w:val="0"/>
                <w:snapToGrid w:val="0"/>
                <w:kern w:val="2"/>
                <w:sz w:val="21"/>
                <w:szCs w:val="21"/>
                <w:highlight w:val="none"/>
                <w:lang w:val="en-US" w:eastAsia="zh-CN" w:bidi="ar-SA"/>
              </w:rPr>
              <w:t xml:space="preserve">② </w:t>
            </w:r>
            <w:r>
              <w:rPr>
                <w:rFonts w:ascii="新宋体" w:hAnsi="新宋体" w:eastAsia="新宋体" w:cs="Arial Black"/>
                <w:b w:val="0"/>
                <w:bCs w:val="0"/>
                <w:snapToGrid w:val="0"/>
                <w:szCs w:val="21"/>
                <w:highlight w:val="none"/>
              </w:rPr>
              <w:t>项目负责人</w:t>
            </w:r>
            <w:r>
              <w:rPr>
                <w:rFonts w:hint="eastAsia" w:ascii="新宋体" w:hAnsi="新宋体" w:eastAsia="新宋体" w:cs="Arial Black"/>
                <w:b w:val="0"/>
                <w:bCs w:val="0"/>
                <w:snapToGrid w:val="0"/>
                <w:szCs w:val="21"/>
                <w:highlight w:val="none"/>
                <w:lang w:val="en-US" w:eastAsia="zh-CN"/>
              </w:rPr>
              <w:t>工作经验较丰富，专业性较强，较有工作能力的，得2分；</w:t>
            </w:r>
          </w:p>
          <w:p w14:paraId="0A80923C">
            <w:pPr>
              <w:widowControl/>
              <w:spacing w:line="360" w:lineRule="auto"/>
              <w:jc w:val="left"/>
              <w:rPr>
                <w:rFonts w:hint="eastAsia" w:ascii="新宋体" w:hAnsi="新宋体" w:eastAsia="新宋体" w:cs="Arial Black"/>
                <w:b w:val="0"/>
                <w:bCs w:val="0"/>
                <w:snapToGrid w:val="0"/>
                <w:szCs w:val="21"/>
                <w:highlight w:val="none"/>
                <w:lang w:eastAsia="zh-CN"/>
              </w:rPr>
            </w:pPr>
            <w:r>
              <w:rPr>
                <w:rFonts w:hint="eastAsia" w:ascii="新宋体" w:hAnsi="新宋体" w:eastAsia="新宋体" w:cs="Arial Black"/>
                <w:b w:val="0"/>
                <w:bCs w:val="0"/>
                <w:snapToGrid w:val="0"/>
                <w:szCs w:val="21"/>
                <w:highlight w:val="none"/>
                <w:lang w:val="en-US" w:eastAsia="zh-CN"/>
              </w:rPr>
              <w:t xml:space="preserve">③ </w:t>
            </w:r>
            <w:r>
              <w:rPr>
                <w:rFonts w:ascii="新宋体" w:hAnsi="新宋体" w:eastAsia="新宋体" w:cs="Arial Black"/>
                <w:b w:val="0"/>
                <w:bCs w:val="0"/>
                <w:snapToGrid w:val="0"/>
                <w:szCs w:val="21"/>
                <w:highlight w:val="none"/>
              </w:rPr>
              <w:t>项目负责人</w:t>
            </w:r>
            <w:r>
              <w:rPr>
                <w:rFonts w:hint="eastAsia" w:ascii="新宋体" w:hAnsi="新宋体" w:eastAsia="新宋体" w:cs="Arial Black"/>
                <w:b w:val="0"/>
                <w:bCs w:val="0"/>
                <w:snapToGrid w:val="0"/>
                <w:szCs w:val="21"/>
                <w:highlight w:val="none"/>
                <w:lang w:val="en-US" w:eastAsia="zh-CN"/>
              </w:rPr>
              <w:t>工作经验不够丰富，专业性不强的，得1</w:t>
            </w:r>
            <w:r>
              <w:rPr>
                <w:rFonts w:ascii="新宋体" w:hAnsi="新宋体" w:eastAsia="新宋体" w:cs="Arial Black"/>
                <w:b w:val="0"/>
                <w:bCs w:val="0"/>
                <w:snapToGrid w:val="0"/>
                <w:szCs w:val="21"/>
                <w:highlight w:val="none"/>
              </w:rPr>
              <w:t>分</w:t>
            </w:r>
            <w:r>
              <w:rPr>
                <w:rFonts w:hint="eastAsia" w:ascii="新宋体" w:hAnsi="新宋体" w:eastAsia="新宋体" w:cs="Arial Black"/>
                <w:b w:val="0"/>
                <w:bCs w:val="0"/>
                <w:snapToGrid w:val="0"/>
                <w:szCs w:val="21"/>
                <w:highlight w:val="none"/>
                <w:lang w:eastAsia="zh-CN"/>
              </w:rPr>
              <w:t>。</w:t>
            </w:r>
          </w:p>
          <w:p w14:paraId="2C988687">
            <w:pPr>
              <w:pStyle w:val="13"/>
              <w:ind w:left="0" w:leftChars="0" w:firstLine="0"/>
              <w:rPr>
                <w:highlight w:val="none"/>
                <w:lang w:val="en-US" w:eastAsia="zh-CN"/>
              </w:rPr>
            </w:pPr>
            <w:r>
              <w:rPr>
                <w:rFonts w:hint="eastAsia"/>
                <w:highlight w:val="none"/>
                <w:lang w:val="en-US" w:eastAsia="zh-CN"/>
              </w:rPr>
              <w:t>④ 未提供项目负责人信息或信息不符合该项目的不得分。</w:t>
            </w:r>
          </w:p>
        </w:tc>
      </w:tr>
      <w:tr w14:paraId="4E540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750" w:type="dxa"/>
            <w:vAlign w:val="center"/>
          </w:tcPr>
          <w:p w14:paraId="17C66675">
            <w:pPr>
              <w:spacing w:line="360" w:lineRule="auto"/>
              <w:ind w:left="-50"/>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5.3</w:t>
            </w:r>
          </w:p>
        </w:tc>
        <w:tc>
          <w:tcPr>
            <w:tcW w:w="1459" w:type="dxa"/>
            <w:tcBorders>
              <w:left w:val="single" w:color="auto" w:sz="4" w:space="0"/>
            </w:tcBorders>
            <w:vAlign w:val="center"/>
          </w:tcPr>
          <w:p w14:paraId="6489EBE4">
            <w:pPr>
              <w:spacing w:line="360" w:lineRule="auto"/>
              <w:ind w:left="-50"/>
              <w:jc w:val="center"/>
              <w:rPr>
                <w:rFonts w:hint="eastAsia" w:ascii="宋体" w:hAnsi="宋体" w:eastAsia="宋体" w:cs="宋体"/>
                <w:bCs/>
                <w:kern w:val="28"/>
                <w:highlight w:val="none"/>
                <w:lang w:val="en-US" w:eastAsia="zh-CN"/>
              </w:rPr>
            </w:pPr>
            <w:r>
              <w:rPr>
                <w:rFonts w:hint="eastAsia" w:ascii="宋体" w:hAnsi="宋体"/>
                <w:szCs w:val="21"/>
                <w:highlight w:val="none"/>
              </w:rPr>
              <w:t>项目组成员</w:t>
            </w:r>
          </w:p>
        </w:tc>
        <w:tc>
          <w:tcPr>
            <w:tcW w:w="914" w:type="dxa"/>
            <w:tcBorders>
              <w:left w:val="single" w:color="auto" w:sz="4" w:space="0"/>
            </w:tcBorders>
            <w:vAlign w:val="center"/>
          </w:tcPr>
          <w:p w14:paraId="2947B2B3">
            <w:pPr>
              <w:spacing w:line="360" w:lineRule="auto"/>
              <w:ind w:left="-50"/>
              <w:jc w:val="center"/>
              <w:rPr>
                <w:rFonts w:ascii="宋体" w:hAnsi="宋体" w:eastAsia="宋体" w:cs="宋体"/>
                <w:highlight w:val="none"/>
                <w:lang w:val="en-US" w:eastAsia="zh-CN"/>
              </w:rPr>
            </w:pPr>
            <w:r>
              <w:rPr>
                <w:rFonts w:hint="eastAsia" w:ascii="宋体" w:hAnsi="宋体" w:eastAsia="宋体" w:cs="宋体"/>
                <w:highlight w:val="none"/>
                <w:lang w:val="en-US" w:eastAsia="zh-CN"/>
              </w:rPr>
              <w:t>0-6分</w:t>
            </w:r>
          </w:p>
        </w:tc>
        <w:tc>
          <w:tcPr>
            <w:tcW w:w="5891" w:type="dxa"/>
            <w:gridSpan w:val="2"/>
            <w:tcBorders>
              <w:left w:val="single" w:color="auto" w:sz="4" w:space="0"/>
            </w:tcBorders>
            <w:vAlign w:val="center"/>
          </w:tcPr>
          <w:p w14:paraId="48BB2BC4">
            <w:pPr>
              <w:bidi w:val="0"/>
              <w:spacing w:line="360" w:lineRule="auto"/>
              <w:rPr>
                <w:rFonts w:hint="eastAsia" w:ascii="宋体" w:hAnsi="宋体"/>
                <w:szCs w:val="21"/>
                <w:highlight w:val="none"/>
              </w:rPr>
            </w:pPr>
            <w:r>
              <w:rPr>
                <w:rFonts w:hint="eastAsia" w:ascii="宋体" w:hAnsi="宋体"/>
                <w:szCs w:val="21"/>
                <w:highlight w:val="none"/>
              </w:rPr>
              <w:t>根据供应商项目组成员的整体工作经验、专业性、工作能力及放映员配置数量进行打分。</w:t>
            </w:r>
          </w:p>
          <w:p w14:paraId="5238545D">
            <w:pPr>
              <w:bidi w:val="0"/>
              <w:spacing w:line="360" w:lineRule="auto"/>
              <w:rPr>
                <w:rFonts w:hint="eastAsia" w:ascii="宋体" w:hAnsi="宋体"/>
                <w:szCs w:val="21"/>
                <w:highlight w:val="none"/>
                <w:lang w:eastAsia="zh-CN"/>
              </w:rPr>
            </w:pPr>
            <w:r>
              <w:rPr>
                <w:rFonts w:hint="eastAsia" w:ascii="宋体" w:hAnsi="宋体" w:eastAsia="宋体" w:cs="Times New Roman"/>
                <w:kern w:val="2"/>
                <w:sz w:val="21"/>
                <w:szCs w:val="21"/>
                <w:highlight w:val="none"/>
                <w:lang w:val="en-US" w:eastAsia="zh-CN" w:bidi="ar-SA"/>
              </w:rPr>
              <w:t>①</w:t>
            </w:r>
            <w:r>
              <w:rPr>
                <w:rFonts w:hint="eastAsia" w:ascii="宋体" w:hAnsi="宋体" w:cs="Times New Roman"/>
                <w:kern w:val="2"/>
                <w:sz w:val="21"/>
                <w:szCs w:val="21"/>
                <w:highlight w:val="none"/>
                <w:lang w:val="en-US" w:eastAsia="zh-CN" w:bidi="ar-SA"/>
              </w:rPr>
              <w:t xml:space="preserve"> </w:t>
            </w:r>
            <w:r>
              <w:rPr>
                <w:rFonts w:hint="eastAsia" w:ascii="宋体" w:hAnsi="宋体"/>
                <w:szCs w:val="21"/>
                <w:highlight w:val="none"/>
              </w:rPr>
              <w:t>项目组成员的整体工作经验</w:t>
            </w:r>
            <w:r>
              <w:rPr>
                <w:rFonts w:hint="eastAsia" w:ascii="宋体" w:hAnsi="宋体"/>
                <w:szCs w:val="21"/>
                <w:highlight w:val="none"/>
                <w:lang w:val="en-US" w:eastAsia="zh-CN"/>
              </w:rPr>
              <w:t>多</w:t>
            </w:r>
            <w:r>
              <w:rPr>
                <w:rFonts w:hint="eastAsia" w:ascii="宋体" w:hAnsi="宋体"/>
                <w:szCs w:val="21"/>
                <w:highlight w:val="none"/>
              </w:rPr>
              <w:t>、专业性</w:t>
            </w:r>
            <w:r>
              <w:rPr>
                <w:rFonts w:hint="eastAsia" w:ascii="宋体" w:hAnsi="宋体"/>
                <w:szCs w:val="21"/>
                <w:highlight w:val="none"/>
                <w:lang w:val="en-US" w:eastAsia="zh-CN"/>
              </w:rPr>
              <w:t>强</w:t>
            </w:r>
            <w:r>
              <w:rPr>
                <w:rFonts w:hint="eastAsia" w:ascii="宋体" w:hAnsi="宋体"/>
                <w:szCs w:val="21"/>
                <w:highlight w:val="none"/>
              </w:rPr>
              <w:t>、工作能力及放映员配置数量</w:t>
            </w:r>
            <w:r>
              <w:rPr>
                <w:rFonts w:hint="eastAsia" w:ascii="宋体" w:hAnsi="宋体"/>
                <w:szCs w:val="21"/>
                <w:highlight w:val="none"/>
                <w:lang w:val="en-US" w:eastAsia="zh-CN"/>
              </w:rPr>
              <w:t>符合项目要求的，得6</w:t>
            </w:r>
            <w:r>
              <w:rPr>
                <w:rFonts w:hint="eastAsia" w:ascii="宋体" w:hAnsi="宋体"/>
                <w:szCs w:val="21"/>
                <w:highlight w:val="none"/>
              </w:rPr>
              <w:t>分</w:t>
            </w:r>
            <w:r>
              <w:rPr>
                <w:rFonts w:hint="eastAsia" w:ascii="宋体" w:hAnsi="宋体"/>
                <w:szCs w:val="21"/>
                <w:highlight w:val="none"/>
                <w:lang w:eastAsia="zh-CN"/>
              </w:rPr>
              <w:t>。</w:t>
            </w:r>
          </w:p>
          <w:p w14:paraId="4E880535">
            <w:pPr>
              <w:bidi w:val="0"/>
              <w:spacing w:line="360" w:lineRule="auto"/>
              <w:rPr>
                <w:rFonts w:hint="eastAsia" w:ascii="宋体" w:hAnsi="宋体"/>
                <w:szCs w:val="21"/>
                <w:highlight w:val="none"/>
                <w:lang w:eastAsia="zh-CN"/>
              </w:rPr>
            </w:pPr>
            <w:r>
              <w:rPr>
                <w:rFonts w:hint="eastAsia" w:ascii="宋体" w:hAnsi="宋体" w:eastAsia="宋体" w:cs="宋体"/>
                <w:kern w:val="2"/>
                <w:sz w:val="21"/>
                <w:highlight w:val="none"/>
                <w:lang w:val="en-US" w:eastAsia="zh-CN" w:bidi="ar-SA"/>
              </w:rPr>
              <w:t>②</w:t>
            </w:r>
            <w:r>
              <w:rPr>
                <w:rFonts w:hint="eastAsia" w:ascii="宋体" w:hAnsi="宋体"/>
                <w:szCs w:val="21"/>
                <w:highlight w:val="none"/>
                <w:lang w:val="en-US" w:eastAsia="zh-CN"/>
              </w:rPr>
              <w:t xml:space="preserve"> </w:t>
            </w:r>
            <w:r>
              <w:rPr>
                <w:rFonts w:hint="eastAsia" w:ascii="宋体" w:hAnsi="宋体"/>
                <w:szCs w:val="21"/>
                <w:highlight w:val="none"/>
              </w:rPr>
              <w:t>项目组成员的整体工作经验</w:t>
            </w:r>
            <w:r>
              <w:rPr>
                <w:rFonts w:hint="eastAsia" w:ascii="宋体" w:hAnsi="宋体"/>
                <w:szCs w:val="21"/>
                <w:highlight w:val="none"/>
                <w:lang w:val="en-US" w:eastAsia="zh-CN"/>
              </w:rPr>
              <w:t>较多</w:t>
            </w:r>
            <w:r>
              <w:rPr>
                <w:rFonts w:hint="eastAsia" w:ascii="宋体" w:hAnsi="宋体"/>
                <w:szCs w:val="21"/>
                <w:highlight w:val="none"/>
              </w:rPr>
              <w:t>、专业性</w:t>
            </w:r>
            <w:r>
              <w:rPr>
                <w:rFonts w:hint="eastAsia" w:ascii="宋体" w:hAnsi="宋体"/>
                <w:szCs w:val="21"/>
                <w:highlight w:val="none"/>
                <w:lang w:val="en-US" w:eastAsia="zh-CN"/>
              </w:rPr>
              <w:t>较强</w:t>
            </w:r>
            <w:r>
              <w:rPr>
                <w:rFonts w:hint="eastAsia" w:ascii="宋体" w:hAnsi="宋体"/>
                <w:szCs w:val="21"/>
                <w:highlight w:val="none"/>
              </w:rPr>
              <w:t>、工作能力及放映员配置数量</w:t>
            </w:r>
            <w:r>
              <w:rPr>
                <w:rFonts w:hint="eastAsia" w:ascii="宋体" w:hAnsi="宋体"/>
                <w:szCs w:val="21"/>
                <w:highlight w:val="none"/>
                <w:lang w:val="en-US" w:eastAsia="zh-CN"/>
              </w:rPr>
              <w:t>较符合项目要求的，得4</w:t>
            </w:r>
            <w:r>
              <w:rPr>
                <w:rFonts w:hint="eastAsia" w:ascii="宋体" w:hAnsi="宋体"/>
                <w:szCs w:val="21"/>
                <w:highlight w:val="none"/>
              </w:rPr>
              <w:t>分</w:t>
            </w:r>
            <w:r>
              <w:rPr>
                <w:rFonts w:hint="eastAsia" w:ascii="宋体" w:hAnsi="宋体"/>
                <w:szCs w:val="21"/>
                <w:highlight w:val="none"/>
                <w:lang w:eastAsia="zh-CN"/>
              </w:rPr>
              <w:t>。</w:t>
            </w:r>
          </w:p>
          <w:p w14:paraId="6BBFE03A">
            <w:pPr>
              <w:bidi w:val="0"/>
              <w:spacing w:line="360" w:lineRule="auto"/>
              <w:rPr>
                <w:rFonts w:hint="eastAsia" w:ascii="宋体" w:hAnsi="宋体"/>
                <w:szCs w:val="21"/>
                <w:highlight w:val="none"/>
                <w:lang w:eastAsia="zh-CN"/>
              </w:rPr>
            </w:pPr>
            <w:r>
              <w:rPr>
                <w:rFonts w:hint="eastAsia" w:ascii="宋体" w:hAnsi="宋体" w:eastAsia="宋体" w:cs="宋体"/>
                <w:kern w:val="2"/>
                <w:sz w:val="21"/>
                <w:highlight w:val="none"/>
                <w:lang w:val="en-US" w:eastAsia="zh-CN" w:bidi="ar-SA"/>
              </w:rPr>
              <w:t>③</w:t>
            </w:r>
            <w:r>
              <w:rPr>
                <w:rFonts w:hint="eastAsia" w:ascii="宋体" w:hAnsi="宋体"/>
                <w:szCs w:val="21"/>
                <w:highlight w:val="none"/>
                <w:lang w:val="en-US" w:eastAsia="zh-CN"/>
              </w:rPr>
              <w:t xml:space="preserve"> </w:t>
            </w:r>
            <w:r>
              <w:rPr>
                <w:rFonts w:hint="eastAsia" w:ascii="宋体" w:hAnsi="宋体"/>
                <w:szCs w:val="21"/>
                <w:highlight w:val="none"/>
              </w:rPr>
              <w:t>项目组成员的整体工作经验</w:t>
            </w:r>
            <w:r>
              <w:rPr>
                <w:rFonts w:hint="eastAsia" w:ascii="宋体" w:hAnsi="宋体"/>
                <w:szCs w:val="21"/>
                <w:highlight w:val="none"/>
                <w:lang w:val="en-US" w:eastAsia="zh-CN"/>
              </w:rPr>
              <w:t>不多</w:t>
            </w:r>
            <w:r>
              <w:rPr>
                <w:rFonts w:hint="eastAsia" w:ascii="宋体" w:hAnsi="宋体"/>
                <w:szCs w:val="21"/>
                <w:highlight w:val="none"/>
              </w:rPr>
              <w:t>、专业性</w:t>
            </w:r>
            <w:r>
              <w:rPr>
                <w:rFonts w:hint="eastAsia" w:ascii="宋体" w:hAnsi="宋体"/>
                <w:szCs w:val="21"/>
                <w:highlight w:val="none"/>
                <w:lang w:val="en-US" w:eastAsia="zh-CN"/>
              </w:rPr>
              <w:t>不强</w:t>
            </w:r>
            <w:r>
              <w:rPr>
                <w:rFonts w:hint="eastAsia" w:ascii="宋体" w:hAnsi="宋体"/>
                <w:szCs w:val="21"/>
                <w:highlight w:val="none"/>
              </w:rPr>
              <w:t>、工作能力及放映员配置数量</w:t>
            </w:r>
            <w:r>
              <w:rPr>
                <w:rFonts w:hint="eastAsia" w:ascii="宋体" w:hAnsi="宋体"/>
                <w:szCs w:val="21"/>
                <w:highlight w:val="none"/>
                <w:lang w:val="en-US" w:eastAsia="zh-CN"/>
              </w:rPr>
              <w:t>不符合项目要求的，得2</w:t>
            </w:r>
            <w:r>
              <w:rPr>
                <w:rFonts w:hint="eastAsia" w:ascii="宋体" w:hAnsi="宋体"/>
                <w:szCs w:val="21"/>
                <w:highlight w:val="none"/>
              </w:rPr>
              <w:t>分</w:t>
            </w:r>
            <w:r>
              <w:rPr>
                <w:rFonts w:hint="eastAsia" w:ascii="宋体" w:hAnsi="宋体"/>
                <w:szCs w:val="21"/>
                <w:highlight w:val="none"/>
                <w:lang w:eastAsia="zh-CN"/>
              </w:rPr>
              <w:t>。</w:t>
            </w:r>
          </w:p>
          <w:p w14:paraId="6D154270">
            <w:pPr>
              <w:bidi w:val="0"/>
              <w:spacing w:line="360" w:lineRule="auto"/>
              <w:rPr>
                <w:rFonts w:hint="eastAsia" w:ascii="宋体" w:hAnsi="宋体" w:eastAsia="宋体" w:cs="宋体"/>
                <w:highlight w:val="none"/>
                <w:lang w:val="en-US" w:eastAsia="zh-CN"/>
              </w:rPr>
            </w:pPr>
            <w:r>
              <w:rPr>
                <w:rFonts w:hint="eastAsia"/>
                <w:highlight w:val="none"/>
                <w:lang w:val="en-US" w:eastAsia="zh-CN"/>
              </w:rPr>
              <w:t>④ 未提供</w:t>
            </w:r>
            <w:r>
              <w:rPr>
                <w:rFonts w:hint="eastAsia" w:ascii="宋体" w:hAnsi="宋体"/>
                <w:szCs w:val="21"/>
                <w:highlight w:val="none"/>
              </w:rPr>
              <w:t>项目组成员</w:t>
            </w:r>
            <w:r>
              <w:rPr>
                <w:rFonts w:hint="eastAsia"/>
                <w:highlight w:val="none"/>
                <w:lang w:val="en-US" w:eastAsia="zh-CN"/>
              </w:rPr>
              <w:t>信息或信息不符合该项目的不得分。</w:t>
            </w:r>
          </w:p>
        </w:tc>
      </w:tr>
      <w:tr w14:paraId="45A5D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750" w:type="dxa"/>
            <w:vAlign w:val="center"/>
          </w:tcPr>
          <w:p w14:paraId="74C48A20">
            <w:pPr>
              <w:spacing w:line="360" w:lineRule="auto"/>
              <w:ind w:left="-50"/>
              <w:jc w:val="center"/>
              <w:rPr>
                <w:rFonts w:ascii="宋体" w:hAnsi="宋体" w:eastAsia="宋体" w:cs="宋体"/>
                <w:highlight w:val="none"/>
                <w:lang w:val="en-US" w:eastAsia="zh-CN"/>
              </w:rPr>
            </w:pPr>
            <w:r>
              <w:rPr>
                <w:rFonts w:hint="eastAsia" w:ascii="宋体" w:hAnsi="宋体" w:eastAsia="宋体" w:cs="宋体"/>
                <w:highlight w:val="none"/>
                <w:lang w:val="en-US" w:eastAsia="zh-CN"/>
              </w:rPr>
              <w:t>5.4</w:t>
            </w:r>
          </w:p>
        </w:tc>
        <w:tc>
          <w:tcPr>
            <w:tcW w:w="1459" w:type="dxa"/>
            <w:tcBorders>
              <w:left w:val="single" w:color="auto" w:sz="4" w:space="0"/>
            </w:tcBorders>
            <w:vAlign w:val="center"/>
          </w:tcPr>
          <w:p w14:paraId="3488B31B">
            <w:pPr>
              <w:spacing w:line="360" w:lineRule="auto"/>
              <w:ind w:left="-50"/>
              <w:jc w:val="center"/>
              <w:rPr>
                <w:rFonts w:hint="eastAsia" w:ascii="宋体" w:hAnsi="宋体" w:eastAsia="宋体" w:cs="宋体"/>
                <w:bCs/>
                <w:kern w:val="28"/>
                <w:highlight w:val="none"/>
                <w:lang w:val="en-US" w:eastAsia="zh-CN"/>
              </w:rPr>
            </w:pPr>
            <w:r>
              <w:rPr>
                <w:rFonts w:hint="eastAsia" w:ascii="宋体" w:hAnsi="宋体"/>
                <w:szCs w:val="21"/>
                <w:highlight w:val="none"/>
              </w:rPr>
              <w:t>针对本项目投入设备</w:t>
            </w:r>
          </w:p>
        </w:tc>
        <w:tc>
          <w:tcPr>
            <w:tcW w:w="914" w:type="dxa"/>
            <w:tcBorders>
              <w:left w:val="single" w:color="auto" w:sz="4" w:space="0"/>
            </w:tcBorders>
            <w:vAlign w:val="center"/>
          </w:tcPr>
          <w:p w14:paraId="4C66E475">
            <w:pPr>
              <w:spacing w:line="360" w:lineRule="auto"/>
              <w:ind w:left="-50"/>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0-6分</w:t>
            </w:r>
          </w:p>
        </w:tc>
        <w:tc>
          <w:tcPr>
            <w:tcW w:w="5891" w:type="dxa"/>
            <w:gridSpan w:val="2"/>
            <w:tcBorders>
              <w:left w:val="single" w:color="auto" w:sz="4" w:space="0"/>
            </w:tcBorders>
            <w:vAlign w:val="center"/>
          </w:tcPr>
          <w:p w14:paraId="3707BEEF">
            <w:pPr>
              <w:bidi w:val="0"/>
              <w:spacing w:line="360" w:lineRule="auto"/>
              <w:rPr>
                <w:rFonts w:hint="eastAsia" w:ascii="宋体" w:hAnsi="宋体" w:eastAsia="宋体"/>
                <w:sz w:val="21"/>
                <w:szCs w:val="21"/>
                <w:highlight w:val="none"/>
              </w:rPr>
            </w:pPr>
            <w:r>
              <w:rPr>
                <w:rFonts w:hint="eastAsia" w:ascii="宋体" w:hAnsi="宋体" w:eastAsia="宋体"/>
                <w:sz w:val="21"/>
                <w:szCs w:val="21"/>
                <w:highlight w:val="none"/>
              </w:rPr>
              <w:t>根据供应商拟投入设备的数量、配置的合理性、使用年限等情况进行打分。</w:t>
            </w:r>
          </w:p>
          <w:p w14:paraId="1A0F2E87">
            <w:pPr>
              <w:bidi w:val="0"/>
              <w:spacing w:line="360" w:lineRule="auto"/>
              <w:rPr>
                <w:rFonts w:hint="eastAsia"/>
                <w:highlight w:val="none"/>
                <w:lang w:val="en-US" w:eastAsia="zh-CN"/>
              </w:rPr>
            </w:pPr>
            <w:r>
              <w:rPr>
                <w:rFonts w:hint="eastAsia"/>
                <w:highlight w:val="none"/>
                <w:lang w:val="en-US" w:eastAsia="zh-CN"/>
              </w:rPr>
              <w:t>① 方案全面、科学、合理，具有针对性的，得6分；</w:t>
            </w:r>
          </w:p>
          <w:p w14:paraId="5377C525">
            <w:pPr>
              <w:bidi w:val="0"/>
              <w:spacing w:line="360" w:lineRule="auto"/>
              <w:rPr>
                <w:rFonts w:hint="eastAsia"/>
                <w:highlight w:val="none"/>
                <w:lang w:val="en-US" w:eastAsia="zh-CN"/>
              </w:rPr>
            </w:pPr>
            <w:r>
              <w:rPr>
                <w:rFonts w:hint="eastAsia"/>
                <w:highlight w:val="none"/>
                <w:lang w:val="en-US" w:eastAsia="zh-CN"/>
              </w:rPr>
              <w:t>② 方案不够全面、科学，较有针对性的，得4分；</w:t>
            </w:r>
          </w:p>
          <w:p w14:paraId="4F100DCB">
            <w:pPr>
              <w:bidi w:val="0"/>
              <w:spacing w:line="360" w:lineRule="auto"/>
              <w:rPr>
                <w:rFonts w:hint="eastAsia"/>
                <w:highlight w:val="none"/>
                <w:lang w:val="en-US" w:eastAsia="zh-CN"/>
              </w:rPr>
            </w:pPr>
            <w:r>
              <w:rPr>
                <w:rFonts w:hint="eastAsia"/>
                <w:highlight w:val="none"/>
                <w:lang w:val="en-US" w:eastAsia="zh-CN"/>
              </w:rPr>
              <w:t>③ 方案简单，针对性较弱的，得2分；</w:t>
            </w:r>
          </w:p>
          <w:p w14:paraId="47C061FA">
            <w:pPr>
              <w:bidi w:val="0"/>
              <w:spacing w:line="360" w:lineRule="auto"/>
              <w:rPr>
                <w:rFonts w:hint="eastAsia" w:ascii="宋体" w:hAnsi="宋体" w:eastAsia="宋体" w:cs="宋体"/>
                <w:highlight w:val="none"/>
                <w:lang w:val="en-US" w:eastAsia="zh-CN"/>
              </w:rPr>
            </w:pPr>
            <w:r>
              <w:rPr>
                <w:rFonts w:hint="eastAsia"/>
                <w:highlight w:val="none"/>
                <w:lang w:val="en-US" w:eastAsia="zh-CN"/>
              </w:rPr>
              <w:t>④ 未提供方案或者方案不可行或不符合项目需求的，不得分。</w:t>
            </w:r>
          </w:p>
        </w:tc>
      </w:tr>
      <w:tr w14:paraId="51D0B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750" w:type="dxa"/>
            <w:vMerge w:val="restart"/>
            <w:vAlign w:val="center"/>
          </w:tcPr>
          <w:p w14:paraId="7CD200E7">
            <w:pPr>
              <w:spacing w:line="360" w:lineRule="exact"/>
              <w:ind w:left="-50"/>
              <w:jc w:val="center"/>
              <w:rPr>
                <w:rFonts w:hint="eastAsia" w:ascii="宋体" w:hAnsi="宋体" w:eastAsia="宋体" w:cs="宋体"/>
                <w:snapToGrid w:val="0"/>
                <w:szCs w:val="21"/>
                <w:highlight w:val="none"/>
                <w:lang w:eastAsia="zh-CN"/>
              </w:rPr>
            </w:pPr>
            <w:r>
              <w:rPr>
                <w:rFonts w:hint="eastAsia" w:ascii="宋体" w:hAnsi="宋体" w:eastAsia="宋体" w:cs="宋体"/>
                <w:snapToGrid w:val="0"/>
                <w:szCs w:val="21"/>
                <w:highlight w:val="none"/>
              </w:rPr>
              <w:t>5.</w:t>
            </w:r>
            <w:r>
              <w:rPr>
                <w:rFonts w:hint="eastAsia" w:ascii="宋体" w:hAnsi="宋体" w:eastAsia="宋体" w:cs="宋体"/>
                <w:snapToGrid w:val="0"/>
                <w:szCs w:val="21"/>
                <w:highlight w:val="none"/>
                <w:lang w:val="en-US" w:eastAsia="zh-CN"/>
              </w:rPr>
              <w:t>5</w:t>
            </w:r>
          </w:p>
        </w:tc>
        <w:tc>
          <w:tcPr>
            <w:tcW w:w="1459" w:type="dxa"/>
            <w:vMerge w:val="restart"/>
            <w:tcBorders>
              <w:left w:val="single" w:color="auto" w:sz="4" w:space="0"/>
            </w:tcBorders>
            <w:vAlign w:val="center"/>
          </w:tcPr>
          <w:p w14:paraId="56FEBF03">
            <w:pPr>
              <w:spacing w:line="276" w:lineRule="auto"/>
              <w:jc w:val="center"/>
              <w:rPr>
                <w:rFonts w:hint="eastAsia" w:ascii="宋体" w:hAnsi="宋体" w:eastAsia="宋体" w:cs="宋体"/>
                <w:b/>
                <w:bCs/>
                <w:snapToGrid w:val="0"/>
                <w:szCs w:val="21"/>
                <w:highlight w:val="none"/>
              </w:rPr>
            </w:pPr>
            <w:r>
              <w:rPr>
                <w:rFonts w:hint="eastAsia" w:ascii="宋体" w:hAnsi="宋体"/>
                <w:szCs w:val="21"/>
                <w:highlight w:val="none"/>
              </w:rPr>
              <w:t>企业内部管理方案和日常安全放映监管方案</w:t>
            </w:r>
          </w:p>
        </w:tc>
        <w:tc>
          <w:tcPr>
            <w:tcW w:w="914" w:type="dxa"/>
            <w:tcBorders>
              <w:left w:val="single" w:color="auto" w:sz="4" w:space="0"/>
            </w:tcBorders>
            <w:vAlign w:val="center"/>
          </w:tcPr>
          <w:p w14:paraId="030D6BD0">
            <w:pPr>
              <w:spacing w:line="360" w:lineRule="exact"/>
              <w:ind w:left="-50"/>
              <w:jc w:val="center"/>
              <w:rPr>
                <w:rFonts w:hint="eastAsia" w:ascii="宋体" w:hAnsi="宋体" w:eastAsia="宋体" w:cs="宋体"/>
                <w:b/>
                <w:bCs/>
                <w:snapToGrid w:val="0"/>
                <w:szCs w:val="21"/>
                <w:highlight w:val="none"/>
              </w:rPr>
            </w:pPr>
            <w:r>
              <w:rPr>
                <w:rFonts w:hint="eastAsia" w:ascii="宋体" w:hAnsi="宋体" w:eastAsia="宋体" w:cs="宋体"/>
                <w:highlight w:val="none"/>
                <w:lang w:val="en-US" w:eastAsia="zh-CN"/>
              </w:rPr>
              <w:t>0-9分</w:t>
            </w:r>
          </w:p>
        </w:tc>
        <w:tc>
          <w:tcPr>
            <w:tcW w:w="5891" w:type="dxa"/>
            <w:gridSpan w:val="2"/>
            <w:tcBorders>
              <w:left w:val="single" w:color="auto" w:sz="4" w:space="0"/>
            </w:tcBorders>
            <w:vAlign w:val="center"/>
          </w:tcPr>
          <w:p w14:paraId="54F4276E">
            <w:pPr>
              <w:bidi w:val="0"/>
              <w:spacing w:line="360" w:lineRule="auto"/>
              <w:rPr>
                <w:rFonts w:hint="eastAsia"/>
                <w:highlight w:val="none"/>
                <w:lang w:eastAsia="zh-CN"/>
              </w:rPr>
            </w:pPr>
            <w:r>
              <w:rPr>
                <w:highlight w:val="none"/>
              </w:rPr>
              <w:t>根据</w:t>
            </w:r>
            <w:r>
              <w:rPr>
                <w:rFonts w:hint="eastAsia"/>
                <w:highlight w:val="none"/>
              </w:rPr>
              <w:t>企业内部管理方案</w:t>
            </w:r>
            <w:r>
              <w:rPr>
                <w:rFonts w:hint="eastAsia"/>
                <w:highlight w:val="none"/>
                <w:lang w:eastAsia="zh-CN"/>
              </w:rPr>
              <w:t>：</w:t>
            </w:r>
          </w:p>
          <w:p w14:paraId="45FF7AB7">
            <w:pPr>
              <w:bidi w:val="0"/>
              <w:spacing w:line="360" w:lineRule="auto"/>
              <w:rPr>
                <w:rFonts w:hint="eastAsia"/>
                <w:highlight w:val="none"/>
                <w:lang w:val="en-US" w:eastAsia="zh-CN"/>
              </w:rPr>
            </w:pPr>
            <w:r>
              <w:rPr>
                <w:rFonts w:hint="eastAsia"/>
                <w:highlight w:val="none"/>
                <w:lang w:val="en-US" w:eastAsia="zh-CN"/>
              </w:rPr>
              <w:t>① 方案全面、科学、合理，具有针对性的，得9分；</w:t>
            </w:r>
          </w:p>
          <w:p w14:paraId="6A5B85FF">
            <w:pPr>
              <w:bidi w:val="0"/>
              <w:spacing w:line="360" w:lineRule="auto"/>
              <w:rPr>
                <w:rFonts w:hint="eastAsia"/>
                <w:highlight w:val="none"/>
                <w:lang w:val="en-US" w:eastAsia="zh-CN"/>
              </w:rPr>
            </w:pPr>
            <w:r>
              <w:rPr>
                <w:rFonts w:hint="eastAsia"/>
                <w:highlight w:val="none"/>
                <w:lang w:val="en-US" w:eastAsia="zh-CN"/>
              </w:rPr>
              <w:t>② 方案不够全面、科学，较有针对性的，得6分；</w:t>
            </w:r>
          </w:p>
          <w:p w14:paraId="0B5B75DB">
            <w:pPr>
              <w:bidi w:val="0"/>
              <w:spacing w:line="360" w:lineRule="auto"/>
              <w:rPr>
                <w:rFonts w:hint="eastAsia"/>
                <w:highlight w:val="none"/>
                <w:lang w:val="en-US" w:eastAsia="zh-CN"/>
              </w:rPr>
            </w:pPr>
            <w:r>
              <w:rPr>
                <w:rFonts w:hint="eastAsia"/>
                <w:highlight w:val="none"/>
                <w:lang w:val="en-US" w:eastAsia="zh-CN"/>
              </w:rPr>
              <w:t>③ 方案简单，针对性较弱的，得3分；</w:t>
            </w:r>
          </w:p>
          <w:p w14:paraId="00456D32">
            <w:pPr>
              <w:bidi w:val="0"/>
              <w:spacing w:line="360" w:lineRule="auto"/>
              <w:rPr>
                <w:highlight w:val="none"/>
              </w:rPr>
            </w:pPr>
            <w:r>
              <w:rPr>
                <w:rFonts w:hint="eastAsia"/>
                <w:highlight w:val="none"/>
                <w:lang w:val="en-US" w:eastAsia="zh-CN"/>
              </w:rPr>
              <w:t>④ 未提供方案或者方案不可行或不符合项目需求的，不得分。</w:t>
            </w:r>
          </w:p>
        </w:tc>
      </w:tr>
      <w:tr w14:paraId="6985B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50" w:type="dxa"/>
            <w:vMerge w:val="continue"/>
            <w:vAlign w:val="center"/>
          </w:tcPr>
          <w:p w14:paraId="36C6DBCF">
            <w:pPr>
              <w:rPr>
                <w:highlight w:val="none"/>
              </w:rPr>
            </w:pPr>
          </w:p>
        </w:tc>
        <w:tc>
          <w:tcPr>
            <w:tcW w:w="1459" w:type="dxa"/>
            <w:vMerge w:val="continue"/>
            <w:tcBorders>
              <w:left w:val="single" w:color="auto" w:sz="4" w:space="0"/>
            </w:tcBorders>
            <w:vAlign w:val="center"/>
          </w:tcPr>
          <w:p w14:paraId="4055F766">
            <w:pPr>
              <w:rPr>
                <w:highlight w:val="none"/>
              </w:rPr>
            </w:pPr>
          </w:p>
        </w:tc>
        <w:tc>
          <w:tcPr>
            <w:tcW w:w="914" w:type="dxa"/>
            <w:tcBorders>
              <w:left w:val="single" w:color="auto" w:sz="4" w:space="0"/>
            </w:tcBorders>
            <w:vAlign w:val="center"/>
          </w:tcPr>
          <w:p w14:paraId="08FAD997">
            <w:pPr>
              <w:spacing w:line="360" w:lineRule="auto"/>
              <w:jc w:val="center"/>
              <w:rPr>
                <w:rFonts w:hint="eastAsia" w:ascii="宋体" w:hAnsi="宋体" w:eastAsia="宋体" w:cs="宋体"/>
                <w:highlight w:val="none"/>
              </w:rPr>
            </w:pPr>
            <w:r>
              <w:rPr>
                <w:rFonts w:hint="eastAsia" w:ascii="宋体" w:hAnsi="宋体" w:eastAsia="宋体" w:cs="宋体"/>
                <w:highlight w:val="none"/>
                <w:lang w:val="en-US" w:eastAsia="zh-CN"/>
              </w:rPr>
              <w:t>0-9分</w:t>
            </w:r>
          </w:p>
        </w:tc>
        <w:tc>
          <w:tcPr>
            <w:tcW w:w="5891" w:type="dxa"/>
            <w:gridSpan w:val="2"/>
            <w:tcBorders>
              <w:left w:val="single" w:color="auto" w:sz="4" w:space="0"/>
            </w:tcBorders>
            <w:vAlign w:val="center"/>
          </w:tcPr>
          <w:p w14:paraId="30B54E7F">
            <w:pPr>
              <w:bidi w:val="0"/>
              <w:spacing w:line="360" w:lineRule="auto"/>
              <w:rPr>
                <w:rFonts w:hint="eastAsia"/>
                <w:highlight w:val="none"/>
                <w:lang w:eastAsia="zh-CN"/>
              </w:rPr>
            </w:pPr>
            <w:r>
              <w:rPr>
                <w:rFonts w:hint="eastAsia"/>
                <w:highlight w:val="none"/>
              </w:rPr>
              <w:t>针对本项目日常安全放映监管方案</w:t>
            </w:r>
            <w:r>
              <w:rPr>
                <w:rFonts w:hint="eastAsia"/>
                <w:highlight w:val="none"/>
                <w:lang w:eastAsia="zh-CN"/>
              </w:rPr>
              <w:t>：</w:t>
            </w:r>
          </w:p>
          <w:p w14:paraId="1A361604">
            <w:pPr>
              <w:bidi w:val="0"/>
              <w:spacing w:line="360" w:lineRule="auto"/>
              <w:rPr>
                <w:rFonts w:hint="eastAsia"/>
                <w:highlight w:val="none"/>
                <w:lang w:val="en-US" w:eastAsia="zh-CN"/>
              </w:rPr>
            </w:pPr>
            <w:r>
              <w:rPr>
                <w:rFonts w:hint="eastAsia"/>
                <w:highlight w:val="none"/>
                <w:lang w:val="en-US" w:eastAsia="zh-CN"/>
              </w:rPr>
              <w:t>① 方案全面、科学、合理，具有针对性的，得9分；</w:t>
            </w:r>
          </w:p>
          <w:p w14:paraId="0658AD29">
            <w:pPr>
              <w:bidi w:val="0"/>
              <w:spacing w:line="360" w:lineRule="auto"/>
              <w:rPr>
                <w:rFonts w:hint="eastAsia"/>
                <w:highlight w:val="none"/>
                <w:lang w:val="en-US" w:eastAsia="zh-CN"/>
              </w:rPr>
            </w:pPr>
            <w:r>
              <w:rPr>
                <w:rFonts w:hint="eastAsia"/>
                <w:highlight w:val="none"/>
                <w:lang w:val="en-US" w:eastAsia="zh-CN"/>
              </w:rPr>
              <w:t>② 方案不够全面、科学，较有针对性的，得6分；</w:t>
            </w:r>
          </w:p>
          <w:p w14:paraId="0426600A">
            <w:pPr>
              <w:bidi w:val="0"/>
              <w:spacing w:line="360" w:lineRule="auto"/>
              <w:rPr>
                <w:rFonts w:hint="eastAsia"/>
                <w:highlight w:val="none"/>
                <w:lang w:val="en-US" w:eastAsia="zh-CN"/>
              </w:rPr>
            </w:pPr>
            <w:r>
              <w:rPr>
                <w:rFonts w:hint="eastAsia"/>
                <w:highlight w:val="none"/>
                <w:lang w:val="en-US" w:eastAsia="zh-CN"/>
              </w:rPr>
              <w:t>③ 方案简单，针对性较弱的，得3分；</w:t>
            </w:r>
          </w:p>
          <w:p w14:paraId="4732C022">
            <w:pPr>
              <w:bidi w:val="0"/>
              <w:spacing w:line="360" w:lineRule="auto"/>
              <w:rPr>
                <w:highlight w:val="none"/>
              </w:rPr>
            </w:pPr>
            <w:r>
              <w:rPr>
                <w:rFonts w:hint="eastAsia"/>
                <w:highlight w:val="none"/>
                <w:lang w:val="en-US" w:eastAsia="zh-CN"/>
              </w:rPr>
              <w:t>④ 未提供方案或者方案不可行或不符合项目需求的，不得分。</w:t>
            </w:r>
          </w:p>
        </w:tc>
      </w:tr>
      <w:tr w14:paraId="7F44B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50" w:type="dxa"/>
            <w:vMerge w:val="restart"/>
            <w:vAlign w:val="center"/>
          </w:tcPr>
          <w:p w14:paraId="3BC081C8">
            <w:pPr>
              <w:spacing w:line="360" w:lineRule="auto"/>
              <w:jc w:val="center"/>
              <w:rPr>
                <w:rFonts w:ascii="宋体" w:hAnsi="宋体" w:eastAsia="宋体" w:cs="宋体"/>
                <w:highlight w:val="none"/>
                <w:lang w:val="en-US" w:eastAsia="zh-CN"/>
              </w:rPr>
            </w:pPr>
            <w:r>
              <w:rPr>
                <w:rFonts w:hint="eastAsia" w:ascii="宋体" w:hAnsi="宋体" w:eastAsia="宋体" w:cs="宋体"/>
                <w:highlight w:val="none"/>
                <w:lang w:val="en-US" w:eastAsia="zh-CN"/>
              </w:rPr>
              <w:t>5.6</w:t>
            </w:r>
          </w:p>
        </w:tc>
        <w:tc>
          <w:tcPr>
            <w:tcW w:w="1459" w:type="dxa"/>
            <w:vMerge w:val="restart"/>
            <w:tcBorders>
              <w:left w:val="single" w:color="auto" w:sz="4" w:space="0"/>
            </w:tcBorders>
            <w:vAlign w:val="center"/>
          </w:tcPr>
          <w:p w14:paraId="6235DEEB">
            <w:pPr>
              <w:spacing w:line="360" w:lineRule="auto"/>
              <w:jc w:val="center"/>
              <w:rPr>
                <w:rFonts w:hint="eastAsia" w:ascii="宋体" w:hAnsi="宋体" w:eastAsia="宋体" w:cs="宋体"/>
                <w:highlight w:val="none"/>
              </w:rPr>
            </w:pPr>
            <w:r>
              <w:rPr>
                <w:rFonts w:hint="eastAsia" w:ascii="宋体" w:hAnsi="宋体"/>
                <w:szCs w:val="21"/>
                <w:highlight w:val="none"/>
              </w:rPr>
              <w:t>针对本项目的特点和难点分析，并解决措施及相应的合理化建议</w:t>
            </w:r>
          </w:p>
        </w:tc>
        <w:tc>
          <w:tcPr>
            <w:tcW w:w="914" w:type="dxa"/>
            <w:tcBorders>
              <w:left w:val="single" w:color="auto" w:sz="4" w:space="0"/>
            </w:tcBorders>
            <w:vAlign w:val="center"/>
          </w:tcPr>
          <w:p w14:paraId="348F8471">
            <w:pPr>
              <w:spacing w:line="360" w:lineRule="auto"/>
              <w:jc w:val="center"/>
              <w:rPr>
                <w:rFonts w:ascii="宋体" w:hAnsi="宋体" w:eastAsia="宋体" w:cs="宋体"/>
                <w:highlight w:val="none"/>
                <w:lang w:val="en-US" w:eastAsia="zh-CN"/>
              </w:rPr>
            </w:pPr>
            <w:r>
              <w:rPr>
                <w:rFonts w:hint="eastAsia" w:ascii="宋体" w:hAnsi="宋体" w:eastAsia="宋体" w:cs="宋体"/>
                <w:highlight w:val="none"/>
                <w:lang w:val="en-US" w:eastAsia="zh-CN"/>
              </w:rPr>
              <w:t>0-6分</w:t>
            </w:r>
          </w:p>
        </w:tc>
        <w:tc>
          <w:tcPr>
            <w:tcW w:w="5891" w:type="dxa"/>
            <w:gridSpan w:val="2"/>
            <w:tcBorders>
              <w:left w:val="single" w:color="auto" w:sz="4" w:space="0"/>
            </w:tcBorders>
            <w:vAlign w:val="center"/>
          </w:tcPr>
          <w:p w14:paraId="3FC7AC32">
            <w:pPr>
              <w:bidi w:val="0"/>
              <w:spacing w:line="360" w:lineRule="auto"/>
              <w:rPr>
                <w:rFonts w:hint="eastAsia"/>
                <w:highlight w:val="none"/>
                <w:lang w:eastAsia="zh-CN"/>
              </w:rPr>
            </w:pPr>
            <w:r>
              <w:rPr>
                <w:rFonts w:hint="eastAsia"/>
                <w:highlight w:val="none"/>
              </w:rPr>
              <w:t>针对本项目特点和难点进行分析</w:t>
            </w:r>
            <w:r>
              <w:rPr>
                <w:rFonts w:hint="eastAsia"/>
                <w:highlight w:val="none"/>
                <w:lang w:eastAsia="zh-CN"/>
              </w:rPr>
              <w:t>：</w:t>
            </w:r>
          </w:p>
          <w:p w14:paraId="34561F69">
            <w:pPr>
              <w:bidi w:val="0"/>
              <w:spacing w:line="360" w:lineRule="auto"/>
              <w:rPr>
                <w:highlight w:val="none"/>
              </w:rPr>
            </w:pPr>
            <w:r>
              <w:rPr>
                <w:rFonts w:hint="eastAsia"/>
                <w:highlight w:val="none"/>
                <w:lang w:val="en-US" w:eastAsia="zh-CN"/>
              </w:rPr>
              <w:t xml:space="preserve">① </w:t>
            </w:r>
            <w:r>
              <w:rPr>
                <w:rFonts w:hint="eastAsia"/>
                <w:highlight w:val="none"/>
              </w:rPr>
              <w:t>分析全面、合理、具有针对性的，得</w:t>
            </w:r>
            <w:r>
              <w:rPr>
                <w:rFonts w:hint="eastAsia"/>
                <w:highlight w:val="none"/>
                <w:lang w:val="en-US" w:eastAsia="zh-CN"/>
              </w:rPr>
              <w:t>6</w:t>
            </w:r>
            <w:r>
              <w:rPr>
                <w:rFonts w:hint="eastAsia"/>
                <w:highlight w:val="none"/>
              </w:rPr>
              <w:t>分；</w:t>
            </w:r>
          </w:p>
          <w:p w14:paraId="5BFFEFCD">
            <w:pPr>
              <w:bidi w:val="0"/>
              <w:spacing w:line="360" w:lineRule="auto"/>
              <w:rPr>
                <w:highlight w:val="none"/>
              </w:rPr>
            </w:pPr>
            <w:r>
              <w:rPr>
                <w:rFonts w:hint="eastAsia"/>
                <w:highlight w:val="none"/>
                <w:lang w:val="en-US" w:eastAsia="zh-CN"/>
              </w:rPr>
              <w:t xml:space="preserve">② </w:t>
            </w:r>
            <w:r>
              <w:rPr>
                <w:rFonts w:hint="eastAsia"/>
                <w:highlight w:val="none"/>
              </w:rPr>
              <w:t>分析基本全面合理，针对性一般的，得</w:t>
            </w:r>
            <w:r>
              <w:rPr>
                <w:rFonts w:hint="eastAsia"/>
                <w:highlight w:val="none"/>
                <w:lang w:val="en-US" w:eastAsia="zh-CN"/>
              </w:rPr>
              <w:t>4</w:t>
            </w:r>
            <w:r>
              <w:rPr>
                <w:rFonts w:hint="eastAsia"/>
                <w:highlight w:val="none"/>
              </w:rPr>
              <w:t>分；</w:t>
            </w:r>
          </w:p>
          <w:p w14:paraId="16E9070C">
            <w:pPr>
              <w:bidi w:val="0"/>
              <w:spacing w:line="360" w:lineRule="auto"/>
              <w:rPr>
                <w:rFonts w:hint="eastAsia"/>
                <w:highlight w:val="none"/>
              </w:rPr>
            </w:pPr>
            <w:r>
              <w:rPr>
                <w:rFonts w:hint="eastAsia"/>
                <w:highlight w:val="none"/>
                <w:lang w:val="en-US" w:eastAsia="zh-CN"/>
              </w:rPr>
              <w:t xml:space="preserve">③ </w:t>
            </w:r>
            <w:r>
              <w:rPr>
                <w:rFonts w:hint="eastAsia"/>
                <w:highlight w:val="none"/>
              </w:rPr>
              <w:t>分析欠缺合理性，没有针对性的，得</w:t>
            </w:r>
            <w:r>
              <w:rPr>
                <w:rFonts w:hint="eastAsia"/>
                <w:highlight w:val="none"/>
                <w:lang w:val="en-US" w:eastAsia="zh-CN"/>
              </w:rPr>
              <w:t>2</w:t>
            </w:r>
            <w:r>
              <w:rPr>
                <w:rFonts w:hint="eastAsia"/>
                <w:highlight w:val="none"/>
              </w:rPr>
              <w:t>分。</w:t>
            </w:r>
          </w:p>
          <w:p w14:paraId="4E922F87">
            <w:pPr>
              <w:bidi w:val="0"/>
              <w:spacing w:line="360" w:lineRule="auto"/>
              <w:rPr>
                <w:highlight w:val="none"/>
              </w:rPr>
            </w:pPr>
            <w:r>
              <w:rPr>
                <w:rFonts w:hint="eastAsia"/>
                <w:highlight w:val="none"/>
                <w:lang w:val="en-US" w:eastAsia="zh-CN"/>
              </w:rPr>
              <w:t>④ 未提供</w:t>
            </w:r>
            <w:r>
              <w:rPr>
                <w:rFonts w:hint="eastAsia"/>
                <w:highlight w:val="none"/>
              </w:rPr>
              <w:t>分析</w:t>
            </w:r>
            <w:r>
              <w:rPr>
                <w:rFonts w:hint="eastAsia"/>
                <w:highlight w:val="none"/>
                <w:lang w:val="en-US" w:eastAsia="zh-CN"/>
              </w:rPr>
              <w:t>或者</w:t>
            </w:r>
            <w:r>
              <w:rPr>
                <w:rFonts w:hint="eastAsia"/>
                <w:highlight w:val="none"/>
              </w:rPr>
              <w:t>分析</w:t>
            </w:r>
            <w:r>
              <w:rPr>
                <w:rFonts w:hint="eastAsia"/>
                <w:highlight w:val="none"/>
                <w:lang w:val="en-US" w:eastAsia="zh-CN"/>
              </w:rPr>
              <w:t>不可行或不符合项目需求的，不得分。</w:t>
            </w:r>
          </w:p>
        </w:tc>
      </w:tr>
      <w:tr w14:paraId="21E1A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50" w:type="dxa"/>
            <w:vMerge w:val="continue"/>
            <w:vAlign w:val="center"/>
          </w:tcPr>
          <w:p w14:paraId="56C16478">
            <w:pPr>
              <w:rPr>
                <w:highlight w:val="none"/>
              </w:rPr>
            </w:pPr>
          </w:p>
        </w:tc>
        <w:tc>
          <w:tcPr>
            <w:tcW w:w="1459" w:type="dxa"/>
            <w:vMerge w:val="continue"/>
            <w:tcBorders>
              <w:left w:val="single" w:color="auto" w:sz="4" w:space="0"/>
            </w:tcBorders>
            <w:vAlign w:val="center"/>
          </w:tcPr>
          <w:p w14:paraId="12810B77">
            <w:pPr>
              <w:rPr>
                <w:highlight w:val="none"/>
              </w:rPr>
            </w:pPr>
          </w:p>
        </w:tc>
        <w:tc>
          <w:tcPr>
            <w:tcW w:w="914" w:type="dxa"/>
            <w:tcBorders>
              <w:left w:val="single" w:color="auto" w:sz="4" w:space="0"/>
            </w:tcBorders>
            <w:vAlign w:val="center"/>
          </w:tcPr>
          <w:p w14:paraId="3F998D5F">
            <w:pPr>
              <w:spacing w:line="360" w:lineRule="auto"/>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0-6分</w:t>
            </w:r>
          </w:p>
        </w:tc>
        <w:tc>
          <w:tcPr>
            <w:tcW w:w="5891" w:type="dxa"/>
            <w:gridSpan w:val="2"/>
            <w:tcBorders>
              <w:left w:val="single" w:color="auto" w:sz="4" w:space="0"/>
            </w:tcBorders>
            <w:vAlign w:val="center"/>
          </w:tcPr>
          <w:p w14:paraId="1A8993E3">
            <w:pPr>
              <w:bidi w:val="0"/>
              <w:spacing w:line="360" w:lineRule="auto"/>
              <w:rPr>
                <w:rFonts w:hint="eastAsia"/>
                <w:highlight w:val="none"/>
                <w:lang w:eastAsia="zh-CN"/>
              </w:rPr>
            </w:pPr>
            <w:r>
              <w:rPr>
                <w:rFonts w:hint="eastAsia"/>
                <w:highlight w:val="none"/>
              </w:rPr>
              <w:t>特点和难点的相应解决措施及相应的合理化建议</w:t>
            </w:r>
            <w:r>
              <w:rPr>
                <w:rFonts w:hint="eastAsia"/>
                <w:highlight w:val="none"/>
                <w:lang w:eastAsia="zh-CN"/>
              </w:rPr>
              <w:t>：</w:t>
            </w:r>
          </w:p>
          <w:p w14:paraId="520345FC">
            <w:pPr>
              <w:bidi w:val="0"/>
              <w:spacing w:line="360" w:lineRule="auto"/>
              <w:rPr>
                <w:highlight w:val="none"/>
              </w:rPr>
            </w:pPr>
            <w:r>
              <w:rPr>
                <w:rFonts w:hint="eastAsia"/>
                <w:highlight w:val="none"/>
                <w:lang w:val="en-US" w:eastAsia="zh-CN"/>
              </w:rPr>
              <w:t xml:space="preserve">① </w:t>
            </w:r>
            <w:r>
              <w:rPr>
                <w:rFonts w:hint="eastAsia"/>
                <w:highlight w:val="none"/>
                <w:lang w:eastAsia="zh-CN"/>
              </w:rPr>
              <w:t>建议</w:t>
            </w:r>
            <w:r>
              <w:rPr>
                <w:rFonts w:hint="eastAsia"/>
                <w:highlight w:val="none"/>
              </w:rPr>
              <w:t>全面、合理、具有针对性的，得</w:t>
            </w:r>
            <w:r>
              <w:rPr>
                <w:rFonts w:hint="eastAsia"/>
                <w:highlight w:val="none"/>
                <w:lang w:val="en-US" w:eastAsia="zh-CN"/>
              </w:rPr>
              <w:t>6</w:t>
            </w:r>
            <w:r>
              <w:rPr>
                <w:rFonts w:hint="eastAsia"/>
                <w:highlight w:val="none"/>
              </w:rPr>
              <w:t>分；</w:t>
            </w:r>
          </w:p>
          <w:p w14:paraId="0572BC87">
            <w:pPr>
              <w:bidi w:val="0"/>
              <w:spacing w:line="360" w:lineRule="auto"/>
              <w:rPr>
                <w:highlight w:val="none"/>
              </w:rPr>
            </w:pPr>
            <w:r>
              <w:rPr>
                <w:rFonts w:hint="eastAsia"/>
                <w:highlight w:val="none"/>
                <w:lang w:val="en-US" w:eastAsia="zh-CN"/>
              </w:rPr>
              <w:t xml:space="preserve">② </w:t>
            </w:r>
            <w:r>
              <w:rPr>
                <w:rFonts w:hint="eastAsia"/>
                <w:highlight w:val="none"/>
                <w:lang w:eastAsia="zh-CN"/>
              </w:rPr>
              <w:t>建议</w:t>
            </w:r>
            <w:r>
              <w:rPr>
                <w:rFonts w:hint="eastAsia"/>
                <w:highlight w:val="none"/>
              </w:rPr>
              <w:t>基本全面合理，针对性一般的，得</w:t>
            </w:r>
            <w:r>
              <w:rPr>
                <w:rFonts w:hint="eastAsia"/>
                <w:highlight w:val="none"/>
                <w:lang w:val="en-US" w:eastAsia="zh-CN"/>
              </w:rPr>
              <w:t>4</w:t>
            </w:r>
            <w:r>
              <w:rPr>
                <w:rFonts w:hint="eastAsia"/>
                <w:highlight w:val="none"/>
              </w:rPr>
              <w:t>分；</w:t>
            </w:r>
          </w:p>
          <w:p w14:paraId="337BFE23">
            <w:pPr>
              <w:bidi w:val="0"/>
              <w:spacing w:line="360" w:lineRule="auto"/>
              <w:rPr>
                <w:rFonts w:hint="eastAsia"/>
                <w:highlight w:val="none"/>
              </w:rPr>
            </w:pPr>
            <w:r>
              <w:rPr>
                <w:rFonts w:hint="eastAsia"/>
                <w:highlight w:val="none"/>
                <w:lang w:val="en-US" w:eastAsia="zh-CN"/>
              </w:rPr>
              <w:t xml:space="preserve">③ </w:t>
            </w:r>
            <w:r>
              <w:rPr>
                <w:rFonts w:hint="eastAsia"/>
                <w:highlight w:val="none"/>
                <w:lang w:eastAsia="zh-CN"/>
              </w:rPr>
              <w:t>建议</w:t>
            </w:r>
            <w:r>
              <w:rPr>
                <w:rFonts w:hint="eastAsia"/>
                <w:highlight w:val="none"/>
              </w:rPr>
              <w:t>欠缺合理性，没有针对性的，得</w:t>
            </w:r>
            <w:r>
              <w:rPr>
                <w:rFonts w:hint="eastAsia"/>
                <w:highlight w:val="none"/>
                <w:lang w:val="en-US" w:eastAsia="zh-CN"/>
              </w:rPr>
              <w:t>2</w:t>
            </w:r>
            <w:r>
              <w:rPr>
                <w:rFonts w:hint="eastAsia"/>
                <w:highlight w:val="none"/>
              </w:rPr>
              <w:t>分。</w:t>
            </w:r>
          </w:p>
          <w:p w14:paraId="2573675E">
            <w:pPr>
              <w:bidi w:val="0"/>
              <w:spacing w:line="360" w:lineRule="auto"/>
              <w:rPr>
                <w:highlight w:val="none"/>
                <w:lang w:val="en-US"/>
              </w:rPr>
            </w:pPr>
            <w:r>
              <w:rPr>
                <w:rFonts w:hint="eastAsia"/>
                <w:highlight w:val="none"/>
                <w:lang w:val="en-US" w:eastAsia="zh-CN"/>
              </w:rPr>
              <w:t>④ 未提供</w:t>
            </w:r>
            <w:r>
              <w:rPr>
                <w:rFonts w:hint="eastAsia"/>
                <w:highlight w:val="none"/>
                <w:lang w:eastAsia="zh-CN"/>
              </w:rPr>
              <w:t>建议</w:t>
            </w:r>
            <w:r>
              <w:rPr>
                <w:rFonts w:hint="eastAsia"/>
                <w:highlight w:val="none"/>
                <w:lang w:val="en-US" w:eastAsia="zh-CN"/>
              </w:rPr>
              <w:t>或者</w:t>
            </w:r>
            <w:r>
              <w:rPr>
                <w:rFonts w:hint="eastAsia"/>
                <w:highlight w:val="none"/>
                <w:lang w:eastAsia="zh-CN"/>
              </w:rPr>
              <w:t>建议</w:t>
            </w:r>
            <w:r>
              <w:rPr>
                <w:rFonts w:hint="eastAsia"/>
                <w:highlight w:val="none"/>
                <w:lang w:val="en-US" w:eastAsia="zh-CN"/>
              </w:rPr>
              <w:t>不可行或不符合项目需求的，不得分。</w:t>
            </w:r>
          </w:p>
        </w:tc>
      </w:tr>
      <w:tr w14:paraId="3B0A9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50" w:type="dxa"/>
            <w:vAlign w:val="center"/>
          </w:tcPr>
          <w:p w14:paraId="37BFEAFE">
            <w:pPr>
              <w:spacing w:line="360" w:lineRule="auto"/>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5.7</w:t>
            </w:r>
          </w:p>
        </w:tc>
        <w:tc>
          <w:tcPr>
            <w:tcW w:w="1459" w:type="dxa"/>
            <w:tcBorders>
              <w:left w:val="single" w:color="auto" w:sz="4" w:space="0"/>
            </w:tcBorders>
            <w:vAlign w:val="center"/>
          </w:tcPr>
          <w:p w14:paraId="39552A20">
            <w:pPr>
              <w:spacing w:line="360" w:lineRule="auto"/>
              <w:jc w:val="center"/>
              <w:rPr>
                <w:rFonts w:hint="eastAsia" w:eastAsia="宋体"/>
                <w:highlight w:val="none"/>
                <w:lang w:val="en-US" w:eastAsia="zh-CN"/>
              </w:rPr>
            </w:pPr>
            <w:r>
              <w:rPr>
                <w:rFonts w:hint="eastAsia"/>
                <w:highlight w:val="none"/>
                <w:lang w:val="en-US" w:eastAsia="zh-CN"/>
              </w:rPr>
              <w:t>突发事件应急处理措施</w:t>
            </w:r>
          </w:p>
        </w:tc>
        <w:tc>
          <w:tcPr>
            <w:tcW w:w="914" w:type="dxa"/>
            <w:tcBorders>
              <w:left w:val="single" w:color="auto" w:sz="4" w:space="0"/>
            </w:tcBorders>
            <w:vAlign w:val="center"/>
          </w:tcPr>
          <w:p w14:paraId="280804EF">
            <w:pPr>
              <w:spacing w:line="360" w:lineRule="auto"/>
              <w:jc w:val="center"/>
              <w:rPr>
                <w:highlight w:val="none"/>
              </w:rPr>
            </w:pPr>
            <w:r>
              <w:rPr>
                <w:rFonts w:hint="eastAsia" w:ascii="宋体" w:hAnsi="宋体" w:eastAsia="宋体" w:cs="宋体"/>
                <w:highlight w:val="none"/>
                <w:lang w:val="en-US" w:eastAsia="zh-CN"/>
              </w:rPr>
              <w:t>0-5分</w:t>
            </w:r>
          </w:p>
        </w:tc>
        <w:tc>
          <w:tcPr>
            <w:tcW w:w="5891" w:type="dxa"/>
            <w:gridSpan w:val="2"/>
            <w:tcBorders>
              <w:left w:val="single" w:color="auto" w:sz="4" w:space="0"/>
            </w:tcBorders>
            <w:vAlign w:val="center"/>
          </w:tcPr>
          <w:p w14:paraId="1BD56BDB">
            <w:pPr>
              <w:bidi w:val="0"/>
              <w:spacing w:line="360" w:lineRule="auto"/>
              <w:rPr>
                <w:rFonts w:hint="eastAsia" w:ascii="新宋体" w:hAnsi="新宋体" w:eastAsia="新宋体" w:cs="Arial Black"/>
                <w:snapToGrid w:val="0"/>
                <w:szCs w:val="21"/>
                <w:highlight w:val="none"/>
                <w:lang w:eastAsia="zh-CN"/>
              </w:rPr>
            </w:pPr>
            <w:r>
              <w:rPr>
                <w:rFonts w:hint="eastAsia" w:ascii="新宋体" w:hAnsi="新宋体" w:eastAsia="新宋体" w:cs="Arial Black"/>
                <w:snapToGrid w:val="0"/>
                <w:szCs w:val="21"/>
                <w:highlight w:val="none"/>
              </w:rPr>
              <w:t>针对本项目制定的紧急预案措施进行打分</w:t>
            </w:r>
            <w:r>
              <w:rPr>
                <w:rFonts w:hint="eastAsia" w:ascii="新宋体" w:hAnsi="新宋体" w:eastAsia="新宋体" w:cs="Arial Black"/>
                <w:snapToGrid w:val="0"/>
                <w:szCs w:val="21"/>
                <w:highlight w:val="none"/>
                <w:lang w:eastAsia="zh-CN"/>
              </w:rPr>
              <w:t>：</w:t>
            </w:r>
          </w:p>
          <w:p w14:paraId="1C8EC95D">
            <w:pPr>
              <w:bidi w:val="0"/>
              <w:spacing w:line="360" w:lineRule="auto"/>
              <w:rPr>
                <w:highlight w:val="none"/>
              </w:rPr>
            </w:pPr>
            <w:r>
              <w:rPr>
                <w:rFonts w:hint="eastAsia"/>
                <w:highlight w:val="none"/>
                <w:lang w:val="en-US" w:eastAsia="zh-CN"/>
              </w:rPr>
              <w:t xml:space="preserve">① </w:t>
            </w:r>
            <w:r>
              <w:rPr>
                <w:rFonts w:hint="eastAsia"/>
                <w:highlight w:val="none"/>
                <w:lang w:eastAsia="zh-CN"/>
              </w:rPr>
              <w:t>措施</w:t>
            </w:r>
            <w:r>
              <w:rPr>
                <w:rFonts w:hint="eastAsia"/>
                <w:highlight w:val="none"/>
              </w:rPr>
              <w:t>全面、合理、具有针对性的，得</w:t>
            </w:r>
            <w:r>
              <w:rPr>
                <w:rFonts w:hint="eastAsia"/>
                <w:highlight w:val="none"/>
                <w:lang w:val="en-US" w:eastAsia="zh-CN"/>
              </w:rPr>
              <w:t>5</w:t>
            </w:r>
            <w:r>
              <w:rPr>
                <w:rFonts w:hint="eastAsia"/>
                <w:highlight w:val="none"/>
              </w:rPr>
              <w:t>分；</w:t>
            </w:r>
          </w:p>
          <w:p w14:paraId="238A6CC4">
            <w:pPr>
              <w:bidi w:val="0"/>
              <w:spacing w:line="360" w:lineRule="auto"/>
              <w:rPr>
                <w:highlight w:val="none"/>
              </w:rPr>
            </w:pPr>
            <w:r>
              <w:rPr>
                <w:rFonts w:hint="eastAsia"/>
                <w:highlight w:val="none"/>
                <w:lang w:val="en-US" w:eastAsia="zh-CN"/>
              </w:rPr>
              <w:t xml:space="preserve">② </w:t>
            </w:r>
            <w:r>
              <w:rPr>
                <w:rFonts w:hint="eastAsia"/>
                <w:highlight w:val="none"/>
                <w:lang w:eastAsia="zh-CN"/>
              </w:rPr>
              <w:t>措施</w:t>
            </w:r>
            <w:r>
              <w:rPr>
                <w:rFonts w:hint="eastAsia"/>
                <w:highlight w:val="none"/>
              </w:rPr>
              <w:t>基本全面合理，针对性一般的，得</w:t>
            </w:r>
            <w:r>
              <w:rPr>
                <w:rFonts w:hint="eastAsia"/>
                <w:highlight w:val="none"/>
                <w:lang w:val="en-US" w:eastAsia="zh-CN"/>
              </w:rPr>
              <w:t>3</w:t>
            </w:r>
            <w:r>
              <w:rPr>
                <w:rFonts w:hint="eastAsia"/>
                <w:highlight w:val="none"/>
              </w:rPr>
              <w:t>分；</w:t>
            </w:r>
          </w:p>
          <w:p w14:paraId="75111051">
            <w:pPr>
              <w:bidi w:val="0"/>
              <w:spacing w:line="360" w:lineRule="auto"/>
              <w:rPr>
                <w:rFonts w:hint="eastAsia"/>
                <w:highlight w:val="none"/>
              </w:rPr>
            </w:pPr>
            <w:r>
              <w:rPr>
                <w:rFonts w:hint="eastAsia"/>
                <w:highlight w:val="none"/>
                <w:lang w:val="en-US" w:eastAsia="zh-CN"/>
              </w:rPr>
              <w:t xml:space="preserve">③ </w:t>
            </w:r>
            <w:r>
              <w:rPr>
                <w:rFonts w:hint="eastAsia"/>
                <w:highlight w:val="none"/>
                <w:lang w:eastAsia="zh-CN"/>
              </w:rPr>
              <w:t>措施</w:t>
            </w:r>
            <w:r>
              <w:rPr>
                <w:rFonts w:hint="eastAsia"/>
                <w:highlight w:val="none"/>
              </w:rPr>
              <w:t>欠缺合理性，没有针对性的，得</w:t>
            </w:r>
            <w:r>
              <w:rPr>
                <w:rFonts w:hint="eastAsia"/>
                <w:highlight w:val="none"/>
                <w:lang w:val="en-US" w:eastAsia="zh-CN"/>
              </w:rPr>
              <w:t>1</w:t>
            </w:r>
            <w:r>
              <w:rPr>
                <w:rFonts w:hint="eastAsia"/>
                <w:highlight w:val="none"/>
              </w:rPr>
              <w:t>分。</w:t>
            </w:r>
          </w:p>
          <w:p w14:paraId="77CB98BA">
            <w:pPr>
              <w:spacing w:line="360" w:lineRule="auto"/>
              <w:rPr>
                <w:highlight w:val="none"/>
              </w:rPr>
            </w:pPr>
            <w:r>
              <w:rPr>
                <w:rFonts w:hint="eastAsia"/>
                <w:highlight w:val="none"/>
                <w:lang w:val="en-US" w:eastAsia="zh-CN"/>
              </w:rPr>
              <w:t>④ 未提供</w:t>
            </w:r>
            <w:r>
              <w:rPr>
                <w:rFonts w:hint="eastAsia"/>
                <w:highlight w:val="none"/>
                <w:lang w:eastAsia="zh-CN"/>
              </w:rPr>
              <w:t>措施</w:t>
            </w:r>
            <w:r>
              <w:rPr>
                <w:rFonts w:hint="eastAsia"/>
                <w:highlight w:val="none"/>
                <w:lang w:val="en-US" w:eastAsia="zh-CN"/>
              </w:rPr>
              <w:t>或者</w:t>
            </w:r>
            <w:r>
              <w:rPr>
                <w:rFonts w:hint="eastAsia"/>
                <w:highlight w:val="none"/>
                <w:lang w:eastAsia="zh-CN"/>
              </w:rPr>
              <w:t>措施</w:t>
            </w:r>
            <w:r>
              <w:rPr>
                <w:rFonts w:hint="eastAsia"/>
                <w:highlight w:val="none"/>
                <w:lang w:val="en-US" w:eastAsia="zh-CN"/>
              </w:rPr>
              <w:t>不可行或不符合项目需求的，不得分。</w:t>
            </w:r>
          </w:p>
        </w:tc>
      </w:tr>
      <w:tr w14:paraId="2584F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50" w:type="dxa"/>
            <w:vMerge w:val="restart"/>
            <w:vAlign w:val="center"/>
          </w:tcPr>
          <w:p w14:paraId="4EF91753">
            <w:pPr>
              <w:bidi w:val="0"/>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5.8</w:t>
            </w:r>
          </w:p>
        </w:tc>
        <w:tc>
          <w:tcPr>
            <w:tcW w:w="1459" w:type="dxa"/>
            <w:vMerge w:val="restart"/>
            <w:tcBorders>
              <w:left w:val="single" w:color="auto" w:sz="4" w:space="0"/>
            </w:tcBorders>
            <w:vAlign w:val="center"/>
          </w:tcPr>
          <w:p w14:paraId="01381B58">
            <w:pPr>
              <w:spacing w:line="360" w:lineRule="auto"/>
              <w:jc w:val="center"/>
              <w:rPr>
                <w:rFonts w:eastAsia="宋体"/>
                <w:highlight w:val="none"/>
                <w:lang w:val="en-US" w:eastAsia="zh-CN"/>
              </w:rPr>
            </w:pPr>
            <w:r>
              <w:rPr>
                <w:rFonts w:hint="eastAsia" w:ascii="宋体" w:hAnsi="宋体"/>
                <w:szCs w:val="21"/>
                <w:highlight w:val="none"/>
              </w:rPr>
              <w:t>实施方案</w:t>
            </w:r>
          </w:p>
        </w:tc>
        <w:tc>
          <w:tcPr>
            <w:tcW w:w="914" w:type="dxa"/>
            <w:tcBorders>
              <w:left w:val="single" w:color="auto" w:sz="4" w:space="0"/>
            </w:tcBorders>
            <w:vAlign w:val="center"/>
          </w:tcPr>
          <w:p w14:paraId="5EEBFB8E">
            <w:pPr>
              <w:spacing w:line="360" w:lineRule="auto"/>
              <w:jc w:val="center"/>
              <w:rPr>
                <w:rFonts w:ascii="宋体" w:hAnsi="宋体" w:eastAsia="宋体" w:cs="宋体"/>
                <w:snapToGrid w:val="0"/>
                <w:szCs w:val="21"/>
                <w:highlight w:val="none"/>
                <w:lang w:val="en-US" w:eastAsia="zh-CN"/>
              </w:rPr>
            </w:pPr>
            <w:r>
              <w:rPr>
                <w:rFonts w:hint="eastAsia" w:ascii="宋体" w:hAnsi="宋体" w:eastAsia="宋体" w:cs="宋体"/>
                <w:highlight w:val="none"/>
                <w:lang w:val="en-US" w:eastAsia="zh-CN"/>
              </w:rPr>
              <w:t>0-9分</w:t>
            </w:r>
          </w:p>
        </w:tc>
        <w:tc>
          <w:tcPr>
            <w:tcW w:w="5891" w:type="dxa"/>
            <w:gridSpan w:val="2"/>
            <w:tcBorders>
              <w:left w:val="single" w:color="auto" w:sz="4" w:space="0"/>
            </w:tcBorders>
            <w:vAlign w:val="center"/>
          </w:tcPr>
          <w:p w14:paraId="1B036B92">
            <w:pPr>
              <w:bidi w:val="0"/>
              <w:spacing w:line="360" w:lineRule="auto"/>
              <w:rPr>
                <w:rFonts w:hint="eastAsia" w:eastAsia="宋体"/>
                <w:highlight w:val="none"/>
                <w:lang w:eastAsia="zh-CN"/>
              </w:rPr>
            </w:pPr>
            <w:r>
              <w:rPr>
                <w:rFonts w:hint="eastAsia"/>
                <w:highlight w:val="none"/>
              </w:rPr>
              <w:t>供应商针对本项目提出的放映方案</w:t>
            </w:r>
            <w:r>
              <w:rPr>
                <w:rFonts w:hint="eastAsia"/>
                <w:highlight w:val="none"/>
                <w:lang w:eastAsia="zh-CN"/>
              </w:rPr>
              <w:t>：</w:t>
            </w:r>
          </w:p>
          <w:p w14:paraId="3C478D86">
            <w:pPr>
              <w:bidi w:val="0"/>
              <w:spacing w:line="360" w:lineRule="auto"/>
              <w:rPr>
                <w:rFonts w:hint="eastAsia"/>
                <w:highlight w:val="none"/>
                <w:lang w:val="en-US" w:eastAsia="zh-CN"/>
              </w:rPr>
            </w:pPr>
            <w:r>
              <w:rPr>
                <w:rFonts w:hint="eastAsia"/>
                <w:highlight w:val="none"/>
                <w:lang w:val="en-US" w:eastAsia="zh-CN"/>
              </w:rPr>
              <w:t>① 方案全面、科学、合理，具有针对性的，得9分；</w:t>
            </w:r>
          </w:p>
          <w:p w14:paraId="253672BE">
            <w:pPr>
              <w:bidi w:val="0"/>
              <w:spacing w:line="360" w:lineRule="auto"/>
              <w:rPr>
                <w:rFonts w:hint="eastAsia"/>
                <w:highlight w:val="none"/>
                <w:lang w:val="en-US" w:eastAsia="zh-CN"/>
              </w:rPr>
            </w:pPr>
            <w:r>
              <w:rPr>
                <w:rFonts w:hint="eastAsia"/>
                <w:highlight w:val="none"/>
                <w:lang w:val="en-US" w:eastAsia="zh-CN"/>
              </w:rPr>
              <w:t>② 方案不够全面、科学，较有针对性的，得6分；</w:t>
            </w:r>
          </w:p>
          <w:p w14:paraId="346C3EB5">
            <w:pPr>
              <w:bidi w:val="0"/>
              <w:spacing w:line="360" w:lineRule="auto"/>
              <w:rPr>
                <w:rFonts w:hint="eastAsia"/>
                <w:highlight w:val="none"/>
                <w:lang w:val="en-US" w:eastAsia="zh-CN"/>
              </w:rPr>
            </w:pPr>
            <w:r>
              <w:rPr>
                <w:rFonts w:hint="eastAsia"/>
                <w:highlight w:val="none"/>
                <w:lang w:val="en-US" w:eastAsia="zh-CN"/>
              </w:rPr>
              <w:t>③ 方案简单，针对性较弱的，得3分；</w:t>
            </w:r>
          </w:p>
          <w:p w14:paraId="5FCFAEC6">
            <w:pPr>
              <w:bidi w:val="0"/>
              <w:spacing w:line="360" w:lineRule="auto"/>
              <w:rPr>
                <w:rFonts w:hint="eastAsia"/>
                <w:highlight w:val="none"/>
                <w:lang w:val="en-US" w:eastAsia="zh-CN"/>
              </w:rPr>
            </w:pPr>
            <w:r>
              <w:rPr>
                <w:rFonts w:hint="eastAsia"/>
                <w:highlight w:val="none"/>
                <w:lang w:val="en-US" w:eastAsia="zh-CN"/>
              </w:rPr>
              <w:t>④ 未提供方案或者方案不可行或不符合项目需求的，不得分。</w:t>
            </w:r>
          </w:p>
        </w:tc>
      </w:tr>
      <w:tr w14:paraId="36FA0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trPr>
        <w:tc>
          <w:tcPr>
            <w:tcW w:w="750" w:type="dxa"/>
            <w:vMerge w:val="continue"/>
            <w:vAlign w:val="center"/>
          </w:tcPr>
          <w:p w14:paraId="472536CE">
            <w:pPr>
              <w:rPr>
                <w:highlight w:val="none"/>
              </w:rPr>
            </w:pPr>
          </w:p>
        </w:tc>
        <w:tc>
          <w:tcPr>
            <w:tcW w:w="1459" w:type="dxa"/>
            <w:vMerge w:val="continue"/>
            <w:tcBorders>
              <w:left w:val="single" w:color="auto" w:sz="4" w:space="0"/>
            </w:tcBorders>
            <w:vAlign w:val="center"/>
          </w:tcPr>
          <w:p w14:paraId="60118751">
            <w:pPr>
              <w:rPr>
                <w:highlight w:val="none"/>
              </w:rPr>
            </w:pPr>
          </w:p>
        </w:tc>
        <w:tc>
          <w:tcPr>
            <w:tcW w:w="914" w:type="dxa"/>
            <w:tcBorders>
              <w:left w:val="single" w:color="auto" w:sz="4" w:space="0"/>
            </w:tcBorders>
            <w:vAlign w:val="center"/>
          </w:tcPr>
          <w:p w14:paraId="07EFD0A2">
            <w:pPr>
              <w:spacing w:line="360" w:lineRule="auto"/>
              <w:jc w:val="center"/>
              <w:rPr>
                <w:highlight w:val="none"/>
              </w:rPr>
            </w:pPr>
            <w:r>
              <w:rPr>
                <w:rFonts w:hint="eastAsia" w:ascii="宋体" w:hAnsi="宋体" w:eastAsia="宋体" w:cs="宋体"/>
                <w:highlight w:val="none"/>
                <w:lang w:val="en-US" w:eastAsia="zh-CN"/>
              </w:rPr>
              <w:t>0-9分</w:t>
            </w:r>
          </w:p>
        </w:tc>
        <w:tc>
          <w:tcPr>
            <w:tcW w:w="5891" w:type="dxa"/>
            <w:gridSpan w:val="2"/>
            <w:tcBorders>
              <w:left w:val="single" w:color="auto" w:sz="4" w:space="0"/>
            </w:tcBorders>
            <w:vAlign w:val="center"/>
          </w:tcPr>
          <w:p w14:paraId="5AA10D2C">
            <w:pPr>
              <w:bidi w:val="0"/>
              <w:spacing w:line="360" w:lineRule="auto"/>
              <w:rPr>
                <w:rFonts w:hint="eastAsia" w:eastAsia="宋体"/>
                <w:highlight w:val="none"/>
                <w:lang w:eastAsia="zh-CN"/>
              </w:rPr>
            </w:pPr>
            <w:r>
              <w:rPr>
                <w:rFonts w:hint="eastAsia"/>
                <w:highlight w:val="none"/>
              </w:rPr>
              <w:t>供应商针对本项目提出的工作安排、人员安排、放映场次安排</w:t>
            </w:r>
            <w:r>
              <w:rPr>
                <w:rFonts w:hint="eastAsia"/>
                <w:highlight w:val="none"/>
                <w:lang w:eastAsia="zh-CN"/>
              </w:rPr>
              <w:t>：</w:t>
            </w:r>
          </w:p>
          <w:p w14:paraId="546A2253">
            <w:pPr>
              <w:bidi w:val="0"/>
              <w:spacing w:line="360" w:lineRule="auto"/>
              <w:rPr>
                <w:rFonts w:hint="eastAsia"/>
                <w:highlight w:val="none"/>
                <w:lang w:val="en-US" w:eastAsia="zh-CN"/>
              </w:rPr>
            </w:pPr>
            <w:r>
              <w:rPr>
                <w:rFonts w:hint="eastAsia"/>
                <w:highlight w:val="none"/>
                <w:lang w:val="en-US" w:eastAsia="zh-CN"/>
              </w:rPr>
              <w:t>① 安排全面、科学、合理，具有针对性的，得9分；</w:t>
            </w:r>
          </w:p>
          <w:p w14:paraId="5F479C76">
            <w:pPr>
              <w:bidi w:val="0"/>
              <w:spacing w:line="360" w:lineRule="auto"/>
              <w:rPr>
                <w:rFonts w:hint="eastAsia"/>
                <w:highlight w:val="none"/>
                <w:lang w:val="en-US" w:eastAsia="zh-CN"/>
              </w:rPr>
            </w:pPr>
            <w:r>
              <w:rPr>
                <w:rFonts w:hint="eastAsia"/>
                <w:highlight w:val="none"/>
                <w:lang w:val="en-US" w:eastAsia="zh-CN"/>
              </w:rPr>
              <w:t>② 安排不够全面、科学，较有针对性的，得6分；</w:t>
            </w:r>
          </w:p>
          <w:p w14:paraId="72FC174A">
            <w:pPr>
              <w:bidi w:val="0"/>
              <w:spacing w:line="360" w:lineRule="auto"/>
              <w:rPr>
                <w:rFonts w:hint="eastAsia"/>
                <w:highlight w:val="none"/>
                <w:lang w:val="en-US" w:eastAsia="zh-CN"/>
              </w:rPr>
            </w:pPr>
            <w:r>
              <w:rPr>
                <w:rFonts w:hint="eastAsia"/>
                <w:highlight w:val="none"/>
                <w:lang w:val="en-US" w:eastAsia="zh-CN"/>
              </w:rPr>
              <w:t>③ 安排简单，针对性较弱的，得3分；</w:t>
            </w:r>
          </w:p>
          <w:p w14:paraId="732B2D5B">
            <w:pPr>
              <w:bidi w:val="0"/>
              <w:spacing w:line="360" w:lineRule="auto"/>
              <w:rPr>
                <w:rFonts w:hint="eastAsia"/>
                <w:highlight w:val="none"/>
                <w:lang w:val="en-US" w:eastAsia="zh-CN"/>
              </w:rPr>
            </w:pPr>
            <w:r>
              <w:rPr>
                <w:rFonts w:hint="eastAsia"/>
                <w:highlight w:val="none"/>
                <w:lang w:val="en-US" w:eastAsia="zh-CN"/>
              </w:rPr>
              <w:t>④ 未提供安排或者安排不可行或不符合项目需求的，不得分。</w:t>
            </w:r>
          </w:p>
        </w:tc>
      </w:tr>
      <w:tr w14:paraId="1B4BC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trPr>
        <w:tc>
          <w:tcPr>
            <w:tcW w:w="750" w:type="dxa"/>
            <w:vMerge w:val="continue"/>
            <w:vAlign w:val="center"/>
          </w:tcPr>
          <w:p w14:paraId="303DD0CA">
            <w:pPr>
              <w:rPr>
                <w:highlight w:val="none"/>
              </w:rPr>
            </w:pPr>
          </w:p>
        </w:tc>
        <w:tc>
          <w:tcPr>
            <w:tcW w:w="1459" w:type="dxa"/>
            <w:vMerge w:val="continue"/>
            <w:tcBorders>
              <w:left w:val="single" w:color="auto" w:sz="4" w:space="0"/>
            </w:tcBorders>
            <w:vAlign w:val="center"/>
          </w:tcPr>
          <w:p w14:paraId="1FAE339F">
            <w:pPr>
              <w:rPr>
                <w:highlight w:val="none"/>
              </w:rPr>
            </w:pPr>
          </w:p>
        </w:tc>
        <w:tc>
          <w:tcPr>
            <w:tcW w:w="914" w:type="dxa"/>
            <w:tcBorders>
              <w:left w:val="single" w:color="auto" w:sz="4" w:space="0"/>
            </w:tcBorders>
            <w:vAlign w:val="center"/>
          </w:tcPr>
          <w:p w14:paraId="673D6B96">
            <w:pPr>
              <w:spacing w:line="360" w:lineRule="auto"/>
              <w:jc w:val="center"/>
              <w:rPr>
                <w:highlight w:val="none"/>
              </w:rPr>
            </w:pPr>
            <w:r>
              <w:rPr>
                <w:rFonts w:hint="eastAsia" w:ascii="宋体" w:hAnsi="宋体" w:eastAsia="宋体" w:cs="宋体"/>
                <w:highlight w:val="none"/>
                <w:lang w:val="en-US" w:eastAsia="zh-CN"/>
              </w:rPr>
              <w:t>0-9分</w:t>
            </w:r>
          </w:p>
        </w:tc>
        <w:tc>
          <w:tcPr>
            <w:tcW w:w="5891" w:type="dxa"/>
            <w:gridSpan w:val="2"/>
            <w:tcBorders>
              <w:left w:val="single" w:color="auto" w:sz="4" w:space="0"/>
            </w:tcBorders>
            <w:vAlign w:val="center"/>
          </w:tcPr>
          <w:p w14:paraId="30DDE402">
            <w:pPr>
              <w:bidi w:val="0"/>
              <w:spacing w:line="360" w:lineRule="auto"/>
              <w:rPr>
                <w:highlight w:val="none"/>
              </w:rPr>
            </w:pPr>
            <w:r>
              <w:rPr>
                <w:rFonts w:hint="eastAsia"/>
                <w:highlight w:val="none"/>
              </w:rPr>
              <w:t>供应商对放映场次的质量保证措施、放映内容的质量保证；</w:t>
            </w:r>
          </w:p>
          <w:p w14:paraId="53C0B4BC">
            <w:pPr>
              <w:bidi w:val="0"/>
              <w:spacing w:line="360" w:lineRule="auto"/>
              <w:rPr>
                <w:rFonts w:hint="eastAsia"/>
                <w:highlight w:val="none"/>
                <w:lang w:val="en-US" w:eastAsia="zh-CN"/>
              </w:rPr>
            </w:pPr>
            <w:r>
              <w:rPr>
                <w:rFonts w:hint="eastAsia"/>
                <w:highlight w:val="none"/>
                <w:lang w:val="en-US" w:eastAsia="zh-CN"/>
              </w:rPr>
              <w:t>① 质量保证全面、科学、合理，具有针对性的，得9分；</w:t>
            </w:r>
          </w:p>
          <w:p w14:paraId="62AD7BA2">
            <w:pPr>
              <w:bidi w:val="0"/>
              <w:spacing w:line="360" w:lineRule="auto"/>
              <w:rPr>
                <w:rFonts w:hint="eastAsia"/>
                <w:highlight w:val="none"/>
                <w:lang w:val="en-US" w:eastAsia="zh-CN"/>
              </w:rPr>
            </w:pPr>
            <w:r>
              <w:rPr>
                <w:rFonts w:hint="eastAsia"/>
                <w:highlight w:val="none"/>
                <w:lang w:val="en-US" w:eastAsia="zh-CN"/>
              </w:rPr>
              <w:t>② 质量保证不够全面、科学，较有针对性的，得6分；</w:t>
            </w:r>
          </w:p>
          <w:p w14:paraId="7AA782AA">
            <w:pPr>
              <w:bidi w:val="0"/>
              <w:spacing w:line="360" w:lineRule="auto"/>
              <w:rPr>
                <w:rFonts w:hint="eastAsia"/>
                <w:highlight w:val="none"/>
                <w:lang w:val="en-US" w:eastAsia="zh-CN"/>
              </w:rPr>
            </w:pPr>
            <w:r>
              <w:rPr>
                <w:rFonts w:hint="eastAsia"/>
                <w:highlight w:val="none"/>
                <w:lang w:val="en-US" w:eastAsia="zh-CN"/>
              </w:rPr>
              <w:t>③ 质量保证简单，针对性较弱的，得3分；</w:t>
            </w:r>
          </w:p>
          <w:p w14:paraId="3C1E19AB">
            <w:pPr>
              <w:bidi w:val="0"/>
              <w:spacing w:line="360" w:lineRule="auto"/>
              <w:rPr>
                <w:rFonts w:hint="eastAsia"/>
                <w:highlight w:val="none"/>
                <w:lang w:val="en-US" w:eastAsia="zh-CN"/>
              </w:rPr>
            </w:pPr>
            <w:r>
              <w:rPr>
                <w:rFonts w:hint="eastAsia"/>
                <w:highlight w:val="none"/>
                <w:lang w:val="en-US" w:eastAsia="zh-CN"/>
              </w:rPr>
              <w:t>④ 未提供质量保证或者质量保证不可行或不符合项目需求的，不得分。</w:t>
            </w:r>
          </w:p>
        </w:tc>
      </w:tr>
      <w:tr w14:paraId="345F9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trPr>
        <w:tc>
          <w:tcPr>
            <w:tcW w:w="750" w:type="dxa"/>
            <w:vMerge w:val="continue"/>
            <w:vAlign w:val="center"/>
          </w:tcPr>
          <w:p w14:paraId="2FC2C633">
            <w:pPr>
              <w:rPr>
                <w:highlight w:val="none"/>
              </w:rPr>
            </w:pPr>
          </w:p>
        </w:tc>
        <w:tc>
          <w:tcPr>
            <w:tcW w:w="1459" w:type="dxa"/>
            <w:vMerge w:val="continue"/>
            <w:tcBorders>
              <w:left w:val="single" w:color="auto" w:sz="4" w:space="0"/>
            </w:tcBorders>
            <w:vAlign w:val="center"/>
          </w:tcPr>
          <w:p w14:paraId="6137F7D2">
            <w:pPr>
              <w:rPr>
                <w:highlight w:val="none"/>
              </w:rPr>
            </w:pPr>
          </w:p>
        </w:tc>
        <w:tc>
          <w:tcPr>
            <w:tcW w:w="914" w:type="dxa"/>
            <w:tcBorders>
              <w:left w:val="single" w:color="auto" w:sz="4" w:space="0"/>
            </w:tcBorders>
            <w:vAlign w:val="center"/>
          </w:tcPr>
          <w:p w14:paraId="6E075158">
            <w:pPr>
              <w:spacing w:line="360" w:lineRule="auto"/>
              <w:jc w:val="center"/>
              <w:rPr>
                <w:rFonts w:hint="eastAsia"/>
                <w:highlight w:val="none"/>
                <w:lang w:val="en-US" w:eastAsia="zh-CN"/>
              </w:rPr>
            </w:pPr>
            <w:r>
              <w:rPr>
                <w:rFonts w:hint="eastAsia" w:ascii="宋体" w:hAnsi="宋体" w:eastAsia="宋体" w:cs="宋体"/>
                <w:highlight w:val="none"/>
                <w:lang w:val="en-US" w:eastAsia="zh-CN"/>
              </w:rPr>
              <w:t>0-9分</w:t>
            </w:r>
          </w:p>
        </w:tc>
        <w:tc>
          <w:tcPr>
            <w:tcW w:w="5891" w:type="dxa"/>
            <w:gridSpan w:val="2"/>
            <w:tcBorders>
              <w:left w:val="single" w:color="auto" w:sz="4" w:space="0"/>
            </w:tcBorders>
            <w:vAlign w:val="center"/>
          </w:tcPr>
          <w:p w14:paraId="2B8ECC88">
            <w:pPr>
              <w:bidi w:val="0"/>
              <w:spacing w:line="360" w:lineRule="auto"/>
              <w:rPr>
                <w:rFonts w:hint="eastAsia" w:ascii="宋体" w:hAnsi="宋体" w:eastAsia="宋体"/>
                <w:szCs w:val="21"/>
                <w:highlight w:val="none"/>
                <w:lang w:eastAsia="zh-CN"/>
              </w:rPr>
            </w:pPr>
            <w:r>
              <w:rPr>
                <w:rFonts w:hint="eastAsia" w:ascii="宋体" w:hAnsi="宋体"/>
                <w:szCs w:val="21"/>
                <w:highlight w:val="none"/>
              </w:rPr>
              <w:t>供应商针对做好“浙影通”平台</w:t>
            </w:r>
            <w:r>
              <w:rPr>
                <w:rFonts w:hint="eastAsia" w:ascii="宋体" w:hAnsi="宋体"/>
                <w:szCs w:val="21"/>
                <w:highlight w:val="none"/>
                <w:lang w:val="en-US" w:eastAsia="zh-CN"/>
              </w:rPr>
              <w:t>监管</w:t>
            </w:r>
            <w:r>
              <w:rPr>
                <w:rFonts w:hint="eastAsia" w:ascii="宋体" w:hAnsi="宋体"/>
                <w:szCs w:val="21"/>
                <w:highlight w:val="none"/>
              </w:rPr>
              <w:t>工作的落实与安排</w:t>
            </w:r>
            <w:r>
              <w:rPr>
                <w:rFonts w:hint="eastAsia" w:ascii="宋体" w:hAnsi="宋体"/>
                <w:szCs w:val="21"/>
                <w:highlight w:val="none"/>
                <w:lang w:eastAsia="zh-CN"/>
              </w:rPr>
              <w:t>：</w:t>
            </w:r>
          </w:p>
          <w:p w14:paraId="6F60F729">
            <w:pPr>
              <w:bidi w:val="0"/>
              <w:spacing w:line="360" w:lineRule="auto"/>
              <w:rPr>
                <w:rFonts w:hint="eastAsia"/>
                <w:highlight w:val="none"/>
                <w:lang w:val="en-US" w:eastAsia="zh-CN"/>
              </w:rPr>
            </w:pPr>
            <w:r>
              <w:rPr>
                <w:rFonts w:hint="eastAsia"/>
                <w:highlight w:val="none"/>
                <w:lang w:val="en-US" w:eastAsia="zh-CN"/>
              </w:rPr>
              <w:t>① 安排全面、科学、合理，具有针对性的，得9分；</w:t>
            </w:r>
          </w:p>
          <w:p w14:paraId="0241B2BA">
            <w:pPr>
              <w:bidi w:val="0"/>
              <w:spacing w:line="360" w:lineRule="auto"/>
              <w:rPr>
                <w:rFonts w:hint="eastAsia"/>
                <w:highlight w:val="none"/>
                <w:lang w:val="en-US" w:eastAsia="zh-CN"/>
              </w:rPr>
            </w:pPr>
            <w:r>
              <w:rPr>
                <w:rFonts w:hint="eastAsia"/>
                <w:highlight w:val="none"/>
                <w:lang w:val="en-US" w:eastAsia="zh-CN"/>
              </w:rPr>
              <w:t>② 安排不够全面、科学，较有针对性的，得6分；</w:t>
            </w:r>
          </w:p>
          <w:p w14:paraId="458EA0C7">
            <w:pPr>
              <w:bidi w:val="0"/>
              <w:spacing w:line="360" w:lineRule="auto"/>
              <w:rPr>
                <w:rFonts w:hint="eastAsia"/>
                <w:highlight w:val="none"/>
                <w:lang w:val="en-US" w:eastAsia="zh-CN"/>
              </w:rPr>
            </w:pPr>
            <w:r>
              <w:rPr>
                <w:rFonts w:hint="eastAsia"/>
                <w:highlight w:val="none"/>
                <w:lang w:val="en-US" w:eastAsia="zh-CN"/>
              </w:rPr>
              <w:t>③ 安排简单，针对性较弱的，得3分；</w:t>
            </w:r>
          </w:p>
          <w:p w14:paraId="2DEBBC9E">
            <w:pPr>
              <w:bidi w:val="0"/>
              <w:spacing w:line="360" w:lineRule="auto"/>
              <w:rPr>
                <w:rFonts w:hint="eastAsia"/>
                <w:highlight w:val="none"/>
                <w:lang w:val="en-US" w:eastAsia="zh-CN"/>
              </w:rPr>
            </w:pPr>
            <w:r>
              <w:rPr>
                <w:rFonts w:hint="eastAsia"/>
                <w:highlight w:val="none"/>
                <w:lang w:val="en-US" w:eastAsia="zh-CN"/>
              </w:rPr>
              <w:t>④ 未提供安排或者安排不可行或不符合项目需求的，不得分。</w:t>
            </w:r>
          </w:p>
        </w:tc>
      </w:tr>
      <w:tr w14:paraId="1C350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9014" w:type="dxa"/>
            <w:gridSpan w:val="5"/>
            <w:vAlign w:val="center"/>
          </w:tcPr>
          <w:p w14:paraId="6E2CAFDC">
            <w:pPr>
              <w:spacing w:line="360" w:lineRule="auto"/>
              <w:rPr>
                <w:highlight w:val="none"/>
              </w:rPr>
            </w:pPr>
            <w:r>
              <w:rPr>
                <w:rFonts w:ascii="宋体" w:hAnsi="宋体" w:cs="宋体"/>
                <w:b/>
                <w:spacing w:val="-6"/>
                <w:kern w:val="28"/>
                <w:szCs w:val="21"/>
                <w:highlight w:val="none"/>
              </w:rPr>
              <w:t>注：所有证明资料、承诺、方案等均需加盖公章，不提供的视为不得分。</w:t>
            </w:r>
          </w:p>
        </w:tc>
      </w:tr>
    </w:tbl>
    <w:p w14:paraId="5ECC6A37">
      <w:pPr>
        <w:spacing w:line="360" w:lineRule="auto"/>
        <w:rPr>
          <w:rFonts w:ascii="宋体" w:hAnsi="宋体" w:cs="宋体"/>
          <w:bCs/>
          <w:kern w:val="28"/>
          <w:highlight w:val="none"/>
        </w:rPr>
      </w:pPr>
      <w:r>
        <w:rPr>
          <w:rFonts w:ascii="宋体" w:hAnsi="宋体" w:cs="宋体"/>
          <w:bCs/>
          <w:kern w:val="28"/>
          <w:highlight w:val="none"/>
        </w:rPr>
        <w:t>磋商程序详见第二部分磋商供应商须知“（六）磋商与评审”</w:t>
      </w:r>
    </w:p>
    <w:p w14:paraId="57721083">
      <w:pPr>
        <w:spacing w:line="360" w:lineRule="auto"/>
        <w:rPr>
          <w:rFonts w:ascii="宋体" w:hAnsi="宋体" w:cs="宋体"/>
          <w:bCs/>
          <w:kern w:val="28"/>
          <w:highlight w:val="none"/>
        </w:rPr>
      </w:pPr>
      <w:r>
        <w:rPr>
          <w:rFonts w:ascii="宋体" w:hAnsi="宋体" w:cs="宋体"/>
          <w:bCs/>
          <w:kern w:val="28"/>
          <w:highlight w:val="none"/>
        </w:rPr>
        <w:t>注：以上单位、人员各类证明文件扫描件均需加盖电子签章，附在响应文件中；提供材料不真实、不完整或伪造证明材料的，后果自负。</w:t>
      </w:r>
    </w:p>
    <w:p w14:paraId="774E5DD7">
      <w:pPr>
        <w:spacing w:line="360" w:lineRule="auto"/>
        <w:rPr>
          <w:rFonts w:ascii="宋体" w:hAnsi="宋体" w:cs="宋体"/>
          <w:b/>
          <w:kern w:val="28"/>
          <w:highlight w:val="none"/>
        </w:rPr>
      </w:pPr>
      <w:r>
        <w:rPr>
          <w:rFonts w:ascii="宋体" w:hAnsi="宋体" w:cs="宋体"/>
          <w:b/>
          <w:kern w:val="28"/>
          <w:highlight w:val="none"/>
        </w:rPr>
        <w:t>综合得分的计算：</w:t>
      </w:r>
    </w:p>
    <w:p w14:paraId="64FE5908">
      <w:pPr>
        <w:spacing w:line="360" w:lineRule="auto"/>
        <w:rPr>
          <w:rFonts w:ascii="宋体" w:hAnsi="宋体" w:cs="宋体"/>
          <w:bCs/>
          <w:kern w:val="28"/>
          <w:highlight w:val="none"/>
        </w:rPr>
      </w:pPr>
      <w:r>
        <w:rPr>
          <w:rFonts w:ascii="宋体" w:hAnsi="宋体" w:cs="宋体"/>
          <w:bCs/>
          <w:kern w:val="28"/>
          <w:highlight w:val="none"/>
        </w:rPr>
        <w:t>商务分得分根据磋商文件约定的因素和方法进行计算，商务分得分=A</w:t>
      </w:r>
    </w:p>
    <w:p w14:paraId="1CFD88DF">
      <w:pPr>
        <w:spacing w:line="360" w:lineRule="auto"/>
        <w:rPr>
          <w:rFonts w:ascii="宋体" w:hAnsi="宋体" w:cs="宋体"/>
          <w:bCs/>
          <w:kern w:val="28"/>
          <w:highlight w:val="none"/>
        </w:rPr>
      </w:pPr>
      <w:r>
        <w:rPr>
          <w:rFonts w:ascii="宋体" w:hAnsi="宋体" w:cs="宋体"/>
          <w:bCs/>
          <w:kern w:val="28"/>
          <w:highlight w:val="none"/>
        </w:rPr>
        <w:t>技术资信分得分按照磋商小组成员的独立评分结果汇总数算术平均分=B</w:t>
      </w:r>
    </w:p>
    <w:p w14:paraId="37EE7AC9">
      <w:pPr>
        <w:spacing w:line="360" w:lineRule="auto"/>
        <w:rPr>
          <w:rFonts w:ascii="宋体" w:hAnsi="宋体" w:cs="宋体"/>
          <w:bCs/>
          <w:kern w:val="28"/>
          <w:highlight w:val="none"/>
        </w:rPr>
      </w:pPr>
      <w:r>
        <w:rPr>
          <w:rFonts w:ascii="宋体" w:hAnsi="宋体" w:cs="宋体"/>
          <w:bCs/>
          <w:kern w:val="28"/>
          <w:highlight w:val="none"/>
        </w:rPr>
        <w:t>综合得分=A+B</w:t>
      </w:r>
    </w:p>
    <w:p w14:paraId="3BC45AF2">
      <w:pPr>
        <w:spacing w:line="360" w:lineRule="auto"/>
        <w:outlineLvl w:val="1"/>
        <w:rPr>
          <w:rFonts w:ascii="宋体" w:hAnsi="宋体" w:cs="宋体"/>
          <w:b/>
          <w:bCs/>
          <w:kern w:val="28"/>
          <w:highlight w:val="none"/>
        </w:rPr>
      </w:pPr>
      <w:bookmarkStart w:id="490" w:name="_Toc11963"/>
      <w:r>
        <w:rPr>
          <w:rFonts w:ascii="宋体" w:hAnsi="宋体" w:cs="宋体"/>
          <w:b/>
          <w:bCs/>
          <w:kern w:val="28"/>
          <w:highlight w:val="none"/>
        </w:rPr>
        <w:t>四、评定结果</w:t>
      </w:r>
      <w:bookmarkEnd w:id="490"/>
    </w:p>
    <w:p w14:paraId="28DD333C">
      <w:pPr>
        <w:tabs>
          <w:tab w:val="left" w:pos="851"/>
        </w:tabs>
        <w:spacing w:line="360" w:lineRule="auto"/>
        <w:ind w:firstLine="420" w:firstLineChars="200"/>
        <w:rPr>
          <w:rFonts w:ascii="宋体" w:hAnsi="宋体" w:cs="宋体"/>
          <w:highlight w:val="none"/>
        </w:rPr>
      </w:pPr>
      <w:r>
        <w:rPr>
          <w:rFonts w:ascii="宋体" w:hAnsi="宋体" w:cs="宋体"/>
          <w:highlight w:val="none"/>
        </w:rPr>
        <w:t>本次采购根据有效磋商供应商的综合评分从高到低原则，确定一个成交预选供应商，其他有效供应商依次确定为成交备选供应商。综合得分相同的，按投标报价由低到高顺序排列；合计得分且投标报价相同的，则由采购人代表在所有得分均相同者中随机抽取其中一名为名次优先者，依法予以确认为成交供应商。</w:t>
      </w:r>
    </w:p>
    <w:p w14:paraId="37429F2B">
      <w:pPr>
        <w:spacing w:line="360" w:lineRule="auto"/>
        <w:outlineLvl w:val="1"/>
        <w:rPr>
          <w:rFonts w:ascii="宋体" w:hAnsi="宋体" w:cs="宋体"/>
          <w:b/>
          <w:bCs/>
          <w:kern w:val="28"/>
          <w:highlight w:val="none"/>
        </w:rPr>
      </w:pPr>
      <w:bookmarkStart w:id="491" w:name="_Toc23465"/>
      <w:r>
        <w:rPr>
          <w:rFonts w:ascii="宋体" w:hAnsi="宋体" w:cs="宋体"/>
          <w:b/>
          <w:bCs/>
          <w:kern w:val="28"/>
          <w:highlight w:val="none"/>
        </w:rPr>
        <w:t>五、磋商供应商的义务</w:t>
      </w:r>
      <w:bookmarkEnd w:id="491"/>
    </w:p>
    <w:p w14:paraId="65C088EB">
      <w:pPr>
        <w:spacing w:line="360" w:lineRule="auto"/>
        <w:ind w:firstLine="420" w:firstLineChars="200"/>
        <w:rPr>
          <w:rFonts w:ascii="宋体" w:hAnsi="宋体" w:cs="宋体"/>
          <w:bCs/>
          <w:kern w:val="28"/>
          <w:highlight w:val="none"/>
        </w:rPr>
      </w:pPr>
      <w:r>
        <w:rPr>
          <w:rFonts w:ascii="宋体" w:hAnsi="宋体" w:cs="宋体"/>
          <w:bCs/>
          <w:kern w:val="28"/>
          <w:highlight w:val="none"/>
        </w:rPr>
        <w:t>磋商供应商应随时随地答复磋商小组的询标，解答包括有关的商务、技术问题等。磋商结束，所有评定资料存采购机构备案。</w:t>
      </w:r>
    </w:p>
    <w:p w14:paraId="48C773E8">
      <w:pPr>
        <w:spacing w:line="360" w:lineRule="auto"/>
        <w:rPr>
          <w:highlight w:val="none"/>
        </w:rPr>
      </w:pPr>
    </w:p>
    <w:p w14:paraId="7A635155">
      <w:pPr>
        <w:pStyle w:val="12"/>
        <w:rPr>
          <w:highlight w:val="none"/>
        </w:rPr>
      </w:pPr>
    </w:p>
    <w:p w14:paraId="02F1477A">
      <w:pPr>
        <w:pStyle w:val="7"/>
        <w:keepNext w:val="0"/>
        <w:keepLines w:val="0"/>
        <w:pageBreakBefore/>
        <w:shd w:val="clear" w:color="auto" w:fill="FFFFFF"/>
        <w:spacing w:before="156" w:beforeLines="50" w:after="156" w:afterLines="50" w:line="400" w:lineRule="atLeast"/>
        <w:jc w:val="center"/>
        <w:rPr>
          <w:bCs/>
          <w:sz w:val="32"/>
          <w:szCs w:val="28"/>
          <w:highlight w:val="none"/>
        </w:rPr>
      </w:pPr>
      <w:bookmarkStart w:id="492" w:name="_Toc75352678"/>
      <w:bookmarkStart w:id="493" w:name="_Toc26049"/>
      <w:bookmarkStart w:id="494" w:name="_Toc79686188"/>
      <w:bookmarkStart w:id="495" w:name="_Toc9663"/>
      <w:bookmarkStart w:id="496" w:name="_Toc23969"/>
      <w:bookmarkStart w:id="497" w:name="_Toc16720"/>
      <w:bookmarkStart w:id="498" w:name="_Toc13745"/>
      <w:bookmarkStart w:id="499" w:name="_Toc76399195"/>
      <w:r>
        <w:rPr>
          <w:rFonts w:hAnsi="宋体"/>
          <w:bCs/>
          <w:sz w:val="28"/>
          <w:szCs w:val="36"/>
          <w:highlight w:val="none"/>
        </w:rPr>
        <w:t>第七部分  信贷政策</w:t>
      </w:r>
      <w:bookmarkEnd w:id="492"/>
      <w:bookmarkEnd w:id="493"/>
      <w:bookmarkEnd w:id="494"/>
      <w:bookmarkEnd w:id="495"/>
      <w:bookmarkEnd w:id="496"/>
      <w:bookmarkEnd w:id="497"/>
      <w:bookmarkEnd w:id="498"/>
      <w:bookmarkEnd w:id="499"/>
    </w:p>
    <w:p w14:paraId="1E859EE4">
      <w:pPr>
        <w:widowControl/>
        <w:spacing w:line="400" w:lineRule="exact"/>
        <w:ind w:left="-199" w:leftChars="-95" w:firstLine="420" w:firstLineChars="200"/>
        <w:rPr>
          <w:rFonts w:ascii="宋体" w:hAnsi="宋体" w:cs="宋体"/>
          <w:szCs w:val="21"/>
          <w:highlight w:val="none"/>
        </w:rPr>
      </w:pPr>
      <w:r>
        <w:rPr>
          <w:rFonts w:ascii="宋体" w:hAnsi="宋体" w:cs="宋体"/>
          <w:szCs w:val="21"/>
          <w:highlight w:val="none"/>
        </w:rPr>
        <w:t>温州市财政局关于温州市政府采购支持中小企业信用融资的通知（温财采〔2020〕3号），中标单位如需要融资，可联系以下银行：</w:t>
      </w:r>
    </w:p>
    <w:p w14:paraId="2BEE0737">
      <w:pPr>
        <w:widowControl/>
        <w:spacing w:before="156" w:beforeLines="50" w:after="156" w:afterLines="50"/>
        <w:jc w:val="center"/>
        <w:rPr>
          <w:rFonts w:ascii="黑体" w:hAnsi="黑体" w:eastAsia="黑体" w:cs="黑体"/>
          <w:sz w:val="28"/>
          <w:szCs w:val="28"/>
          <w:highlight w:val="none"/>
        </w:rPr>
      </w:pPr>
      <w:bookmarkStart w:id="500" w:name="_Toc22054"/>
      <w:bookmarkStart w:id="501" w:name="_Toc22303"/>
      <w:bookmarkStart w:id="502" w:name="_Toc28302"/>
      <w:bookmarkStart w:id="503" w:name="_Toc29431"/>
      <w:r>
        <w:rPr>
          <w:rFonts w:ascii="黑体" w:hAnsi="黑体" w:eastAsia="黑体" w:cs="黑体"/>
          <w:sz w:val="28"/>
          <w:szCs w:val="28"/>
          <w:highlight w:val="none"/>
        </w:rPr>
        <w:t>温州市政府采购支持中小企业信用融资合作银行</w:t>
      </w:r>
      <w:bookmarkEnd w:id="500"/>
      <w:bookmarkEnd w:id="501"/>
      <w:bookmarkEnd w:id="502"/>
    </w:p>
    <w:tbl>
      <w:tblPr>
        <w:tblStyle w:val="25"/>
        <w:tblW w:w="9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2"/>
        <w:gridCol w:w="5611"/>
        <w:gridCol w:w="1020"/>
        <w:gridCol w:w="1680"/>
      </w:tblGrid>
      <w:tr w14:paraId="6F802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blHeader/>
          <w:jc w:val="center"/>
        </w:trPr>
        <w:tc>
          <w:tcPr>
            <w:tcW w:w="1112" w:type="dxa"/>
            <w:vAlign w:val="center"/>
          </w:tcPr>
          <w:p w14:paraId="3B88F2D6">
            <w:pPr>
              <w:pStyle w:val="40"/>
              <w:spacing w:line="360" w:lineRule="exact"/>
              <w:ind w:firstLine="0" w:firstLineChars="0"/>
              <w:jc w:val="center"/>
              <w:rPr>
                <w:rFonts w:ascii="宋体" w:hAnsi="宋体" w:eastAsia="宋体" w:cs="宋体"/>
                <w:b/>
                <w:bCs/>
                <w:kern w:val="0"/>
                <w:sz w:val="21"/>
                <w:szCs w:val="21"/>
                <w:highlight w:val="none"/>
              </w:rPr>
            </w:pPr>
            <w:r>
              <w:rPr>
                <w:rFonts w:ascii="宋体" w:hAnsi="宋体" w:eastAsia="宋体" w:cs="宋体"/>
                <w:b/>
                <w:bCs/>
                <w:kern w:val="0"/>
                <w:sz w:val="21"/>
                <w:szCs w:val="21"/>
                <w:highlight w:val="none"/>
              </w:rPr>
              <w:t>银行名称</w:t>
            </w:r>
          </w:p>
        </w:tc>
        <w:tc>
          <w:tcPr>
            <w:tcW w:w="5611" w:type="dxa"/>
            <w:vAlign w:val="center"/>
          </w:tcPr>
          <w:p w14:paraId="1DB2E9F0">
            <w:pPr>
              <w:pStyle w:val="40"/>
              <w:spacing w:line="360" w:lineRule="exact"/>
              <w:ind w:firstLine="0" w:firstLineChars="0"/>
              <w:jc w:val="center"/>
              <w:rPr>
                <w:rFonts w:ascii="宋体" w:hAnsi="宋体" w:eastAsia="宋体" w:cs="宋体"/>
                <w:b/>
                <w:bCs/>
                <w:kern w:val="0"/>
                <w:sz w:val="21"/>
                <w:szCs w:val="21"/>
                <w:highlight w:val="none"/>
              </w:rPr>
            </w:pPr>
            <w:r>
              <w:rPr>
                <w:rFonts w:ascii="宋体" w:hAnsi="宋体" w:eastAsia="宋体" w:cs="宋体"/>
                <w:b/>
                <w:bCs/>
                <w:kern w:val="0"/>
                <w:sz w:val="21"/>
                <w:szCs w:val="21"/>
                <w:highlight w:val="none"/>
              </w:rPr>
              <w:t>产品特点（不超过120字）</w:t>
            </w:r>
          </w:p>
        </w:tc>
        <w:tc>
          <w:tcPr>
            <w:tcW w:w="1020" w:type="dxa"/>
            <w:vAlign w:val="center"/>
          </w:tcPr>
          <w:p w14:paraId="7746B372">
            <w:pPr>
              <w:pStyle w:val="40"/>
              <w:spacing w:line="360" w:lineRule="exact"/>
              <w:ind w:firstLine="0" w:firstLineChars="0"/>
              <w:jc w:val="center"/>
              <w:rPr>
                <w:rFonts w:ascii="宋体" w:hAnsi="宋体" w:eastAsia="宋体" w:cs="宋体"/>
                <w:b/>
                <w:bCs/>
                <w:kern w:val="0"/>
                <w:sz w:val="21"/>
                <w:szCs w:val="21"/>
                <w:highlight w:val="none"/>
              </w:rPr>
            </w:pPr>
            <w:r>
              <w:rPr>
                <w:rFonts w:ascii="宋体" w:hAnsi="宋体" w:eastAsia="宋体" w:cs="宋体"/>
                <w:b/>
                <w:bCs/>
                <w:kern w:val="0"/>
                <w:sz w:val="21"/>
                <w:szCs w:val="21"/>
                <w:highlight w:val="none"/>
              </w:rPr>
              <w:t>经办人</w:t>
            </w:r>
          </w:p>
        </w:tc>
        <w:tc>
          <w:tcPr>
            <w:tcW w:w="1680" w:type="dxa"/>
            <w:vAlign w:val="center"/>
          </w:tcPr>
          <w:p w14:paraId="07E09EC0">
            <w:pPr>
              <w:spacing w:line="360" w:lineRule="exact"/>
              <w:jc w:val="center"/>
              <w:rPr>
                <w:rFonts w:ascii="宋体" w:hAnsi="宋体" w:cs="宋体"/>
                <w:b/>
                <w:bCs/>
                <w:szCs w:val="21"/>
                <w:highlight w:val="none"/>
              </w:rPr>
            </w:pPr>
            <w:r>
              <w:rPr>
                <w:rFonts w:ascii="宋体" w:hAnsi="宋体" w:cs="宋体"/>
                <w:b/>
                <w:bCs/>
                <w:szCs w:val="21"/>
                <w:highlight w:val="none"/>
              </w:rPr>
              <w:t>联系方式</w:t>
            </w:r>
          </w:p>
        </w:tc>
      </w:tr>
      <w:tr w14:paraId="6A0B5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3" w:hRule="atLeast"/>
          <w:jc w:val="center"/>
        </w:trPr>
        <w:tc>
          <w:tcPr>
            <w:tcW w:w="1112" w:type="dxa"/>
            <w:vAlign w:val="center"/>
          </w:tcPr>
          <w:p w14:paraId="50B7E6F5">
            <w:pPr>
              <w:spacing w:line="360" w:lineRule="exact"/>
              <w:jc w:val="center"/>
              <w:rPr>
                <w:rFonts w:ascii="宋体" w:hAnsi="宋体" w:cs="宋体"/>
                <w:szCs w:val="21"/>
                <w:highlight w:val="none"/>
              </w:rPr>
            </w:pPr>
            <w:r>
              <w:rPr>
                <w:rFonts w:ascii="宋体" w:hAnsi="宋体" w:cs="宋体"/>
                <w:szCs w:val="21"/>
                <w:highlight w:val="none"/>
              </w:rPr>
              <w:t>中国建设银行股份有限公司温州分行</w:t>
            </w:r>
          </w:p>
        </w:tc>
        <w:tc>
          <w:tcPr>
            <w:tcW w:w="5611" w:type="dxa"/>
            <w:tcBorders>
              <w:left w:val="single" w:color="auto" w:sz="4" w:space="0"/>
            </w:tcBorders>
            <w:vAlign w:val="center"/>
          </w:tcPr>
          <w:p w14:paraId="170985F4">
            <w:pPr>
              <w:spacing w:line="360" w:lineRule="exact"/>
              <w:rPr>
                <w:rFonts w:ascii="宋体" w:hAnsi="宋体" w:cs="宋体"/>
                <w:szCs w:val="21"/>
                <w:highlight w:val="none"/>
              </w:rPr>
            </w:pPr>
            <w:r>
              <w:rPr>
                <w:rFonts w:ascii="宋体" w:hAnsi="宋体" w:cs="宋体"/>
                <w:szCs w:val="21"/>
                <w:highlight w:val="none"/>
              </w:rPr>
              <w:t>申请手续简便：以政府采购合同为基础，无需额外抵押和担保；融资价格优惠：最低可享受4.15%的优惠利率，随LPR浮动调整；到账时间快速：最快可实现当日申请，当日放款；办理流程省心：线上操作流程，免去银行排队奔波。</w:t>
            </w:r>
          </w:p>
        </w:tc>
        <w:tc>
          <w:tcPr>
            <w:tcW w:w="1020" w:type="dxa"/>
            <w:tcBorders>
              <w:left w:val="single" w:color="auto" w:sz="4" w:space="0"/>
            </w:tcBorders>
            <w:vAlign w:val="center"/>
          </w:tcPr>
          <w:p w14:paraId="663BBF2C">
            <w:pPr>
              <w:spacing w:line="360" w:lineRule="exact"/>
              <w:jc w:val="center"/>
              <w:rPr>
                <w:rFonts w:ascii="宋体" w:hAnsi="宋体" w:cs="宋体"/>
                <w:szCs w:val="21"/>
                <w:highlight w:val="none"/>
              </w:rPr>
            </w:pPr>
            <w:r>
              <w:rPr>
                <w:rFonts w:ascii="宋体" w:hAnsi="宋体" w:cs="宋体"/>
                <w:szCs w:val="21"/>
                <w:highlight w:val="none"/>
              </w:rPr>
              <w:t>张经理</w:t>
            </w:r>
          </w:p>
        </w:tc>
        <w:tc>
          <w:tcPr>
            <w:tcW w:w="1680" w:type="dxa"/>
            <w:tcBorders>
              <w:left w:val="single" w:color="auto" w:sz="4" w:space="0"/>
            </w:tcBorders>
            <w:vAlign w:val="center"/>
          </w:tcPr>
          <w:p w14:paraId="7DCB2E8F">
            <w:pPr>
              <w:spacing w:line="360" w:lineRule="exact"/>
              <w:jc w:val="center"/>
              <w:rPr>
                <w:rFonts w:ascii="宋体" w:hAnsi="宋体" w:cs="宋体"/>
                <w:szCs w:val="21"/>
                <w:highlight w:val="none"/>
              </w:rPr>
            </w:pPr>
            <w:r>
              <w:rPr>
                <w:rFonts w:ascii="宋体" w:hAnsi="宋体" w:cs="宋体"/>
                <w:szCs w:val="21"/>
                <w:highlight w:val="none"/>
              </w:rPr>
              <w:t>0577-65819553（瑞安）</w:t>
            </w:r>
          </w:p>
          <w:p w14:paraId="6AA62048">
            <w:pPr>
              <w:spacing w:line="360" w:lineRule="exact"/>
              <w:jc w:val="center"/>
              <w:rPr>
                <w:rFonts w:ascii="宋体" w:hAnsi="宋体" w:cs="宋体"/>
                <w:szCs w:val="21"/>
                <w:highlight w:val="none"/>
              </w:rPr>
            </w:pPr>
            <w:r>
              <w:rPr>
                <w:rFonts w:ascii="宋体" w:hAnsi="宋体" w:cs="宋体"/>
                <w:szCs w:val="21"/>
                <w:highlight w:val="none"/>
              </w:rPr>
              <w:t>0577-88093286（温州）</w:t>
            </w:r>
          </w:p>
        </w:tc>
      </w:tr>
      <w:tr w14:paraId="2A188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jc w:val="center"/>
        </w:trPr>
        <w:tc>
          <w:tcPr>
            <w:tcW w:w="1112" w:type="dxa"/>
            <w:vAlign w:val="center"/>
          </w:tcPr>
          <w:p w14:paraId="41B6E607">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中国工商银行股份有限公司温州分行</w:t>
            </w:r>
          </w:p>
        </w:tc>
        <w:tc>
          <w:tcPr>
            <w:tcW w:w="5611" w:type="dxa"/>
            <w:tcBorders>
              <w:left w:val="single" w:color="auto" w:sz="4" w:space="0"/>
            </w:tcBorders>
            <w:vAlign w:val="center"/>
          </w:tcPr>
          <w:p w14:paraId="5EC4F2F4">
            <w:pPr>
              <w:spacing w:line="360" w:lineRule="exact"/>
              <w:rPr>
                <w:rFonts w:ascii="宋体" w:hAnsi="宋体" w:cs="宋体"/>
                <w:szCs w:val="21"/>
                <w:highlight w:val="none"/>
              </w:rPr>
            </w:pPr>
            <w:r>
              <w:rPr>
                <w:rFonts w:ascii="宋体" w:hAnsi="宋体" w:cs="宋体"/>
                <w:szCs w:val="21"/>
                <w:highlight w:val="none"/>
              </w:rPr>
              <w:t>一、融资方式：采取简易方式,根据流水及纳税情况核定额度。信用方式。（融资200万以下）根据政府采购合同及供应商资金需求确定，以信用为主，追加采购合同项下的预期销货款为我行质押。（融资200万以上）二、融资利率：在我行一般中小企业信用贷款利率基础上下浮10%。</w:t>
            </w:r>
          </w:p>
        </w:tc>
        <w:tc>
          <w:tcPr>
            <w:tcW w:w="1020" w:type="dxa"/>
            <w:tcBorders>
              <w:left w:val="single" w:color="auto" w:sz="4" w:space="0"/>
            </w:tcBorders>
            <w:vAlign w:val="center"/>
          </w:tcPr>
          <w:p w14:paraId="4F3E5DFB">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王经理</w:t>
            </w:r>
          </w:p>
        </w:tc>
        <w:tc>
          <w:tcPr>
            <w:tcW w:w="1680" w:type="dxa"/>
            <w:tcBorders>
              <w:left w:val="single" w:color="auto" w:sz="4" w:space="0"/>
            </w:tcBorders>
            <w:vAlign w:val="center"/>
          </w:tcPr>
          <w:p w14:paraId="173438AD">
            <w:pPr>
              <w:spacing w:line="360" w:lineRule="exact"/>
              <w:jc w:val="center"/>
              <w:rPr>
                <w:rFonts w:ascii="宋体" w:hAnsi="宋体" w:cs="宋体"/>
                <w:szCs w:val="21"/>
                <w:highlight w:val="none"/>
              </w:rPr>
            </w:pPr>
            <w:r>
              <w:rPr>
                <w:rFonts w:ascii="宋体" w:hAnsi="宋体" w:cs="宋体"/>
                <w:szCs w:val="21"/>
                <w:highlight w:val="none"/>
              </w:rPr>
              <w:t>0577-88186626</w:t>
            </w:r>
          </w:p>
        </w:tc>
      </w:tr>
      <w:tr w14:paraId="1462A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3" w:hRule="atLeast"/>
          <w:jc w:val="center"/>
        </w:trPr>
        <w:tc>
          <w:tcPr>
            <w:tcW w:w="1112" w:type="dxa"/>
            <w:vAlign w:val="center"/>
          </w:tcPr>
          <w:p w14:paraId="2B842FD9">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中国邮政储蓄银行股份有限公司温州市分行</w:t>
            </w:r>
          </w:p>
        </w:tc>
        <w:tc>
          <w:tcPr>
            <w:tcW w:w="5611" w:type="dxa"/>
            <w:tcBorders>
              <w:left w:val="single" w:color="auto" w:sz="4" w:space="0"/>
            </w:tcBorders>
            <w:vAlign w:val="center"/>
          </w:tcPr>
          <w:p w14:paraId="64060A48">
            <w:pPr>
              <w:spacing w:line="360" w:lineRule="exact"/>
              <w:rPr>
                <w:rFonts w:ascii="宋体" w:hAnsi="宋体" w:cs="宋体"/>
                <w:szCs w:val="21"/>
                <w:highlight w:val="none"/>
              </w:rPr>
            </w:pPr>
            <w:r>
              <w:rPr>
                <w:rFonts w:ascii="宋体" w:hAnsi="宋体" w:cs="宋体"/>
                <w:szCs w:val="21"/>
                <w:highlight w:val="none"/>
              </w:rPr>
              <w:t>“政府采购贷”业务，是指我行为政府采购项目中标企业发放的，用于中标企业合法生产经营活动的短期人民币流动资金贷款。贷款免抵押、免担保，手续便捷、审批快速，单笔金额最高500万元，单笔期限最长18个月。</w:t>
            </w:r>
          </w:p>
        </w:tc>
        <w:tc>
          <w:tcPr>
            <w:tcW w:w="1020" w:type="dxa"/>
            <w:tcBorders>
              <w:left w:val="single" w:color="auto" w:sz="4" w:space="0"/>
            </w:tcBorders>
            <w:vAlign w:val="center"/>
          </w:tcPr>
          <w:p w14:paraId="0731F544">
            <w:pPr>
              <w:spacing w:line="360" w:lineRule="exact"/>
              <w:jc w:val="center"/>
              <w:rPr>
                <w:rFonts w:ascii="宋体" w:hAnsi="宋体" w:cs="宋体"/>
                <w:szCs w:val="21"/>
                <w:highlight w:val="none"/>
              </w:rPr>
            </w:pPr>
            <w:r>
              <w:rPr>
                <w:rFonts w:ascii="宋体" w:hAnsi="宋体" w:cs="宋体"/>
                <w:szCs w:val="21"/>
                <w:highlight w:val="none"/>
              </w:rPr>
              <w:t>郑经理</w:t>
            </w:r>
          </w:p>
        </w:tc>
        <w:tc>
          <w:tcPr>
            <w:tcW w:w="1680" w:type="dxa"/>
            <w:tcBorders>
              <w:left w:val="single" w:color="auto" w:sz="4" w:space="0"/>
            </w:tcBorders>
            <w:vAlign w:val="center"/>
          </w:tcPr>
          <w:p w14:paraId="4ADE92DE">
            <w:pPr>
              <w:spacing w:line="360" w:lineRule="exact"/>
              <w:jc w:val="center"/>
              <w:rPr>
                <w:rFonts w:ascii="宋体" w:hAnsi="宋体" w:cs="宋体"/>
                <w:szCs w:val="21"/>
                <w:highlight w:val="none"/>
              </w:rPr>
            </w:pPr>
            <w:r>
              <w:rPr>
                <w:rFonts w:ascii="宋体" w:hAnsi="宋体" w:cs="宋体"/>
                <w:szCs w:val="21"/>
                <w:highlight w:val="none"/>
              </w:rPr>
              <w:t>0577-88193910</w:t>
            </w:r>
          </w:p>
        </w:tc>
      </w:tr>
      <w:tr w14:paraId="169F2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jc w:val="center"/>
        </w:trPr>
        <w:tc>
          <w:tcPr>
            <w:tcW w:w="1112" w:type="dxa"/>
            <w:vAlign w:val="center"/>
          </w:tcPr>
          <w:p w14:paraId="3D568157">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中国民生银行股份有限公司温州分行</w:t>
            </w:r>
          </w:p>
        </w:tc>
        <w:tc>
          <w:tcPr>
            <w:tcW w:w="5611" w:type="dxa"/>
            <w:tcBorders>
              <w:left w:val="single" w:color="auto" w:sz="4" w:space="0"/>
            </w:tcBorders>
            <w:vAlign w:val="center"/>
          </w:tcPr>
          <w:p w14:paraId="72748BA2">
            <w:pPr>
              <w:spacing w:line="360" w:lineRule="exact"/>
              <w:rPr>
                <w:rFonts w:ascii="宋体" w:hAnsi="宋体" w:cs="宋体"/>
                <w:szCs w:val="21"/>
                <w:highlight w:val="none"/>
              </w:rPr>
            </w:pPr>
            <w:r>
              <w:rPr>
                <w:rFonts w:ascii="宋体" w:hAnsi="宋体" w:cs="宋体"/>
                <w:szCs w:val="21"/>
                <w:highlight w:val="none"/>
              </w:rPr>
              <w:t>民生银行供应链金融“政采贷”产品，专为政府采购场景下的中小企业融资而设计，最高融资额度可达政府采购合同交易金额的70%,最高单笔授信金额可达500万元，期限最长可达1年，无需抵押，无需办理应收账款质押，材料简单，流程便捷，利率优惠。</w:t>
            </w:r>
          </w:p>
        </w:tc>
        <w:tc>
          <w:tcPr>
            <w:tcW w:w="1020" w:type="dxa"/>
            <w:tcBorders>
              <w:left w:val="single" w:color="auto" w:sz="4" w:space="0"/>
            </w:tcBorders>
            <w:vAlign w:val="center"/>
          </w:tcPr>
          <w:p w14:paraId="015BF623">
            <w:pPr>
              <w:spacing w:line="360" w:lineRule="exact"/>
              <w:jc w:val="center"/>
              <w:rPr>
                <w:rFonts w:ascii="宋体" w:hAnsi="宋体" w:cs="宋体"/>
                <w:szCs w:val="21"/>
                <w:highlight w:val="none"/>
              </w:rPr>
            </w:pPr>
            <w:r>
              <w:rPr>
                <w:rFonts w:ascii="宋体" w:hAnsi="宋体" w:cs="宋体"/>
                <w:szCs w:val="21"/>
                <w:highlight w:val="none"/>
              </w:rPr>
              <w:t>项经理</w:t>
            </w:r>
          </w:p>
        </w:tc>
        <w:tc>
          <w:tcPr>
            <w:tcW w:w="1680" w:type="dxa"/>
            <w:tcBorders>
              <w:left w:val="single" w:color="auto" w:sz="4" w:space="0"/>
            </w:tcBorders>
            <w:vAlign w:val="center"/>
          </w:tcPr>
          <w:p w14:paraId="0A44EFAB">
            <w:pPr>
              <w:spacing w:line="360" w:lineRule="exact"/>
              <w:jc w:val="center"/>
              <w:rPr>
                <w:rFonts w:ascii="宋体" w:hAnsi="宋体" w:cs="宋体"/>
                <w:szCs w:val="21"/>
                <w:highlight w:val="none"/>
              </w:rPr>
            </w:pPr>
            <w:r>
              <w:rPr>
                <w:rFonts w:ascii="宋体" w:hAnsi="宋体" w:cs="宋体"/>
                <w:szCs w:val="21"/>
                <w:highlight w:val="none"/>
              </w:rPr>
              <w:t>18057779630</w:t>
            </w:r>
          </w:p>
        </w:tc>
      </w:tr>
      <w:tr w14:paraId="6C61C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jc w:val="center"/>
        </w:trPr>
        <w:tc>
          <w:tcPr>
            <w:tcW w:w="1112" w:type="dxa"/>
            <w:vAlign w:val="center"/>
          </w:tcPr>
          <w:p w14:paraId="7A2F936D">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宁波银行股份有限公司温州分行</w:t>
            </w:r>
          </w:p>
        </w:tc>
        <w:tc>
          <w:tcPr>
            <w:tcW w:w="5611" w:type="dxa"/>
            <w:tcBorders>
              <w:left w:val="single" w:color="auto" w:sz="4" w:space="0"/>
            </w:tcBorders>
            <w:vAlign w:val="center"/>
          </w:tcPr>
          <w:p w14:paraId="64D2378B">
            <w:pPr>
              <w:spacing w:line="360" w:lineRule="exact"/>
              <w:rPr>
                <w:rFonts w:ascii="宋体" w:hAnsi="宋体" w:cs="宋体"/>
                <w:szCs w:val="21"/>
                <w:highlight w:val="none"/>
              </w:rPr>
            </w:pPr>
            <w:r>
              <w:rPr>
                <w:rFonts w:ascii="宋体" w:hAnsi="宋体" w:cs="宋体"/>
                <w:szCs w:val="21"/>
                <w:highlight w:val="none"/>
              </w:rPr>
              <w:t>宁波银行政府采购融资指应供应商申请，以政府采购合同项下的回款为主要还款来源，为满足供应商履行采购合同所需资金而向其提供融资的信贷业务。提供中标通知书及其他授信材料即可申请，授信担保方式为信用，最长期限不超过一年，最大金额不超过2000万元。</w:t>
            </w:r>
          </w:p>
        </w:tc>
        <w:tc>
          <w:tcPr>
            <w:tcW w:w="1020" w:type="dxa"/>
            <w:tcBorders>
              <w:left w:val="single" w:color="auto" w:sz="4" w:space="0"/>
            </w:tcBorders>
            <w:vAlign w:val="center"/>
          </w:tcPr>
          <w:p w14:paraId="27AA2AA7">
            <w:pPr>
              <w:spacing w:line="360" w:lineRule="exact"/>
              <w:jc w:val="center"/>
              <w:rPr>
                <w:rFonts w:ascii="宋体" w:hAnsi="宋体" w:cs="宋体"/>
                <w:szCs w:val="21"/>
                <w:highlight w:val="none"/>
              </w:rPr>
            </w:pPr>
            <w:r>
              <w:rPr>
                <w:rFonts w:ascii="宋体" w:hAnsi="宋体" w:cs="宋体"/>
                <w:szCs w:val="21"/>
                <w:highlight w:val="none"/>
              </w:rPr>
              <w:t>陈经理</w:t>
            </w:r>
          </w:p>
        </w:tc>
        <w:tc>
          <w:tcPr>
            <w:tcW w:w="1680" w:type="dxa"/>
            <w:tcBorders>
              <w:left w:val="single" w:color="auto" w:sz="4" w:space="0"/>
            </w:tcBorders>
            <w:vAlign w:val="center"/>
          </w:tcPr>
          <w:p w14:paraId="61FB1EEE">
            <w:pPr>
              <w:jc w:val="center"/>
              <w:rPr>
                <w:rFonts w:ascii="宋体" w:hAnsi="宋体" w:cs="宋体"/>
                <w:szCs w:val="21"/>
                <w:highlight w:val="none"/>
              </w:rPr>
            </w:pPr>
            <w:r>
              <w:rPr>
                <w:highlight w:val="none"/>
              </w:rPr>
              <w:t>0577-88007377</w:t>
            </w:r>
          </w:p>
        </w:tc>
      </w:tr>
      <w:tr w14:paraId="19AEB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jc w:val="center"/>
        </w:trPr>
        <w:tc>
          <w:tcPr>
            <w:tcW w:w="1112" w:type="dxa"/>
            <w:vAlign w:val="center"/>
          </w:tcPr>
          <w:p w14:paraId="21619C46">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杭州银行股份有限公司温州分行</w:t>
            </w:r>
          </w:p>
        </w:tc>
        <w:tc>
          <w:tcPr>
            <w:tcW w:w="5611" w:type="dxa"/>
            <w:tcBorders>
              <w:left w:val="single" w:color="auto" w:sz="4" w:space="0"/>
            </w:tcBorders>
            <w:vAlign w:val="center"/>
          </w:tcPr>
          <w:p w14:paraId="257D4223">
            <w:pPr>
              <w:spacing w:line="360" w:lineRule="exact"/>
              <w:rPr>
                <w:rFonts w:ascii="宋体" w:hAnsi="宋体" w:cs="宋体"/>
                <w:bCs/>
                <w:szCs w:val="21"/>
                <w:highlight w:val="none"/>
              </w:rPr>
            </w:pPr>
            <w:r>
              <w:rPr>
                <w:rFonts w:ascii="宋体" w:hAnsi="宋体" w:cs="宋体"/>
                <w:bCs/>
                <w:szCs w:val="21"/>
                <w:highlight w:val="none"/>
              </w:rPr>
              <w:t>门槛低：纯信用，平台注册入库并取得采购合同即可申请</w:t>
            </w:r>
          </w:p>
          <w:p w14:paraId="41E64655">
            <w:pPr>
              <w:spacing w:line="360" w:lineRule="exact"/>
              <w:rPr>
                <w:rFonts w:ascii="宋体" w:hAnsi="宋体" w:cs="宋体"/>
                <w:bCs/>
                <w:szCs w:val="21"/>
                <w:highlight w:val="none"/>
              </w:rPr>
            </w:pPr>
            <w:r>
              <w:rPr>
                <w:rFonts w:ascii="宋体" w:hAnsi="宋体" w:cs="宋体"/>
                <w:bCs/>
                <w:szCs w:val="21"/>
                <w:highlight w:val="none"/>
              </w:rPr>
              <w:t>手续简：线上申请+线上签约，足不出户</w:t>
            </w:r>
          </w:p>
          <w:p w14:paraId="46B7B408">
            <w:pPr>
              <w:spacing w:line="360" w:lineRule="exact"/>
              <w:rPr>
                <w:rFonts w:ascii="宋体" w:hAnsi="宋体" w:cs="宋体"/>
                <w:bCs/>
                <w:szCs w:val="21"/>
                <w:highlight w:val="none"/>
              </w:rPr>
            </w:pPr>
            <w:r>
              <w:rPr>
                <w:rFonts w:ascii="宋体" w:hAnsi="宋体" w:cs="宋体"/>
                <w:bCs/>
                <w:szCs w:val="21"/>
                <w:highlight w:val="none"/>
              </w:rPr>
              <w:t>利率优：按优于一般中小企业贷款利率执行</w:t>
            </w:r>
          </w:p>
          <w:p w14:paraId="371ADB4E">
            <w:pPr>
              <w:spacing w:line="360" w:lineRule="exact"/>
              <w:rPr>
                <w:rFonts w:ascii="宋体" w:hAnsi="宋体" w:cs="宋体"/>
                <w:szCs w:val="21"/>
                <w:highlight w:val="none"/>
              </w:rPr>
            </w:pPr>
            <w:r>
              <w:rPr>
                <w:rFonts w:ascii="宋体" w:hAnsi="宋体" w:cs="宋体"/>
                <w:bCs/>
                <w:szCs w:val="21"/>
                <w:highlight w:val="none"/>
              </w:rPr>
              <w:t>额度高：最高为合同金额的80%</w:t>
            </w:r>
          </w:p>
        </w:tc>
        <w:tc>
          <w:tcPr>
            <w:tcW w:w="1020" w:type="dxa"/>
            <w:tcBorders>
              <w:left w:val="single" w:color="auto" w:sz="4" w:space="0"/>
            </w:tcBorders>
            <w:vAlign w:val="center"/>
          </w:tcPr>
          <w:p w14:paraId="614483FD">
            <w:pPr>
              <w:spacing w:line="360" w:lineRule="exact"/>
              <w:jc w:val="center"/>
              <w:rPr>
                <w:rFonts w:ascii="宋体" w:hAnsi="宋体" w:cs="宋体"/>
                <w:szCs w:val="21"/>
                <w:highlight w:val="none"/>
              </w:rPr>
            </w:pPr>
            <w:r>
              <w:rPr>
                <w:rFonts w:ascii="宋体" w:hAnsi="宋体" w:cs="宋体"/>
                <w:szCs w:val="21"/>
                <w:highlight w:val="none"/>
              </w:rPr>
              <w:t>叶经理</w:t>
            </w:r>
          </w:p>
        </w:tc>
        <w:tc>
          <w:tcPr>
            <w:tcW w:w="1680" w:type="dxa"/>
            <w:tcBorders>
              <w:left w:val="single" w:color="auto" w:sz="4" w:space="0"/>
            </w:tcBorders>
            <w:vAlign w:val="center"/>
          </w:tcPr>
          <w:p w14:paraId="44F9B7FC">
            <w:pPr>
              <w:spacing w:line="360" w:lineRule="exact"/>
              <w:jc w:val="center"/>
              <w:rPr>
                <w:rFonts w:ascii="宋体" w:hAnsi="宋体" w:cs="宋体"/>
                <w:szCs w:val="21"/>
                <w:highlight w:val="none"/>
              </w:rPr>
            </w:pPr>
            <w:r>
              <w:rPr>
                <w:rFonts w:ascii="宋体" w:hAnsi="宋体" w:cs="宋体"/>
                <w:szCs w:val="21"/>
                <w:highlight w:val="none"/>
              </w:rPr>
              <w:t>0577-88008933</w:t>
            </w:r>
          </w:p>
        </w:tc>
      </w:tr>
      <w:tr w14:paraId="7C8DE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5" w:hRule="atLeast"/>
          <w:jc w:val="center"/>
        </w:trPr>
        <w:tc>
          <w:tcPr>
            <w:tcW w:w="1112" w:type="dxa"/>
            <w:vAlign w:val="center"/>
          </w:tcPr>
          <w:p w14:paraId="794DAC69">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招商银行股份有限公司温州分行</w:t>
            </w:r>
          </w:p>
        </w:tc>
        <w:tc>
          <w:tcPr>
            <w:tcW w:w="5611" w:type="dxa"/>
            <w:tcBorders>
              <w:left w:val="single" w:color="auto" w:sz="4" w:space="0"/>
            </w:tcBorders>
            <w:vAlign w:val="center"/>
          </w:tcPr>
          <w:p w14:paraId="15899EEF">
            <w:pPr>
              <w:spacing w:line="360" w:lineRule="exact"/>
              <w:rPr>
                <w:rFonts w:ascii="宋体" w:hAnsi="宋体" w:cs="宋体"/>
                <w:szCs w:val="21"/>
                <w:highlight w:val="none"/>
              </w:rPr>
            </w:pPr>
            <w:r>
              <w:rPr>
                <w:rFonts w:ascii="宋体" w:hAnsi="宋体" w:cs="宋体"/>
                <w:szCs w:val="21"/>
                <w:highlight w:val="none"/>
              </w:rPr>
              <w:t>政采贷是招商银行针对政府采购招投标中标供应商，以政府采购合同项下未来应收账款为第一还款来源的融资业务，无需抵质押物。额度最高可达2000万，同时可开通自助贷款直通功能，自助贷款额度最高可达1000万，支持线上申请、随借随还。</w:t>
            </w:r>
          </w:p>
        </w:tc>
        <w:tc>
          <w:tcPr>
            <w:tcW w:w="1020" w:type="dxa"/>
            <w:tcBorders>
              <w:left w:val="single" w:color="auto" w:sz="4" w:space="0"/>
            </w:tcBorders>
            <w:vAlign w:val="center"/>
          </w:tcPr>
          <w:p w14:paraId="7301CA4F">
            <w:pPr>
              <w:spacing w:line="360" w:lineRule="exact"/>
              <w:jc w:val="center"/>
              <w:rPr>
                <w:rFonts w:ascii="宋体" w:hAnsi="宋体" w:cs="宋体"/>
                <w:szCs w:val="21"/>
                <w:highlight w:val="none"/>
              </w:rPr>
            </w:pPr>
            <w:r>
              <w:rPr>
                <w:rFonts w:ascii="宋体" w:hAnsi="宋体" w:cs="宋体"/>
                <w:szCs w:val="21"/>
                <w:highlight w:val="none"/>
              </w:rPr>
              <w:t>陈经理</w:t>
            </w:r>
          </w:p>
        </w:tc>
        <w:tc>
          <w:tcPr>
            <w:tcW w:w="1680" w:type="dxa"/>
            <w:tcBorders>
              <w:left w:val="single" w:color="auto" w:sz="4" w:space="0"/>
            </w:tcBorders>
            <w:vAlign w:val="center"/>
          </w:tcPr>
          <w:p w14:paraId="6D13B794">
            <w:pPr>
              <w:spacing w:line="360" w:lineRule="exact"/>
              <w:jc w:val="center"/>
              <w:rPr>
                <w:rFonts w:ascii="宋体" w:hAnsi="宋体" w:cs="宋体"/>
                <w:szCs w:val="21"/>
                <w:highlight w:val="none"/>
              </w:rPr>
            </w:pPr>
            <w:r>
              <w:rPr>
                <w:rFonts w:ascii="宋体" w:hAnsi="宋体" w:cs="宋体"/>
                <w:szCs w:val="21"/>
                <w:highlight w:val="none"/>
              </w:rPr>
              <w:t>0577-88056876</w:t>
            </w:r>
          </w:p>
        </w:tc>
      </w:tr>
      <w:tr w14:paraId="59C9E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5" w:hRule="atLeast"/>
          <w:jc w:val="center"/>
        </w:trPr>
        <w:tc>
          <w:tcPr>
            <w:tcW w:w="1112" w:type="dxa"/>
            <w:vAlign w:val="center"/>
          </w:tcPr>
          <w:p w14:paraId="6725E346">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兴业银行股份有限公司温州分行</w:t>
            </w:r>
          </w:p>
        </w:tc>
        <w:tc>
          <w:tcPr>
            <w:tcW w:w="5611" w:type="dxa"/>
            <w:tcBorders>
              <w:left w:val="single" w:color="auto" w:sz="4" w:space="0"/>
            </w:tcBorders>
            <w:vAlign w:val="center"/>
          </w:tcPr>
          <w:p w14:paraId="0A5CE546">
            <w:pPr>
              <w:pStyle w:val="40"/>
              <w:widowControl/>
              <w:spacing w:line="360" w:lineRule="exact"/>
              <w:ind w:firstLine="0" w:firstLineChars="0"/>
              <w:rPr>
                <w:rFonts w:ascii="宋体" w:hAnsi="宋体" w:eastAsia="宋体" w:cs="宋体"/>
                <w:bCs/>
                <w:kern w:val="0"/>
                <w:sz w:val="21"/>
                <w:szCs w:val="21"/>
                <w:highlight w:val="none"/>
              </w:rPr>
            </w:pPr>
            <w:r>
              <w:rPr>
                <w:rFonts w:ascii="宋体" w:hAnsi="宋体" w:eastAsia="宋体" w:cs="宋体"/>
                <w:bCs/>
                <w:kern w:val="0"/>
                <w:sz w:val="21"/>
                <w:szCs w:val="21"/>
                <w:highlight w:val="none"/>
              </w:rPr>
              <w:t>融资担保方式及融资金额：1、采取信用免抵押的企业，最高融资金额200万元；2、采取政府采购中标应收帐款质押的，最高融资金额不超过1000万元，单笔提款金额不超过采购合同金额的70%。融资利率：在本单位一般性中小企业信用贷款利率基础上下浮10%。</w:t>
            </w:r>
          </w:p>
        </w:tc>
        <w:tc>
          <w:tcPr>
            <w:tcW w:w="1020" w:type="dxa"/>
            <w:tcBorders>
              <w:left w:val="single" w:color="auto" w:sz="4" w:space="0"/>
            </w:tcBorders>
            <w:vAlign w:val="center"/>
          </w:tcPr>
          <w:p w14:paraId="03A69797">
            <w:pPr>
              <w:spacing w:line="360" w:lineRule="exact"/>
              <w:jc w:val="center"/>
              <w:rPr>
                <w:rFonts w:ascii="宋体" w:hAnsi="宋体" w:cs="宋体"/>
                <w:szCs w:val="21"/>
                <w:highlight w:val="none"/>
              </w:rPr>
            </w:pPr>
            <w:r>
              <w:rPr>
                <w:rFonts w:ascii="宋体" w:hAnsi="宋体" w:cs="宋体"/>
                <w:szCs w:val="21"/>
                <w:highlight w:val="none"/>
              </w:rPr>
              <w:t>张经理</w:t>
            </w:r>
          </w:p>
          <w:p w14:paraId="335A17D8">
            <w:pPr>
              <w:spacing w:line="360" w:lineRule="exact"/>
              <w:jc w:val="center"/>
              <w:rPr>
                <w:rFonts w:ascii="宋体" w:hAnsi="宋体" w:cs="宋体"/>
                <w:szCs w:val="21"/>
                <w:highlight w:val="none"/>
              </w:rPr>
            </w:pPr>
            <w:r>
              <w:rPr>
                <w:rFonts w:ascii="宋体" w:hAnsi="宋体" w:cs="宋体"/>
                <w:szCs w:val="21"/>
                <w:highlight w:val="none"/>
              </w:rPr>
              <w:t>陈经理</w:t>
            </w:r>
          </w:p>
        </w:tc>
        <w:tc>
          <w:tcPr>
            <w:tcW w:w="1680" w:type="dxa"/>
            <w:tcBorders>
              <w:left w:val="single" w:color="auto" w:sz="4" w:space="0"/>
            </w:tcBorders>
            <w:vAlign w:val="center"/>
          </w:tcPr>
          <w:p w14:paraId="6E2D0ED6">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0577-88369368/13857713118</w:t>
            </w:r>
          </w:p>
          <w:p w14:paraId="2105287A">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0577-56969696-526506</w:t>
            </w:r>
          </w:p>
        </w:tc>
      </w:tr>
      <w:tr w14:paraId="590FF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1112" w:type="dxa"/>
            <w:vAlign w:val="center"/>
          </w:tcPr>
          <w:p w14:paraId="3D5D4047">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温州银行股份有限公司温州分行</w:t>
            </w:r>
          </w:p>
        </w:tc>
        <w:tc>
          <w:tcPr>
            <w:tcW w:w="5611" w:type="dxa"/>
            <w:tcBorders>
              <w:left w:val="single" w:color="auto" w:sz="4" w:space="0"/>
            </w:tcBorders>
            <w:vAlign w:val="center"/>
          </w:tcPr>
          <w:p w14:paraId="43CD746A">
            <w:pPr>
              <w:spacing w:line="360" w:lineRule="exact"/>
              <w:rPr>
                <w:rFonts w:ascii="宋体" w:hAnsi="宋体" w:cs="宋体"/>
                <w:bCs/>
                <w:szCs w:val="21"/>
                <w:highlight w:val="none"/>
              </w:rPr>
            </w:pPr>
            <w:r>
              <w:rPr>
                <w:rFonts w:ascii="宋体" w:hAnsi="宋体" w:cs="宋体"/>
                <w:bCs/>
                <w:szCs w:val="21"/>
                <w:highlight w:val="none"/>
              </w:rPr>
              <w:t>政采订单贷：订单在手，融资无忧。用于满足供应商订单采购所需资金周转的贷款产品。门槛低，无须抵押，凭中标通知书即可申请，额度高，最高可贷500万元，单笔业务金额可贷中标金额的80%，最长期限可贷1年。</w:t>
            </w:r>
          </w:p>
        </w:tc>
        <w:tc>
          <w:tcPr>
            <w:tcW w:w="1020" w:type="dxa"/>
            <w:tcBorders>
              <w:left w:val="single" w:color="auto" w:sz="4" w:space="0"/>
            </w:tcBorders>
            <w:vAlign w:val="center"/>
          </w:tcPr>
          <w:p w14:paraId="21CB5339">
            <w:pPr>
              <w:spacing w:line="360" w:lineRule="exact"/>
              <w:jc w:val="center"/>
              <w:rPr>
                <w:rFonts w:ascii="宋体" w:hAnsi="宋体" w:cs="宋体"/>
                <w:szCs w:val="21"/>
                <w:highlight w:val="none"/>
              </w:rPr>
            </w:pPr>
            <w:r>
              <w:rPr>
                <w:rFonts w:ascii="宋体" w:hAnsi="宋体" w:cs="宋体"/>
                <w:szCs w:val="21"/>
                <w:highlight w:val="none"/>
              </w:rPr>
              <w:t>陈经理</w:t>
            </w:r>
          </w:p>
        </w:tc>
        <w:tc>
          <w:tcPr>
            <w:tcW w:w="1680" w:type="dxa"/>
            <w:tcBorders>
              <w:left w:val="single" w:color="auto" w:sz="4" w:space="0"/>
            </w:tcBorders>
            <w:vAlign w:val="center"/>
          </w:tcPr>
          <w:p w14:paraId="7EBBAA1F">
            <w:pPr>
              <w:spacing w:line="360" w:lineRule="exact"/>
              <w:jc w:val="center"/>
              <w:rPr>
                <w:rFonts w:ascii="宋体" w:hAnsi="宋体" w:cs="宋体"/>
                <w:szCs w:val="21"/>
                <w:highlight w:val="none"/>
              </w:rPr>
            </w:pPr>
            <w:r>
              <w:rPr>
                <w:rFonts w:ascii="宋体" w:hAnsi="宋体" w:cs="宋体"/>
                <w:szCs w:val="21"/>
                <w:highlight w:val="none"/>
              </w:rPr>
              <w:t>13736355866</w:t>
            </w:r>
          </w:p>
        </w:tc>
      </w:tr>
      <w:tr w14:paraId="3BDCE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5" w:hRule="atLeast"/>
          <w:jc w:val="center"/>
        </w:trPr>
        <w:tc>
          <w:tcPr>
            <w:tcW w:w="1112" w:type="dxa"/>
            <w:vAlign w:val="center"/>
          </w:tcPr>
          <w:p w14:paraId="3C61E773">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温州银行股份有限公司鹿城分行</w:t>
            </w:r>
          </w:p>
        </w:tc>
        <w:tc>
          <w:tcPr>
            <w:tcW w:w="5611" w:type="dxa"/>
            <w:tcBorders>
              <w:left w:val="single" w:color="auto" w:sz="4" w:space="0"/>
            </w:tcBorders>
            <w:vAlign w:val="center"/>
          </w:tcPr>
          <w:p w14:paraId="1E5A3BCB">
            <w:pPr>
              <w:spacing w:line="360" w:lineRule="exact"/>
              <w:rPr>
                <w:rFonts w:ascii="宋体" w:hAnsi="宋体" w:cs="宋体"/>
                <w:szCs w:val="21"/>
                <w:highlight w:val="none"/>
              </w:rPr>
            </w:pPr>
            <w:r>
              <w:rPr>
                <w:rFonts w:ascii="宋体" w:hAnsi="宋体" w:cs="宋体"/>
                <w:szCs w:val="21"/>
                <w:highlight w:val="none"/>
              </w:rPr>
              <w:t>政采订单贷：1、面向政府采购项目供应商，满足供应商资金周转需求，凭中标通知书即可申请，2、秒知额高，最高可贷500万元，单笔业务金额可贷中标金额的80%，</w:t>
            </w:r>
          </w:p>
          <w:p w14:paraId="1FD73007">
            <w:pPr>
              <w:pStyle w:val="34"/>
              <w:spacing w:line="360" w:lineRule="exact"/>
              <w:ind w:left="5" w:firstLine="0" w:firstLineChars="0"/>
              <w:rPr>
                <w:rFonts w:ascii="宋体" w:hAnsi="宋体" w:cs="宋体"/>
                <w:szCs w:val="21"/>
                <w:highlight w:val="none"/>
              </w:rPr>
            </w:pPr>
            <w:r>
              <w:rPr>
                <w:rFonts w:ascii="宋体" w:hAnsi="宋体" w:cs="宋体"/>
                <w:szCs w:val="21"/>
                <w:highlight w:val="none"/>
              </w:rPr>
              <w:t>最长期限可贷1年。信保贷：1、额度最高可达500万元</w:t>
            </w:r>
          </w:p>
          <w:p w14:paraId="277D3BE7">
            <w:pPr>
              <w:spacing w:line="360" w:lineRule="exact"/>
              <w:rPr>
                <w:rFonts w:ascii="宋体" w:hAnsi="宋体" w:cs="宋体"/>
                <w:szCs w:val="21"/>
                <w:highlight w:val="none"/>
              </w:rPr>
            </w:pPr>
            <w:r>
              <w:rPr>
                <w:rFonts w:ascii="宋体" w:hAnsi="宋体" w:cs="宋体"/>
                <w:szCs w:val="21"/>
                <w:highlight w:val="none"/>
              </w:rPr>
              <w:t>2、担保灵活，信用贷款3、贷款年利率至少可享受本单位一般性中小企业信用贷款利率基础上下浮10 %</w:t>
            </w:r>
          </w:p>
        </w:tc>
        <w:tc>
          <w:tcPr>
            <w:tcW w:w="1020" w:type="dxa"/>
            <w:tcBorders>
              <w:left w:val="single" w:color="auto" w:sz="4" w:space="0"/>
            </w:tcBorders>
            <w:vAlign w:val="center"/>
          </w:tcPr>
          <w:p w14:paraId="048F34BB">
            <w:pPr>
              <w:spacing w:line="360" w:lineRule="exact"/>
              <w:jc w:val="center"/>
              <w:rPr>
                <w:rFonts w:ascii="宋体" w:hAnsi="宋体" w:cs="宋体"/>
                <w:szCs w:val="21"/>
                <w:highlight w:val="none"/>
              </w:rPr>
            </w:pPr>
            <w:r>
              <w:rPr>
                <w:rFonts w:ascii="宋体" w:hAnsi="宋体" w:cs="宋体"/>
                <w:szCs w:val="21"/>
                <w:highlight w:val="none"/>
              </w:rPr>
              <w:t>戴经理</w:t>
            </w:r>
          </w:p>
        </w:tc>
        <w:tc>
          <w:tcPr>
            <w:tcW w:w="1680" w:type="dxa"/>
            <w:tcBorders>
              <w:left w:val="single" w:color="auto" w:sz="4" w:space="0"/>
            </w:tcBorders>
            <w:vAlign w:val="center"/>
          </w:tcPr>
          <w:p w14:paraId="52B0A0D8">
            <w:pPr>
              <w:spacing w:line="360" w:lineRule="exact"/>
              <w:jc w:val="center"/>
              <w:rPr>
                <w:rFonts w:ascii="宋体" w:hAnsi="宋体" w:cs="宋体"/>
                <w:szCs w:val="21"/>
                <w:highlight w:val="none"/>
              </w:rPr>
            </w:pPr>
            <w:r>
              <w:rPr>
                <w:rFonts w:ascii="宋体" w:hAnsi="宋体" w:cs="宋体"/>
                <w:szCs w:val="21"/>
                <w:highlight w:val="none"/>
              </w:rPr>
              <w:t>13605772302</w:t>
            </w:r>
          </w:p>
        </w:tc>
      </w:tr>
      <w:tr w14:paraId="4E4F7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5" w:hRule="atLeast"/>
          <w:jc w:val="center"/>
        </w:trPr>
        <w:tc>
          <w:tcPr>
            <w:tcW w:w="1112" w:type="dxa"/>
            <w:vAlign w:val="center"/>
          </w:tcPr>
          <w:p w14:paraId="66926811">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交通银行股份有限公司温州分行</w:t>
            </w:r>
          </w:p>
        </w:tc>
        <w:tc>
          <w:tcPr>
            <w:tcW w:w="5611" w:type="dxa"/>
            <w:tcBorders>
              <w:left w:val="single" w:color="auto" w:sz="4" w:space="0"/>
            </w:tcBorders>
            <w:vAlign w:val="center"/>
          </w:tcPr>
          <w:p w14:paraId="62811E40">
            <w:pPr>
              <w:spacing w:line="360" w:lineRule="exact"/>
              <w:rPr>
                <w:rFonts w:ascii="宋体" w:hAnsi="宋体" w:cs="宋体"/>
                <w:szCs w:val="21"/>
                <w:highlight w:val="none"/>
              </w:rPr>
            </w:pPr>
            <w:r>
              <w:rPr>
                <w:rFonts w:ascii="宋体" w:hAnsi="宋体" w:cs="宋体"/>
                <w:szCs w:val="21"/>
                <w:highlight w:val="none"/>
              </w:rPr>
              <w:t>手续便捷，授信审批全程上门服务；无需抵押，无抵押贷款一步到位；额度灵活，随借随贷，单户最高2000万元；期限匹配，与付款周期相吻合；利率优惠，本行中小企业信用贷款利率水平至少下浮10%；一对一增值服务方案—您的财富管理银行。</w:t>
            </w:r>
          </w:p>
        </w:tc>
        <w:tc>
          <w:tcPr>
            <w:tcW w:w="1020" w:type="dxa"/>
            <w:tcBorders>
              <w:left w:val="single" w:color="auto" w:sz="4" w:space="0"/>
            </w:tcBorders>
            <w:vAlign w:val="center"/>
          </w:tcPr>
          <w:p w14:paraId="459B927B">
            <w:pPr>
              <w:spacing w:line="360" w:lineRule="exact"/>
              <w:jc w:val="center"/>
              <w:rPr>
                <w:rFonts w:ascii="宋体" w:hAnsi="宋体" w:cs="宋体"/>
                <w:szCs w:val="21"/>
                <w:highlight w:val="none"/>
              </w:rPr>
            </w:pPr>
            <w:r>
              <w:rPr>
                <w:rFonts w:ascii="宋体" w:hAnsi="宋体" w:cs="宋体"/>
                <w:szCs w:val="21"/>
                <w:highlight w:val="none"/>
              </w:rPr>
              <w:t>缪经理</w:t>
            </w:r>
          </w:p>
        </w:tc>
        <w:tc>
          <w:tcPr>
            <w:tcW w:w="1680" w:type="dxa"/>
            <w:tcBorders>
              <w:left w:val="single" w:color="auto" w:sz="4" w:space="0"/>
            </w:tcBorders>
            <w:vAlign w:val="center"/>
          </w:tcPr>
          <w:p w14:paraId="3A6F9B6C">
            <w:pPr>
              <w:spacing w:line="360" w:lineRule="exact"/>
              <w:jc w:val="center"/>
              <w:rPr>
                <w:rFonts w:ascii="宋体" w:hAnsi="宋体" w:cs="宋体"/>
                <w:szCs w:val="21"/>
                <w:highlight w:val="none"/>
              </w:rPr>
            </w:pPr>
            <w:r>
              <w:rPr>
                <w:rFonts w:ascii="宋体" w:hAnsi="宋体" w:cs="宋体"/>
                <w:szCs w:val="21"/>
                <w:highlight w:val="none"/>
              </w:rPr>
              <w:t>0577-88248454</w:t>
            </w:r>
          </w:p>
        </w:tc>
      </w:tr>
      <w:tr w14:paraId="66256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5" w:hRule="atLeast"/>
          <w:jc w:val="center"/>
        </w:trPr>
        <w:tc>
          <w:tcPr>
            <w:tcW w:w="1112" w:type="dxa"/>
            <w:vAlign w:val="center"/>
          </w:tcPr>
          <w:p w14:paraId="6172F0A4">
            <w:pPr>
              <w:pStyle w:val="40"/>
              <w:widowControl/>
              <w:spacing w:line="360" w:lineRule="exact"/>
              <w:ind w:firstLine="0" w:firstLineChars="0"/>
              <w:jc w:val="center"/>
              <w:rPr>
                <w:rFonts w:ascii="宋体" w:hAnsi="宋体" w:eastAsia="宋体" w:cs="宋体"/>
                <w:kern w:val="0"/>
                <w:sz w:val="21"/>
                <w:szCs w:val="21"/>
                <w:highlight w:val="none"/>
              </w:rPr>
            </w:pPr>
            <w:r>
              <w:rPr>
                <w:rFonts w:ascii="宋体" w:hAnsi="宋体" w:eastAsia="宋体" w:cs="宋体"/>
                <w:kern w:val="0"/>
                <w:sz w:val="21"/>
                <w:szCs w:val="21"/>
                <w:highlight w:val="none"/>
              </w:rPr>
              <w:t>上海浦东发展银行股份有限公司温州分行</w:t>
            </w:r>
          </w:p>
        </w:tc>
        <w:tc>
          <w:tcPr>
            <w:tcW w:w="5611" w:type="dxa"/>
            <w:tcBorders>
              <w:left w:val="single" w:color="auto" w:sz="4" w:space="0"/>
            </w:tcBorders>
            <w:vAlign w:val="center"/>
          </w:tcPr>
          <w:p w14:paraId="5013F068">
            <w:pPr>
              <w:spacing w:line="360" w:lineRule="exact"/>
              <w:rPr>
                <w:rFonts w:ascii="宋体" w:hAnsi="宋体" w:cs="宋体"/>
                <w:bCs/>
                <w:szCs w:val="21"/>
                <w:highlight w:val="none"/>
              </w:rPr>
            </w:pPr>
            <w:r>
              <w:rPr>
                <w:rFonts w:ascii="宋体" w:hAnsi="宋体" w:cs="宋体"/>
                <w:bCs/>
                <w:szCs w:val="21"/>
                <w:highlight w:val="none"/>
              </w:rPr>
              <w:t>政采e贷：是浦发银行面向温州地区经营状况良好的小微企业政府采购项目供应商所提供的专属政府采购订单融资产品。产品特点：纯信用、免担保、门槛低、授信快、在线贷、秒放款</w:t>
            </w:r>
          </w:p>
          <w:p w14:paraId="0C5C24EC">
            <w:pPr>
              <w:shd w:val="clear" w:color="auto" w:fill="FFFFFF"/>
              <w:spacing w:line="360" w:lineRule="exact"/>
              <w:rPr>
                <w:rFonts w:ascii="宋体" w:hAnsi="宋体" w:cs="宋体"/>
                <w:szCs w:val="21"/>
                <w:highlight w:val="none"/>
              </w:rPr>
            </w:pPr>
            <w:r>
              <w:rPr>
                <w:rFonts w:ascii="宋体" w:hAnsi="宋体" w:cs="宋体"/>
                <w:bCs/>
                <w:szCs w:val="21"/>
                <w:highlight w:val="none"/>
              </w:rPr>
              <w:t>所需材料：企业基础证件、相关中标文件（中标通知书 、采购合同等）、其他必要文件</w:t>
            </w:r>
          </w:p>
        </w:tc>
        <w:tc>
          <w:tcPr>
            <w:tcW w:w="1020" w:type="dxa"/>
            <w:tcBorders>
              <w:left w:val="single" w:color="auto" w:sz="4" w:space="0"/>
            </w:tcBorders>
            <w:vAlign w:val="center"/>
          </w:tcPr>
          <w:p w14:paraId="6A46F67F">
            <w:pPr>
              <w:spacing w:line="360" w:lineRule="exact"/>
              <w:jc w:val="center"/>
              <w:rPr>
                <w:rFonts w:ascii="宋体" w:hAnsi="宋体" w:cs="宋体"/>
                <w:szCs w:val="21"/>
                <w:highlight w:val="none"/>
              </w:rPr>
            </w:pPr>
            <w:r>
              <w:rPr>
                <w:rFonts w:ascii="宋体" w:hAnsi="宋体" w:cs="宋体"/>
                <w:szCs w:val="21"/>
                <w:highlight w:val="none"/>
              </w:rPr>
              <w:t>叶经理</w:t>
            </w:r>
          </w:p>
        </w:tc>
        <w:tc>
          <w:tcPr>
            <w:tcW w:w="1680" w:type="dxa"/>
            <w:tcBorders>
              <w:left w:val="single" w:color="auto" w:sz="4" w:space="0"/>
            </w:tcBorders>
            <w:vAlign w:val="center"/>
          </w:tcPr>
          <w:p w14:paraId="1C366B34">
            <w:pPr>
              <w:spacing w:line="360" w:lineRule="exact"/>
              <w:jc w:val="center"/>
              <w:rPr>
                <w:rFonts w:ascii="宋体" w:hAnsi="宋体" w:cs="宋体"/>
                <w:szCs w:val="21"/>
                <w:highlight w:val="none"/>
              </w:rPr>
            </w:pPr>
            <w:r>
              <w:rPr>
                <w:rFonts w:ascii="宋体" w:hAnsi="宋体" w:cs="宋体"/>
                <w:szCs w:val="21"/>
                <w:highlight w:val="none"/>
              </w:rPr>
              <w:t>0577-55570829</w:t>
            </w:r>
          </w:p>
        </w:tc>
      </w:tr>
    </w:tbl>
    <w:p w14:paraId="68E55675">
      <w:pPr>
        <w:widowControl/>
        <w:spacing w:before="78" w:beforeLines="25"/>
        <w:jc w:val="center"/>
        <w:rPr>
          <w:rFonts w:ascii="黑体" w:hAnsi="黑体" w:eastAsia="黑体" w:cs="黑体"/>
          <w:sz w:val="30"/>
          <w:szCs w:val="30"/>
          <w:highlight w:val="none"/>
        </w:rPr>
      </w:pPr>
      <w:bookmarkStart w:id="504" w:name="_Toc27890"/>
      <w:bookmarkStart w:id="505" w:name="_Toc17671"/>
    </w:p>
    <w:p w14:paraId="4B026E71">
      <w:pPr>
        <w:widowControl/>
        <w:spacing w:before="78" w:beforeLines="25"/>
        <w:jc w:val="center"/>
        <w:rPr>
          <w:rFonts w:ascii="黑体" w:hAnsi="黑体" w:eastAsia="黑体" w:cs="黑体"/>
          <w:sz w:val="30"/>
          <w:szCs w:val="30"/>
          <w:highlight w:val="none"/>
        </w:rPr>
      </w:pPr>
    </w:p>
    <w:p w14:paraId="2E131E3A">
      <w:pPr>
        <w:widowControl/>
        <w:spacing w:before="78" w:beforeLines="25"/>
        <w:jc w:val="center"/>
        <w:rPr>
          <w:rFonts w:ascii="黑体" w:hAnsi="黑体" w:eastAsia="黑体" w:cs="黑体"/>
          <w:sz w:val="30"/>
          <w:szCs w:val="30"/>
          <w:highlight w:val="none"/>
        </w:rPr>
      </w:pPr>
    </w:p>
    <w:p w14:paraId="0BAD988D">
      <w:pPr>
        <w:widowControl/>
        <w:spacing w:before="78" w:beforeLines="25"/>
        <w:jc w:val="center"/>
        <w:rPr>
          <w:rFonts w:ascii="黑体" w:hAnsi="黑体" w:eastAsia="黑体" w:cs="黑体"/>
          <w:sz w:val="30"/>
          <w:szCs w:val="30"/>
          <w:highlight w:val="none"/>
        </w:rPr>
      </w:pPr>
    </w:p>
    <w:p w14:paraId="16A94870">
      <w:pPr>
        <w:widowControl/>
        <w:spacing w:before="78" w:beforeLines="25"/>
        <w:jc w:val="center"/>
        <w:rPr>
          <w:rFonts w:ascii="黑体" w:hAnsi="黑体" w:eastAsia="黑体" w:cs="黑体"/>
          <w:sz w:val="30"/>
          <w:szCs w:val="30"/>
          <w:highlight w:val="none"/>
        </w:rPr>
      </w:pPr>
    </w:p>
    <w:p w14:paraId="7BD607DA">
      <w:pPr>
        <w:widowControl/>
        <w:spacing w:before="78" w:beforeLines="25"/>
        <w:jc w:val="center"/>
        <w:rPr>
          <w:rFonts w:ascii="黑体" w:hAnsi="黑体" w:eastAsia="黑体" w:cs="黑体"/>
          <w:sz w:val="30"/>
          <w:szCs w:val="30"/>
          <w:highlight w:val="none"/>
        </w:rPr>
      </w:pPr>
    </w:p>
    <w:p w14:paraId="2A95D6B2">
      <w:pPr>
        <w:widowControl/>
        <w:spacing w:before="78" w:beforeLines="25"/>
        <w:jc w:val="center"/>
        <w:rPr>
          <w:rFonts w:ascii="黑体" w:hAnsi="黑体" w:eastAsia="黑体" w:cs="黑体"/>
          <w:sz w:val="30"/>
          <w:szCs w:val="30"/>
          <w:highlight w:val="none"/>
        </w:rPr>
      </w:pPr>
    </w:p>
    <w:p w14:paraId="79E389D4">
      <w:pPr>
        <w:widowControl/>
        <w:spacing w:before="78" w:beforeLines="25"/>
        <w:jc w:val="center"/>
        <w:rPr>
          <w:rFonts w:ascii="黑体" w:hAnsi="黑体" w:eastAsia="黑体" w:cs="黑体"/>
          <w:sz w:val="30"/>
          <w:szCs w:val="30"/>
          <w:highlight w:val="none"/>
        </w:rPr>
      </w:pPr>
    </w:p>
    <w:p w14:paraId="10BA584E">
      <w:pPr>
        <w:widowControl/>
        <w:spacing w:before="78" w:beforeLines="25"/>
        <w:jc w:val="center"/>
        <w:rPr>
          <w:rFonts w:ascii="黑体" w:hAnsi="黑体" w:eastAsia="黑体" w:cs="黑体"/>
          <w:sz w:val="30"/>
          <w:szCs w:val="30"/>
          <w:highlight w:val="none"/>
        </w:rPr>
      </w:pPr>
    </w:p>
    <w:p w14:paraId="74B64B86">
      <w:pPr>
        <w:widowControl/>
        <w:spacing w:before="78" w:beforeLines="25"/>
        <w:jc w:val="center"/>
        <w:rPr>
          <w:rFonts w:ascii="黑体" w:hAnsi="黑体" w:eastAsia="黑体" w:cs="黑体"/>
          <w:sz w:val="30"/>
          <w:szCs w:val="30"/>
          <w:highlight w:val="none"/>
        </w:rPr>
      </w:pPr>
    </w:p>
    <w:p w14:paraId="280CB2D0">
      <w:pPr>
        <w:widowControl/>
        <w:spacing w:before="78" w:beforeLines="25"/>
        <w:jc w:val="center"/>
        <w:rPr>
          <w:rFonts w:ascii="黑体" w:hAnsi="黑体" w:eastAsia="黑体" w:cs="黑体"/>
          <w:sz w:val="30"/>
          <w:szCs w:val="30"/>
          <w:highlight w:val="none"/>
        </w:rPr>
      </w:pPr>
    </w:p>
    <w:p w14:paraId="101C054F">
      <w:pPr>
        <w:widowControl/>
        <w:spacing w:before="78" w:beforeLines="25"/>
        <w:jc w:val="center"/>
        <w:rPr>
          <w:rFonts w:ascii="黑体" w:hAnsi="黑体" w:eastAsia="黑体" w:cs="黑体"/>
          <w:sz w:val="30"/>
          <w:szCs w:val="30"/>
          <w:highlight w:val="none"/>
        </w:rPr>
      </w:pPr>
    </w:p>
    <w:p w14:paraId="57E26CFD">
      <w:pPr>
        <w:widowControl/>
        <w:spacing w:before="78" w:beforeLines="25"/>
        <w:jc w:val="center"/>
        <w:rPr>
          <w:rFonts w:ascii="黑体" w:hAnsi="黑体" w:eastAsia="黑体" w:cs="黑体"/>
          <w:sz w:val="30"/>
          <w:szCs w:val="30"/>
          <w:highlight w:val="none"/>
        </w:rPr>
      </w:pPr>
    </w:p>
    <w:p w14:paraId="6CF6F56A">
      <w:pPr>
        <w:widowControl/>
        <w:spacing w:before="78" w:beforeLines="25"/>
        <w:jc w:val="center"/>
        <w:rPr>
          <w:rFonts w:ascii="黑体" w:hAnsi="黑体" w:eastAsia="黑体" w:cs="黑体"/>
          <w:sz w:val="30"/>
          <w:szCs w:val="30"/>
          <w:highlight w:val="none"/>
        </w:rPr>
      </w:pPr>
    </w:p>
    <w:p w14:paraId="513CB70A">
      <w:pPr>
        <w:widowControl/>
        <w:spacing w:before="78" w:beforeLines="25"/>
        <w:jc w:val="center"/>
        <w:rPr>
          <w:rFonts w:ascii="黑体" w:hAnsi="黑体" w:eastAsia="黑体" w:cs="黑体"/>
          <w:sz w:val="30"/>
          <w:szCs w:val="30"/>
          <w:highlight w:val="none"/>
        </w:rPr>
      </w:pPr>
    </w:p>
    <w:p w14:paraId="314CE4E1">
      <w:pPr>
        <w:widowControl/>
        <w:spacing w:before="78" w:beforeLines="25"/>
        <w:jc w:val="center"/>
        <w:rPr>
          <w:rFonts w:ascii="黑体" w:hAnsi="黑体" w:eastAsia="黑体" w:cs="黑体"/>
          <w:sz w:val="30"/>
          <w:szCs w:val="30"/>
          <w:highlight w:val="none"/>
        </w:rPr>
      </w:pPr>
      <w:r>
        <w:rPr>
          <w:rFonts w:ascii="黑体" w:hAnsi="黑体" w:eastAsia="黑体" w:cs="黑体"/>
          <w:sz w:val="30"/>
          <w:szCs w:val="30"/>
          <w:highlight w:val="none"/>
        </w:rPr>
        <w:t>温州市政府采购信用融资意向银行选择表</w:t>
      </w:r>
      <w:bookmarkEnd w:id="504"/>
      <w:bookmarkEnd w:id="505"/>
    </w:p>
    <w:p w14:paraId="74DA5BC4">
      <w:pPr>
        <w:widowControl/>
        <w:spacing w:before="156" w:beforeLines="50" w:after="156" w:afterLines="50"/>
        <w:jc w:val="center"/>
        <w:rPr>
          <w:rFonts w:ascii="黑体" w:hAnsi="黑体" w:eastAsia="黑体" w:cs="黑体"/>
          <w:sz w:val="24"/>
          <w:szCs w:val="24"/>
          <w:highlight w:val="none"/>
        </w:rPr>
      </w:pPr>
      <w:bookmarkStart w:id="506" w:name="_Toc13252"/>
      <w:bookmarkStart w:id="507" w:name="_Toc10603"/>
      <w:r>
        <w:rPr>
          <w:rFonts w:ascii="黑体" w:hAnsi="黑体" w:eastAsia="黑体" w:cs="黑体"/>
          <w:sz w:val="22"/>
          <w:szCs w:val="22"/>
          <w:highlight w:val="none"/>
        </w:rPr>
        <w:t>（温州市供应商填写）</w:t>
      </w:r>
      <w:bookmarkEnd w:id="506"/>
      <w:bookmarkEnd w:id="507"/>
    </w:p>
    <w:tbl>
      <w:tblPr>
        <w:tblStyle w:val="25"/>
        <w:tblW w:w="8631" w:type="dxa"/>
        <w:tblInd w:w="-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4"/>
        <w:gridCol w:w="2411"/>
        <w:gridCol w:w="1131"/>
        <w:gridCol w:w="1919"/>
        <w:gridCol w:w="1496"/>
      </w:tblGrid>
      <w:tr w14:paraId="52F3C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674" w:type="dxa"/>
            <w:vAlign w:val="center"/>
          </w:tcPr>
          <w:p w14:paraId="20233FBD">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企业名称</w:t>
            </w:r>
          </w:p>
        </w:tc>
        <w:tc>
          <w:tcPr>
            <w:tcW w:w="6957" w:type="dxa"/>
            <w:gridSpan w:val="4"/>
            <w:vAlign w:val="center"/>
          </w:tcPr>
          <w:p w14:paraId="5B68EE2F">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6C66B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674" w:type="dxa"/>
            <w:vAlign w:val="center"/>
          </w:tcPr>
          <w:p w14:paraId="2C568237">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企业注册地</w:t>
            </w:r>
          </w:p>
        </w:tc>
        <w:tc>
          <w:tcPr>
            <w:tcW w:w="3542" w:type="dxa"/>
            <w:gridSpan w:val="2"/>
            <w:tcBorders>
              <w:left w:val="single" w:color="auto" w:sz="4" w:space="0"/>
            </w:tcBorders>
            <w:vAlign w:val="center"/>
          </w:tcPr>
          <w:p w14:paraId="55A957D3">
            <w:pPr>
              <w:pStyle w:val="40"/>
              <w:snapToGrid w:val="0"/>
              <w:spacing w:line="240" w:lineRule="auto"/>
              <w:ind w:firstLine="0" w:firstLineChars="0"/>
              <w:jc w:val="center"/>
              <w:rPr>
                <w:rFonts w:ascii="宋体" w:hAnsi="宋体" w:eastAsia="宋体" w:cs="宋体"/>
                <w:bCs/>
                <w:kern w:val="0"/>
                <w:sz w:val="21"/>
                <w:szCs w:val="20"/>
                <w:highlight w:val="none"/>
              </w:rPr>
            </w:pPr>
          </w:p>
        </w:tc>
        <w:tc>
          <w:tcPr>
            <w:tcW w:w="1919" w:type="dxa"/>
            <w:tcBorders>
              <w:left w:val="single" w:color="auto" w:sz="4" w:space="0"/>
            </w:tcBorders>
            <w:vAlign w:val="center"/>
          </w:tcPr>
          <w:p w14:paraId="077F1528">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是否有融资意向</w:t>
            </w:r>
          </w:p>
        </w:tc>
        <w:tc>
          <w:tcPr>
            <w:tcW w:w="1496" w:type="dxa"/>
            <w:tcBorders>
              <w:left w:val="single" w:color="auto" w:sz="4" w:space="0"/>
            </w:tcBorders>
            <w:vAlign w:val="center"/>
          </w:tcPr>
          <w:p w14:paraId="213AFE9A">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41610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674" w:type="dxa"/>
            <w:vAlign w:val="center"/>
          </w:tcPr>
          <w:p w14:paraId="598852D6">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融资联系人</w:t>
            </w:r>
          </w:p>
        </w:tc>
        <w:tc>
          <w:tcPr>
            <w:tcW w:w="2411" w:type="dxa"/>
            <w:tcBorders>
              <w:left w:val="single" w:color="auto" w:sz="4" w:space="0"/>
            </w:tcBorders>
            <w:vAlign w:val="center"/>
          </w:tcPr>
          <w:p w14:paraId="24B02030">
            <w:pPr>
              <w:pStyle w:val="40"/>
              <w:snapToGrid w:val="0"/>
              <w:spacing w:line="240" w:lineRule="auto"/>
              <w:ind w:firstLine="0" w:firstLineChars="0"/>
              <w:jc w:val="center"/>
              <w:rPr>
                <w:rFonts w:ascii="宋体" w:hAnsi="宋体" w:eastAsia="宋体" w:cs="宋体"/>
                <w:bCs/>
                <w:kern w:val="0"/>
                <w:sz w:val="21"/>
                <w:szCs w:val="20"/>
                <w:highlight w:val="none"/>
              </w:rPr>
            </w:pPr>
          </w:p>
        </w:tc>
        <w:tc>
          <w:tcPr>
            <w:tcW w:w="1131" w:type="dxa"/>
            <w:tcBorders>
              <w:left w:val="single" w:color="auto" w:sz="4" w:space="0"/>
            </w:tcBorders>
            <w:vAlign w:val="center"/>
          </w:tcPr>
          <w:p w14:paraId="6B89FDA1">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联系方式</w:t>
            </w:r>
          </w:p>
        </w:tc>
        <w:tc>
          <w:tcPr>
            <w:tcW w:w="3415" w:type="dxa"/>
            <w:gridSpan w:val="2"/>
            <w:tcBorders>
              <w:left w:val="single" w:color="auto" w:sz="4" w:space="0"/>
            </w:tcBorders>
            <w:vAlign w:val="center"/>
          </w:tcPr>
          <w:p w14:paraId="139B6A0F">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4F361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49CFB17C">
            <w:pPr>
              <w:pStyle w:val="40"/>
              <w:snapToGrid w:val="0"/>
              <w:spacing w:line="240" w:lineRule="auto"/>
              <w:ind w:firstLine="0" w:firstLineChars="0"/>
              <w:jc w:val="center"/>
              <w:rPr>
                <w:rFonts w:ascii="宋体" w:hAnsi="宋体" w:eastAsia="宋体" w:cs="宋体"/>
                <w:b/>
                <w:kern w:val="0"/>
                <w:sz w:val="21"/>
                <w:szCs w:val="20"/>
                <w:highlight w:val="none"/>
              </w:rPr>
            </w:pPr>
            <w:r>
              <w:rPr>
                <w:rFonts w:ascii="宋体" w:hAnsi="宋体" w:eastAsia="宋体" w:cs="宋体"/>
                <w:b/>
                <w:kern w:val="0"/>
                <w:sz w:val="21"/>
                <w:szCs w:val="20"/>
                <w:highlight w:val="none"/>
              </w:rPr>
              <w:t>温州市政府采购信用融资合作银行</w:t>
            </w:r>
          </w:p>
        </w:tc>
        <w:tc>
          <w:tcPr>
            <w:tcW w:w="3415" w:type="dxa"/>
            <w:gridSpan w:val="2"/>
            <w:tcBorders>
              <w:left w:val="single" w:color="auto" w:sz="4" w:space="0"/>
            </w:tcBorders>
            <w:vAlign w:val="center"/>
          </w:tcPr>
          <w:p w14:paraId="2B17EFBA">
            <w:pPr>
              <w:pStyle w:val="40"/>
              <w:snapToGrid w:val="0"/>
              <w:spacing w:line="240" w:lineRule="auto"/>
              <w:ind w:firstLine="0" w:firstLineChars="0"/>
              <w:jc w:val="center"/>
              <w:rPr>
                <w:rFonts w:ascii="宋体" w:hAnsi="宋体" w:eastAsia="宋体" w:cs="宋体"/>
                <w:b/>
                <w:kern w:val="0"/>
                <w:sz w:val="21"/>
                <w:szCs w:val="20"/>
                <w:highlight w:val="none"/>
              </w:rPr>
            </w:pPr>
            <w:r>
              <w:rPr>
                <w:rFonts w:ascii="宋体" w:hAnsi="宋体" w:eastAsia="宋体" w:cs="宋体"/>
                <w:b/>
                <w:kern w:val="0"/>
                <w:sz w:val="21"/>
                <w:szCs w:val="20"/>
                <w:highlight w:val="none"/>
              </w:rPr>
              <w:t>选择作为意向融资银行（可多选）</w:t>
            </w:r>
          </w:p>
        </w:tc>
      </w:tr>
      <w:tr w14:paraId="63D0F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04BF3F48">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温州银行股份有限公司温州分行</w:t>
            </w:r>
          </w:p>
        </w:tc>
        <w:tc>
          <w:tcPr>
            <w:tcW w:w="3415" w:type="dxa"/>
            <w:gridSpan w:val="2"/>
            <w:tcBorders>
              <w:left w:val="single" w:color="auto" w:sz="4" w:space="0"/>
            </w:tcBorders>
            <w:vAlign w:val="center"/>
          </w:tcPr>
          <w:p w14:paraId="167C2DC0">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68314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3C63A418">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温州银行股份有限公司鹿城分行</w:t>
            </w:r>
          </w:p>
        </w:tc>
        <w:tc>
          <w:tcPr>
            <w:tcW w:w="3415" w:type="dxa"/>
            <w:gridSpan w:val="2"/>
            <w:tcBorders>
              <w:left w:val="single" w:color="auto" w:sz="4" w:space="0"/>
            </w:tcBorders>
            <w:vAlign w:val="center"/>
          </w:tcPr>
          <w:p w14:paraId="68214050">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37C58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4514D919">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中国工商银行股份有限公司温州分行</w:t>
            </w:r>
          </w:p>
        </w:tc>
        <w:tc>
          <w:tcPr>
            <w:tcW w:w="3415" w:type="dxa"/>
            <w:gridSpan w:val="2"/>
            <w:tcBorders>
              <w:left w:val="single" w:color="auto" w:sz="4" w:space="0"/>
            </w:tcBorders>
            <w:vAlign w:val="center"/>
          </w:tcPr>
          <w:p w14:paraId="3638C255">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09711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5216" w:type="dxa"/>
            <w:gridSpan w:val="3"/>
            <w:vAlign w:val="center"/>
          </w:tcPr>
          <w:p w14:paraId="4324190D">
            <w:pPr>
              <w:snapToGrid w:val="0"/>
              <w:jc w:val="center"/>
              <w:rPr>
                <w:rFonts w:ascii="宋体" w:hAnsi="宋体" w:cs="宋体"/>
                <w:bCs/>
                <w:highlight w:val="none"/>
              </w:rPr>
            </w:pPr>
            <w:r>
              <w:rPr>
                <w:rFonts w:ascii="宋体" w:hAnsi="宋体" w:cs="宋体"/>
                <w:bCs/>
                <w:highlight w:val="none"/>
              </w:rPr>
              <w:t>中国建设银行股份有限公司温州分行</w:t>
            </w:r>
          </w:p>
        </w:tc>
        <w:tc>
          <w:tcPr>
            <w:tcW w:w="3415" w:type="dxa"/>
            <w:gridSpan w:val="2"/>
            <w:tcBorders>
              <w:left w:val="single" w:color="auto" w:sz="4" w:space="0"/>
            </w:tcBorders>
            <w:vAlign w:val="center"/>
          </w:tcPr>
          <w:p w14:paraId="077443E4">
            <w:pPr>
              <w:snapToGrid w:val="0"/>
              <w:jc w:val="center"/>
              <w:rPr>
                <w:rFonts w:ascii="宋体" w:hAnsi="宋体" w:cs="宋体"/>
                <w:bCs/>
                <w:highlight w:val="none"/>
              </w:rPr>
            </w:pPr>
          </w:p>
        </w:tc>
      </w:tr>
      <w:tr w14:paraId="4E16B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50E32B5F">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中国邮政储蓄银行股份有限公司温州市分行</w:t>
            </w:r>
          </w:p>
        </w:tc>
        <w:tc>
          <w:tcPr>
            <w:tcW w:w="3415" w:type="dxa"/>
            <w:gridSpan w:val="2"/>
            <w:tcBorders>
              <w:left w:val="single" w:color="auto" w:sz="4" w:space="0"/>
            </w:tcBorders>
            <w:vAlign w:val="center"/>
          </w:tcPr>
          <w:p w14:paraId="71EC12F6">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711F2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02405B12">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中国民生银行股份有限公司温州分行</w:t>
            </w:r>
          </w:p>
        </w:tc>
        <w:tc>
          <w:tcPr>
            <w:tcW w:w="3415" w:type="dxa"/>
            <w:gridSpan w:val="2"/>
            <w:tcBorders>
              <w:left w:val="single" w:color="auto" w:sz="4" w:space="0"/>
            </w:tcBorders>
            <w:vAlign w:val="center"/>
          </w:tcPr>
          <w:p w14:paraId="2D98987F">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1D6EC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1E497307">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宁波银行股份有限公司温州分行</w:t>
            </w:r>
          </w:p>
        </w:tc>
        <w:tc>
          <w:tcPr>
            <w:tcW w:w="3415" w:type="dxa"/>
            <w:gridSpan w:val="2"/>
            <w:tcBorders>
              <w:left w:val="single" w:color="auto" w:sz="4" w:space="0"/>
            </w:tcBorders>
            <w:vAlign w:val="center"/>
          </w:tcPr>
          <w:p w14:paraId="6BE497AC">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66DBD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429FF054">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杭州银行股份有限公司温州分行</w:t>
            </w:r>
          </w:p>
        </w:tc>
        <w:tc>
          <w:tcPr>
            <w:tcW w:w="3415" w:type="dxa"/>
            <w:gridSpan w:val="2"/>
            <w:tcBorders>
              <w:left w:val="single" w:color="auto" w:sz="4" w:space="0"/>
            </w:tcBorders>
            <w:vAlign w:val="center"/>
          </w:tcPr>
          <w:p w14:paraId="1CC8D823">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22F21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7BBC2AFD">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招商银行股份有限公司温州分行</w:t>
            </w:r>
          </w:p>
        </w:tc>
        <w:tc>
          <w:tcPr>
            <w:tcW w:w="3415" w:type="dxa"/>
            <w:gridSpan w:val="2"/>
            <w:tcBorders>
              <w:left w:val="single" w:color="auto" w:sz="4" w:space="0"/>
            </w:tcBorders>
            <w:vAlign w:val="center"/>
          </w:tcPr>
          <w:p w14:paraId="76A26229">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3788E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27A89EB0">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兴业银行股份有限公司温州分行</w:t>
            </w:r>
          </w:p>
        </w:tc>
        <w:tc>
          <w:tcPr>
            <w:tcW w:w="3415" w:type="dxa"/>
            <w:gridSpan w:val="2"/>
            <w:tcBorders>
              <w:left w:val="single" w:color="auto" w:sz="4" w:space="0"/>
            </w:tcBorders>
            <w:vAlign w:val="center"/>
          </w:tcPr>
          <w:p w14:paraId="4426A703">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77F15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77A752CC">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交通银行股份有限公司温州分行</w:t>
            </w:r>
          </w:p>
        </w:tc>
        <w:tc>
          <w:tcPr>
            <w:tcW w:w="3415" w:type="dxa"/>
            <w:gridSpan w:val="2"/>
            <w:tcBorders>
              <w:left w:val="single" w:color="auto" w:sz="4" w:space="0"/>
            </w:tcBorders>
            <w:vAlign w:val="center"/>
          </w:tcPr>
          <w:p w14:paraId="16FD96CE">
            <w:pPr>
              <w:pStyle w:val="40"/>
              <w:snapToGrid w:val="0"/>
              <w:spacing w:line="240" w:lineRule="auto"/>
              <w:ind w:firstLine="0" w:firstLineChars="0"/>
              <w:jc w:val="center"/>
              <w:rPr>
                <w:rFonts w:ascii="宋体" w:hAnsi="宋体" w:eastAsia="宋体" w:cs="宋体"/>
                <w:bCs/>
                <w:kern w:val="0"/>
                <w:sz w:val="21"/>
                <w:szCs w:val="20"/>
                <w:highlight w:val="none"/>
              </w:rPr>
            </w:pPr>
          </w:p>
        </w:tc>
      </w:tr>
      <w:tr w14:paraId="2424B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5216" w:type="dxa"/>
            <w:gridSpan w:val="3"/>
            <w:vAlign w:val="center"/>
          </w:tcPr>
          <w:p w14:paraId="30017F5F">
            <w:pPr>
              <w:pStyle w:val="40"/>
              <w:snapToGrid w:val="0"/>
              <w:spacing w:line="240" w:lineRule="auto"/>
              <w:ind w:firstLine="0" w:firstLineChars="0"/>
              <w:jc w:val="center"/>
              <w:rPr>
                <w:rFonts w:ascii="宋体" w:hAnsi="宋体" w:eastAsia="宋体" w:cs="宋体"/>
                <w:bCs/>
                <w:kern w:val="0"/>
                <w:sz w:val="21"/>
                <w:szCs w:val="20"/>
                <w:highlight w:val="none"/>
              </w:rPr>
            </w:pPr>
            <w:r>
              <w:rPr>
                <w:rFonts w:ascii="宋体" w:hAnsi="宋体" w:eastAsia="宋体" w:cs="宋体"/>
                <w:bCs/>
                <w:kern w:val="0"/>
                <w:sz w:val="21"/>
                <w:szCs w:val="20"/>
                <w:highlight w:val="none"/>
              </w:rPr>
              <w:t>上海浦东发展银行股份有限公司温州分行</w:t>
            </w:r>
          </w:p>
        </w:tc>
        <w:tc>
          <w:tcPr>
            <w:tcW w:w="3415" w:type="dxa"/>
            <w:gridSpan w:val="2"/>
            <w:tcBorders>
              <w:left w:val="single" w:color="auto" w:sz="4" w:space="0"/>
            </w:tcBorders>
            <w:vAlign w:val="center"/>
          </w:tcPr>
          <w:p w14:paraId="7921EB1B">
            <w:pPr>
              <w:pStyle w:val="40"/>
              <w:snapToGrid w:val="0"/>
              <w:spacing w:line="240" w:lineRule="auto"/>
              <w:ind w:firstLine="0" w:firstLineChars="0"/>
              <w:jc w:val="center"/>
              <w:rPr>
                <w:rFonts w:ascii="宋体" w:hAnsi="宋体" w:eastAsia="宋体" w:cs="宋体"/>
                <w:bCs/>
                <w:kern w:val="0"/>
                <w:sz w:val="21"/>
                <w:szCs w:val="20"/>
                <w:highlight w:val="none"/>
              </w:rPr>
            </w:pPr>
          </w:p>
        </w:tc>
      </w:tr>
    </w:tbl>
    <w:p w14:paraId="10305DD2">
      <w:pPr>
        <w:rPr>
          <w:rFonts w:ascii="宋体" w:hAnsi="宋体" w:cs="宋体"/>
          <w:bCs/>
          <w:highlight w:val="none"/>
        </w:rPr>
      </w:pPr>
      <w:r>
        <w:rPr>
          <w:rFonts w:ascii="宋体" w:hAnsi="宋体" w:cs="宋体"/>
          <w:bCs/>
          <w:highlight w:val="none"/>
        </w:rPr>
        <w:t>注：1、本表填写对象为注册地在温州市域内的供应商。</w:t>
      </w:r>
    </w:p>
    <w:p w14:paraId="0FDC1A01">
      <w:pPr>
        <w:ind w:left="420" w:leftChars="200"/>
        <w:rPr>
          <w:rFonts w:ascii="宋体" w:hAnsi="宋体" w:cs="宋体"/>
          <w:bCs/>
          <w:highlight w:val="none"/>
        </w:rPr>
      </w:pPr>
      <w:r>
        <w:rPr>
          <w:rFonts w:ascii="宋体" w:hAnsi="宋体" w:cs="宋体"/>
          <w:bCs/>
          <w:highlight w:val="none"/>
        </w:rPr>
        <w:t>2、财政部门根据企业自行选择，将本表及企业相关信息推送至相对应的融资意向银行经办人。</w:t>
      </w:r>
    </w:p>
    <w:p w14:paraId="4E0A23C0">
      <w:pPr>
        <w:pStyle w:val="2"/>
        <w:adjustRightInd/>
        <w:spacing w:line="240" w:lineRule="auto"/>
        <w:ind w:left="420" w:leftChars="200"/>
        <w:textAlignment w:val="auto"/>
        <w:rPr>
          <w:highlight w:val="none"/>
        </w:rPr>
      </w:pPr>
      <w:r>
        <w:rPr>
          <w:highlight w:val="none"/>
        </w:rPr>
        <w:t>3、</w:t>
      </w:r>
      <w:r>
        <w:rPr>
          <w:rFonts w:hAnsi="宋体"/>
          <w:sz w:val="22"/>
          <w:highlight w:val="none"/>
        </w:rPr>
        <w:t>供应商填表后发送至racgb@126.com</w:t>
      </w:r>
      <w:bookmarkEnd w:id="503"/>
    </w:p>
    <w:p w14:paraId="0458DEE2">
      <w:pPr>
        <w:rPr>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7F" w:usb3="00000000" w:csb0="203F01FF" w:csb1="DFFF0000"/>
  </w:font>
  <w:font w:name="Times">
    <w:altName w:val="Times New Roman"/>
    <w:panose1 w:val="00000000000000000000"/>
    <w:charset w:val="00"/>
    <w:family w:val="auto"/>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Arial Black">
    <w:panose1 w:val="020B0A04020102020204"/>
    <w:charset w:val="00"/>
    <w:family w:val="swiss"/>
    <w:pitch w:val="default"/>
    <w:sig w:usb0="A00002AF" w:usb1="400078FB" w:usb2="00000000" w:usb3="00000000" w:csb0="6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BE5E4">
    <w:pPr>
      <w:pStyle w:val="18"/>
      <w:ind w:right="360"/>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400685" cy="147955"/>
              <wp:effectExtent l="0" t="0" r="0" b="0"/>
              <wp:wrapNone/>
              <wp:docPr id="4" name="文本框 4"/>
              <wp:cNvGraphicFramePr/>
              <a:graphic xmlns:a="http://schemas.openxmlformats.org/drawingml/2006/main">
                <a:graphicData uri="http://schemas.microsoft.com/office/word/2010/wordprocessingShape">
                  <wps:wsp>
                    <wps:cNvSpPr/>
                    <wps:spPr>
                      <a:xfrm>
                        <a:off x="0" y="0"/>
                        <a:ext cx="400831" cy="148232"/>
                      </a:xfrm>
                      <a:prstGeom prst="rect">
                        <a:avLst/>
                      </a:prstGeom>
                      <a:noFill/>
                      <a:ln w="6350" cap="flat" cmpd="sng">
                        <a:noFill/>
                        <a:prstDash val="solid"/>
                        <a:round/>
                      </a:ln>
                    </wps:spPr>
                    <wps:txbx>
                      <w:txbxContent>
                        <w:p w14:paraId="1FF8FE46">
                          <w:pPr>
                            <w:pStyle w:val="18"/>
                          </w:pPr>
                          <w:r>
                            <w:t xml:space="preserve">第 </w:t>
                          </w:r>
                          <w:r>
                            <w:fldChar w:fldCharType="begin"/>
                          </w:r>
                          <w:r>
                            <w:instrText xml:space="preserve"> PAGE  \* MERGEFORMAT </w:instrText>
                          </w:r>
                          <w:r>
                            <w:fldChar w:fldCharType="separate"/>
                          </w:r>
                          <w:r>
                            <w:t>1</w:t>
                          </w:r>
                          <w:r>
                            <w:fldChar w:fldCharType="end"/>
                          </w:r>
                          <w:r>
                            <w:t xml:space="preserve"> 页</w:t>
                          </w:r>
                        </w:p>
                      </w:txbxContent>
                    </wps:txbx>
                    <wps:bodyPr vert="horz" wrap="none" lIns="0" tIns="0" rIns="0" bIns="0" anchor="t" anchorCtr="0" upright="0">
                      <a:spAutoFit/>
                    </wps:bodyPr>
                  </wps:wsp>
                </a:graphicData>
              </a:graphic>
            </wp:anchor>
          </w:drawing>
        </mc:Choice>
        <mc:Fallback>
          <w:pict>
            <v:rect id="文本框 4" o:spid="_x0000_s1026" o:spt="1" style="position:absolute;left:0pt;margin-top:0pt;height:11.65pt;width:31.55pt;mso-position-horizontal:center;mso-position-horizontal-relative:margin;mso-wrap-style:none;z-index:251659264;mso-width-relative:page;mso-height-relative:page;" filled="f" stroked="f" coordsize="21600,21600" o:gfxdata="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M+H8c1wAAAAMBAAAPAAAAAAAAAAEAIAAAACIAAABkcnMv&#10;ZG93bnJldi54bWxQSwECFAAUAAAACACHTuJAPH61zQQCAAD0AwAADgAAAAAAAAABACAAAAAmAQAA&#10;ZHJzL2Uyb0RvYy54bWxQSwUGAAAAAAYABgBZAQAAnAUAAAAA&#10;">
              <v:fill on="f" focussize="0,0"/>
              <v:stroke on="f" weight="0.5pt" joinstyle="round"/>
              <v:imagedata o:title=""/>
              <o:lock v:ext="edit" aspectratio="f"/>
              <v:textbox inset="0mm,0mm,0mm,0mm" style="mso-fit-shape-to-text:t;">
                <w:txbxContent>
                  <w:p w14:paraId="1FF8FE46">
                    <w:pPr>
                      <w:pStyle w:val="18"/>
                    </w:pPr>
                    <w:r>
                      <w:t xml:space="preserve">第 </w:t>
                    </w:r>
                    <w:r>
                      <w:fldChar w:fldCharType="begin"/>
                    </w:r>
                    <w:r>
                      <w:instrText xml:space="preserve"> PAGE  \* MERGEFORMAT </w:instrText>
                    </w:r>
                    <w:r>
                      <w:fldChar w:fldCharType="separate"/>
                    </w:r>
                    <w:r>
                      <w:t>1</w:t>
                    </w:r>
                    <w:r>
                      <w:fldChar w:fldCharType="end"/>
                    </w:r>
                    <w:r>
                      <w:t xml:space="preserve"> 页</w:t>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7790F">
    <w:pPr>
      <w:pStyle w:val="1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458470" cy="147955"/>
              <wp:effectExtent l="0" t="0" r="0" b="0"/>
              <wp:wrapNone/>
              <wp:docPr id="5" name="文本框 5"/>
              <wp:cNvGraphicFramePr/>
              <a:graphic xmlns:a="http://schemas.openxmlformats.org/drawingml/2006/main">
                <a:graphicData uri="http://schemas.microsoft.com/office/word/2010/wordprocessingShape">
                  <wps:wsp>
                    <wps:cNvSpPr/>
                    <wps:spPr>
                      <a:xfrm>
                        <a:off x="0" y="0"/>
                        <a:ext cx="458762" cy="148232"/>
                      </a:xfrm>
                      <a:prstGeom prst="rect">
                        <a:avLst/>
                      </a:prstGeom>
                      <a:noFill/>
                      <a:ln w="6350" cap="flat" cmpd="sng">
                        <a:noFill/>
                        <a:prstDash val="solid"/>
                        <a:round/>
                      </a:ln>
                    </wps:spPr>
                    <wps:txbx>
                      <w:txbxContent>
                        <w:p w14:paraId="5B7A32E3">
                          <w:pPr>
                            <w:pStyle w:val="18"/>
                          </w:pPr>
                          <w:r>
                            <w:t xml:space="preserve">第 </w:t>
                          </w:r>
                          <w:r>
                            <w:fldChar w:fldCharType="begin"/>
                          </w:r>
                          <w:r>
                            <w:instrText xml:space="preserve"> PAGE  \* MERGEFORMAT </w:instrText>
                          </w:r>
                          <w:r>
                            <w:fldChar w:fldCharType="separate"/>
                          </w:r>
                          <w:r>
                            <w:t>12</w:t>
                          </w:r>
                          <w:r>
                            <w:fldChar w:fldCharType="end"/>
                          </w:r>
                          <w:r>
                            <w:t xml:space="preserve"> 页</w:t>
                          </w:r>
                        </w:p>
                      </w:txbxContent>
                    </wps:txbx>
                    <wps:bodyPr vert="horz" wrap="none" lIns="0" tIns="0" rIns="0" bIns="0" anchor="t" anchorCtr="0" upright="0">
                      <a:spAutoFit/>
                    </wps:bodyPr>
                  </wps:wsp>
                </a:graphicData>
              </a:graphic>
            </wp:anchor>
          </w:drawing>
        </mc:Choice>
        <mc:Fallback>
          <w:pict>
            <v:rect id="文本框 5" o:spid="_x0000_s1026" o:spt="1" style="position:absolute;left:0pt;margin-top:0pt;height:11.65pt;width:36.1pt;mso-position-horizontal:center;mso-position-horizontal-relative:margin;mso-wrap-style:none;z-index:251659264;mso-width-relative:page;mso-height-relative:page;" filled="f" stroked="f" coordsize="21600,21600" o:gfxdata="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9vFZzdcAAAADAQAADwAAAAAAAAABACAAAAAiAAAAZHJz&#10;L2Rvd25yZXYueG1sUEsBAhQAFAAAAAgAh07iQL4tAiQFAgAA9AMAAA4AAAAAAAAAAQAgAAAAJgEA&#10;AGRycy9lMm9Eb2MueG1sUEsFBgAAAAAGAAYAWQEAAJ0FAAAAAA==&#10;">
              <v:fill on="f" focussize="0,0"/>
              <v:stroke on="f" weight="0.5pt" joinstyle="round"/>
              <v:imagedata o:title=""/>
              <o:lock v:ext="edit" aspectratio="f"/>
              <v:textbox inset="0mm,0mm,0mm,0mm" style="mso-fit-shape-to-text:t;">
                <w:txbxContent>
                  <w:p w14:paraId="5B7A32E3">
                    <w:pPr>
                      <w:pStyle w:val="18"/>
                    </w:pPr>
                    <w:r>
                      <w:t xml:space="preserve">第 </w:t>
                    </w:r>
                    <w:r>
                      <w:fldChar w:fldCharType="begin"/>
                    </w:r>
                    <w:r>
                      <w:instrText xml:space="preserve"> PAGE  \* MERGEFORMAT </w:instrText>
                    </w:r>
                    <w:r>
                      <w:fldChar w:fldCharType="separate"/>
                    </w:r>
                    <w:r>
                      <w:t>12</w:t>
                    </w:r>
                    <w:r>
                      <w:fldChar w:fldCharType="end"/>
                    </w:r>
                    <w:r>
                      <w:t xml:space="preserve"> 页</w:t>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60714">
    <w:pPr>
      <w:outlineLvl w:val="0"/>
      <w:rPr>
        <w:rFonts w:eastAsia="宋体"/>
        <w:sz w:val="10"/>
        <w:szCs w:val="16"/>
      </w:rPr>
    </w:pPr>
    <w:r>
      <w:rPr>
        <w:rFonts w:hint="eastAsia"/>
        <w:sz w:val="20"/>
        <w:lang w:eastAsia="zh-CN"/>
      </w:rPr>
      <w:t>瑞安市2025年度农村公益电影放映</w:t>
    </w:r>
    <w:r>
      <w:rPr>
        <w:rFonts w:hint="eastAsia"/>
        <w:sz w:val="20"/>
        <w:lang w:val="en-US" w:eastAsia="zh-CN"/>
      </w:rPr>
      <w:t xml:space="preserve">    </w:t>
    </w:r>
    <w:r>
      <w:rPr>
        <w:sz w:val="20"/>
      </w:rPr>
      <w:t xml:space="preserve">    </w:t>
    </w:r>
    <w:r>
      <w:rPr>
        <w:rFonts w:hint="eastAsia"/>
        <w:sz w:val="20"/>
        <w:lang w:val="en-US" w:eastAsia="zh-CN"/>
      </w:rPr>
      <w:t xml:space="preserve">                 </w:t>
    </w:r>
    <w:r>
      <w:rPr>
        <w:sz w:val="20"/>
        <w:szCs w:val="22"/>
      </w:rPr>
      <w:t>浙江综盛项目管理有限公司制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F4769">
    <w:pPr>
      <w:outlineLvl w:val="0"/>
      <w:rPr>
        <w:rFonts w:eastAsia="宋体"/>
        <w:sz w:val="10"/>
        <w:szCs w:val="16"/>
      </w:rPr>
    </w:pPr>
    <w:r>
      <w:rPr>
        <w:rFonts w:hint="eastAsia"/>
        <w:sz w:val="20"/>
        <w:lang w:eastAsia="zh-CN"/>
      </w:rPr>
      <w:t>瑞安市2025年度农村公益电影放映</w:t>
    </w:r>
    <w:r>
      <w:rPr>
        <w:sz w:val="20"/>
      </w:rPr>
      <w:t xml:space="preserve">   </w:t>
    </w:r>
    <w:r>
      <w:rPr>
        <w:rFonts w:hint="eastAsia"/>
        <w:sz w:val="20"/>
        <w:lang w:val="en-US" w:eastAsia="zh-CN"/>
      </w:rPr>
      <w:t xml:space="preserve">                        </w:t>
    </w:r>
    <w:r>
      <w:rPr>
        <w:sz w:val="20"/>
      </w:rPr>
      <w:t xml:space="preserve"> </w:t>
    </w:r>
    <w:r>
      <w:rPr>
        <w:sz w:val="20"/>
        <w:szCs w:val="22"/>
      </w:rPr>
      <w:t>浙江综盛项目管理有限公司制</w:t>
    </w:r>
  </w:p>
  <w:p w14:paraId="16A080D6">
    <w:pPr>
      <w:pStyle w:val="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16432D">
    <w:pPr>
      <w:outlineLvl w:val="0"/>
      <w:rPr>
        <w:sz w:val="10"/>
        <w:szCs w:val="16"/>
      </w:rPr>
    </w:pPr>
    <w:r>
      <w:rPr>
        <w:rFonts w:hint="eastAsia"/>
        <w:sz w:val="20"/>
        <w:lang w:eastAsia="zh-CN"/>
      </w:rPr>
      <w:t>瑞安市2025年度农村公益电影放映</w:t>
    </w:r>
    <w:r>
      <w:rPr>
        <w:rFonts w:hint="eastAsia"/>
        <w:sz w:val="20"/>
        <w:lang w:val="en-US" w:eastAsia="zh-CN"/>
      </w:rPr>
      <w:t xml:space="preserve">                </w:t>
    </w:r>
    <w:r>
      <w:rPr>
        <w:rFonts w:hint="eastAsia"/>
        <w:sz w:val="20"/>
        <w:szCs w:val="20"/>
      </w:rPr>
      <w:t xml:space="preserve">      </w:t>
    </w:r>
    <w:r>
      <w:rPr>
        <w:rFonts w:hint="eastAsia"/>
        <w:sz w:val="20"/>
        <w:szCs w:val="20"/>
        <w:lang w:val="en-US" w:eastAsia="zh-CN"/>
      </w:rPr>
      <w:t xml:space="preserve">    </w:t>
    </w:r>
    <w:r>
      <w:rPr>
        <w:rFonts w:hint="eastAsia"/>
        <w:sz w:val="20"/>
        <w:szCs w:val="22"/>
      </w:rPr>
      <w:t>浙江综盛项目管理有限公司制</w:t>
    </w:r>
  </w:p>
  <w:p w14:paraId="507C19F7">
    <w:pPr>
      <w:pStyle w:val="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F7CED6"/>
    <w:multiLevelType w:val="singleLevel"/>
    <w:tmpl w:val="81F7CED6"/>
    <w:lvl w:ilvl="0" w:tentative="0">
      <w:start w:val="1"/>
      <w:numFmt w:val="decimal"/>
      <w:lvlText w:val="(%1)"/>
      <w:lvlJc w:val="left"/>
      <w:pPr>
        <w:ind w:left="425" w:hanging="425"/>
      </w:pPr>
      <w:rPr>
        <w:rFonts w:hint="default"/>
      </w:rPr>
    </w:lvl>
  </w:abstractNum>
  <w:abstractNum w:abstractNumId="1">
    <w:nsid w:val="93D77E27"/>
    <w:multiLevelType w:val="singleLevel"/>
    <w:tmpl w:val="93D77E27"/>
    <w:lvl w:ilvl="0" w:tentative="0">
      <w:start w:val="1"/>
      <w:numFmt w:val="decimal"/>
      <w:suff w:val="space"/>
      <w:lvlText w:val="%1."/>
      <w:lvlJc w:val="left"/>
    </w:lvl>
  </w:abstractNum>
  <w:abstractNum w:abstractNumId="2">
    <w:nsid w:val="9FF36C32"/>
    <w:multiLevelType w:val="singleLevel"/>
    <w:tmpl w:val="9FF36C32"/>
    <w:lvl w:ilvl="0" w:tentative="0">
      <w:start w:val="2"/>
      <w:numFmt w:val="chineseCounting"/>
      <w:suff w:val="nothing"/>
      <w:lvlText w:val="%1、"/>
      <w:lvlJc w:val="left"/>
      <w:rPr>
        <w:rFonts w:hint="eastAsia"/>
      </w:rPr>
    </w:lvl>
  </w:abstractNum>
  <w:abstractNum w:abstractNumId="3">
    <w:nsid w:val="BDD12A83"/>
    <w:multiLevelType w:val="multilevel"/>
    <w:tmpl w:val="BDD12A83"/>
    <w:lvl w:ilvl="0" w:tentative="0">
      <w:start w:val="1"/>
      <w:numFmt w:val="decimal"/>
      <w:suff w:val="space"/>
      <w:lvlText w:val="（%1）"/>
      <w:lvlJc w:val="left"/>
      <w:pPr>
        <w:tabs>
          <w:tab w:val="left" w:pos="420"/>
        </w:tabs>
        <w:ind w:left="0" w:firstLine="0"/>
      </w:pPr>
      <w:rPr>
        <w:rFonts w:hint="default" w:cs="Times New Roman"/>
        <w:color w:val="auto"/>
        <w:sz w:val="21"/>
      </w:rPr>
    </w:lvl>
    <w:lvl w:ilvl="1" w:tentative="0">
      <w:start w:val="1"/>
      <w:numFmt w:val="decimal"/>
      <w:lvlText w:val="%2）"/>
      <w:lvlJc w:val="left"/>
      <w:pPr>
        <w:ind w:left="1770" w:hanging="510"/>
      </w:pPr>
      <w:rPr>
        <w:rFonts w:hint="default" w:ascii="宋体" w:hAnsi="宋体"/>
        <w:color w:val="000000"/>
      </w:rPr>
    </w:lvl>
    <w:lvl w:ilvl="2" w:tentative="0">
      <w:start w:val="1"/>
      <w:numFmt w:val="decimal"/>
      <w:lvlText w:val="%3、"/>
      <w:lvlJc w:val="left"/>
      <w:pPr>
        <w:ind w:left="2040" w:hanging="360"/>
      </w:pPr>
      <w:rPr>
        <w:rFonts w:hint="default"/>
      </w:r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4">
    <w:nsid w:val="DB6A8EA1"/>
    <w:multiLevelType w:val="singleLevel"/>
    <w:tmpl w:val="DB6A8EA1"/>
    <w:lvl w:ilvl="0" w:tentative="0">
      <w:start w:val="1"/>
      <w:numFmt w:val="decimal"/>
      <w:suff w:val="space"/>
      <w:lvlText w:val="%1."/>
      <w:lvlJc w:val="left"/>
    </w:lvl>
  </w:abstractNum>
  <w:abstractNum w:abstractNumId="5">
    <w:nsid w:val="E4BBD852"/>
    <w:multiLevelType w:val="singleLevel"/>
    <w:tmpl w:val="E4BBD852"/>
    <w:lvl w:ilvl="0" w:tentative="0">
      <w:start w:val="1"/>
      <w:numFmt w:val="decimal"/>
      <w:lvlText w:val="%1."/>
      <w:lvlJc w:val="left"/>
      <w:pPr>
        <w:tabs>
          <w:tab w:val="left" w:pos="312"/>
        </w:tabs>
      </w:pPr>
    </w:lvl>
  </w:abstractNum>
  <w:abstractNum w:abstractNumId="6">
    <w:nsid w:val="EA48FFAD"/>
    <w:multiLevelType w:val="singleLevel"/>
    <w:tmpl w:val="EA48FFAD"/>
    <w:lvl w:ilvl="0" w:tentative="0">
      <w:start w:val="1"/>
      <w:numFmt w:val="decimal"/>
      <w:lvlText w:val="(%1)"/>
      <w:lvlJc w:val="left"/>
      <w:pPr>
        <w:ind w:left="425" w:hanging="425"/>
      </w:pPr>
      <w:rPr>
        <w:rFonts w:hint="default"/>
      </w:rPr>
    </w:lvl>
  </w:abstractNum>
  <w:abstractNum w:abstractNumId="7">
    <w:nsid w:val="FC8332B9"/>
    <w:multiLevelType w:val="singleLevel"/>
    <w:tmpl w:val="FC8332B9"/>
    <w:lvl w:ilvl="0" w:tentative="0">
      <w:start w:val="1"/>
      <w:numFmt w:val="decimal"/>
      <w:suff w:val="nothing"/>
      <w:lvlText w:val="（%1）"/>
      <w:lvlJc w:val="left"/>
    </w:lvl>
  </w:abstractNum>
  <w:abstractNum w:abstractNumId="8">
    <w:nsid w:val="00000015"/>
    <w:multiLevelType w:val="singleLevel"/>
    <w:tmpl w:val="00000015"/>
    <w:lvl w:ilvl="0" w:tentative="0">
      <w:start w:val="1"/>
      <w:numFmt w:val="decimal"/>
      <w:lvlText w:val="（%1）"/>
      <w:lvlJc w:val="left"/>
      <w:pPr>
        <w:ind w:left="420" w:hanging="420"/>
      </w:pPr>
      <w:rPr>
        <w:rFonts w:hint="eastAsia"/>
        <w:color w:val="auto"/>
      </w:rPr>
    </w:lvl>
  </w:abstractNum>
  <w:abstractNum w:abstractNumId="9">
    <w:nsid w:val="00000019"/>
    <w:multiLevelType w:val="multilevel"/>
    <w:tmpl w:val="00000019"/>
    <w:lvl w:ilvl="0" w:tentative="0">
      <w:start w:val="1"/>
      <w:numFmt w:val="decimal"/>
      <w:lvlText w:val="%1."/>
      <w:lvlJc w:val="left"/>
      <w:pPr>
        <w:tabs>
          <w:tab w:val="left" w:pos="851"/>
        </w:tabs>
        <w:ind w:left="851" w:hanging="851"/>
      </w:pPr>
      <w:rPr>
        <w:rFonts w:hint="default" w:ascii="Arial" w:hAnsi="Arial" w:eastAsia="宋体"/>
        <w:b/>
        <w:i w:val="0"/>
        <w:sz w:val="24"/>
      </w:rPr>
    </w:lvl>
    <w:lvl w:ilvl="1" w:tentative="0">
      <w:start w:val="1"/>
      <w:numFmt w:val="decimal"/>
      <w:lvlText w:val="%1.%2"/>
      <w:lvlJc w:val="left"/>
      <w:pPr>
        <w:tabs>
          <w:tab w:val="left" w:pos="851"/>
        </w:tabs>
        <w:ind w:left="851" w:hanging="851"/>
      </w:pPr>
      <w:rPr>
        <w:rFonts w:hint="default" w:ascii="Arial" w:hAnsi="Arial" w:eastAsia="宋体"/>
        <w:b w:val="0"/>
        <w:i w:val="0"/>
        <w:sz w:val="21"/>
      </w:rPr>
    </w:lvl>
    <w:lvl w:ilvl="2" w:tentative="0">
      <w:start w:val="1"/>
      <w:numFmt w:val="decimal"/>
      <w:lvlText w:val="%1.%2.%3"/>
      <w:lvlJc w:val="left"/>
      <w:pPr>
        <w:tabs>
          <w:tab w:val="left" w:pos="720"/>
        </w:tabs>
        <w:ind w:left="420" w:hanging="420"/>
      </w:pPr>
      <w:rPr>
        <w:rFonts w:hint="eastAsia"/>
      </w:rPr>
    </w:lvl>
    <w:lvl w:ilvl="3" w:tentative="0">
      <w:start w:val="1"/>
      <w:numFmt w:val="decimal"/>
      <w:lvlText w:val="%1.%2.%3.%4"/>
      <w:lvlJc w:val="left"/>
      <w:pPr>
        <w:tabs>
          <w:tab w:val="left" w:pos="1080"/>
        </w:tabs>
        <w:ind w:left="420" w:hanging="420"/>
      </w:pPr>
      <w:rPr>
        <w:rFonts w:hint="eastAsia"/>
      </w:rPr>
    </w:lvl>
    <w:lvl w:ilvl="4" w:tentative="0">
      <w:start w:val="1"/>
      <w:numFmt w:val="decimal"/>
      <w:lvlText w:val="%1.%2.%3.%4.%5"/>
      <w:lvlJc w:val="left"/>
      <w:pPr>
        <w:tabs>
          <w:tab w:val="left" w:pos="420"/>
        </w:tabs>
        <w:ind w:left="420" w:hanging="420"/>
      </w:pPr>
      <w:rPr>
        <w:rFonts w:hint="eastAsia"/>
      </w:rPr>
    </w:lvl>
    <w:lvl w:ilvl="5" w:tentative="0">
      <w:start w:val="1"/>
      <w:numFmt w:val="decimal"/>
      <w:lvlText w:val="%1.%2.%3.%4.%5.%6"/>
      <w:lvlJc w:val="left"/>
      <w:pPr>
        <w:tabs>
          <w:tab w:val="left" w:pos="420"/>
        </w:tabs>
        <w:ind w:left="420" w:hanging="420"/>
      </w:pPr>
      <w:rPr>
        <w:rFonts w:hint="eastAsia"/>
      </w:rPr>
    </w:lvl>
    <w:lvl w:ilvl="6" w:tentative="0">
      <w:start w:val="1"/>
      <w:numFmt w:val="decimal"/>
      <w:lvlText w:val="%1.%2.%3.%4.%5.%6.%7"/>
      <w:lvlJc w:val="left"/>
      <w:pPr>
        <w:tabs>
          <w:tab w:val="left" w:pos="420"/>
        </w:tabs>
        <w:ind w:left="420" w:hanging="420"/>
      </w:pPr>
      <w:rPr>
        <w:rFonts w:hint="eastAsia"/>
      </w:rPr>
    </w:lvl>
    <w:lvl w:ilvl="7" w:tentative="0">
      <w:start w:val="1"/>
      <w:numFmt w:val="decimal"/>
      <w:lvlText w:val="%1.%2.%3.%4.%5.%6.%7.%8"/>
      <w:lvlJc w:val="left"/>
      <w:pPr>
        <w:tabs>
          <w:tab w:val="left" w:pos="420"/>
        </w:tabs>
        <w:ind w:left="420" w:hanging="420"/>
      </w:pPr>
      <w:rPr>
        <w:rFonts w:hint="eastAsia"/>
      </w:rPr>
    </w:lvl>
    <w:lvl w:ilvl="8" w:tentative="0">
      <w:start w:val="1"/>
      <w:numFmt w:val="decimal"/>
      <w:lvlText w:val="%1.%2.%3.%4.%5.%6.%7.%8.%9"/>
      <w:lvlJc w:val="left"/>
      <w:pPr>
        <w:tabs>
          <w:tab w:val="left" w:pos="420"/>
        </w:tabs>
        <w:ind w:left="420" w:hanging="420"/>
      </w:pPr>
      <w:rPr>
        <w:rFonts w:hint="eastAsia"/>
      </w:rPr>
    </w:lvl>
  </w:abstractNum>
  <w:abstractNum w:abstractNumId="10">
    <w:nsid w:val="0000001C"/>
    <w:multiLevelType w:val="multilevel"/>
    <w:tmpl w:val="0000001C"/>
    <w:lvl w:ilvl="0" w:tentative="0">
      <w:start w:val="1"/>
      <w:numFmt w:val="japaneseCounting"/>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0000001E"/>
    <w:multiLevelType w:val="multilevel"/>
    <w:tmpl w:val="0000001E"/>
    <w:lvl w:ilvl="0" w:tentative="0">
      <w:start w:val="1"/>
      <w:numFmt w:val="decimal"/>
      <w:lvlText w:val="（%1）"/>
      <w:lvlJc w:val="left"/>
      <w:pPr>
        <w:ind w:left="1560" w:hanging="720"/>
      </w:pPr>
      <w:rPr>
        <w:rFonts w:hint="default" w:cs="Times New Roman"/>
        <w:color w:val="auto"/>
        <w:sz w:val="21"/>
      </w:rPr>
    </w:lvl>
    <w:lvl w:ilvl="1" w:tentative="0">
      <w:start w:val="1"/>
      <w:numFmt w:val="decimal"/>
      <w:lvlText w:val="2.%2"/>
      <w:lvlJc w:val="left"/>
      <w:pPr>
        <w:ind w:left="1620" w:hanging="360"/>
      </w:pPr>
      <w:rPr>
        <w:rFonts w:hint="eastAsia" w:cs="Times New Roman"/>
        <w:color w:val="auto"/>
      </w:rPr>
    </w:lvl>
    <w:lvl w:ilvl="2" w:tentative="0">
      <w:start w:val="1"/>
      <w:numFmt w:val="decimalEnclosedCircle"/>
      <w:lvlText w:val="%3"/>
      <w:lvlJc w:val="left"/>
      <w:pPr>
        <w:ind w:left="2085" w:hanging="405"/>
      </w:pPr>
      <w:rPr>
        <w:rFonts w:hint="default" w:cs="Times New Roman"/>
      </w:rPr>
    </w:lvl>
    <w:lvl w:ilvl="3" w:tentative="0">
      <w:start w:val="1"/>
      <w:numFmt w:val="decimal"/>
      <w:lvlText w:val="%4."/>
      <w:lvlJc w:val="left"/>
      <w:pPr>
        <w:ind w:left="2520" w:hanging="420"/>
      </w:pPr>
      <w:rPr>
        <w:rFonts w:cs="Times New Roman"/>
      </w:rPr>
    </w:lvl>
    <w:lvl w:ilvl="4" w:tentative="0">
      <w:start w:val="1"/>
      <w:numFmt w:val="lowerLetter"/>
      <w:lvlText w:val="%5)"/>
      <w:lvlJc w:val="left"/>
      <w:pPr>
        <w:ind w:left="2940" w:hanging="420"/>
      </w:pPr>
      <w:rPr>
        <w:rFonts w:cs="Times New Roman"/>
      </w:rPr>
    </w:lvl>
    <w:lvl w:ilvl="5" w:tentative="0">
      <w:start w:val="1"/>
      <w:numFmt w:val="lowerRoman"/>
      <w:lvlText w:val="%6."/>
      <w:lvlJc w:val="right"/>
      <w:pPr>
        <w:ind w:left="3360" w:hanging="420"/>
      </w:pPr>
      <w:rPr>
        <w:rFonts w:cs="Times New Roman"/>
      </w:rPr>
    </w:lvl>
    <w:lvl w:ilvl="6" w:tentative="0">
      <w:start w:val="1"/>
      <w:numFmt w:val="decimal"/>
      <w:lvlText w:val="%7."/>
      <w:lvlJc w:val="left"/>
      <w:pPr>
        <w:ind w:left="3780" w:hanging="420"/>
      </w:pPr>
      <w:rPr>
        <w:rFonts w:cs="Times New Roman"/>
      </w:rPr>
    </w:lvl>
    <w:lvl w:ilvl="7" w:tentative="0">
      <w:start w:val="1"/>
      <w:numFmt w:val="lowerLetter"/>
      <w:lvlText w:val="%8)"/>
      <w:lvlJc w:val="left"/>
      <w:pPr>
        <w:ind w:left="4200" w:hanging="420"/>
      </w:pPr>
      <w:rPr>
        <w:rFonts w:cs="Times New Roman"/>
      </w:rPr>
    </w:lvl>
    <w:lvl w:ilvl="8" w:tentative="0">
      <w:start w:val="1"/>
      <w:numFmt w:val="lowerRoman"/>
      <w:lvlText w:val="%9."/>
      <w:lvlJc w:val="right"/>
      <w:pPr>
        <w:ind w:left="4620" w:hanging="420"/>
      </w:pPr>
      <w:rPr>
        <w:rFonts w:cs="Times New Roman"/>
      </w:rPr>
    </w:lvl>
  </w:abstractNum>
  <w:abstractNum w:abstractNumId="12">
    <w:nsid w:val="0F1A6F35"/>
    <w:multiLevelType w:val="singleLevel"/>
    <w:tmpl w:val="0F1A6F35"/>
    <w:lvl w:ilvl="0" w:tentative="0">
      <w:start w:val="1"/>
      <w:numFmt w:val="decimal"/>
      <w:suff w:val="nothing"/>
      <w:lvlText w:val="（%1）"/>
      <w:lvlJc w:val="left"/>
    </w:lvl>
  </w:abstractNum>
  <w:abstractNum w:abstractNumId="13">
    <w:nsid w:val="1759A82E"/>
    <w:multiLevelType w:val="singleLevel"/>
    <w:tmpl w:val="1759A82E"/>
    <w:lvl w:ilvl="0" w:tentative="0">
      <w:start w:val="1"/>
      <w:numFmt w:val="decimal"/>
      <w:suff w:val="nothing"/>
      <w:lvlText w:val="%1．"/>
      <w:lvlJc w:val="left"/>
      <w:pPr>
        <w:ind w:left="0" w:firstLine="400"/>
      </w:pPr>
      <w:rPr>
        <w:rFonts w:hint="default"/>
      </w:rPr>
    </w:lvl>
  </w:abstractNum>
  <w:abstractNum w:abstractNumId="14">
    <w:nsid w:val="35223091"/>
    <w:multiLevelType w:val="singleLevel"/>
    <w:tmpl w:val="35223091"/>
    <w:lvl w:ilvl="0" w:tentative="0">
      <w:start w:val="1"/>
      <w:numFmt w:val="decimal"/>
      <w:lvlText w:val="(%1)"/>
      <w:lvlJc w:val="left"/>
      <w:pPr>
        <w:ind w:left="425" w:hanging="425"/>
      </w:pPr>
      <w:rPr>
        <w:rFonts w:hint="default"/>
      </w:rPr>
    </w:lvl>
  </w:abstractNum>
  <w:abstractNum w:abstractNumId="15">
    <w:nsid w:val="4F50C2A5"/>
    <w:multiLevelType w:val="singleLevel"/>
    <w:tmpl w:val="4F50C2A5"/>
    <w:lvl w:ilvl="0" w:tentative="0">
      <w:start w:val="1"/>
      <w:numFmt w:val="decimal"/>
      <w:suff w:val="space"/>
      <w:lvlText w:val="%1."/>
      <w:lvlJc w:val="left"/>
    </w:lvl>
  </w:abstractNum>
  <w:abstractNum w:abstractNumId="16">
    <w:nsid w:val="557FD3DA"/>
    <w:multiLevelType w:val="singleLevel"/>
    <w:tmpl w:val="557FD3DA"/>
    <w:lvl w:ilvl="0" w:tentative="0">
      <w:start w:val="3"/>
      <w:numFmt w:val="chineseCounting"/>
      <w:suff w:val="nothing"/>
      <w:lvlText w:val="%1、"/>
      <w:lvlJc w:val="left"/>
    </w:lvl>
  </w:abstractNum>
  <w:abstractNum w:abstractNumId="17">
    <w:nsid w:val="593C976F"/>
    <w:multiLevelType w:val="singleLevel"/>
    <w:tmpl w:val="593C976F"/>
    <w:lvl w:ilvl="0" w:tentative="0">
      <w:start w:val="1"/>
      <w:numFmt w:val="chineseCounting"/>
      <w:suff w:val="nothing"/>
      <w:lvlText w:val="（%1）"/>
      <w:lvlJc w:val="left"/>
    </w:lvl>
  </w:abstractNum>
  <w:abstractNum w:abstractNumId="18">
    <w:nsid w:val="5C1A6A8E"/>
    <w:multiLevelType w:val="singleLevel"/>
    <w:tmpl w:val="5C1A6A8E"/>
    <w:lvl w:ilvl="0" w:tentative="0">
      <w:start w:val="1"/>
      <w:numFmt w:val="decimal"/>
      <w:suff w:val="space"/>
      <w:lvlText w:val="%1)"/>
      <w:lvlJc w:val="left"/>
    </w:lvl>
  </w:abstractNum>
  <w:abstractNum w:abstractNumId="19">
    <w:nsid w:val="612C0E64"/>
    <w:multiLevelType w:val="multilevel"/>
    <w:tmpl w:val="612C0E64"/>
    <w:lvl w:ilvl="0" w:tentative="0">
      <w:start w:val="1"/>
      <w:numFmt w:val="decimal"/>
      <w:lvlText w:val="%1."/>
      <w:lvlJc w:val="left"/>
      <w:pPr>
        <w:tabs>
          <w:tab w:val="left" w:pos="1244"/>
        </w:tabs>
        <w:ind w:left="1260" w:hanging="420"/>
      </w:pPr>
      <w:rPr>
        <w:rFonts w:hint="eastAsia"/>
      </w:rPr>
    </w:lvl>
    <w:lvl w:ilvl="1" w:tentative="0">
      <w:start w:val="1"/>
      <w:numFmt w:val="lowerLetter"/>
      <w:lvlText w:val="%2)"/>
      <w:lvlJc w:val="left"/>
      <w:pPr>
        <w:tabs>
          <w:tab w:val="left" w:pos="824"/>
        </w:tabs>
        <w:ind w:left="824" w:hanging="420"/>
      </w:pPr>
    </w:lvl>
    <w:lvl w:ilvl="2" w:tentative="0">
      <w:start w:val="1"/>
      <w:numFmt w:val="lowerRoman"/>
      <w:lvlText w:val="%3."/>
      <w:lvlJc w:val="right"/>
      <w:pPr>
        <w:tabs>
          <w:tab w:val="left" w:pos="1244"/>
        </w:tabs>
        <w:ind w:left="1244" w:hanging="420"/>
      </w:pPr>
    </w:lvl>
    <w:lvl w:ilvl="3" w:tentative="0">
      <w:start w:val="1"/>
      <w:numFmt w:val="decimal"/>
      <w:lvlText w:val="%4."/>
      <w:lvlJc w:val="left"/>
      <w:pPr>
        <w:tabs>
          <w:tab w:val="left" w:pos="1664"/>
        </w:tabs>
        <w:ind w:left="1664" w:hanging="420"/>
      </w:pPr>
    </w:lvl>
    <w:lvl w:ilvl="4" w:tentative="0">
      <w:start w:val="1"/>
      <w:numFmt w:val="lowerLetter"/>
      <w:lvlText w:val="%5)"/>
      <w:lvlJc w:val="left"/>
      <w:pPr>
        <w:tabs>
          <w:tab w:val="left" w:pos="2084"/>
        </w:tabs>
        <w:ind w:left="2084" w:hanging="420"/>
      </w:pPr>
    </w:lvl>
    <w:lvl w:ilvl="5" w:tentative="0">
      <w:start w:val="1"/>
      <w:numFmt w:val="lowerRoman"/>
      <w:lvlText w:val="%6."/>
      <w:lvlJc w:val="right"/>
      <w:pPr>
        <w:tabs>
          <w:tab w:val="left" w:pos="2504"/>
        </w:tabs>
        <w:ind w:left="2504" w:hanging="420"/>
      </w:pPr>
    </w:lvl>
    <w:lvl w:ilvl="6" w:tentative="0">
      <w:start w:val="1"/>
      <w:numFmt w:val="decimal"/>
      <w:lvlText w:val="%7."/>
      <w:lvlJc w:val="left"/>
      <w:pPr>
        <w:tabs>
          <w:tab w:val="left" w:pos="2924"/>
        </w:tabs>
        <w:ind w:left="2924" w:hanging="420"/>
      </w:pPr>
    </w:lvl>
    <w:lvl w:ilvl="7" w:tentative="0">
      <w:start w:val="1"/>
      <w:numFmt w:val="lowerLetter"/>
      <w:lvlText w:val="%8)"/>
      <w:lvlJc w:val="left"/>
      <w:pPr>
        <w:tabs>
          <w:tab w:val="left" w:pos="3344"/>
        </w:tabs>
        <w:ind w:left="3344" w:hanging="420"/>
      </w:pPr>
    </w:lvl>
    <w:lvl w:ilvl="8" w:tentative="0">
      <w:start w:val="1"/>
      <w:numFmt w:val="lowerRoman"/>
      <w:lvlText w:val="%9."/>
      <w:lvlJc w:val="right"/>
      <w:pPr>
        <w:tabs>
          <w:tab w:val="left" w:pos="3764"/>
        </w:tabs>
        <w:ind w:left="3764" w:hanging="420"/>
      </w:pPr>
    </w:lvl>
  </w:abstractNum>
  <w:abstractNum w:abstractNumId="20">
    <w:nsid w:val="6BE89767"/>
    <w:multiLevelType w:val="singleLevel"/>
    <w:tmpl w:val="6BE89767"/>
    <w:lvl w:ilvl="0" w:tentative="0">
      <w:start w:val="1"/>
      <w:numFmt w:val="decimal"/>
      <w:suff w:val="space"/>
      <w:lvlText w:val="%1）"/>
      <w:lvlJc w:val="left"/>
    </w:lvl>
  </w:abstractNum>
  <w:abstractNum w:abstractNumId="21">
    <w:nsid w:val="792E58DD"/>
    <w:multiLevelType w:val="multilevel"/>
    <w:tmpl w:val="792E58DD"/>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pStyle w:val="10"/>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22">
    <w:nsid w:val="7D0529F4"/>
    <w:multiLevelType w:val="singleLevel"/>
    <w:tmpl w:val="7D0529F4"/>
    <w:lvl w:ilvl="0" w:tentative="0">
      <w:start w:val="1"/>
      <w:numFmt w:val="decimal"/>
      <w:lvlText w:val="%1."/>
      <w:lvlJc w:val="left"/>
      <w:pPr>
        <w:tabs>
          <w:tab w:val="left" w:pos="454"/>
        </w:tabs>
        <w:ind w:left="454" w:hanging="454"/>
      </w:pPr>
      <w:rPr>
        <w:rFonts w:hint="default"/>
      </w:rPr>
    </w:lvl>
  </w:abstractNum>
  <w:num w:numId="1">
    <w:abstractNumId w:val="21"/>
  </w:num>
  <w:num w:numId="2">
    <w:abstractNumId w:val="22"/>
  </w:num>
  <w:num w:numId="3">
    <w:abstractNumId w:val="12"/>
  </w:num>
  <w:num w:numId="4">
    <w:abstractNumId w:val="18"/>
  </w:num>
  <w:num w:numId="5">
    <w:abstractNumId w:val="1"/>
  </w:num>
  <w:num w:numId="6">
    <w:abstractNumId w:val="5"/>
  </w:num>
  <w:num w:numId="7">
    <w:abstractNumId w:val="7"/>
  </w:num>
  <w:num w:numId="8">
    <w:abstractNumId w:val="13"/>
  </w:num>
  <w:num w:numId="9">
    <w:abstractNumId w:val="15"/>
  </w:num>
  <w:num w:numId="10">
    <w:abstractNumId w:val="4"/>
  </w:num>
  <w:num w:numId="11">
    <w:abstractNumId w:val="16"/>
  </w:num>
  <w:num w:numId="12">
    <w:abstractNumId w:val="9"/>
  </w:num>
  <w:num w:numId="13">
    <w:abstractNumId w:val="6"/>
  </w:num>
  <w:num w:numId="14">
    <w:abstractNumId w:val="20"/>
  </w:num>
  <w:num w:numId="15">
    <w:abstractNumId w:val="2"/>
  </w:num>
  <w:num w:numId="16">
    <w:abstractNumId w:val="3"/>
  </w:num>
  <w:num w:numId="17">
    <w:abstractNumId w:val="14"/>
  </w:num>
  <w:num w:numId="18">
    <w:abstractNumId w:val="8"/>
  </w:num>
  <w:num w:numId="19">
    <w:abstractNumId w:val="10"/>
  </w:num>
  <w:num w:numId="20">
    <w:abstractNumId w:val="0"/>
  </w:num>
  <w:num w:numId="21">
    <w:abstractNumId w:val="17"/>
  </w:num>
  <w:num w:numId="22">
    <w:abstractNumId w:val="19"/>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useFELayout/>
    <w:doNotUseIndentAsNumberingTabStop/>
    <w:compatSetting w:name="compatibilityMode" w:uri="http://schemas.microsoft.com/office/word" w:val="14"/>
  </w:compat>
  <w:docVars>
    <w:docVar w:name="commondata" w:val="eyJoZGlkIjoiNWJmZTJkYjgwNzdhNjQwNjJhNzllNDYwYThkNDJlODIifQ=="/>
  </w:docVars>
  <w:rsids>
    <w:rsidRoot w:val="00000000"/>
    <w:rsid w:val="224C50BB"/>
    <w:rsid w:val="2CC96D3F"/>
    <w:rsid w:val="3D0E0CFF"/>
    <w:rsid w:val="5D1953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0"/>
      <w:lang w:val="en-US" w:eastAsia="zh-CN" w:bidi="ar-SA"/>
    </w:rPr>
  </w:style>
  <w:style w:type="paragraph" w:styleId="7">
    <w:name w:val="heading 1"/>
    <w:basedOn w:val="1"/>
    <w:next w:val="1"/>
    <w:link w:val="29"/>
    <w:autoRedefine/>
    <w:qFormat/>
    <w:uiPriority w:val="0"/>
    <w:pPr>
      <w:keepNext/>
      <w:keepLines/>
      <w:tabs>
        <w:tab w:val="left" w:pos="840"/>
      </w:tabs>
      <w:adjustRightInd w:val="0"/>
      <w:snapToGrid w:val="0"/>
      <w:spacing w:line="360" w:lineRule="auto"/>
      <w:outlineLvl w:val="0"/>
    </w:pPr>
    <w:rPr>
      <w:rFonts w:ascii="宋体"/>
      <w:b/>
      <w:kern w:val="44"/>
      <w:sz w:val="24"/>
    </w:rPr>
  </w:style>
  <w:style w:type="paragraph" w:styleId="8">
    <w:name w:val="heading 2"/>
    <w:basedOn w:val="1"/>
    <w:next w:val="1"/>
    <w:link w:val="30"/>
    <w:autoRedefine/>
    <w:qFormat/>
    <w:uiPriority w:val="0"/>
    <w:pPr>
      <w:tabs>
        <w:tab w:val="left" w:pos="840"/>
      </w:tabs>
      <w:spacing w:before="260" w:after="260" w:line="415" w:lineRule="auto"/>
      <w:outlineLvl w:val="1"/>
    </w:pPr>
    <w:rPr>
      <w:rFonts w:ascii="Cambria" w:hAnsi="Cambria"/>
      <w:bCs/>
      <w:sz w:val="32"/>
      <w:szCs w:val="32"/>
    </w:rPr>
  </w:style>
  <w:style w:type="paragraph" w:styleId="9">
    <w:name w:val="heading 3"/>
    <w:basedOn w:val="1"/>
    <w:next w:val="1"/>
    <w:link w:val="31"/>
    <w:autoRedefine/>
    <w:qFormat/>
    <w:uiPriority w:val="0"/>
    <w:pPr>
      <w:keepNext/>
      <w:keepLines/>
      <w:spacing w:before="260" w:after="260" w:line="415" w:lineRule="auto"/>
      <w:outlineLvl w:val="2"/>
    </w:pPr>
    <w:rPr>
      <w:b/>
      <w:bCs/>
      <w:sz w:val="32"/>
      <w:szCs w:val="32"/>
    </w:rPr>
  </w:style>
  <w:style w:type="paragraph" w:styleId="10">
    <w:name w:val="heading 4"/>
    <w:basedOn w:val="1"/>
    <w:next w:val="1"/>
    <w:link w:val="32"/>
    <w:autoRedefine/>
    <w:qFormat/>
    <w:uiPriority w:val="0"/>
    <w:pPr>
      <w:numPr>
        <w:ilvl w:val="3"/>
        <w:numId w:val="1"/>
      </w:numPr>
      <w:autoSpaceDE w:val="0"/>
      <w:autoSpaceDN w:val="0"/>
      <w:adjustRightInd w:val="0"/>
      <w:snapToGrid w:val="0"/>
      <w:spacing w:line="360" w:lineRule="auto"/>
      <w:outlineLvl w:val="3"/>
    </w:pPr>
    <w:rPr>
      <w:rFonts w:ascii="宋体" w:hAnsi="Arial"/>
      <w:color w:val="000000"/>
      <w:sz w:val="20"/>
    </w:rPr>
  </w:style>
  <w:style w:type="paragraph" w:styleId="11">
    <w:name w:val="heading 6"/>
    <w:basedOn w:val="1"/>
    <w:next w:val="1"/>
    <w:link w:val="33"/>
    <w:autoRedefine/>
    <w:qFormat/>
    <w:uiPriority w:val="0"/>
    <w:pPr>
      <w:keepNext/>
      <w:keepLines/>
      <w:tabs>
        <w:tab w:val="left" w:pos="1152"/>
      </w:tabs>
      <w:spacing w:before="240" w:after="64" w:line="319" w:lineRule="auto"/>
      <w:ind w:left="425" w:hanging="425"/>
      <w:outlineLvl w:val="5"/>
    </w:pPr>
    <w:rPr>
      <w:rFonts w:ascii="Arial" w:hAnsi="Arial" w:eastAsia="黑体"/>
      <w:b/>
      <w:bCs/>
      <w:spacing w:val="6"/>
      <w:sz w:val="24"/>
      <w:szCs w:val="24"/>
      <w:lang w:val="zh-CN"/>
    </w:rPr>
  </w:style>
  <w:style w:type="character" w:default="1" w:styleId="26">
    <w:name w:val="Default Paragraph Font"/>
    <w:autoRedefine/>
    <w:qFormat/>
    <w:uiPriority w:val="0"/>
  </w:style>
  <w:style w:type="table" w:default="1" w:styleId="25">
    <w:name w:val="Normal Table"/>
    <w:semiHidden/>
    <w:qFormat/>
    <w:uiPriority w:val="0"/>
    <w:tblPr>
      <w:tblCellMar>
        <w:top w:w="0" w:type="dxa"/>
        <w:left w:w="108" w:type="dxa"/>
        <w:bottom w:w="0" w:type="dxa"/>
        <w:right w:w="108" w:type="dxa"/>
      </w:tblCellMar>
    </w:tblPr>
  </w:style>
  <w:style w:type="paragraph" w:customStyle="1" w:styleId="2">
    <w:name w:val="表格文字"/>
    <w:basedOn w:val="3"/>
    <w:next w:val="5"/>
    <w:autoRedefine/>
    <w:qFormat/>
    <w:uiPriority w:val="0"/>
    <w:pPr>
      <w:adjustRightInd w:val="0"/>
      <w:spacing w:line="420" w:lineRule="atLeast"/>
      <w:textAlignment w:val="baseline"/>
    </w:pPr>
  </w:style>
  <w:style w:type="paragraph" w:styleId="3">
    <w:name w:val="Plain Text"/>
    <w:basedOn w:val="1"/>
    <w:next w:val="4"/>
    <w:autoRedefine/>
    <w:qFormat/>
    <w:uiPriority w:val="0"/>
    <w:rPr>
      <w:rFonts w:ascii="宋体" w:hAnsi="Courier New"/>
      <w:szCs w:val="22"/>
    </w:rPr>
  </w:style>
  <w:style w:type="paragraph" w:styleId="4">
    <w:name w:val="toc 2"/>
    <w:basedOn w:val="1"/>
    <w:next w:val="1"/>
    <w:autoRedefine/>
    <w:qFormat/>
    <w:uiPriority w:val="0"/>
    <w:pPr>
      <w:ind w:left="200" w:leftChars="200"/>
    </w:pPr>
  </w:style>
  <w:style w:type="paragraph" w:styleId="5">
    <w:name w:val="Body Text"/>
    <w:basedOn w:val="1"/>
    <w:next w:val="6"/>
    <w:autoRedefine/>
    <w:qFormat/>
    <w:uiPriority w:val="0"/>
    <w:pPr>
      <w:spacing w:line="360" w:lineRule="auto"/>
    </w:pPr>
    <w:rPr>
      <w:rFonts w:ascii="楷体_GB2312" w:eastAsia="楷体_GB2312"/>
      <w:sz w:val="32"/>
    </w:rPr>
  </w:style>
  <w:style w:type="paragraph" w:styleId="6">
    <w:name w:val="Body Text First Indent"/>
    <w:basedOn w:val="5"/>
    <w:next w:val="1"/>
    <w:autoRedefine/>
    <w:qFormat/>
    <w:uiPriority w:val="0"/>
    <w:pPr>
      <w:tabs>
        <w:tab w:val="left" w:pos="482"/>
        <w:tab w:val="left" w:pos="2183"/>
        <w:tab w:val="left" w:pos="3884"/>
        <w:tab w:val="left" w:pos="5585"/>
      </w:tabs>
      <w:adjustRightInd w:val="0"/>
      <w:ind w:firstLine="482"/>
      <w:textAlignment w:val="baseline"/>
    </w:pPr>
    <w:rPr>
      <w:sz w:val="24"/>
    </w:rPr>
  </w:style>
  <w:style w:type="paragraph" w:styleId="12">
    <w:name w:val="Normal Indent"/>
    <w:basedOn w:val="1"/>
    <w:next w:val="1"/>
    <w:autoRedefine/>
    <w:qFormat/>
    <w:uiPriority w:val="0"/>
    <w:pPr>
      <w:ind w:firstLine="420"/>
    </w:pPr>
    <w:rPr>
      <w:sz w:val="20"/>
    </w:rPr>
  </w:style>
  <w:style w:type="paragraph" w:styleId="13">
    <w:name w:val="Body Text Indent"/>
    <w:basedOn w:val="1"/>
    <w:next w:val="1"/>
    <w:autoRedefine/>
    <w:qFormat/>
    <w:uiPriority w:val="0"/>
    <w:pPr>
      <w:spacing w:after="120"/>
      <w:ind w:left="200" w:leftChars="200"/>
    </w:pPr>
  </w:style>
  <w:style w:type="paragraph" w:styleId="14">
    <w:name w:val="List 2"/>
    <w:basedOn w:val="1"/>
    <w:autoRedefine/>
    <w:qFormat/>
    <w:uiPriority w:val="0"/>
    <w:pPr>
      <w:ind w:left="400" w:leftChars="200" w:hanging="200" w:hangingChars="200"/>
    </w:pPr>
    <w:rPr>
      <w:szCs w:val="22"/>
    </w:rPr>
  </w:style>
  <w:style w:type="paragraph" w:styleId="15">
    <w:name w:val="Block Text"/>
    <w:basedOn w:val="1"/>
    <w:autoRedefine/>
    <w:qFormat/>
    <w:uiPriority w:val="0"/>
    <w:pPr>
      <w:adjustRightInd w:val="0"/>
      <w:spacing w:line="300" w:lineRule="auto"/>
      <w:ind w:left="958" w:right="-120" w:rightChars="-120"/>
      <w:jc w:val="left"/>
    </w:pPr>
    <w:rPr>
      <w:rFonts w:ascii="宋体" w:hAnsi="宋体"/>
      <w:sz w:val="28"/>
    </w:rPr>
  </w:style>
  <w:style w:type="paragraph" w:styleId="16">
    <w:name w:val="toc 3"/>
    <w:basedOn w:val="1"/>
    <w:next w:val="1"/>
    <w:autoRedefine/>
    <w:qFormat/>
    <w:uiPriority w:val="0"/>
    <w:pPr>
      <w:ind w:left="400" w:leftChars="400"/>
    </w:pPr>
  </w:style>
  <w:style w:type="paragraph" w:styleId="17">
    <w:name w:val="Date"/>
    <w:basedOn w:val="1"/>
    <w:next w:val="1"/>
    <w:autoRedefine/>
    <w:qFormat/>
    <w:uiPriority w:val="0"/>
    <w:pPr>
      <w:widowControl w:val="0"/>
      <w:jc w:val="both"/>
    </w:pPr>
    <w:rPr>
      <w:rFonts w:ascii="Times New Roman" w:hAnsi="Times New Roman"/>
      <w:sz w:val="20"/>
    </w:rPr>
  </w:style>
  <w:style w:type="paragraph" w:styleId="18">
    <w:name w:val="footer"/>
    <w:basedOn w:val="1"/>
    <w:autoRedefine/>
    <w:qFormat/>
    <w:uiPriority w:val="0"/>
    <w:pPr>
      <w:tabs>
        <w:tab w:val="center" w:pos="4153"/>
        <w:tab w:val="right" w:pos="8306"/>
      </w:tabs>
      <w:snapToGrid w:val="0"/>
      <w:jc w:val="left"/>
    </w:pPr>
    <w:rPr>
      <w:sz w:val="18"/>
    </w:rPr>
  </w:style>
  <w:style w:type="paragraph" w:styleId="19">
    <w:name w:val="envelope return"/>
    <w:basedOn w:val="1"/>
    <w:autoRedefine/>
    <w:qFormat/>
    <w:uiPriority w:val="0"/>
    <w:pPr>
      <w:snapToGrid w:val="0"/>
    </w:pPr>
    <w:rPr>
      <w:rFonts w:ascii="Arial" w:hAnsi="Arial"/>
    </w:rPr>
  </w:style>
  <w:style w:type="paragraph" w:styleId="20">
    <w:name w:val="header"/>
    <w:basedOn w:val="1"/>
    <w:autoRedefine/>
    <w:qFormat/>
    <w:uiPriority w:val="0"/>
    <w:pPr>
      <w:pBdr>
        <w:top w:val="none" w:color="auto" w:sz="0" w:space="0"/>
        <w:left w:val="none" w:color="auto" w:sz="0" w:space="0"/>
        <w:bottom w:val="none" w:color="auto" w:sz="0" w:space="0"/>
        <w:right w:val="none" w:color="auto" w:sz="0" w:space="0"/>
      </w:pBdr>
      <w:tabs>
        <w:tab w:val="center" w:pos="4153"/>
        <w:tab w:val="right" w:pos="8306"/>
      </w:tabs>
      <w:snapToGrid w:val="0"/>
    </w:pPr>
    <w:rPr>
      <w:sz w:val="18"/>
    </w:rPr>
  </w:style>
  <w:style w:type="paragraph" w:styleId="21">
    <w:name w:val="toc 1"/>
    <w:basedOn w:val="1"/>
    <w:next w:val="1"/>
    <w:autoRedefine/>
    <w:qFormat/>
    <w:uiPriority w:val="0"/>
    <w:pPr>
      <w:tabs>
        <w:tab w:val="right" w:leader="middleDot" w:pos="8948"/>
      </w:tabs>
    </w:pPr>
    <w:rPr>
      <w:rFonts w:ascii="宋体" w:hAnsi="宋体"/>
      <w:b/>
      <w:bCs/>
      <w:caps/>
      <w:szCs w:val="21"/>
    </w:rPr>
  </w:style>
  <w:style w:type="paragraph" w:styleId="22">
    <w:name w:val="toc 6"/>
    <w:basedOn w:val="1"/>
    <w:next w:val="1"/>
    <w:autoRedefine/>
    <w:qFormat/>
    <w:uiPriority w:val="0"/>
    <w:pPr>
      <w:spacing w:line="360" w:lineRule="auto"/>
      <w:ind w:left="1200" w:firstLine="200" w:firstLineChars="200"/>
      <w:jc w:val="left"/>
    </w:pPr>
    <w:rPr>
      <w:rFonts w:cs="Calibri"/>
      <w:sz w:val="18"/>
      <w:szCs w:val="18"/>
    </w:rPr>
  </w:style>
  <w:style w:type="paragraph" w:styleId="23">
    <w:name w:val="Normal (Web)"/>
    <w:basedOn w:val="1"/>
    <w:autoRedefine/>
    <w:qFormat/>
    <w:uiPriority w:val="0"/>
    <w:pPr>
      <w:spacing w:before="100" w:beforeAutospacing="1" w:after="100" w:afterAutospacing="1"/>
    </w:pPr>
    <w:rPr>
      <w:rFonts w:ascii="Arial Unicode MS" w:hAnsi="Arial Unicode MS" w:eastAsia="Times New Roman"/>
      <w:color w:val="000000"/>
      <w:sz w:val="24"/>
    </w:rPr>
  </w:style>
  <w:style w:type="paragraph" w:styleId="24">
    <w:name w:val="Body Text First Indent 2"/>
    <w:basedOn w:val="13"/>
    <w:autoRedefine/>
    <w:qFormat/>
    <w:uiPriority w:val="0"/>
    <w:pPr>
      <w:ind w:firstLine="200" w:firstLineChars="200"/>
    </w:pPr>
  </w:style>
  <w:style w:type="character" w:styleId="27">
    <w:name w:val="Strong"/>
    <w:autoRedefine/>
    <w:qFormat/>
    <w:uiPriority w:val="0"/>
    <w:rPr>
      <w:b/>
      <w:bCs/>
    </w:rPr>
  </w:style>
  <w:style w:type="character" w:styleId="28">
    <w:name w:val="Hyperlink"/>
    <w:autoRedefine/>
    <w:qFormat/>
    <w:uiPriority w:val="0"/>
    <w:rPr>
      <w:rFonts w:ascii="宋体" w:hAnsi="宋体" w:eastAsia="宋体" w:cs="宋体"/>
      <w:color w:val="000000"/>
      <w:sz w:val="18"/>
      <w:szCs w:val="18"/>
      <w:u w:val="none"/>
    </w:rPr>
  </w:style>
  <w:style w:type="character" w:customStyle="1" w:styleId="29">
    <w:name w:val="heading 1 Char"/>
    <w:basedOn w:val="26"/>
    <w:link w:val="7"/>
    <w:autoRedefine/>
    <w:qFormat/>
    <w:uiPriority w:val="0"/>
    <w:rPr>
      <w:rFonts w:ascii="宋体" w:hAnsi="Calibri" w:eastAsia="宋体" w:cs="Times New Roman"/>
      <w:b/>
      <w:kern w:val="44"/>
      <w:sz w:val="24"/>
      <w:szCs w:val="20"/>
      <w:lang w:val="en-US" w:eastAsia="zh-CN" w:bidi="ar-SA"/>
    </w:rPr>
  </w:style>
  <w:style w:type="character" w:customStyle="1" w:styleId="30">
    <w:name w:val="heading 2 Char"/>
    <w:basedOn w:val="26"/>
    <w:link w:val="8"/>
    <w:autoRedefine/>
    <w:qFormat/>
    <w:uiPriority w:val="0"/>
    <w:rPr>
      <w:rFonts w:ascii="Cambria" w:hAnsi="Cambria" w:eastAsia="宋体" w:cs="Times New Roman"/>
      <w:bCs/>
      <w:kern w:val="2"/>
      <w:sz w:val="32"/>
      <w:szCs w:val="32"/>
      <w:lang w:val="en-US" w:eastAsia="zh-CN" w:bidi="ar-SA"/>
    </w:rPr>
  </w:style>
  <w:style w:type="character" w:customStyle="1" w:styleId="31">
    <w:name w:val="heading 3 Char"/>
    <w:basedOn w:val="26"/>
    <w:link w:val="9"/>
    <w:autoRedefine/>
    <w:qFormat/>
    <w:uiPriority w:val="0"/>
    <w:rPr>
      <w:rFonts w:ascii="Calibri" w:hAnsi="Calibri" w:eastAsia="宋体" w:cs="Times New Roman"/>
      <w:b/>
      <w:bCs/>
      <w:kern w:val="2"/>
      <w:sz w:val="32"/>
      <w:szCs w:val="32"/>
      <w:lang w:val="en-US" w:eastAsia="zh-CN" w:bidi="ar-SA"/>
    </w:rPr>
  </w:style>
  <w:style w:type="character" w:customStyle="1" w:styleId="32">
    <w:name w:val="heading 4 Char"/>
    <w:basedOn w:val="26"/>
    <w:link w:val="10"/>
    <w:autoRedefine/>
    <w:qFormat/>
    <w:uiPriority w:val="0"/>
    <w:rPr>
      <w:rFonts w:ascii="宋体" w:hAnsi="Arial" w:eastAsia="宋体" w:cs="Times New Roman"/>
      <w:color w:val="000000"/>
      <w:kern w:val="2"/>
      <w:sz w:val="20"/>
      <w:szCs w:val="20"/>
      <w:lang w:val="en-US" w:eastAsia="zh-CN" w:bidi="ar-SA"/>
    </w:rPr>
  </w:style>
  <w:style w:type="character" w:customStyle="1" w:styleId="33">
    <w:name w:val="heading 6 Char"/>
    <w:basedOn w:val="26"/>
    <w:link w:val="11"/>
    <w:autoRedefine/>
    <w:qFormat/>
    <w:uiPriority w:val="0"/>
    <w:rPr>
      <w:rFonts w:ascii="Arial" w:hAnsi="Arial" w:eastAsia="黑体" w:cs="Times New Roman"/>
      <w:b/>
      <w:bCs/>
      <w:spacing w:val="6"/>
      <w:kern w:val="2"/>
      <w:sz w:val="24"/>
      <w:szCs w:val="24"/>
      <w:lang w:val="zh-CN" w:eastAsia="zh-CN" w:bidi="ar-SA"/>
    </w:rPr>
  </w:style>
  <w:style w:type="paragraph" w:customStyle="1" w:styleId="34">
    <w:name w:val="列表段落1"/>
    <w:basedOn w:val="1"/>
    <w:autoRedefine/>
    <w:qFormat/>
    <w:uiPriority w:val="0"/>
    <w:pPr>
      <w:ind w:firstLine="200" w:firstLineChars="200"/>
    </w:pPr>
  </w:style>
  <w:style w:type="character" w:customStyle="1" w:styleId="35">
    <w:name w:val="op-map-singlepoint-info-right1"/>
    <w:basedOn w:val="26"/>
    <w:autoRedefine/>
    <w:qFormat/>
    <w:uiPriority w:val="0"/>
  </w:style>
  <w:style w:type="character" w:customStyle="1" w:styleId="36">
    <w:name w:val="NormalCharacter"/>
    <w:autoRedefine/>
    <w:qFormat/>
    <w:uiPriority w:val="0"/>
  </w:style>
  <w:style w:type="paragraph" w:customStyle="1" w:styleId="37">
    <w:name w:val="正文1"/>
    <w:autoRedefine/>
    <w:qFormat/>
    <w:uiPriority w:val="0"/>
    <w:pPr>
      <w:widowControl w:val="0"/>
      <w:jc w:val="both"/>
    </w:pPr>
    <w:rPr>
      <w:rFonts w:ascii="Calibri" w:hAnsi="Calibri" w:eastAsia="宋体" w:cs="Times New Roman"/>
      <w:kern w:val="2"/>
      <w:sz w:val="21"/>
      <w:szCs w:val="20"/>
      <w:lang w:val="en-US" w:eastAsia="zh-CN" w:bidi="ar-SA"/>
    </w:rPr>
  </w:style>
  <w:style w:type="paragraph" w:customStyle="1" w:styleId="38">
    <w:name w:val="纯文本1"/>
    <w:basedOn w:val="37"/>
    <w:autoRedefine/>
    <w:qFormat/>
    <w:uiPriority w:val="0"/>
    <w:pPr>
      <w:widowControl/>
      <w:jc w:val="left"/>
    </w:pPr>
    <w:rPr>
      <w:rFonts w:ascii="宋体" w:hAnsi="Courier New"/>
    </w:rPr>
  </w:style>
  <w:style w:type="paragraph" w:customStyle="1" w:styleId="39">
    <w:name w:val="中等深浅网格 1 - 强调文字颜色 21"/>
    <w:basedOn w:val="1"/>
    <w:autoRedefine/>
    <w:qFormat/>
    <w:uiPriority w:val="0"/>
    <w:pPr>
      <w:ind w:firstLine="200" w:firstLineChars="200"/>
    </w:pPr>
  </w:style>
  <w:style w:type="paragraph" w:customStyle="1" w:styleId="40">
    <w:name w:val="l正文"/>
    <w:basedOn w:val="1"/>
    <w:autoRedefine/>
    <w:qFormat/>
    <w:uiPriority w:val="0"/>
    <w:pPr>
      <w:spacing w:line="300" w:lineRule="auto"/>
      <w:ind w:firstLine="200" w:firstLineChars="200"/>
    </w:pPr>
    <w:rPr>
      <w:rFonts w:ascii="楷体_GB2312" w:hAnsi="Times" w:eastAsia="楷体_GB2312" w:cs="等线"/>
      <w:sz w:val="24"/>
      <w:szCs w:val="24"/>
    </w:rPr>
  </w:style>
  <w:style w:type="paragraph" w:customStyle="1" w:styleId="41">
    <w:name w:val="Table Paragraph"/>
    <w:basedOn w:val="1"/>
    <w:autoRedefine/>
    <w:qFormat/>
    <w:uiPriority w:val="0"/>
    <w:pPr>
      <w:autoSpaceDE w:val="0"/>
      <w:autoSpaceDN w:val="0"/>
    </w:pPr>
    <w:rPr>
      <w:rFonts w:ascii="宋体" w:hAnsi="宋体" w:cs="宋体"/>
      <w:sz w:val="22"/>
      <w:szCs w:val="22"/>
    </w:rPr>
  </w:style>
  <w:style w:type="paragraph" w:customStyle="1" w:styleId="42">
    <w:name w:val="表格"/>
    <w:basedOn w:val="1"/>
    <w:autoRedefine/>
    <w:qFormat/>
    <w:uiPriority w:val="0"/>
    <w:pPr>
      <w:jc w:val="center"/>
    </w:pPr>
    <w:rPr>
      <w:rFonts w:cs="宋体"/>
    </w:rPr>
  </w:style>
  <w:style w:type="paragraph" w:customStyle="1" w:styleId="43">
    <w:name w:val="表格标题"/>
    <w:next w:val="1"/>
    <w:autoRedefine/>
    <w:qFormat/>
    <w:uiPriority w:val="0"/>
    <w:pPr>
      <w:tabs>
        <w:tab w:val="center" w:pos="4395"/>
      </w:tabs>
      <w:spacing w:line="360" w:lineRule="auto"/>
      <w:jc w:val="center"/>
    </w:pPr>
    <w:rPr>
      <w:rFonts w:ascii="Times New Roman" w:hAnsi="Times New Roman" w:eastAsia="宋体" w:cs="宋体"/>
      <w:b/>
      <w:sz w:val="28"/>
      <w:szCs w:val="28"/>
      <w:lang w:val="en-US" w:eastAsia="zh-CN" w:bidi="ar-SA"/>
    </w:rPr>
  </w:style>
  <w:style w:type="paragraph" w:customStyle="1" w:styleId="44">
    <w:name w:val="段"/>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styleId="45">
    <w:name w:val="List Paragraph"/>
    <w:basedOn w:val="1"/>
    <w:autoRedefine/>
    <w:qFormat/>
    <w:uiPriority w:val="0"/>
    <w:pPr>
      <w:ind w:firstLine="200" w:firstLineChars="200"/>
    </w:pPr>
    <w:rPr>
      <w:rFonts w:ascii="Times New Roman" w:hAnsi="Times New Roman"/>
    </w:rPr>
  </w:style>
  <w:style w:type="paragraph" w:customStyle="1" w:styleId="46">
    <w:name w:val="表内文字"/>
    <w:basedOn w:val="1"/>
    <w:autoRedefine/>
    <w:qFormat/>
    <w:uiPriority w:val="0"/>
    <w:pPr>
      <w:widowControl w:val="0"/>
      <w:spacing w:line="500" w:lineRule="atLeast"/>
      <w:jc w:val="center"/>
    </w:pPr>
    <w:rPr>
      <w:rFonts w:ascii="Arial" w:hAnsi="Arial" w:eastAsia="楷体_GB2312"/>
      <w:kern w:val="2"/>
      <w:sz w:val="28"/>
      <w:szCs w:val="22"/>
    </w:rPr>
  </w:style>
  <w:style w:type="paragraph" w:customStyle="1" w:styleId="47">
    <w:name w:val="xl35"/>
    <w:basedOn w:val="1"/>
    <w:autoRedefine/>
    <w:qFormat/>
    <w:uiPriority w:val="0"/>
    <w:pPr>
      <w:pBdr>
        <w:left w:val="single" w:color="auto" w:sz="4" w:space="0"/>
        <w:bottom w:val="single" w:color="auto" w:sz="4" w:space="0"/>
        <w:right w:val="single" w:color="auto" w:sz="4" w:space="0"/>
      </w:pBdr>
      <w:spacing w:before="100" w:beforeAutospacing="1" w:after="100" w:afterAutospacing="1"/>
      <w:jc w:val="both"/>
      <w:textAlignment w:val="center"/>
    </w:pPr>
    <w:rPr>
      <w:rFonts w:ascii="Arial Unicode MS" w:hAnsi="Arial Unicode MS"/>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0.jpeg"/><Relationship Id="rId17" Type="http://schemas.openxmlformats.org/officeDocument/2006/relationships/image" Target="media/image9.png"/><Relationship Id="rId16" Type="http://schemas.openxmlformats.org/officeDocument/2006/relationships/image" Target="media/image8.png"/><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主题">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1"/>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1"/>
        </a:gradFill>
      </a:fillStyleLst>
      <a:lnStyleLst>
        <a:ln w="6350" cap="flat" cmpd="sng">
          <a:solidFill>
            <a:schemeClr val="phClr"/>
          </a:solidFill>
          <a:prstDash val="solid"/>
          <a:miter/>
        </a:ln>
        <a:ln w="12700" cap="flat" cmpd="sng">
          <a:solidFill>
            <a:schemeClr val="phClr"/>
          </a:solidFill>
          <a:prstDash val="solid"/>
          <a:miter/>
        </a:ln>
        <a:ln w="19050" cap="flat" cmpd="sng">
          <a:solidFill>
            <a:schemeClr val="phClr"/>
          </a:solidFill>
          <a:prstDash val="solid"/>
          <a:miter/>
        </a:ln>
      </a:lnStyleLst>
      <a:effectStyleLst>
        <a:effectStyle>
          <a:effectLst/>
        </a:effectStyle>
        <a:effectStyle>
          <a:effectLst/>
        </a:effectStyle>
        <a:effectStyle>
          <a:effectLst>
            <a:outerShdw blurRad="57150" dist="19050" dir="5400000" algn="ctr" rotWithShape="0">
              <a:srgbClr val="000000">
                <a:alpha val="62745"/>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1"/>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customData xmlns="http://www.yozosoft.com.cn/officeDocument/2016/customData">
  <customProps>
    <docPr revisions="3 0 5 0 0 0 1 0 0 0 3000 0 1 1 1 1"/>
    <sectPr/>
    <sectPr/>
    <sectPr/>
    <sectPr/>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EA9F14-3482-4946-866B-3133F0B2C89B}">
  <ds:schemaRefs/>
</ds:datastoreItem>
</file>

<file path=docProps/app.xml><?xml version="1.0" encoding="utf-8"?>
<Properties xmlns="http://schemas.openxmlformats.org/officeDocument/2006/extended-properties" xmlns:vt="http://schemas.openxmlformats.org/officeDocument/2006/docPropsVTypes">
  <Template>Normal.eit</Template>
  <Pages>79</Pages>
  <Words>27086</Words>
  <Characters>28646</Characters>
  <Lines>0</Lines>
  <Paragraphs>1047</Paragraphs>
  <TotalTime>763</TotalTime>
  <ScaleCrop>false</ScaleCrop>
  <LinksUpToDate>false</LinksUpToDate>
  <CharactersWithSpaces>33078</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2023-02-21T05:16:00Z</dcterms:created>
  <dc:creator>天下为攻</dc:creator>
  <cp:lastModifiedBy>天下为攻</cp:lastModifiedBy>
  <dcterms:modified xsi:type="dcterms:W3CDTF">2025-04-21T05:24:00Z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9F5F350D22DB4B9E9CE5049CC16A7556</vt:lpwstr>
  </property>
  <property fmtid="{D5CDD505-2E9C-101B-9397-08002B2CF9AE}" pid="4" name="KSOTemplateDocerSaveRecord">
    <vt:lpwstr>eyJoZGlkIjoiNWJmZTJkYjgwNzdhNjQwNjJhNzllNDYwYThkNDJlODIiLCJ1c2VySWQiOiIyMTA5OTcxNTAifQ==</vt:lpwstr>
  </property>
</Properties>
</file>