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BB2A0">
      <w:pPr>
        <w:kinsoku/>
        <w:wordWrap w:val="0"/>
        <w:topLinePunct w:val="0"/>
        <w:bidi w:val="0"/>
        <w:spacing w:line="360" w:lineRule="auto"/>
        <w:jc w:val="center"/>
        <w:rPr>
          <w:rFonts w:ascii="仿宋" w:hAnsi="仿宋" w:eastAsia="仿宋" w:cs="仿宋_GB2312"/>
          <w:b/>
          <w:sz w:val="24"/>
          <w:highlight w:val="none"/>
        </w:rPr>
      </w:pPr>
    </w:p>
    <w:p w14:paraId="4E3A8435">
      <w:pPr>
        <w:kinsoku/>
        <w:wordWrap w:val="0"/>
        <w:topLinePunct w:val="0"/>
        <w:bidi w:val="0"/>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招标文件</w:t>
      </w:r>
    </w:p>
    <w:p w14:paraId="63D866F6">
      <w:pPr>
        <w:kinsoku/>
        <w:wordWrap w:val="0"/>
        <w:topLinePunct w:val="0"/>
        <w:bidi w:val="0"/>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（电子招投标）</w:t>
      </w:r>
    </w:p>
    <w:p w14:paraId="3798EFE9">
      <w:pPr>
        <w:kinsoku/>
        <w:wordWrap w:val="0"/>
        <w:topLinePunct w:val="0"/>
        <w:bidi w:val="0"/>
        <w:snapToGrid w:val="0"/>
        <w:spacing w:line="360" w:lineRule="auto"/>
        <w:jc w:val="center"/>
        <w:rPr>
          <w:rFonts w:hint="eastAsia" w:ascii="仿宋" w:hAnsi="仿宋" w:eastAsia="仿宋" w:cs="仿宋_GB2312"/>
          <w:sz w:val="30"/>
          <w:szCs w:val="30"/>
          <w:highlight w:val="none"/>
          <w:lang w:eastAsia="zh-CN"/>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lang w:eastAsia="zh-CN"/>
        </w:rPr>
        <w:t>WZ</w:t>
      </w:r>
      <w:r>
        <w:rPr>
          <w:rFonts w:hint="eastAsia" w:ascii="仿宋" w:hAnsi="仿宋" w:eastAsia="仿宋" w:cs="仿宋_GB2312"/>
          <w:sz w:val="30"/>
          <w:szCs w:val="30"/>
          <w:highlight w:val="none"/>
          <w:lang w:val="en-US" w:eastAsia="zh-CN"/>
        </w:rPr>
        <w:t>GX</w:t>
      </w:r>
      <w:r>
        <w:rPr>
          <w:rFonts w:hint="eastAsia" w:ascii="仿宋" w:hAnsi="仿宋" w:eastAsia="仿宋" w:cs="仿宋_GB2312"/>
          <w:sz w:val="30"/>
          <w:szCs w:val="30"/>
          <w:highlight w:val="none"/>
          <w:lang w:eastAsia="zh-CN"/>
        </w:rPr>
        <w:t>-YJ-202</w:t>
      </w:r>
      <w:r>
        <w:rPr>
          <w:rFonts w:hint="eastAsia" w:ascii="仿宋" w:hAnsi="仿宋" w:eastAsia="仿宋" w:cs="仿宋_GB2312"/>
          <w:sz w:val="30"/>
          <w:szCs w:val="30"/>
          <w:highlight w:val="none"/>
          <w:lang w:val="en-US" w:eastAsia="zh-CN"/>
        </w:rPr>
        <w:t>410</w:t>
      </w:r>
      <w:r>
        <w:rPr>
          <w:rFonts w:hint="eastAsia" w:ascii="仿宋" w:hAnsi="仿宋" w:eastAsia="仿宋" w:cs="仿宋_GB2312"/>
          <w:sz w:val="30"/>
          <w:szCs w:val="30"/>
          <w:highlight w:val="none"/>
          <w:lang w:eastAsia="zh-CN"/>
        </w:rPr>
        <w:t>001</w:t>
      </w:r>
    </w:p>
    <w:p w14:paraId="446416C1">
      <w:pPr>
        <w:kinsoku/>
        <w:wordWrap w:val="0"/>
        <w:topLinePunct w:val="0"/>
        <w:bidi w:val="0"/>
        <w:adjustRightInd/>
        <w:spacing w:line="360" w:lineRule="auto"/>
        <w:rPr>
          <w:rFonts w:ascii="仿宋" w:hAnsi="仿宋" w:eastAsia="仿宋" w:cs="仿宋_GB2312"/>
          <w:sz w:val="28"/>
          <w:szCs w:val="20"/>
          <w:highlight w:val="none"/>
        </w:rPr>
      </w:pPr>
    </w:p>
    <w:p w14:paraId="0E82DBE8">
      <w:pPr>
        <w:kinsoku/>
        <w:wordWrap w:val="0"/>
        <w:topLinePunct w:val="0"/>
        <w:bidi w:val="0"/>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14:paraId="158FC8D8">
      <w:pPr>
        <w:kinsoku/>
        <w:wordWrap w:val="0"/>
        <w:topLinePunct w:val="0"/>
        <w:bidi w:val="0"/>
        <w:spacing w:line="360" w:lineRule="auto"/>
        <w:jc w:val="center"/>
        <w:rPr>
          <w:rFonts w:ascii="仿宋" w:hAnsi="仿宋" w:eastAsia="仿宋" w:cs="仿宋_GB2312"/>
          <w:b/>
          <w:sz w:val="44"/>
          <w:szCs w:val="44"/>
          <w:highlight w:val="none"/>
        </w:rPr>
      </w:pPr>
    </w:p>
    <w:p w14:paraId="211E4293">
      <w:pPr>
        <w:kinsoku/>
        <w:wordWrap w:val="0"/>
        <w:topLinePunct w:val="0"/>
        <w:bidi w:val="0"/>
        <w:spacing w:line="360" w:lineRule="auto"/>
        <w:jc w:val="center"/>
        <w:rPr>
          <w:rFonts w:ascii="仿宋" w:hAnsi="仿宋" w:eastAsia="仿宋" w:cs="仿宋_GB2312"/>
          <w:sz w:val="24"/>
          <w:highlight w:val="none"/>
        </w:rPr>
      </w:pPr>
    </w:p>
    <w:p w14:paraId="44196933">
      <w:pPr>
        <w:kinsoku/>
        <w:wordWrap w:val="0"/>
        <w:topLinePunct w:val="0"/>
        <w:bidi w:val="0"/>
        <w:adjustRightInd/>
        <w:spacing w:line="360" w:lineRule="auto"/>
        <w:ind w:firstLine="803" w:firstLineChars="200"/>
        <w:jc w:val="both"/>
        <w:rPr>
          <w:rFonts w:hint="eastAsia" w:ascii="仿宋" w:hAnsi="仿宋" w:eastAsia="仿宋" w:cs="仿宋_GB2312"/>
          <w:b/>
          <w:bCs/>
          <w:sz w:val="40"/>
          <w:szCs w:val="40"/>
          <w:highlight w:val="none"/>
          <w:lang w:eastAsia="zh-CN"/>
        </w:rPr>
      </w:pPr>
      <w:r>
        <w:rPr>
          <w:rFonts w:hint="eastAsia" w:ascii="仿宋" w:hAnsi="仿宋" w:eastAsia="仿宋" w:cs="仿宋_GB2312"/>
          <w:b/>
          <w:bCs/>
          <w:sz w:val="40"/>
          <w:szCs w:val="40"/>
          <w:highlight w:val="none"/>
          <w:lang w:eastAsia="zh-CN"/>
        </w:rPr>
        <w:t>2024年永嘉县路面灌缝、路面砂浆修复项目</w:t>
      </w:r>
    </w:p>
    <w:p w14:paraId="2DB4E4FA">
      <w:pPr>
        <w:kinsoku/>
        <w:wordWrap w:val="0"/>
        <w:topLinePunct w:val="0"/>
        <w:bidi w:val="0"/>
        <w:rPr>
          <w:highlight w:val="none"/>
        </w:rPr>
      </w:pPr>
    </w:p>
    <w:p w14:paraId="33CA8EB0">
      <w:pPr>
        <w:kinsoku/>
        <w:wordWrap w:val="0"/>
        <w:topLinePunct w:val="0"/>
        <w:bidi w:val="0"/>
        <w:rPr>
          <w:highlight w:val="none"/>
        </w:rPr>
      </w:pPr>
    </w:p>
    <w:p w14:paraId="34934A89">
      <w:pPr>
        <w:kinsoku/>
        <w:wordWrap w:val="0"/>
        <w:topLinePunct w:val="0"/>
        <w:bidi w:val="0"/>
        <w:rPr>
          <w:highlight w:val="none"/>
        </w:rPr>
      </w:pPr>
    </w:p>
    <w:p w14:paraId="7104CF9A">
      <w:pPr>
        <w:kinsoku/>
        <w:wordWrap w:val="0"/>
        <w:topLinePunct w:val="0"/>
        <w:bidi w:val="0"/>
        <w:rPr>
          <w:highlight w:val="none"/>
        </w:rPr>
      </w:pPr>
    </w:p>
    <w:p w14:paraId="35732EFB">
      <w:pPr>
        <w:kinsoku/>
        <w:wordWrap w:val="0"/>
        <w:topLinePunct w:val="0"/>
        <w:bidi w:val="0"/>
        <w:rPr>
          <w:highlight w:val="none"/>
        </w:rPr>
      </w:pPr>
    </w:p>
    <w:p w14:paraId="66A37588">
      <w:pPr>
        <w:pStyle w:val="2"/>
        <w:rPr>
          <w:highlight w:val="none"/>
        </w:rPr>
      </w:pPr>
    </w:p>
    <w:p w14:paraId="7E7A4E28">
      <w:pPr>
        <w:rPr>
          <w:highlight w:val="none"/>
        </w:rPr>
      </w:pPr>
    </w:p>
    <w:p w14:paraId="3896CC3C">
      <w:pPr>
        <w:pStyle w:val="2"/>
        <w:rPr>
          <w:highlight w:val="none"/>
        </w:rPr>
      </w:pPr>
    </w:p>
    <w:p w14:paraId="1EE71ED3">
      <w:pPr>
        <w:rPr>
          <w:highlight w:val="none"/>
        </w:rPr>
      </w:pPr>
    </w:p>
    <w:p w14:paraId="39F03152">
      <w:pPr>
        <w:kinsoku/>
        <w:wordWrap w:val="0"/>
        <w:topLinePunct w:val="0"/>
        <w:bidi w:val="0"/>
        <w:rPr>
          <w:highlight w:val="none"/>
        </w:rPr>
      </w:pPr>
    </w:p>
    <w:p w14:paraId="690D6B75">
      <w:pPr>
        <w:kinsoku/>
        <w:wordWrap w:val="0"/>
        <w:topLinePunct w:val="0"/>
        <w:bidi w:val="0"/>
        <w:rPr>
          <w:highlight w:val="none"/>
        </w:rPr>
      </w:pPr>
    </w:p>
    <w:p w14:paraId="3AF1F1A8">
      <w:pPr>
        <w:kinsoku/>
        <w:wordWrap w:val="0"/>
        <w:topLinePunct w:val="0"/>
        <w:bidi w:val="0"/>
        <w:rPr>
          <w:highlight w:val="none"/>
        </w:rPr>
      </w:pPr>
    </w:p>
    <w:p w14:paraId="5D0732C8">
      <w:pPr>
        <w:kinsoku/>
        <w:wordWrap w:val="0"/>
        <w:topLinePunct w:val="0"/>
        <w:bidi w:val="0"/>
        <w:snapToGrid w:val="0"/>
        <w:spacing w:line="360" w:lineRule="auto"/>
        <w:jc w:val="center"/>
        <w:rPr>
          <w:rFonts w:hint="eastAsia" w:ascii="仿宋" w:hAnsi="仿宋" w:eastAsia="仿宋" w:cs="仿宋_GB2312"/>
          <w:sz w:val="32"/>
          <w:szCs w:val="32"/>
          <w:highlight w:val="none"/>
        </w:rPr>
      </w:pPr>
    </w:p>
    <w:p w14:paraId="67F69786">
      <w:pPr>
        <w:kinsoku/>
        <w:wordWrap w:val="0"/>
        <w:topLinePunct w:val="0"/>
        <w:bidi w:val="0"/>
        <w:snapToGrid w:val="0"/>
        <w:spacing w:line="360" w:lineRule="auto"/>
        <w:jc w:val="center"/>
        <w:rPr>
          <w:rFonts w:hint="eastAsia" w:ascii="仿宋" w:hAnsi="仿宋" w:eastAsia="仿宋" w:cs="仿宋_GB2312"/>
          <w:sz w:val="32"/>
          <w:szCs w:val="32"/>
          <w:highlight w:val="none"/>
        </w:rPr>
      </w:pPr>
    </w:p>
    <w:p w14:paraId="28431500">
      <w:pPr>
        <w:kinsoku/>
        <w:wordWrap w:val="0"/>
        <w:topLinePunct w:val="0"/>
        <w:bidi w:val="0"/>
        <w:snapToGrid w:val="0"/>
        <w:spacing w:line="360" w:lineRule="auto"/>
        <w:jc w:val="center"/>
        <w:rPr>
          <w:rFonts w:hint="eastAsia" w:ascii="仿宋" w:hAnsi="仿宋" w:eastAsia="仿宋" w:cs="仿宋_GB2312"/>
          <w:sz w:val="32"/>
          <w:szCs w:val="32"/>
          <w:highlight w:val="none"/>
        </w:rPr>
      </w:pPr>
    </w:p>
    <w:p w14:paraId="3A399D2C">
      <w:pPr>
        <w:kinsoku/>
        <w:wordWrap w:val="0"/>
        <w:topLinePunct w:val="0"/>
        <w:bidi w:val="0"/>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采购人</w:t>
      </w:r>
      <w:r>
        <w:rPr>
          <w:rFonts w:hint="eastAsia" w:ascii="仿宋" w:hAnsi="仿宋" w:eastAsia="仿宋" w:cs="仿宋_GB2312"/>
          <w:sz w:val="32"/>
          <w:szCs w:val="32"/>
          <w:highlight w:val="none"/>
          <w:lang w:val="en-US" w:eastAsia="zh-CN"/>
        </w:rPr>
        <w:t>:永嘉县公路与运输管理中心</w:t>
      </w:r>
    </w:p>
    <w:p w14:paraId="0F56592A">
      <w:pPr>
        <w:kinsoku/>
        <w:wordWrap w:val="0"/>
        <w:topLinePunct w:val="0"/>
        <w:bidi w:val="0"/>
        <w:snapToGrid w:val="0"/>
        <w:spacing w:line="360" w:lineRule="auto"/>
        <w:jc w:val="center"/>
        <w:rPr>
          <w:rFonts w:hint="eastAsia" w:ascii="仿宋" w:hAnsi="仿宋" w:eastAsia="仿宋" w:cs="仿宋_GB2312"/>
          <w:bCs/>
          <w:sz w:val="32"/>
          <w:szCs w:val="32"/>
          <w:highlight w:val="none"/>
          <w:lang w:val="en-US" w:eastAsia="zh-CN"/>
        </w:rPr>
      </w:pPr>
      <w:r>
        <w:rPr>
          <w:rFonts w:hint="eastAsia" w:ascii="仿宋" w:hAnsi="仿宋" w:eastAsia="仿宋" w:cs="仿宋_GB2312"/>
          <w:bCs/>
          <w:sz w:val="32"/>
          <w:szCs w:val="32"/>
          <w:highlight w:val="none"/>
        </w:rPr>
        <w:t>采购代理机构</w:t>
      </w:r>
      <w:r>
        <w:rPr>
          <w:rFonts w:hint="eastAsia" w:ascii="仿宋" w:hAnsi="仿宋" w:eastAsia="仿宋" w:cs="仿宋_GB2312"/>
          <w:bCs/>
          <w:sz w:val="32"/>
          <w:szCs w:val="32"/>
          <w:highlight w:val="none"/>
          <w:lang w:val="en-US" w:eastAsia="zh-CN"/>
        </w:rPr>
        <w:t>:温州广信工程管理有限公司</w:t>
      </w:r>
    </w:p>
    <w:p w14:paraId="4779F96E">
      <w:pPr>
        <w:kinsoku/>
        <w:wordWrap w:val="0"/>
        <w:topLinePunct w:val="0"/>
        <w:bidi w:val="0"/>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eastAsia="zh-CN"/>
        </w:rPr>
        <w:t>四</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eastAsia="zh-CN"/>
        </w:rPr>
        <w:t>十</w:t>
      </w:r>
      <w:r>
        <w:rPr>
          <w:rFonts w:hint="eastAsia" w:ascii="仿宋_GB2312" w:hAnsi="仿宋_GB2312" w:eastAsia="仿宋_GB2312" w:cs="仿宋_GB2312"/>
          <w:bCs/>
          <w:sz w:val="32"/>
          <w:szCs w:val="32"/>
          <w:highlight w:val="none"/>
        </w:rPr>
        <w:t>月</w:t>
      </w:r>
    </w:p>
    <w:p w14:paraId="693FE0E1">
      <w:pPr>
        <w:kinsoku/>
        <w:wordWrap w:val="0"/>
        <w:topLinePunct w:val="0"/>
        <w:bidi w:val="0"/>
        <w:spacing w:line="360" w:lineRule="auto"/>
        <w:jc w:val="center"/>
        <w:rPr>
          <w:rFonts w:ascii="仿宋" w:hAnsi="仿宋" w:eastAsia="仿宋" w:cs="仿宋_GB2312"/>
          <w:sz w:val="24"/>
          <w:highlight w:val="none"/>
        </w:rPr>
      </w:pPr>
      <w:r>
        <w:rPr>
          <w:rFonts w:ascii="仿宋" w:hAnsi="仿宋" w:eastAsia="仿宋" w:cs="仿宋_GB2312"/>
          <w:sz w:val="24"/>
          <w:highlight w:val="none"/>
        </w:rPr>
        <w:br w:type="page"/>
      </w:r>
      <w:bookmarkStart w:id="0" w:name="_Hlt67893495"/>
      <w:bookmarkEnd w:id="0"/>
    </w:p>
    <w:p w14:paraId="0B8B8C74">
      <w:pPr>
        <w:kinsoku/>
        <w:wordWrap w:val="0"/>
        <w:topLinePunct w:val="0"/>
        <w:bidi w:val="0"/>
        <w:spacing w:line="360" w:lineRule="auto"/>
        <w:jc w:val="center"/>
        <w:rPr>
          <w:rFonts w:ascii="仿宋" w:hAnsi="仿宋" w:eastAsia="仿宋" w:cs="仿宋_GB2312"/>
          <w:sz w:val="24"/>
          <w:highlight w:val="none"/>
        </w:rPr>
      </w:pPr>
    </w:p>
    <w:p w14:paraId="5F544B06">
      <w:pPr>
        <w:kinsoku/>
        <w:wordWrap w:val="0"/>
        <w:topLinePunct w:val="0"/>
        <w:bidi w:val="0"/>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w:t>
      </w:r>
      <w:r>
        <w:rPr>
          <w:rFonts w:ascii="仿宋" w:hAnsi="仿宋" w:eastAsia="仿宋" w:cs="仿宋_GB2312"/>
          <w:b/>
          <w:sz w:val="48"/>
          <w:szCs w:val="48"/>
          <w:highlight w:val="none"/>
        </w:rPr>
        <w:t xml:space="preserve">  </w:t>
      </w:r>
      <w:r>
        <w:rPr>
          <w:rFonts w:hint="eastAsia" w:ascii="仿宋" w:hAnsi="仿宋" w:eastAsia="仿宋" w:cs="仿宋_GB2312"/>
          <w:b/>
          <w:sz w:val="48"/>
          <w:szCs w:val="48"/>
          <w:highlight w:val="none"/>
        </w:rPr>
        <w:t>录</w:t>
      </w:r>
    </w:p>
    <w:p w14:paraId="0FE1A062">
      <w:pPr>
        <w:kinsoku/>
        <w:wordWrap w:val="0"/>
        <w:topLinePunct w:val="0"/>
        <w:bidi w:val="0"/>
        <w:spacing w:line="360" w:lineRule="auto"/>
        <w:rPr>
          <w:rFonts w:ascii="仿宋" w:hAnsi="仿宋" w:eastAsia="仿宋" w:cs="仿宋_GB2312"/>
          <w:sz w:val="32"/>
          <w:szCs w:val="32"/>
          <w:highlight w:val="none"/>
        </w:rPr>
      </w:pPr>
    </w:p>
    <w:p w14:paraId="76C1EBB9">
      <w:pPr>
        <w:kinsoku/>
        <w:wordWrap w:val="0"/>
        <w:topLinePunct w:val="0"/>
        <w:bidi w:val="0"/>
        <w:spacing w:line="360" w:lineRule="auto"/>
        <w:rPr>
          <w:rFonts w:ascii="仿宋" w:hAnsi="仿宋" w:eastAsia="仿宋" w:cs="仿宋_GB2312"/>
          <w:sz w:val="32"/>
          <w:szCs w:val="32"/>
          <w:highlight w:val="none"/>
        </w:rPr>
      </w:pPr>
    </w:p>
    <w:p w14:paraId="061C9AE8">
      <w:pPr>
        <w:kinsoku/>
        <w:wordWrap w:val="0"/>
        <w:topLinePunct w:val="0"/>
        <w:bidi w:val="0"/>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招标公告</w:t>
      </w:r>
    </w:p>
    <w:p w14:paraId="1E32DFDB">
      <w:pPr>
        <w:kinsoku/>
        <w:wordWrap w:val="0"/>
        <w:topLinePunct w:val="0"/>
        <w:bidi w:val="0"/>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投标人须知</w:t>
      </w:r>
    </w:p>
    <w:p w14:paraId="46E86C90">
      <w:pPr>
        <w:kinsoku/>
        <w:wordWrap w:val="0"/>
        <w:topLinePunct w:val="0"/>
        <w:bidi w:val="0"/>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采购需求</w:t>
      </w:r>
    </w:p>
    <w:p w14:paraId="22E4970D">
      <w:pPr>
        <w:kinsoku/>
        <w:wordWrap w:val="0"/>
        <w:topLinePunct w:val="0"/>
        <w:bidi w:val="0"/>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评标办法</w:t>
      </w:r>
    </w:p>
    <w:p w14:paraId="10ED4E81">
      <w:pPr>
        <w:kinsoku/>
        <w:wordWrap w:val="0"/>
        <w:topLinePunct w:val="0"/>
        <w:bidi w:val="0"/>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拟签订的合同文本</w:t>
      </w:r>
    </w:p>
    <w:p w14:paraId="01563764">
      <w:pPr>
        <w:kinsoku/>
        <w:wordWrap w:val="0"/>
        <w:topLinePunct w:val="0"/>
        <w:bidi w:val="0"/>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应提交的有关格式范例</w:t>
      </w:r>
    </w:p>
    <w:p w14:paraId="1FD53635">
      <w:pPr>
        <w:kinsoku/>
        <w:wordWrap w:val="0"/>
        <w:topLinePunct w:val="0"/>
        <w:bidi w:val="0"/>
        <w:spacing w:line="360" w:lineRule="auto"/>
        <w:ind w:firstLine="549" w:firstLineChars="229"/>
        <w:rPr>
          <w:rFonts w:ascii="仿宋" w:hAnsi="仿宋" w:eastAsia="仿宋" w:cs="仿宋_GB2312"/>
          <w:sz w:val="24"/>
          <w:highlight w:val="none"/>
        </w:rPr>
      </w:pPr>
      <w:bookmarkStart w:id="1" w:name="_Hlt91233176"/>
      <w:bookmarkEnd w:id="1"/>
      <w:bookmarkStart w:id="2" w:name="_Toc91899869"/>
    </w:p>
    <w:p w14:paraId="0DAF4E69">
      <w:pPr>
        <w:kinsoku/>
        <w:wordWrap w:val="0"/>
        <w:topLinePunct w:val="0"/>
        <w:bidi w:val="0"/>
        <w:spacing w:line="360" w:lineRule="auto"/>
        <w:ind w:firstLine="549" w:firstLineChars="229"/>
        <w:rPr>
          <w:rFonts w:ascii="仿宋" w:hAnsi="仿宋" w:eastAsia="仿宋" w:cs="仿宋_GB2312"/>
          <w:sz w:val="24"/>
          <w:highlight w:val="none"/>
        </w:rPr>
      </w:pPr>
    </w:p>
    <w:p w14:paraId="4D3F2090">
      <w:pPr>
        <w:kinsoku/>
        <w:wordWrap w:val="0"/>
        <w:topLinePunct w:val="0"/>
        <w:bidi w:val="0"/>
        <w:spacing w:line="360" w:lineRule="auto"/>
        <w:ind w:firstLine="549" w:firstLineChars="229"/>
        <w:rPr>
          <w:rFonts w:ascii="仿宋" w:hAnsi="仿宋" w:eastAsia="仿宋" w:cs="仿宋_GB2312"/>
          <w:sz w:val="24"/>
          <w:highlight w:val="none"/>
        </w:rPr>
      </w:pPr>
    </w:p>
    <w:p w14:paraId="164F0484">
      <w:pPr>
        <w:kinsoku/>
        <w:wordWrap w:val="0"/>
        <w:topLinePunct w:val="0"/>
        <w:bidi w:val="0"/>
        <w:spacing w:line="360" w:lineRule="auto"/>
        <w:ind w:firstLine="549" w:firstLineChars="229"/>
        <w:rPr>
          <w:rFonts w:ascii="仿宋" w:hAnsi="仿宋" w:eastAsia="仿宋" w:cs="仿宋_GB2312"/>
          <w:sz w:val="24"/>
          <w:highlight w:val="none"/>
        </w:rPr>
      </w:pPr>
    </w:p>
    <w:p w14:paraId="33E769F9">
      <w:pPr>
        <w:kinsoku/>
        <w:wordWrap w:val="0"/>
        <w:topLinePunct w:val="0"/>
        <w:bidi w:val="0"/>
        <w:spacing w:line="360" w:lineRule="auto"/>
        <w:ind w:firstLine="549" w:firstLineChars="229"/>
        <w:rPr>
          <w:rFonts w:ascii="仿宋" w:hAnsi="仿宋" w:eastAsia="仿宋" w:cs="仿宋_GB2312"/>
          <w:sz w:val="24"/>
          <w:highlight w:val="none"/>
        </w:rPr>
      </w:pPr>
    </w:p>
    <w:p w14:paraId="7D27F174">
      <w:pPr>
        <w:kinsoku/>
        <w:wordWrap w:val="0"/>
        <w:topLinePunct w:val="0"/>
        <w:bidi w:val="0"/>
        <w:spacing w:line="360" w:lineRule="auto"/>
        <w:ind w:firstLine="549" w:firstLineChars="229"/>
        <w:rPr>
          <w:rFonts w:ascii="仿宋" w:hAnsi="仿宋" w:eastAsia="仿宋" w:cs="仿宋_GB2312"/>
          <w:sz w:val="24"/>
          <w:highlight w:val="none"/>
        </w:rPr>
      </w:pPr>
    </w:p>
    <w:p w14:paraId="28BF340E">
      <w:pPr>
        <w:kinsoku/>
        <w:wordWrap w:val="0"/>
        <w:topLinePunct w:val="0"/>
        <w:bidi w:val="0"/>
        <w:spacing w:line="360" w:lineRule="auto"/>
        <w:ind w:firstLine="549" w:firstLineChars="229"/>
        <w:rPr>
          <w:rFonts w:ascii="仿宋" w:hAnsi="仿宋" w:eastAsia="仿宋" w:cs="仿宋_GB2312"/>
          <w:sz w:val="24"/>
          <w:highlight w:val="none"/>
        </w:rPr>
      </w:pPr>
    </w:p>
    <w:p w14:paraId="11E2EF37">
      <w:pPr>
        <w:kinsoku/>
        <w:wordWrap w:val="0"/>
        <w:topLinePunct w:val="0"/>
        <w:bidi w:val="0"/>
        <w:spacing w:line="360" w:lineRule="auto"/>
        <w:ind w:firstLine="549" w:firstLineChars="229"/>
        <w:rPr>
          <w:rFonts w:ascii="仿宋" w:hAnsi="仿宋" w:eastAsia="仿宋" w:cs="仿宋_GB2312"/>
          <w:sz w:val="24"/>
          <w:highlight w:val="none"/>
        </w:rPr>
      </w:pPr>
    </w:p>
    <w:p w14:paraId="0C04BF3E">
      <w:pPr>
        <w:kinsoku/>
        <w:wordWrap w:val="0"/>
        <w:topLinePunct w:val="0"/>
        <w:bidi w:val="0"/>
        <w:spacing w:line="360" w:lineRule="auto"/>
        <w:ind w:firstLine="549" w:firstLineChars="229"/>
        <w:rPr>
          <w:rFonts w:ascii="仿宋" w:hAnsi="仿宋" w:eastAsia="仿宋" w:cs="仿宋_GB2312"/>
          <w:sz w:val="24"/>
          <w:highlight w:val="none"/>
        </w:rPr>
      </w:pPr>
    </w:p>
    <w:p w14:paraId="58253E6A">
      <w:pPr>
        <w:kinsoku/>
        <w:wordWrap w:val="0"/>
        <w:topLinePunct w:val="0"/>
        <w:bidi w:val="0"/>
        <w:spacing w:line="360" w:lineRule="auto"/>
        <w:ind w:firstLine="549" w:firstLineChars="229"/>
        <w:rPr>
          <w:rFonts w:ascii="仿宋" w:hAnsi="仿宋" w:eastAsia="仿宋" w:cs="仿宋_GB2312"/>
          <w:sz w:val="24"/>
          <w:highlight w:val="none"/>
        </w:rPr>
      </w:pPr>
    </w:p>
    <w:p w14:paraId="251FF74A">
      <w:pPr>
        <w:kinsoku/>
        <w:wordWrap w:val="0"/>
        <w:topLinePunct w:val="0"/>
        <w:bidi w:val="0"/>
        <w:spacing w:line="360" w:lineRule="auto"/>
        <w:ind w:firstLine="549" w:firstLineChars="229"/>
        <w:rPr>
          <w:rFonts w:ascii="仿宋" w:hAnsi="仿宋" w:eastAsia="仿宋" w:cs="仿宋_GB2312"/>
          <w:sz w:val="24"/>
          <w:highlight w:val="none"/>
        </w:rPr>
      </w:pPr>
    </w:p>
    <w:p w14:paraId="4B8C2B53">
      <w:pPr>
        <w:kinsoku/>
        <w:wordWrap w:val="0"/>
        <w:topLinePunct w:val="0"/>
        <w:bidi w:val="0"/>
        <w:spacing w:line="360" w:lineRule="auto"/>
        <w:ind w:firstLine="549" w:firstLineChars="229"/>
        <w:rPr>
          <w:rFonts w:ascii="仿宋" w:hAnsi="仿宋" w:eastAsia="仿宋" w:cs="仿宋_GB2312"/>
          <w:sz w:val="24"/>
          <w:highlight w:val="none"/>
        </w:rPr>
      </w:pPr>
    </w:p>
    <w:p w14:paraId="42233246">
      <w:pPr>
        <w:kinsoku/>
        <w:wordWrap w:val="0"/>
        <w:topLinePunct w:val="0"/>
        <w:bidi w:val="0"/>
        <w:spacing w:line="360" w:lineRule="auto"/>
        <w:ind w:firstLine="549" w:firstLineChars="229"/>
        <w:rPr>
          <w:rFonts w:ascii="仿宋" w:hAnsi="仿宋" w:eastAsia="仿宋" w:cs="仿宋_GB2312"/>
          <w:sz w:val="24"/>
          <w:highlight w:val="none"/>
        </w:rPr>
      </w:pPr>
    </w:p>
    <w:p w14:paraId="3C9FD464">
      <w:pPr>
        <w:kinsoku/>
        <w:wordWrap w:val="0"/>
        <w:topLinePunct w:val="0"/>
        <w:bidi w:val="0"/>
        <w:spacing w:line="360" w:lineRule="auto"/>
        <w:rPr>
          <w:rFonts w:ascii="仿宋" w:hAnsi="仿宋" w:eastAsia="仿宋" w:cs="仿宋_GB2312"/>
          <w:sz w:val="24"/>
          <w:highlight w:val="none"/>
        </w:rPr>
      </w:pPr>
    </w:p>
    <w:p w14:paraId="44ABAF0E">
      <w:pPr>
        <w:kinsoku/>
        <w:wordWrap w:val="0"/>
        <w:topLinePunct w:val="0"/>
        <w:bidi w:val="0"/>
        <w:adjustRightInd/>
        <w:spacing w:line="360" w:lineRule="auto"/>
        <w:jc w:val="center"/>
        <w:outlineLvl w:val="0"/>
        <w:rPr>
          <w:rFonts w:ascii="仿宋_GB2312" w:hAnsi="仿宋" w:eastAsia="仿宋_GB2312" w:cs="仿宋_GB2312"/>
          <w:b/>
          <w:sz w:val="36"/>
          <w:szCs w:val="20"/>
          <w:highlight w:val="none"/>
        </w:rPr>
      </w:pPr>
      <w:bookmarkStart w:id="3" w:name="第一部分"/>
      <w:r>
        <w:rPr>
          <w:rFonts w:ascii="仿宋" w:hAnsi="仿宋" w:eastAsia="仿宋" w:cs="仿宋_GB2312"/>
          <w:b/>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highlight w:val="none"/>
        </w:rPr>
        <w:t>第一部分</w:t>
      </w:r>
      <w:r>
        <w:rPr>
          <w:rFonts w:ascii="仿宋" w:hAnsi="仿宋" w:eastAsia="仿宋" w:cs="仿宋_GB2312"/>
          <w:b/>
          <w:sz w:val="36"/>
          <w:szCs w:val="20"/>
          <w:highlight w:val="none"/>
        </w:rPr>
        <w:t xml:space="preserve"> </w:t>
      </w:r>
      <w:r>
        <w:rPr>
          <w:rFonts w:hint="eastAsia" w:ascii="仿宋_GB2312" w:hAnsi="仿宋" w:eastAsia="仿宋_GB2312" w:cs="仿宋_GB2312"/>
          <w:b/>
          <w:sz w:val="36"/>
          <w:szCs w:val="20"/>
          <w:highlight w:val="none"/>
        </w:rPr>
        <w:t>招标公告</w:t>
      </w:r>
    </w:p>
    <w:p w14:paraId="515AC1B1">
      <w:pPr>
        <w:pBdr>
          <w:top w:val="single" w:color="auto" w:sz="4" w:space="1"/>
          <w:left w:val="single" w:color="auto" w:sz="4" w:space="4"/>
          <w:bottom w:val="single" w:color="auto" w:sz="4" w:space="1"/>
          <w:right w:val="single" w:color="auto" w:sz="4" w:space="4"/>
        </w:pBdr>
        <w:kinsoku/>
        <w:wordWrap w:val="0"/>
        <w:topLinePunct w:val="0"/>
        <w:bidi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14:paraId="72411239">
      <w:pPr>
        <w:pBdr>
          <w:top w:val="single" w:color="auto" w:sz="4" w:space="1"/>
          <w:left w:val="single" w:color="auto" w:sz="4" w:space="4"/>
          <w:bottom w:val="single" w:color="auto" w:sz="4" w:space="1"/>
          <w:right w:val="single" w:color="auto" w:sz="4" w:space="4"/>
        </w:pBdr>
        <w:kinsoku/>
        <w:wordWrap w:val="0"/>
        <w:topLinePunct w:val="0"/>
        <w:bidi w:val="0"/>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highlight w:val="none"/>
          <w:u w:val="single"/>
          <w:lang w:eastAsia="zh-CN"/>
        </w:rPr>
        <w:t xml:space="preserve"> 2024年永嘉县路面灌缝、路面砂浆修复项目</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4</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 xml:space="preserve"> 11 </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 xml:space="preserve"> 29 </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09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14:paraId="26E4A714">
      <w:pPr>
        <w:kinsoku/>
        <w:wordWrap w:val="0"/>
        <w:topLinePunct w:val="0"/>
        <w:bidi w:val="0"/>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14:paraId="2162A96B">
      <w:pPr>
        <w:kinsoku/>
        <w:wordWrap w:val="0"/>
        <w:topLinePunct w:val="0"/>
        <w:bidi w:val="0"/>
        <w:spacing w:line="360" w:lineRule="auto"/>
        <w:ind w:firstLine="480"/>
        <w:rPr>
          <w:rFonts w:hint="eastAsia" w:ascii="仿宋" w:hAnsi="仿宋" w:eastAsia="仿宋" w:cs="仿宋_GB2312"/>
          <w:snapToGrid w:val="0"/>
          <w:kern w:val="28"/>
          <w:sz w:val="24"/>
          <w:szCs w:val="20"/>
          <w:highlight w:val="none"/>
          <w:lang w:eastAsia="zh-CN"/>
        </w:rPr>
      </w:pPr>
      <w:r>
        <w:rPr>
          <w:rFonts w:hint="eastAsia" w:ascii="仿宋" w:hAnsi="仿宋" w:eastAsia="仿宋" w:cs="仿宋_GB2312"/>
          <w:snapToGrid w:val="0"/>
          <w:kern w:val="28"/>
          <w:sz w:val="24"/>
          <w:szCs w:val="20"/>
          <w:highlight w:val="none"/>
        </w:rPr>
        <w:t>项目编号：</w:t>
      </w:r>
      <w:r>
        <w:rPr>
          <w:rFonts w:hint="eastAsia" w:ascii="仿宋" w:hAnsi="仿宋" w:eastAsia="仿宋" w:cs="仿宋_GB2312"/>
          <w:snapToGrid w:val="0"/>
          <w:kern w:val="28"/>
          <w:sz w:val="24"/>
          <w:szCs w:val="20"/>
          <w:highlight w:val="none"/>
          <w:lang w:eastAsia="zh-CN"/>
        </w:rPr>
        <w:t>WZGX-YJ-202410001</w:t>
      </w:r>
    </w:p>
    <w:p w14:paraId="0B25DAD4">
      <w:pPr>
        <w:kinsoku/>
        <w:wordWrap w:val="0"/>
        <w:topLinePunct w:val="0"/>
        <w:bidi w:val="0"/>
        <w:spacing w:line="360" w:lineRule="auto"/>
        <w:ind w:firstLine="480"/>
        <w:rPr>
          <w:rFonts w:hint="eastAsia" w:ascii="仿宋" w:hAnsi="仿宋" w:eastAsia="仿宋" w:cs="仿宋_GB2312"/>
          <w:snapToGrid w:val="0"/>
          <w:kern w:val="28"/>
          <w:sz w:val="24"/>
          <w:szCs w:val="20"/>
          <w:highlight w:val="none"/>
          <w:lang w:eastAsia="zh-CN"/>
        </w:rPr>
      </w:pPr>
      <w:r>
        <w:rPr>
          <w:rFonts w:hint="eastAsia" w:ascii="仿宋" w:hAnsi="仿宋" w:eastAsia="仿宋" w:cs="仿宋_GB2312"/>
          <w:snapToGrid w:val="0"/>
          <w:kern w:val="28"/>
          <w:sz w:val="24"/>
          <w:szCs w:val="20"/>
          <w:highlight w:val="none"/>
        </w:rPr>
        <w:t>项目名称：</w:t>
      </w:r>
      <w:r>
        <w:rPr>
          <w:rFonts w:hint="eastAsia" w:ascii="仿宋" w:hAnsi="仿宋" w:eastAsia="仿宋" w:cs="仿宋_GB2312"/>
          <w:snapToGrid w:val="0"/>
          <w:kern w:val="28"/>
          <w:sz w:val="24"/>
          <w:szCs w:val="20"/>
          <w:highlight w:val="none"/>
          <w:lang w:eastAsia="zh-CN"/>
        </w:rPr>
        <w:t xml:space="preserve"> 2024年永嘉县路面灌缝、路面砂浆修复项目</w:t>
      </w:r>
    </w:p>
    <w:p w14:paraId="631017D6">
      <w:pPr>
        <w:kinsoku/>
        <w:wordWrap w:val="0"/>
        <w:topLinePunct w:val="0"/>
        <w:bidi w:val="0"/>
        <w:spacing w:line="360" w:lineRule="auto"/>
        <w:ind w:firstLine="480"/>
        <w:rPr>
          <w:rFonts w:hint="default" w:ascii="仿宋" w:hAnsi="仿宋" w:eastAsia="仿宋" w:cs="仿宋_GB2312"/>
          <w:snapToGrid w:val="0"/>
          <w:kern w:val="28"/>
          <w:sz w:val="24"/>
          <w:szCs w:val="20"/>
          <w:highlight w:val="none"/>
          <w:lang w:val="en-US" w:eastAsia="zh-CN"/>
        </w:rPr>
      </w:pPr>
      <w:r>
        <w:rPr>
          <w:rFonts w:hint="eastAsia" w:ascii="仿宋" w:hAnsi="仿宋" w:eastAsia="仿宋" w:cs="仿宋_GB2312"/>
          <w:snapToGrid w:val="0"/>
          <w:kern w:val="28"/>
          <w:sz w:val="24"/>
          <w:szCs w:val="20"/>
          <w:highlight w:val="none"/>
        </w:rPr>
        <w:t>预算金额（元）：</w:t>
      </w:r>
      <w:r>
        <w:rPr>
          <w:rFonts w:hint="eastAsia" w:ascii="仿宋" w:hAnsi="仿宋" w:eastAsia="仿宋" w:cs="仿宋_GB2312"/>
          <w:snapToGrid w:val="0"/>
          <w:kern w:val="28"/>
          <w:sz w:val="24"/>
          <w:szCs w:val="20"/>
          <w:highlight w:val="none"/>
          <w:lang w:eastAsia="zh-CN"/>
        </w:rPr>
        <w:t>4000000</w:t>
      </w:r>
    </w:p>
    <w:p w14:paraId="7928C4F5">
      <w:pPr>
        <w:kinsoku/>
        <w:wordWrap w:val="0"/>
        <w:topLinePunct w:val="0"/>
        <w:bidi w:val="0"/>
        <w:spacing w:line="360" w:lineRule="auto"/>
        <w:ind w:firstLine="480"/>
        <w:rPr>
          <w:rFonts w:hint="default" w:ascii="仿宋" w:hAnsi="仿宋" w:eastAsia="仿宋" w:cs="仿宋_GB2312"/>
          <w:snapToGrid w:val="0"/>
          <w:kern w:val="28"/>
          <w:sz w:val="24"/>
          <w:szCs w:val="20"/>
          <w:highlight w:val="none"/>
          <w:lang w:val="en-US" w:eastAsia="zh-CN"/>
        </w:rPr>
      </w:pPr>
      <w:r>
        <w:rPr>
          <w:rFonts w:hint="eastAsia" w:ascii="仿宋" w:hAnsi="仿宋" w:eastAsia="仿宋" w:cs="仿宋_GB2312"/>
          <w:snapToGrid w:val="0"/>
          <w:kern w:val="28"/>
          <w:sz w:val="24"/>
          <w:szCs w:val="20"/>
          <w:highlight w:val="none"/>
        </w:rPr>
        <w:t>最高限价（元）：</w:t>
      </w:r>
      <w:r>
        <w:rPr>
          <w:rFonts w:hint="eastAsia" w:ascii="仿宋" w:hAnsi="仿宋" w:eastAsia="仿宋" w:cs="仿宋_GB2312"/>
          <w:snapToGrid w:val="0"/>
          <w:kern w:val="28"/>
          <w:sz w:val="24"/>
          <w:szCs w:val="20"/>
          <w:highlight w:val="none"/>
          <w:lang w:eastAsia="zh-CN"/>
        </w:rPr>
        <w:t>4000000</w:t>
      </w:r>
    </w:p>
    <w:p w14:paraId="75CA3173">
      <w:pPr>
        <w:kinsoku/>
        <w:wordWrap w:val="0"/>
        <w:topLinePunct w:val="0"/>
        <w:bidi w:val="0"/>
        <w:spacing w:line="360" w:lineRule="auto"/>
        <w:ind w:firstLine="480"/>
        <w:rPr>
          <w:rFonts w:hint="eastAsia" w:ascii="仿宋" w:hAnsi="仿宋" w:eastAsia="仿宋" w:cs="仿宋_GB2312"/>
          <w:snapToGrid w:val="0"/>
          <w:kern w:val="28"/>
          <w:sz w:val="24"/>
          <w:szCs w:val="20"/>
          <w:highlight w:val="none"/>
        </w:rPr>
      </w:pPr>
      <w:r>
        <w:rPr>
          <w:rFonts w:hint="eastAsia" w:ascii="仿宋" w:hAnsi="仿宋" w:eastAsia="仿宋" w:cs="仿宋_GB2312"/>
          <w:snapToGrid w:val="0"/>
          <w:kern w:val="28"/>
          <w:sz w:val="24"/>
          <w:szCs w:val="20"/>
          <w:highlight w:val="none"/>
        </w:rPr>
        <w:t>采购需求：路面灌缝、路面砂浆修复项目等小修保养工程</w:t>
      </w:r>
      <w:r>
        <w:rPr>
          <w:rFonts w:hint="eastAsia" w:ascii="仿宋" w:hAnsi="仿宋" w:eastAsia="仿宋" w:cs="仿宋_GB2312"/>
          <w:snapToGrid w:val="0"/>
          <w:kern w:val="28"/>
          <w:sz w:val="24"/>
          <w:szCs w:val="20"/>
          <w:highlight w:val="none"/>
          <w:lang w:eastAsia="zh-CN"/>
        </w:rPr>
        <w:t>，</w:t>
      </w:r>
      <w:r>
        <w:rPr>
          <w:rFonts w:hint="eastAsia" w:ascii="仿宋" w:hAnsi="仿宋" w:eastAsia="仿宋" w:cs="仿宋_GB2312"/>
          <w:snapToGrid w:val="0"/>
          <w:kern w:val="28"/>
          <w:sz w:val="24"/>
          <w:szCs w:val="20"/>
          <w:highlight w:val="none"/>
        </w:rPr>
        <w:t>详见招标文件第三部分采购需求。</w:t>
      </w:r>
    </w:p>
    <w:p w14:paraId="278A2761">
      <w:pPr>
        <w:kinsoku/>
        <w:wordWrap w:val="0"/>
        <w:topLinePunct w:val="0"/>
        <w:bidi w:val="0"/>
        <w:spacing w:line="360" w:lineRule="auto"/>
        <w:ind w:firstLine="480"/>
        <w:rPr>
          <w:rFonts w:hint="default" w:ascii="仿宋" w:hAnsi="仿宋" w:eastAsia="仿宋" w:cs="仿宋_GB2312"/>
          <w:snapToGrid w:val="0"/>
          <w:kern w:val="28"/>
          <w:sz w:val="24"/>
          <w:szCs w:val="20"/>
          <w:highlight w:val="none"/>
          <w:lang w:val="en-US" w:eastAsia="zh-CN"/>
        </w:rPr>
      </w:pPr>
      <w:r>
        <w:rPr>
          <w:rFonts w:hint="eastAsia" w:ascii="仿宋" w:hAnsi="仿宋" w:eastAsia="仿宋" w:cs="仿宋_GB2312"/>
          <w:snapToGrid w:val="0"/>
          <w:kern w:val="28"/>
          <w:sz w:val="24"/>
          <w:szCs w:val="20"/>
          <w:highlight w:val="none"/>
        </w:rPr>
        <w:t>合同履约期限：</w:t>
      </w:r>
      <w:r>
        <w:rPr>
          <w:rFonts w:hint="eastAsia" w:ascii="仿宋" w:hAnsi="仿宋" w:eastAsia="仿宋" w:cs="仿宋_GB2312"/>
          <w:snapToGrid w:val="0"/>
          <w:kern w:val="28"/>
          <w:sz w:val="24"/>
          <w:szCs w:val="20"/>
          <w:highlight w:val="none"/>
          <w:lang w:val="en-US" w:eastAsia="zh-CN"/>
        </w:rPr>
        <w:t>1+1年</w:t>
      </w:r>
    </w:p>
    <w:p w14:paraId="1AFA94F0">
      <w:pPr>
        <w:kinsoku/>
        <w:wordWrap w:val="0"/>
        <w:topLinePunct w:val="0"/>
        <w:bidi w:val="0"/>
        <w:spacing w:line="360" w:lineRule="auto"/>
        <w:ind w:firstLine="480"/>
        <w:rPr>
          <w:rFonts w:hint="eastAsia" w:ascii="仿宋" w:hAnsi="仿宋" w:eastAsia="仿宋" w:cs="仿宋_GB2312"/>
          <w:snapToGrid w:val="0"/>
          <w:kern w:val="28"/>
          <w:sz w:val="24"/>
          <w:szCs w:val="20"/>
          <w:highlight w:val="none"/>
        </w:rPr>
      </w:pPr>
      <w:r>
        <w:rPr>
          <w:rFonts w:hint="eastAsia" w:ascii="仿宋" w:hAnsi="仿宋" w:eastAsia="仿宋" w:cs="仿宋_GB2312"/>
          <w:snapToGrid w:val="0"/>
          <w:kern w:val="28"/>
          <w:sz w:val="24"/>
          <w:szCs w:val="20"/>
          <w:highlight w:val="none"/>
        </w:rPr>
        <w:t>本项目接受联合体投标：</w:t>
      </w:r>
      <w:sdt>
        <w:sdtPr>
          <w:rPr>
            <w:rFonts w:hint="eastAsia" w:ascii="仿宋" w:hAnsi="仿宋" w:eastAsia="仿宋" w:cs="仿宋_GB2312"/>
            <w:snapToGrid w:val="0"/>
            <w:kern w:val="28"/>
            <w:sz w:val="24"/>
            <w:szCs w:val="20"/>
            <w:highlight w:val="none"/>
          </w:rPr>
          <w:id w:val="2035453831"/>
          <w14:checkbox>
            <w14:checked w14:val="0"/>
            <w14:checkedState w14:val="00FE" w14:font="Wingdings"/>
            <w14:uncheckedState w14:val="2610" w14:font="MS Gothic"/>
          </w14:checkbox>
        </w:sdtPr>
        <w:sdtEndPr>
          <w:rPr>
            <w:rFonts w:hint="eastAsia" w:ascii="仿宋" w:hAnsi="仿宋" w:eastAsia="仿宋" w:cs="仿宋_GB2312"/>
            <w:snapToGrid w:val="0"/>
            <w:kern w:val="28"/>
            <w:sz w:val="24"/>
            <w:szCs w:val="20"/>
            <w:highlight w:val="none"/>
          </w:rPr>
        </w:sdtEndPr>
        <w:sdtContent>
          <w:r>
            <w:rPr>
              <w:rFonts w:hint="eastAsia" w:ascii="仿宋" w:hAnsi="仿宋" w:eastAsia="仿宋" w:cs="仿宋_GB2312"/>
              <w:snapToGrid w:val="0"/>
              <w:kern w:val="28"/>
              <w:sz w:val="24"/>
              <w:szCs w:val="20"/>
              <w:highlight w:val="none"/>
              <w:lang w:val="en-US" w:eastAsia="zh-CN"/>
            </w:rPr>
            <w:t>☐</w:t>
          </w:r>
        </w:sdtContent>
      </w:sdt>
      <w:r>
        <w:rPr>
          <w:rFonts w:hint="eastAsia" w:ascii="仿宋" w:hAnsi="仿宋" w:eastAsia="仿宋" w:cs="仿宋_GB2312"/>
          <w:snapToGrid w:val="0"/>
          <w:kern w:val="28"/>
          <w:sz w:val="24"/>
          <w:szCs w:val="20"/>
          <w:highlight w:val="none"/>
        </w:rPr>
        <w:t>是，</w:t>
      </w:r>
      <w:sdt>
        <w:sdtPr>
          <w:rPr>
            <w:rFonts w:hint="eastAsia" w:ascii="仿宋" w:hAnsi="仿宋" w:eastAsia="仿宋" w:cs="仿宋_GB2312"/>
            <w:snapToGrid w:val="0"/>
            <w:kern w:val="28"/>
            <w:sz w:val="24"/>
            <w:szCs w:val="20"/>
            <w:highlight w:val="none"/>
          </w:rPr>
          <w:id w:val="-1765526721"/>
          <w14:checkbox>
            <w14:checked w14:val="1"/>
            <w14:checkedState w14:val="00FE" w14:font="Wingdings"/>
            <w14:uncheckedState w14:val="2610" w14:font="MS Gothic"/>
          </w14:checkbox>
        </w:sdtPr>
        <w:sdtEndPr>
          <w:rPr>
            <w:rFonts w:hint="eastAsia" w:ascii="仿宋" w:hAnsi="仿宋" w:eastAsia="仿宋" w:cs="仿宋_GB2312"/>
            <w:snapToGrid w:val="0"/>
            <w:kern w:val="28"/>
            <w:sz w:val="24"/>
            <w:szCs w:val="20"/>
            <w:highlight w:val="none"/>
          </w:rPr>
        </w:sdtEndPr>
        <w:sdtContent>
          <w:r>
            <w:rPr>
              <w:rFonts w:hint="eastAsia" w:ascii="Wingdings" w:hAnsi="Wingdings" w:eastAsia="仿宋" w:cs="仿宋_GB2312"/>
              <w:snapToGrid w:val="0"/>
              <w:kern w:val="28"/>
              <w:sz w:val="24"/>
              <w:szCs w:val="20"/>
              <w:highlight w:val="none"/>
              <w:lang w:val="en-US" w:eastAsia="zh-CN" w:bidi="ar-SA"/>
            </w:rPr>
            <w:t>þ</w:t>
          </w:r>
        </w:sdtContent>
      </w:sdt>
      <w:r>
        <w:rPr>
          <w:rFonts w:hint="eastAsia" w:ascii="仿宋" w:hAnsi="仿宋" w:eastAsia="仿宋" w:cs="仿宋_GB2312"/>
          <w:snapToGrid w:val="0"/>
          <w:kern w:val="28"/>
          <w:sz w:val="24"/>
          <w:szCs w:val="20"/>
          <w:highlight w:val="none"/>
        </w:rPr>
        <w:t>否。</w:t>
      </w:r>
    </w:p>
    <w:p w14:paraId="2E90BB3F">
      <w:pPr>
        <w:kinsoku/>
        <w:wordWrap w:val="0"/>
        <w:topLinePunct w:val="0"/>
        <w:bidi w:val="0"/>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14:paraId="1660D8E1">
      <w:pPr>
        <w:kinsoku/>
        <w:wordWrap w:val="0"/>
        <w:topLinePunct w:val="0"/>
        <w:bidi w:val="0"/>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3D1D3AC6">
      <w:pPr>
        <w:kinsoku/>
        <w:wordWrap w:val="0"/>
        <w:topLinePunct w:val="0"/>
        <w:bidi w:val="0"/>
        <w:spacing w:line="360" w:lineRule="auto"/>
        <w:ind w:firstLine="480" w:firstLineChars="20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2.</w:t>
      </w:r>
      <w:r>
        <w:rPr>
          <w:rFonts w:hint="eastAsia" w:ascii="仿宋" w:hAnsi="仿宋" w:eastAsia="仿宋" w:cs="仿宋_GB2312"/>
          <w:snapToGrid w:val="0"/>
          <w:kern w:val="28"/>
          <w:sz w:val="24"/>
          <w:szCs w:val="20"/>
          <w:highlight w:val="none"/>
        </w:rPr>
        <w:t>落实政府采购政策需满足的资格要求：</w:t>
      </w:r>
    </w:p>
    <w:p w14:paraId="3EFBFD96">
      <w:pPr>
        <w:kinsoku/>
        <w:wordWrap w:val="0"/>
        <w:topLinePunct w:val="0"/>
        <w:bidi w:val="0"/>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sym w:font="Wingdings" w:char="F0FE"/>
          </w: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14:paraId="0BEE4936">
      <w:pPr>
        <w:kinsoku/>
        <w:wordWrap w:val="0"/>
        <w:topLinePunct w:val="0"/>
        <w:bidi w:val="0"/>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333685401"/>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szCs w:val="24"/>
              <w:highlight w:val="none"/>
              <w:lang w:val="en-US" w:eastAsia="zh-CN" w:bidi="ar-SA"/>
            </w:rPr>
            <w:t>þ</w:t>
          </w:r>
        </w:sdtContent>
      </w:sdt>
      <w:r>
        <w:rPr>
          <w:rFonts w:hint="eastAsia" w:ascii="仿宋_GB2312" w:hAnsi="仿宋" w:eastAsia="仿宋_GB2312"/>
          <w:sz w:val="24"/>
          <w:highlight w:val="none"/>
        </w:rPr>
        <w:t>服务全部由符合政策要求的中小企业承接，提供中小企业声明函；</w:t>
      </w:r>
    </w:p>
    <w:p w14:paraId="43C6C03F">
      <w:pPr>
        <w:kinsoku/>
        <w:wordWrap w:val="0"/>
        <w:topLinePunct w:val="0"/>
        <w:bidi w:val="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3.本项目的特定资格要求：</w:t>
      </w:r>
      <w:r>
        <w:rPr>
          <w:rFonts w:hint="eastAsia" w:ascii="仿宋_GB2312" w:hAnsi="仿宋" w:eastAsia="仿宋_GB2312"/>
          <w:sz w:val="24"/>
          <w:highlight w:val="none"/>
        </w:rPr>
        <w:t>具有交通运输厅核发或核准的</w:t>
      </w:r>
      <w:r>
        <w:rPr>
          <w:rFonts w:hint="eastAsia" w:ascii="仿宋_GB2312" w:hAnsi="仿宋" w:eastAsia="仿宋_GB2312"/>
          <w:b/>
          <w:bCs/>
          <w:sz w:val="24"/>
          <w:highlight w:val="none"/>
        </w:rPr>
        <w:t>路基路面养护甲级资质</w:t>
      </w:r>
      <w:r>
        <w:rPr>
          <w:rFonts w:hint="eastAsia" w:ascii="仿宋_GB2312" w:hAnsi="仿宋" w:eastAsia="仿宋_GB2312"/>
          <w:sz w:val="24"/>
          <w:highlight w:val="none"/>
        </w:rPr>
        <w:t>，具有建筑施工企业安全生产许可证；</w:t>
      </w:r>
    </w:p>
    <w:p w14:paraId="5E5FCDA2">
      <w:pPr>
        <w:kinsoku/>
        <w:wordWrap w:val="0"/>
        <w:topLinePunct w:val="0"/>
        <w:bidi w:val="0"/>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4.</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14:paraId="5ED13CAE">
      <w:pPr>
        <w:kinsoku/>
        <w:wordWrap w:val="0"/>
        <w:topLinePunct w:val="0"/>
        <w:bidi w:val="0"/>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14:paraId="072D3A97">
      <w:pPr>
        <w:kinsoku/>
        <w:wordWrap w:val="0"/>
        <w:topLinePunct w:val="0"/>
        <w:bidi w:val="0"/>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lang w:eastAsia="zh-CN"/>
        </w:rPr>
        <w:t>202</w:t>
      </w:r>
      <w:r>
        <w:rPr>
          <w:rFonts w:hint="eastAsia" w:ascii="仿宋_GB2312" w:hAnsi="仿宋" w:eastAsia="仿宋_GB2312"/>
          <w:sz w:val="24"/>
          <w:highlight w:val="none"/>
          <w:u w:val="single"/>
          <w:lang w:val="en-US" w:eastAsia="zh-CN"/>
        </w:rPr>
        <w:t>4</w:t>
      </w:r>
      <w:r>
        <w:rPr>
          <w:rFonts w:hint="eastAsia" w:ascii="仿宋_GB2312" w:hAnsi="仿宋" w:eastAsia="仿宋_GB2312"/>
          <w:sz w:val="24"/>
          <w:highlight w:val="none"/>
          <w:u w:val="single"/>
          <w:lang w:eastAsia="zh-CN"/>
        </w:rPr>
        <w:t>年</w:t>
      </w:r>
      <w:r>
        <w:rPr>
          <w:rFonts w:hint="eastAsia" w:ascii="仿宋_GB2312" w:hAnsi="仿宋" w:eastAsia="仿宋_GB2312"/>
          <w:sz w:val="24"/>
          <w:highlight w:val="none"/>
          <w:u w:val="single"/>
          <w:lang w:val="en-US" w:eastAsia="zh-CN"/>
        </w:rPr>
        <w:t xml:space="preserve">11 </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 xml:space="preserve"> 29 </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14:paraId="0EA92A04">
      <w:pPr>
        <w:kinsoku/>
        <w:wordWrap w:val="0"/>
        <w:topLinePunct w:val="0"/>
        <w:bidi w:val="0"/>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14:paraId="53B1B262">
      <w:pPr>
        <w:kinsoku/>
        <w:wordWrap w:val="0"/>
        <w:topLinePunct w:val="0"/>
        <w:bidi w:val="0"/>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https://www.zcygov.cn/在线申请获取采购文件（进入“项目采购”应用，在获取采购文件菜单中选择项目，申请获取采购文件）。</w:t>
      </w:r>
    </w:p>
    <w:p w14:paraId="0EA244CB">
      <w:pPr>
        <w:kinsoku/>
        <w:wordWrap w:val="0"/>
        <w:topLinePunct w:val="0"/>
        <w:bidi w:val="0"/>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14:paraId="25D64673">
      <w:pPr>
        <w:kinsoku/>
        <w:wordWrap w:val="0"/>
        <w:topLinePunct w:val="0"/>
        <w:bidi w:val="0"/>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14:paraId="6DEA95A4">
      <w:pPr>
        <w:kinsoku/>
        <w:wordWrap w:val="0"/>
        <w:topLinePunct w:val="0"/>
        <w:bidi w:val="0"/>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lang w:eastAsia="zh-CN"/>
        </w:rPr>
        <w:t>202</w:t>
      </w:r>
      <w:r>
        <w:rPr>
          <w:rFonts w:hint="eastAsia" w:ascii="仿宋_GB2312" w:hAnsi="仿宋" w:eastAsia="仿宋_GB2312"/>
          <w:sz w:val="24"/>
          <w:highlight w:val="none"/>
          <w:u w:val="single"/>
          <w:lang w:val="en-US" w:eastAsia="zh-CN"/>
        </w:rPr>
        <w:t>4</w:t>
      </w:r>
      <w:r>
        <w:rPr>
          <w:rFonts w:hint="eastAsia" w:ascii="仿宋_GB2312" w:hAnsi="仿宋" w:eastAsia="仿宋_GB2312"/>
          <w:sz w:val="24"/>
          <w:highlight w:val="none"/>
          <w:u w:val="single"/>
          <w:lang w:eastAsia="zh-CN"/>
        </w:rPr>
        <w:t>年</w:t>
      </w:r>
      <w:r>
        <w:rPr>
          <w:rFonts w:hint="eastAsia" w:ascii="仿宋_GB2312" w:hAnsi="仿宋" w:eastAsia="仿宋_GB2312"/>
          <w:sz w:val="24"/>
          <w:highlight w:val="none"/>
          <w:u w:val="single"/>
          <w:lang w:val="en-US" w:eastAsia="zh-CN"/>
        </w:rPr>
        <w:t xml:space="preserve"> 11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 xml:space="preserve"> 29 </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09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14:paraId="39951A3F">
      <w:pPr>
        <w:kinsoku/>
        <w:wordWrap w:val="0"/>
        <w:topLinePunct w:val="0"/>
        <w:bidi w:val="0"/>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14:paraId="5DE27946">
      <w:pPr>
        <w:kinsoku/>
        <w:wordWrap w:val="0"/>
        <w:topLinePunct w:val="0"/>
        <w:bidi w:val="0"/>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lang w:eastAsia="zh-CN"/>
        </w:rPr>
        <w:t>202</w:t>
      </w:r>
      <w:r>
        <w:rPr>
          <w:rFonts w:hint="eastAsia" w:ascii="仿宋_GB2312" w:hAnsi="仿宋" w:eastAsia="仿宋_GB2312"/>
          <w:sz w:val="24"/>
          <w:highlight w:val="none"/>
          <w:u w:val="single"/>
          <w:lang w:val="en-US" w:eastAsia="zh-CN"/>
        </w:rPr>
        <w:t>4</w:t>
      </w:r>
      <w:r>
        <w:rPr>
          <w:rFonts w:hint="eastAsia" w:ascii="仿宋_GB2312" w:hAnsi="仿宋" w:eastAsia="仿宋_GB2312"/>
          <w:sz w:val="24"/>
          <w:highlight w:val="none"/>
          <w:u w:val="single"/>
          <w:lang w:eastAsia="zh-CN"/>
        </w:rPr>
        <w:t>年</w:t>
      </w:r>
      <w:bookmarkStart w:id="470" w:name="_GoBack"/>
      <w:bookmarkEnd w:id="470"/>
      <w:r>
        <w:rPr>
          <w:rFonts w:hint="eastAsia" w:ascii="仿宋_GB2312" w:hAnsi="仿宋" w:eastAsia="仿宋_GB2312"/>
          <w:sz w:val="24"/>
          <w:highlight w:val="none"/>
          <w:u w:val="single"/>
          <w:lang w:val="en-US" w:eastAsia="zh-CN"/>
        </w:rPr>
        <w:t xml:space="preserve">11 </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 xml:space="preserve"> 29 </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09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p>
    <w:p w14:paraId="0B799206">
      <w:pPr>
        <w:kinsoku/>
        <w:wordWrap w:val="0"/>
        <w:topLinePunct w:val="0"/>
        <w:bidi w:val="0"/>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14:paraId="088B5EAF">
      <w:pPr>
        <w:kinsoku/>
        <w:wordWrap w:val="0"/>
        <w:topLinePunct w:val="0"/>
        <w:bidi w:val="0"/>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14:paraId="2509E13C">
      <w:pPr>
        <w:kinsoku/>
        <w:wordWrap w:val="0"/>
        <w:topLinePunct w:val="0"/>
        <w:bidi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14:paraId="76A99432">
      <w:pPr>
        <w:kinsoku/>
        <w:wordWrap w:val="0"/>
        <w:topLinePunct w:val="0"/>
        <w:bidi w:val="0"/>
        <w:spacing w:line="360"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14:paraId="08D81D2E">
      <w:pPr>
        <w:kinsoku/>
        <w:wordWrap w:val="0"/>
        <w:topLinePunct w:val="0"/>
        <w:bidi w:val="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highlight w:val="none"/>
        </w:rPr>
        <w:t>作出答复的，可以在答复期满后十五个工作日内向同级政府采购监督管理部门投诉。质疑函范本、投诉书范本请到浙江政府采购网下载专区下载。</w:t>
      </w:r>
    </w:p>
    <w:p w14:paraId="7CA1C6DD">
      <w:pPr>
        <w:kinsoku/>
        <w:wordWrap w:val="0"/>
        <w:topLinePunct w:val="0"/>
        <w:bidi w:val="0"/>
        <w:spacing w:line="360" w:lineRule="auto"/>
        <w:ind w:firstLine="480" w:firstLineChars="200"/>
        <w:rPr>
          <w:rFonts w:ascii="仿宋" w:hAnsi="仿宋" w:eastAsia="仿宋" w:cs="仿宋_GB2312"/>
          <w:sz w:val="24"/>
          <w:highlight w:val="none"/>
        </w:rPr>
      </w:pPr>
      <w:r>
        <w:rPr>
          <w:rFonts w:hint="eastAsia" w:ascii="仿宋_GB2312" w:hAnsi="仿宋" w:eastAsia="仿宋_GB2312"/>
          <w:sz w:val="24"/>
          <w:highlight w:val="none"/>
        </w:rPr>
        <w:t>2.其他事项：（1）需要落实的政府采购政策：包括节约资源、保护环境、支持创新、促进中小企业发展等。详见招标文件的第二部分总则。（2）</w:t>
      </w:r>
      <w:r>
        <w:rPr>
          <w:rFonts w:ascii="仿宋_GB2312" w:hAnsi="仿宋" w:eastAsia="仿宋_GB2312"/>
          <w:sz w:val="24"/>
          <w:highlight w:val="none"/>
        </w:rPr>
        <w:t>电子招投标的说明：</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w:t>
      </w:r>
      <w:r>
        <w:rPr>
          <w:rFonts w:ascii="仿宋_GB2312" w:hAnsi="仿宋" w:eastAsia="仿宋_GB2312"/>
          <w:sz w:val="24"/>
          <w:highlight w:val="none"/>
        </w:rPr>
        <w:t xml:space="preserve"> </w:t>
      </w:r>
      <w:r>
        <w:rPr>
          <w:rFonts w:hint="eastAsia" w:ascii="仿宋_GB2312" w:hAnsi="仿宋" w:eastAsia="仿宋_GB2312"/>
          <w:sz w:val="24"/>
          <w:highlight w:val="none"/>
        </w:rPr>
        <w:t>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p>
    <w:p w14:paraId="2BD61FBA">
      <w:pPr>
        <w:kinsoku/>
        <w:wordWrap w:val="0"/>
        <w:topLinePunct w:val="0"/>
        <w:bidi w:val="0"/>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14:paraId="613A99FB">
      <w:pPr>
        <w:kinsoku/>
        <w:wordWrap w:val="0"/>
        <w:topLinePunct w:val="0"/>
        <w:bidi w:val="0"/>
        <w:spacing w:line="360" w:lineRule="auto"/>
        <w:rPr>
          <w:rFonts w:ascii="仿宋_GB2312" w:hAnsi="仿宋" w:eastAsia="仿宋_GB2312"/>
          <w:sz w:val="24"/>
          <w:highlight w:val="none"/>
        </w:rPr>
      </w:pPr>
      <w:r>
        <w:rPr>
          <w:rFonts w:ascii="仿宋_GB2312" w:hAnsi="仿宋" w:eastAsia="仿宋_GB2312"/>
          <w:sz w:val="24"/>
          <w:highlight w:val="none"/>
        </w:rPr>
        <w:t xml:space="preserve">    1.采购人信息</w:t>
      </w:r>
    </w:p>
    <w:p w14:paraId="040720BA">
      <w:pPr>
        <w:kinsoku/>
        <w:wordWrap w:val="0"/>
        <w:topLinePunct w:val="0"/>
        <w:bidi w:val="0"/>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永嘉县公路与运输管理中心</w:t>
      </w:r>
      <w:r>
        <w:rPr>
          <w:rFonts w:ascii="仿宋_GB2312" w:hAnsi="仿宋" w:eastAsia="仿宋_GB2312"/>
          <w:sz w:val="24"/>
          <w:highlight w:val="none"/>
        </w:rPr>
        <w:t xml:space="preserve"> </w:t>
      </w:r>
    </w:p>
    <w:p w14:paraId="5A1F805E">
      <w:pPr>
        <w:kinsoku/>
        <w:wordWrap w:val="0"/>
        <w:topLinePunct w:val="0"/>
        <w:bidi w:val="0"/>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 w:hAnsi="仿宋" w:eastAsia="仿宋" w:cs="仿宋_GB2312"/>
          <w:sz w:val="24"/>
          <w:highlight w:val="none"/>
          <w:lang w:eastAsia="zh-CN"/>
        </w:rPr>
        <w:t>永嘉县南城街道黄屿村</w:t>
      </w:r>
      <w:r>
        <w:rPr>
          <w:rFonts w:ascii="仿宋_GB2312" w:hAnsi="仿宋" w:eastAsia="仿宋_GB2312"/>
          <w:sz w:val="24"/>
          <w:highlight w:val="none"/>
        </w:rPr>
        <w:t xml:space="preserve"> </w:t>
      </w:r>
    </w:p>
    <w:p w14:paraId="68D436AD">
      <w:pPr>
        <w:kinsoku/>
        <w:wordWrap w:val="0"/>
        <w:topLinePunct w:val="0"/>
        <w:bidi w:val="0"/>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传</w:t>
      </w:r>
      <w:r>
        <w:rPr>
          <w:rFonts w:ascii="仿宋_GB2312" w:hAnsi="仿宋" w:eastAsia="仿宋_GB2312"/>
          <w:sz w:val="24"/>
          <w:highlight w:val="none"/>
        </w:rPr>
        <w:t xml:space="preserve">    真：</w:t>
      </w:r>
      <w:r>
        <w:rPr>
          <w:rFonts w:ascii="仿宋" w:hAnsi="仿宋" w:eastAsia="仿宋"/>
          <w:sz w:val="24"/>
          <w:highlight w:val="none"/>
        </w:rPr>
        <w:t>/</w:t>
      </w:r>
    </w:p>
    <w:p w14:paraId="66D26DB9">
      <w:pPr>
        <w:kinsoku/>
        <w:wordWrap w:val="0"/>
        <w:topLinePunct w:val="0"/>
        <w:bidi w:val="0"/>
        <w:spacing w:line="360" w:lineRule="auto"/>
        <w:ind w:firstLine="480" w:firstLineChars="200"/>
        <w:rPr>
          <w:rFonts w:hint="eastAsia" w:ascii="仿宋" w:hAnsi="仿宋" w:eastAsia="仿宋" w:cs="仿宋_GB2312"/>
          <w:sz w:val="24"/>
          <w:highlight w:val="none"/>
          <w:lang w:eastAsia="zh-CN"/>
        </w:rPr>
      </w:pPr>
      <w:r>
        <w:rPr>
          <w:rFonts w:hint="eastAsia" w:ascii="仿宋" w:hAnsi="仿宋" w:eastAsia="仿宋" w:cs="仿宋_GB2312"/>
          <w:sz w:val="24"/>
          <w:highlight w:val="none"/>
          <w:lang w:eastAsia="zh-CN"/>
        </w:rPr>
        <w:t xml:space="preserve">项目联系人（询问）：胡先生  </w:t>
      </w:r>
    </w:p>
    <w:p w14:paraId="55C36135">
      <w:pPr>
        <w:kinsoku/>
        <w:wordWrap w:val="0"/>
        <w:topLinePunct w:val="0"/>
        <w:bidi w:val="0"/>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eastAsia="zh-CN"/>
        </w:rPr>
        <w:t xml:space="preserve">    项目联系方式（询问）：</w:t>
      </w:r>
      <w:r>
        <w:rPr>
          <w:rFonts w:hint="eastAsia" w:ascii="仿宋" w:hAnsi="仿宋" w:eastAsia="仿宋" w:cs="仿宋_GB2312"/>
          <w:sz w:val="24"/>
          <w:highlight w:val="none"/>
          <w:lang w:val="en-US" w:eastAsia="zh-CN"/>
        </w:rPr>
        <w:t>13777707960</w:t>
      </w:r>
    </w:p>
    <w:p w14:paraId="6BD8C6B0">
      <w:pPr>
        <w:kinsoku/>
        <w:wordWrap w:val="0"/>
        <w:topLinePunct w:val="0"/>
        <w:bidi w:val="0"/>
        <w:spacing w:line="360" w:lineRule="auto"/>
        <w:rPr>
          <w:rFonts w:hint="eastAsia" w:ascii="仿宋" w:hAnsi="仿宋" w:eastAsia="仿宋" w:cs="仿宋_GB2312"/>
          <w:sz w:val="24"/>
          <w:highlight w:val="none"/>
          <w:lang w:eastAsia="zh-CN"/>
        </w:rPr>
      </w:pPr>
      <w:r>
        <w:rPr>
          <w:rFonts w:hint="eastAsia" w:ascii="仿宋" w:hAnsi="仿宋" w:eastAsia="仿宋" w:cs="仿宋_GB2312"/>
          <w:sz w:val="24"/>
          <w:highlight w:val="none"/>
          <w:lang w:eastAsia="zh-CN"/>
        </w:rPr>
        <w:t xml:space="preserve">    质疑联系人：徐先生 </w:t>
      </w:r>
    </w:p>
    <w:p w14:paraId="017C8063">
      <w:pPr>
        <w:kinsoku/>
        <w:wordWrap w:val="0"/>
        <w:topLinePunct w:val="0"/>
        <w:bidi w:val="0"/>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eastAsia="zh-CN"/>
        </w:rPr>
        <w:t xml:space="preserve">    质疑联系方式：</w:t>
      </w:r>
      <w:r>
        <w:rPr>
          <w:rFonts w:hint="eastAsia" w:ascii="仿宋" w:hAnsi="仿宋" w:eastAsia="仿宋" w:cs="仿宋_GB2312"/>
          <w:sz w:val="24"/>
          <w:highlight w:val="none"/>
          <w:lang w:val="en-US" w:eastAsia="zh-CN"/>
        </w:rPr>
        <w:t>0577-57669213</w:t>
      </w:r>
    </w:p>
    <w:p w14:paraId="49F11A1A">
      <w:pPr>
        <w:kinsoku/>
        <w:wordWrap w:val="0"/>
        <w:topLinePunct w:val="0"/>
        <w:bidi w:val="0"/>
        <w:spacing w:line="360" w:lineRule="auto"/>
        <w:rPr>
          <w:rFonts w:ascii="仿宋_GB2312" w:hAnsi="仿宋" w:eastAsia="仿宋_GB2312"/>
          <w:sz w:val="24"/>
          <w:highlight w:val="none"/>
        </w:rPr>
      </w:pPr>
      <w:r>
        <w:rPr>
          <w:rFonts w:ascii="仿宋_GB2312" w:hAnsi="仿宋" w:eastAsia="仿宋_GB2312"/>
          <w:sz w:val="24"/>
          <w:highlight w:val="none"/>
        </w:rPr>
        <w:t xml:space="preserve">    2.采购代理机构信息            </w:t>
      </w:r>
    </w:p>
    <w:p w14:paraId="67B96BDB">
      <w:pPr>
        <w:kinsoku/>
        <w:wordWrap w:val="0"/>
        <w:topLinePunct w:val="0"/>
        <w:bidi w:val="0"/>
        <w:spacing w:line="360" w:lineRule="auto"/>
        <w:ind w:firstLine="480"/>
        <w:rPr>
          <w:rFonts w:hint="eastAsia" w:ascii="仿宋_GB2312" w:hAnsi="仿宋" w:eastAsia="仿宋_GB2312"/>
          <w:sz w:val="24"/>
          <w:highlight w:val="none"/>
          <w:lang w:eastAsia="zh-CN"/>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w:t>
      </w:r>
      <w:r>
        <w:rPr>
          <w:rFonts w:hint="eastAsia" w:ascii="仿宋_GB2312" w:hAnsi="仿宋" w:eastAsia="仿宋_GB2312"/>
          <w:sz w:val="24"/>
          <w:highlight w:val="none"/>
          <w:lang w:eastAsia="zh-CN"/>
        </w:rPr>
        <w:t>温州广信工程管理有限公司</w:t>
      </w:r>
    </w:p>
    <w:p w14:paraId="3D1EDD9B">
      <w:pPr>
        <w:kinsoku/>
        <w:wordWrap w:val="0"/>
        <w:topLinePunct w:val="0"/>
        <w:bidi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hint="eastAsia" w:ascii="仿宋_GB2312" w:hAnsi="仿宋" w:eastAsia="仿宋_GB2312"/>
          <w:sz w:val="24"/>
          <w:highlight w:val="none"/>
          <w:lang w:val="en-US" w:eastAsia="zh-CN"/>
        </w:rPr>
        <w:t>永嘉县瓯北镇新桥村江心路70号</w:t>
      </w:r>
      <w:r>
        <w:rPr>
          <w:rFonts w:ascii="仿宋_GB2312" w:hAnsi="仿宋" w:eastAsia="仿宋_GB2312"/>
          <w:sz w:val="24"/>
          <w:highlight w:val="none"/>
        </w:rPr>
        <w:t xml:space="preserve">  </w:t>
      </w:r>
    </w:p>
    <w:p w14:paraId="69DF3416">
      <w:pPr>
        <w:kinsoku/>
        <w:wordWrap w:val="0"/>
        <w:topLinePunct w:val="0"/>
        <w:bidi w:val="0"/>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sz w:val="24"/>
          <w:highlight w:val="none"/>
          <w:lang w:val="en-US" w:eastAsia="zh-CN"/>
        </w:rPr>
        <w:t xml:space="preserve">  </w:t>
      </w:r>
      <w:r>
        <w:rPr>
          <w:rFonts w:ascii="仿宋_GB2312" w:hAnsi="仿宋" w:eastAsia="仿宋_GB2312"/>
          <w:sz w:val="24"/>
          <w:highlight w:val="none"/>
        </w:rPr>
        <w:t xml:space="preserve"> 传    真：/             </w:t>
      </w:r>
    </w:p>
    <w:p w14:paraId="33239868">
      <w:pPr>
        <w:kinsoku/>
        <w:wordWrap w:val="0"/>
        <w:topLinePunct w:val="0"/>
        <w:bidi w:val="0"/>
        <w:spacing w:line="360" w:lineRule="auto"/>
        <w:rPr>
          <w:rFonts w:hint="eastAsia" w:ascii="仿宋_GB2312" w:hAnsi="仿宋" w:eastAsia="仿宋_GB2312"/>
          <w:sz w:val="24"/>
          <w:highlight w:val="none"/>
          <w:lang w:val="en-US" w:eastAsia="zh-CN"/>
        </w:rPr>
      </w:pPr>
      <w:r>
        <w:rPr>
          <w:rFonts w:ascii="仿宋_GB2312" w:hAnsi="仿宋" w:eastAsia="仿宋_GB2312"/>
          <w:sz w:val="24"/>
          <w:highlight w:val="none"/>
        </w:rPr>
        <w:t xml:space="preserve">    项目联系人（询问）：</w:t>
      </w:r>
      <w:r>
        <w:rPr>
          <w:rFonts w:hint="eastAsia" w:ascii="仿宋_GB2312" w:hAnsi="仿宋" w:eastAsia="仿宋_GB2312"/>
          <w:sz w:val="24"/>
          <w:highlight w:val="none"/>
          <w:lang w:eastAsia="zh-CN"/>
        </w:rPr>
        <w:t>陈女士</w:t>
      </w:r>
    </w:p>
    <w:p w14:paraId="5A79E97E">
      <w:pPr>
        <w:kinsoku/>
        <w:wordWrap w:val="0"/>
        <w:topLinePunct w:val="0"/>
        <w:bidi w:val="0"/>
        <w:spacing w:line="360" w:lineRule="auto"/>
        <w:rPr>
          <w:rFonts w:hint="default" w:ascii="仿宋_GB2312" w:hAnsi="仿宋" w:eastAsia="仿宋_GB2312"/>
          <w:sz w:val="24"/>
          <w:highlight w:val="none"/>
          <w:lang w:val="en-US"/>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lang w:val="en-US" w:eastAsia="zh-CN"/>
        </w:rPr>
        <w:t>15888215668</w:t>
      </w:r>
    </w:p>
    <w:p w14:paraId="6B0277CA">
      <w:pPr>
        <w:kinsoku/>
        <w:wordWrap w:val="0"/>
        <w:topLinePunct w:val="0"/>
        <w:bidi w:val="0"/>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lang w:val="en-US" w:eastAsia="zh-CN"/>
        </w:rPr>
        <w:t>陈先生</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14:paraId="21AF0AEB">
      <w:pPr>
        <w:kinsoku/>
        <w:wordWrap w:val="0"/>
        <w:topLinePunct w:val="0"/>
        <w:bidi w:val="0"/>
        <w:spacing w:line="360" w:lineRule="auto"/>
        <w:rPr>
          <w:rFonts w:hint="default" w:ascii="仿宋" w:hAnsi="仿宋" w:eastAsia="仿宋"/>
          <w:sz w:val="24"/>
          <w:highlight w:val="none"/>
          <w:lang w:val="en-US"/>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lang w:val="en-US" w:eastAsia="zh-CN"/>
        </w:rPr>
        <w:t>13777718271</w:t>
      </w:r>
    </w:p>
    <w:p w14:paraId="1A48AF74">
      <w:pPr>
        <w:kinsoku/>
        <w:wordWrap w:val="0"/>
        <w:topLinePunct w:val="0"/>
        <w:bidi w:val="0"/>
        <w:spacing w:line="360" w:lineRule="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            </w:t>
      </w:r>
    </w:p>
    <w:p w14:paraId="40E423DE">
      <w:pPr>
        <w:kinsoku/>
        <w:wordWrap w:val="0"/>
        <w:topLinePunct w:val="0"/>
        <w:bidi w:val="0"/>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 xml:space="preserve">永嘉县财政局 </w:t>
      </w:r>
    </w:p>
    <w:p w14:paraId="5E11AF68">
      <w:pPr>
        <w:kinsoku/>
        <w:wordWrap w:val="0"/>
        <w:topLinePunct w:val="0"/>
        <w:bidi w:val="0"/>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 xml:space="preserve">永嘉县财政局 </w:t>
      </w:r>
    </w:p>
    <w:p w14:paraId="37584594">
      <w:pPr>
        <w:kinsoku/>
        <w:wordWrap w:val="0"/>
        <w:topLinePunct w:val="0"/>
        <w:bidi w:val="0"/>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 xml:space="preserve">0577-67230257 </w:t>
      </w:r>
    </w:p>
    <w:p w14:paraId="3FF66489">
      <w:pPr>
        <w:kinsoku/>
        <w:wordWrap w:val="0"/>
        <w:topLinePunct w:val="0"/>
        <w:bidi w:val="0"/>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联系人 ：</w:t>
      </w:r>
      <w:r>
        <w:rPr>
          <w:rFonts w:hint="eastAsia" w:ascii="仿宋_GB2312" w:hAnsi="仿宋" w:eastAsia="仿宋_GB2312"/>
          <w:sz w:val="24"/>
          <w:highlight w:val="none"/>
          <w:lang w:val="en-US" w:eastAsia="zh-CN"/>
        </w:rPr>
        <w:t>胡先生</w:t>
      </w:r>
    </w:p>
    <w:p w14:paraId="6A6E2A92">
      <w:pPr>
        <w:kinsoku/>
        <w:wordWrap w:val="0"/>
        <w:topLinePunct w:val="0"/>
        <w:bidi w:val="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监督投诉电话：</w:t>
      </w:r>
      <w:r>
        <w:rPr>
          <w:rFonts w:hint="eastAsia" w:ascii="仿宋_GB2312" w:hAnsi="仿宋" w:eastAsia="仿宋_GB2312"/>
          <w:sz w:val="24"/>
          <w:highlight w:val="none"/>
        </w:rPr>
        <w:t xml:space="preserve">0577-67230257 </w:t>
      </w:r>
      <w:r>
        <w:rPr>
          <w:rFonts w:ascii="仿宋_GB2312" w:hAnsi="仿宋" w:eastAsia="仿宋_GB2312"/>
          <w:sz w:val="24"/>
          <w:highlight w:val="none"/>
        </w:rPr>
        <w:t xml:space="preserve">         </w:t>
      </w:r>
    </w:p>
    <w:p w14:paraId="4E9F9BF8">
      <w:pPr>
        <w:kinsoku/>
        <w:wordWrap w:val="0"/>
        <w:topLinePunct w:val="0"/>
        <w:bidi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14:paraId="1E59BA57">
      <w:pPr>
        <w:kinsoku/>
        <w:wordWrap w:val="0"/>
        <w:topLinePunct w:val="0"/>
        <w:bidi w:val="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p>
    <w:p w14:paraId="0F5B2644">
      <w:pPr>
        <w:pStyle w:val="35"/>
        <w:kinsoku/>
        <w:wordWrap w:val="0"/>
        <w:topLinePunct w:val="0"/>
        <w:bidi w:val="0"/>
        <w:spacing w:line="360" w:lineRule="auto"/>
        <w:ind w:firstLine="480" w:firstLineChars="200"/>
        <w:rPr>
          <w:rFonts w:ascii="仿宋" w:hAnsi="仿宋" w:eastAsia="仿宋" w:cs="仿宋_GB2312"/>
          <w:sz w:val="24"/>
          <w:szCs w:val="24"/>
          <w:highlight w:val="none"/>
        </w:rPr>
      </w:pPr>
      <w:r>
        <w:rPr>
          <w:rFonts w:ascii="仿宋" w:hAnsi="仿宋" w:eastAsia="仿宋" w:cs="仿宋_GB2312"/>
          <w:sz w:val="24"/>
          <w:highlight w:val="none"/>
        </w:rPr>
        <w:t xml:space="preserve">                              </w:t>
      </w:r>
    </w:p>
    <w:p w14:paraId="38CD7111">
      <w:pPr>
        <w:kinsoku/>
        <w:wordWrap w:val="0"/>
        <w:topLinePunct w:val="0"/>
        <w:bidi w:val="0"/>
        <w:adjustRightInd/>
        <w:spacing w:line="360" w:lineRule="auto"/>
        <w:jc w:val="center"/>
        <w:outlineLvl w:val="0"/>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第二部分</w:t>
      </w:r>
      <w:bookmarkEnd w:id="8"/>
      <w:r>
        <w:rPr>
          <w:rFonts w:ascii="仿宋" w:hAnsi="仿宋" w:eastAsia="仿宋" w:cs="仿宋_GB2312"/>
          <w:b/>
          <w:sz w:val="36"/>
          <w:szCs w:val="20"/>
          <w:highlight w:val="none"/>
        </w:rPr>
        <w:t xml:space="preserve"> 投标人须知</w:t>
      </w:r>
      <w:bookmarkEnd w:id="9"/>
    </w:p>
    <w:p w14:paraId="0C89E20E">
      <w:pPr>
        <w:kinsoku/>
        <w:wordWrap w:val="0"/>
        <w:topLinePunct w:val="0"/>
        <w:bidi w:val="0"/>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2"/>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8"/>
        <w:gridCol w:w="2073"/>
        <w:gridCol w:w="6857"/>
      </w:tblGrid>
      <w:tr w14:paraId="37639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708" w:type="dxa"/>
            <w:tcBorders>
              <w:top w:val="single" w:color="auto" w:sz="4" w:space="0"/>
              <w:left w:val="single" w:color="auto" w:sz="4" w:space="0"/>
              <w:bottom w:val="single" w:color="auto" w:sz="4" w:space="0"/>
              <w:right w:val="single" w:color="auto" w:sz="4" w:space="0"/>
            </w:tcBorders>
            <w:vAlign w:val="center"/>
          </w:tcPr>
          <w:p w14:paraId="24821CF9">
            <w:pPr>
              <w:pageBreakBefore w:val="0"/>
              <w:widowControl w:val="0"/>
              <w:kinsoku/>
              <w:wordWrap w:val="0"/>
              <w:overflowPunct/>
              <w:topLinePunct w:val="0"/>
              <w:autoSpaceDE/>
              <w:autoSpaceDN/>
              <w:bidi w:val="0"/>
              <w:snapToGrid w:val="0"/>
              <w:spacing w:line="240" w:lineRule="auto"/>
              <w:ind w:left="0" w:leftChars="0" w:right="0" w:rightChars="0" w:firstLine="0" w:firstLineChars="0"/>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2073" w:type="dxa"/>
            <w:tcBorders>
              <w:top w:val="single" w:color="000000" w:sz="8" w:space="0"/>
              <w:left w:val="single" w:color="auto" w:sz="4" w:space="0"/>
              <w:bottom w:val="single" w:color="000000" w:sz="8" w:space="0"/>
              <w:right w:val="single" w:color="000000" w:sz="8" w:space="0"/>
            </w:tcBorders>
            <w:vAlign w:val="center"/>
          </w:tcPr>
          <w:p w14:paraId="656CE044">
            <w:pPr>
              <w:pageBreakBefore w:val="0"/>
              <w:widowControl w:val="0"/>
              <w:kinsoku/>
              <w:wordWrap w:val="0"/>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事项</w:t>
            </w:r>
          </w:p>
        </w:tc>
        <w:tc>
          <w:tcPr>
            <w:tcW w:w="6857" w:type="dxa"/>
            <w:tcBorders>
              <w:top w:val="single" w:color="000000" w:sz="8" w:space="0"/>
              <w:left w:val="single" w:color="000000" w:sz="2" w:space="0"/>
              <w:bottom w:val="single" w:color="000000" w:sz="8" w:space="0"/>
              <w:right w:val="single" w:color="000000" w:sz="8" w:space="0"/>
            </w:tcBorders>
            <w:vAlign w:val="center"/>
          </w:tcPr>
          <w:p w14:paraId="4C02FC84">
            <w:pPr>
              <w:pageBreakBefore w:val="0"/>
              <w:widowControl w:val="0"/>
              <w:kinsoku/>
              <w:wordWrap w:val="0"/>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本项目的特别规定</w:t>
            </w:r>
          </w:p>
        </w:tc>
      </w:tr>
      <w:tr w14:paraId="78029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5D084B1">
            <w:pPr>
              <w:pageBreakBefore w:val="0"/>
              <w:widowControl w:val="0"/>
              <w:kinsoku/>
              <w:wordWrap w:val="0"/>
              <w:overflowPunct/>
              <w:topLinePunct w:val="0"/>
              <w:autoSpaceDE/>
              <w:autoSpaceDN/>
              <w:bidi w:val="0"/>
              <w:snapToGrid w:val="0"/>
              <w:spacing w:line="240" w:lineRule="auto"/>
              <w:ind w:left="0" w:leftChars="0" w:right="0" w:rightChars="0" w:firstLine="0" w:firstLineChars="0"/>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2073" w:type="dxa"/>
            <w:tcBorders>
              <w:top w:val="single" w:color="000000" w:sz="8" w:space="0"/>
              <w:left w:val="single" w:color="auto" w:sz="4" w:space="0"/>
              <w:bottom w:val="single" w:color="000000" w:sz="8" w:space="0"/>
              <w:right w:val="single" w:color="000000" w:sz="8" w:space="0"/>
            </w:tcBorders>
            <w:vAlign w:val="center"/>
          </w:tcPr>
          <w:p w14:paraId="007E2785">
            <w:pPr>
              <w:pageBreakBefore w:val="0"/>
              <w:widowControl w:val="0"/>
              <w:kinsoku/>
              <w:wordWrap w:val="0"/>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报价要求</w:t>
            </w:r>
          </w:p>
        </w:tc>
        <w:tc>
          <w:tcPr>
            <w:tcW w:w="6857" w:type="dxa"/>
            <w:tcBorders>
              <w:top w:val="single" w:color="000000" w:sz="8" w:space="0"/>
              <w:left w:val="single" w:color="000000" w:sz="2" w:space="0"/>
              <w:bottom w:val="single" w:color="000000" w:sz="8" w:space="0"/>
              <w:right w:val="single" w:color="000000" w:sz="8" w:space="0"/>
            </w:tcBorders>
            <w:vAlign w:val="center"/>
          </w:tcPr>
          <w:p w14:paraId="7C6A9BC1">
            <w:pPr>
              <w:pageBreakBefore w:val="0"/>
              <w:widowControl w:val="0"/>
              <w:kinsoku/>
              <w:wordWrap w:val="0"/>
              <w:overflowPunct/>
              <w:topLinePunct w:val="0"/>
              <w:autoSpaceDE/>
              <w:autoSpaceDN/>
              <w:bidi w:val="0"/>
              <w:snapToGrid w:val="0"/>
              <w:spacing w:line="240" w:lineRule="auto"/>
              <w:jc w:val="left"/>
              <w:textAlignment w:val="auto"/>
              <w:rPr>
                <w:rFonts w:ascii="仿宋_GB2312" w:hAnsi="仿宋" w:eastAsia="仿宋_GB2312" w:cs="仿宋_GB2312"/>
                <w:b/>
                <w:kern w:val="0"/>
                <w:sz w:val="24"/>
                <w:highlight w:val="none"/>
                <w:lang w:val="zh-CN"/>
              </w:rPr>
            </w:pPr>
            <w:r>
              <w:rPr>
                <w:rFonts w:hint="eastAsia" w:ascii="仿宋_GB2312" w:hAnsi="仿宋" w:eastAsia="仿宋_GB2312"/>
                <w:kern w:val="0"/>
                <w:sz w:val="24"/>
                <w:highlight w:val="none"/>
                <w:lang w:val="zh-CN"/>
              </w:rPr>
              <w:t>有关本项目实施所需的所有费用（含税费）均计入报价。</w:t>
            </w:r>
            <w:r>
              <w:rPr>
                <w:rFonts w:hint="eastAsia" w:ascii="仿宋_GB2312" w:hAnsi="仿宋" w:eastAsia="仿宋_GB2312" w:cs="仿宋_GB2312"/>
                <w:sz w:val="24"/>
                <w:highlight w:val="none"/>
              </w:rPr>
              <w:t>开标一览表（报价表）</w:t>
            </w:r>
            <w:r>
              <w:rPr>
                <w:rFonts w:hint="eastAsia" w:ascii="仿宋_GB2312" w:hAnsi="仿宋" w:eastAsia="仿宋_GB2312"/>
                <w:sz w:val="24"/>
                <w:highlight w:val="none"/>
              </w:rPr>
              <w:t>是报价的唯一载体</w:t>
            </w:r>
            <w:r>
              <w:rPr>
                <w:rFonts w:hint="eastAsia" w:ascii="仿宋_GB2312" w:hAnsi="仿宋" w:eastAsia="仿宋_GB2312" w:cs="仿宋_GB2312"/>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kern w:val="0"/>
                <w:sz w:val="24"/>
                <w:highlight w:val="none"/>
                <w:lang w:val="zh-CN"/>
              </w:rPr>
              <w:t>提醒：验收时检测费用由采购人承担，不包含在投标总价中。</w:t>
            </w:r>
          </w:p>
          <w:p w14:paraId="6ADFFCC3">
            <w:pPr>
              <w:pageBreakBefore w:val="0"/>
              <w:widowControl w:val="0"/>
              <w:kinsoku/>
              <w:wordWrap w:val="0"/>
              <w:overflowPunct/>
              <w:topLinePunct w:val="0"/>
              <w:autoSpaceDE/>
              <w:autoSpaceDN/>
              <w:bidi w:val="0"/>
              <w:snapToGrid w:val="0"/>
              <w:spacing w:line="240" w:lineRule="auto"/>
              <w:jc w:val="left"/>
              <w:textAlignment w:val="auto"/>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投标报价出现下列情形的，投标无效：</w:t>
            </w:r>
          </w:p>
          <w:p w14:paraId="18BEFF64">
            <w:pPr>
              <w:pageBreakBefore w:val="0"/>
              <w:widowControl w:val="0"/>
              <w:kinsoku/>
              <w:wordWrap w:val="0"/>
              <w:overflowPunct/>
              <w:topLinePunct w:val="0"/>
              <w:autoSpaceDE/>
              <w:autoSpaceDN/>
              <w:bidi w:val="0"/>
              <w:snapToGrid w:val="0"/>
              <w:spacing w:line="240" w:lineRule="auto"/>
              <w:ind w:firstLine="241" w:firstLineChars="100"/>
              <w:jc w:val="left"/>
              <w:textAlignment w:val="auto"/>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投标文件出现不是唯一的、有选择性投标报价的；</w:t>
            </w:r>
          </w:p>
          <w:p w14:paraId="1C81614C">
            <w:pPr>
              <w:pageBreakBefore w:val="0"/>
              <w:widowControl w:val="0"/>
              <w:kinsoku/>
              <w:wordWrap w:val="0"/>
              <w:overflowPunct/>
              <w:topLinePunct w:val="0"/>
              <w:autoSpaceDE/>
              <w:autoSpaceDN/>
              <w:bidi w:val="0"/>
              <w:snapToGrid w:val="0"/>
              <w:spacing w:line="240" w:lineRule="auto"/>
              <w:ind w:firstLine="241" w:firstLineChars="100"/>
              <w:jc w:val="left"/>
              <w:textAlignment w:val="auto"/>
              <w:rPr>
                <w:rFonts w:ascii="仿宋_GB2312" w:hAnsi="仿宋" w:eastAsia="仿宋_GB2312"/>
                <w:kern w:val="0"/>
                <w:sz w:val="24"/>
                <w:highlight w:val="none"/>
                <w:lang w:val="zh-CN"/>
              </w:rPr>
            </w:pPr>
            <w:r>
              <w:rPr>
                <w:rFonts w:hint="eastAsia" w:ascii="仿宋_GB2312" w:hAnsi="仿宋" w:eastAsia="仿宋_GB2312" w:cs="仿宋_GB2312"/>
                <w:b/>
                <w:kern w:val="0"/>
                <w:sz w:val="24"/>
                <w:highlight w:val="none"/>
                <w:lang w:val="zh-CN"/>
              </w:rPr>
              <w:t>投标报价超过招标文件中规定的预算金额或者最高限价的</w:t>
            </w:r>
            <w:r>
              <w:rPr>
                <w:rFonts w:ascii="仿宋_GB2312" w:hAnsi="仿宋" w:eastAsia="仿宋_GB2312"/>
                <w:b/>
                <w:kern w:val="0"/>
                <w:sz w:val="24"/>
                <w:highlight w:val="none"/>
                <w:lang w:val="zh-CN"/>
              </w:rPr>
              <w:t>;</w:t>
            </w:r>
          </w:p>
          <w:p w14:paraId="30167E8D">
            <w:pPr>
              <w:pageBreakBefore w:val="0"/>
              <w:widowControl w:val="0"/>
              <w:kinsoku/>
              <w:wordWrap w:val="0"/>
              <w:overflowPunct/>
              <w:topLinePunct w:val="0"/>
              <w:autoSpaceDE/>
              <w:autoSpaceDN/>
              <w:bidi w:val="0"/>
              <w:snapToGrid w:val="0"/>
              <w:spacing w:line="240" w:lineRule="auto"/>
              <w:ind w:firstLine="241" w:firstLineChars="100"/>
              <w:textAlignment w:val="auto"/>
              <w:rPr>
                <w:rFonts w:ascii="仿宋_GB2312" w:hAnsi="仿宋" w:eastAsia="仿宋_GB2312" w:cs="仿宋_GB2312"/>
                <w:b/>
                <w:sz w:val="24"/>
                <w:highlight w:val="none"/>
              </w:rPr>
            </w:pPr>
            <w:r>
              <w:rPr>
                <w:rFonts w:hint="eastAsia" w:ascii="仿宋_GB2312" w:hAnsi="仿宋" w:eastAsia="仿宋_GB2312" w:cs="Arial"/>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highlight w:val="none"/>
              </w:rPr>
              <w:t>;</w:t>
            </w:r>
          </w:p>
          <w:p w14:paraId="7F7016DE">
            <w:pPr>
              <w:pageBreakBefore w:val="0"/>
              <w:widowControl w:val="0"/>
              <w:kinsoku/>
              <w:wordWrap w:val="0"/>
              <w:overflowPunct/>
              <w:topLinePunct w:val="0"/>
              <w:autoSpaceDE/>
              <w:autoSpaceDN/>
              <w:bidi w:val="0"/>
              <w:snapToGrid w:val="0"/>
              <w:spacing w:line="240" w:lineRule="auto"/>
              <w:ind w:firstLine="241" w:firstLineChars="100"/>
              <w:textAlignment w:val="auto"/>
              <w:rPr>
                <w:rFonts w:ascii="仿宋_GB2312" w:hAnsi="仿宋" w:eastAsia="仿宋_GB2312"/>
                <w:sz w:val="24"/>
                <w:highlight w:val="none"/>
              </w:rPr>
            </w:pPr>
            <w:r>
              <w:rPr>
                <w:rFonts w:hint="eastAsia" w:ascii="仿宋_GB2312" w:hAnsi="仿宋" w:eastAsia="仿宋_GB2312" w:cs="Arial"/>
                <w:b/>
                <w:kern w:val="0"/>
                <w:sz w:val="24"/>
                <w:highlight w:val="none"/>
              </w:rPr>
              <w:t>投标人对根据修正原则修正后的报价不确认的</w:t>
            </w:r>
            <w:r>
              <w:rPr>
                <w:rFonts w:hint="eastAsia" w:ascii="仿宋_GB2312" w:hAnsi="仿宋" w:eastAsia="仿宋_GB2312"/>
                <w:b/>
                <w:sz w:val="24"/>
                <w:highlight w:val="none"/>
              </w:rPr>
              <w:t>。</w:t>
            </w:r>
          </w:p>
        </w:tc>
      </w:tr>
      <w:tr w14:paraId="6F5B3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CCC6254">
            <w:pPr>
              <w:pageBreakBefore w:val="0"/>
              <w:widowControl w:val="0"/>
              <w:kinsoku/>
              <w:wordWrap w:val="0"/>
              <w:overflowPunct/>
              <w:topLinePunct w:val="0"/>
              <w:autoSpaceDE/>
              <w:autoSpaceDN/>
              <w:bidi w:val="0"/>
              <w:snapToGrid w:val="0"/>
              <w:spacing w:line="240" w:lineRule="auto"/>
              <w:ind w:left="0" w:leftChars="0" w:right="0" w:rightChars="0" w:firstLine="0" w:firstLineChars="0"/>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2073" w:type="dxa"/>
            <w:tcBorders>
              <w:top w:val="single" w:color="000000" w:sz="8" w:space="0"/>
              <w:left w:val="single" w:color="auto" w:sz="4" w:space="0"/>
              <w:bottom w:val="single" w:color="000000" w:sz="8" w:space="0"/>
              <w:right w:val="single" w:color="000000" w:sz="8" w:space="0"/>
            </w:tcBorders>
            <w:vAlign w:val="center"/>
          </w:tcPr>
          <w:p w14:paraId="360B5B0B">
            <w:pPr>
              <w:pageBreakBefore w:val="0"/>
              <w:widowControl w:val="0"/>
              <w:kinsoku/>
              <w:wordWrap w:val="0"/>
              <w:overflowPunct/>
              <w:topLinePunct w:val="0"/>
              <w:autoSpaceDE/>
              <w:autoSpaceDN/>
              <w:bidi w:val="0"/>
              <w:snapToGrid w:val="0"/>
              <w:spacing w:line="240" w:lineRule="auto"/>
              <w:ind w:firstLine="482" w:firstLineChars="200"/>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分包</w:t>
            </w:r>
          </w:p>
        </w:tc>
        <w:tc>
          <w:tcPr>
            <w:tcW w:w="6857" w:type="dxa"/>
            <w:tcBorders>
              <w:top w:val="single" w:color="000000" w:sz="8" w:space="0"/>
              <w:left w:val="single" w:color="000000" w:sz="2" w:space="0"/>
              <w:bottom w:val="single" w:color="000000" w:sz="8" w:space="0"/>
              <w:right w:val="single" w:color="000000" w:sz="8" w:space="0"/>
            </w:tcBorders>
            <w:vAlign w:val="center"/>
          </w:tcPr>
          <w:p w14:paraId="76B5F1D3">
            <w:pPr>
              <w:pageBreakBefore w:val="0"/>
              <w:widowControl w:val="0"/>
              <w:kinsoku/>
              <w:wordWrap w:val="0"/>
              <w:overflowPunct/>
              <w:topLinePunct w:val="0"/>
              <w:autoSpaceDE/>
              <w:autoSpaceDN/>
              <w:bidi w:val="0"/>
              <w:snapToGrid w:val="0"/>
              <w:spacing w:line="240" w:lineRule="auto"/>
              <w:textAlignment w:val="auto"/>
              <w:rPr>
                <w:rFonts w:ascii="仿宋_GB2312" w:hAnsi="仿宋" w:eastAsia="仿宋_GB2312" w:cs="仿宋_GB2312"/>
                <w:sz w:val="24"/>
                <w:highlight w:val="none"/>
              </w:rPr>
            </w:pPr>
            <w:sdt>
              <w:sdtPr>
                <w:rPr>
                  <w:rFonts w:hint="eastAsia" w:ascii="仿宋_GB2312" w:hAnsi="仿宋" w:eastAsia="仿宋_GB2312" w:cs="Arial"/>
                  <w:kern w:val="0"/>
                  <w:sz w:val="24"/>
                  <w:highlight w:val="none"/>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ascii="仿宋_GB2312" w:hAnsi="仿宋" w:eastAsia="仿宋_GB2312" w:cs="Arial"/>
                <w:kern w:val="0"/>
                <w:sz w:val="24"/>
                <w:highlight w:val="none"/>
              </w:rPr>
              <w:t xml:space="preserve"> B</w:t>
            </w:r>
            <w:r>
              <w:rPr>
                <w:rFonts w:hint="eastAsia" w:ascii="仿宋_GB2312" w:hAnsi="仿宋" w:eastAsia="仿宋_GB2312"/>
                <w:sz w:val="24"/>
                <w:highlight w:val="none"/>
              </w:rPr>
              <w:t>不同意分包。</w:t>
            </w:r>
          </w:p>
        </w:tc>
      </w:tr>
      <w:tr w14:paraId="5DE0F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708" w:type="dxa"/>
            <w:vMerge w:val="restart"/>
            <w:tcBorders>
              <w:top w:val="single" w:color="auto" w:sz="4" w:space="0"/>
              <w:left w:val="single" w:color="auto" w:sz="4" w:space="0"/>
              <w:right w:val="single" w:color="auto" w:sz="4" w:space="0"/>
            </w:tcBorders>
            <w:vAlign w:val="center"/>
          </w:tcPr>
          <w:p w14:paraId="460231FD">
            <w:pPr>
              <w:pageBreakBefore w:val="0"/>
              <w:widowControl w:val="0"/>
              <w:kinsoku/>
              <w:wordWrap w:val="0"/>
              <w:overflowPunct/>
              <w:topLinePunct w:val="0"/>
              <w:autoSpaceDE/>
              <w:autoSpaceDN/>
              <w:bidi w:val="0"/>
              <w:snapToGrid w:val="0"/>
              <w:spacing w:line="240" w:lineRule="auto"/>
              <w:ind w:left="0" w:leftChars="0" w:right="0" w:rightChars="0" w:firstLine="0" w:firstLineChars="0"/>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3</w:t>
            </w:r>
          </w:p>
        </w:tc>
        <w:tc>
          <w:tcPr>
            <w:tcW w:w="2073" w:type="dxa"/>
            <w:vMerge w:val="restart"/>
            <w:tcBorders>
              <w:top w:val="single" w:color="000000" w:sz="8" w:space="0"/>
              <w:left w:val="single" w:color="auto" w:sz="4" w:space="0"/>
              <w:right w:val="single" w:color="000000" w:sz="8" w:space="0"/>
            </w:tcBorders>
            <w:vAlign w:val="center"/>
          </w:tcPr>
          <w:p w14:paraId="2E730AE0">
            <w:pPr>
              <w:pageBreakBefore w:val="0"/>
              <w:widowControl w:val="0"/>
              <w:kinsoku/>
              <w:wordWrap w:val="0"/>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投标人应当提供的资格、资信证明文件</w:t>
            </w:r>
          </w:p>
        </w:tc>
        <w:tc>
          <w:tcPr>
            <w:tcW w:w="6857" w:type="dxa"/>
            <w:tcBorders>
              <w:top w:val="single" w:color="000000" w:sz="8" w:space="0"/>
              <w:left w:val="single" w:color="000000" w:sz="2" w:space="0"/>
              <w:bottom w:val="single" w:color="auto" w:sz="4" w:space="0"/>
              <w:right w:val="single" w:color="000000" w:sz="8" w:space="0"/>
            </w:tcBorders>
            <w:vAlign w:val="center"/>
          </w:tcPr>
          <w:p w14:paraId="4F8D83F2">
            <w:pPr>
              <w:pageBreakBefore w:val="0"/>
              <w:widowControl w:val="0"/>
              <w:kinsoku/>
              <w:wordWrap w:val="0"/>
              <w:overflowPunct/>
              <w:topLinePunct w:val="0"/>
              <w:autoSpaceDE/>
              <w:autoSpaceDN/>
              <w:bidi w:val="0"/>
              <w:snapToGrid w:val="0"/>
              <w:spacing w:line="240" w:lineRule="auto"/>
              <w:textAlignment w:val="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1）资格证明文件：见招标文件第二部分11.1。</w:t>
            </w:r>
          </w:p>
          <w:p w14:paraId="1893950A">
            <w:pPr>
              <w:pageBreakBefore w:val="0"/>
              <w:widowControl w:val="0"/>
              <w:kinsoku/>
              <w:wordWrap w:val="0"/>
              <w:overflowPunct/>
              <w:topLinePunct w:val="0"/>
              <w:autoSpaceDE/>
              <w:autoSpaceDN/>
              <w:bidi w:val="0"/>
              <w:snapToGrid w:val="0"/>
              <w:spacing w:line="240" w:lineRule="auto"/>
              <w:textAlignment w:val="auto"/>
              <w:rPr>
                <w:rFonts w:ascii="Arial" w:hAnsi="Arial" w:eastAsia="黑体" w:cs="Arial"/>
                <w:snapToGrid w:val="0"/>
                <w:kern w:val="0"/>
                <w:szCs w:val="21"/>
                <w:highlight w:val="none"/>
              </w:rPr>
            </w:pPr>
            <w:r>
              <w:rPr>
                <w:rFonts w:hint="eastAsia" w:ascii="仿宋_GB2312" w:hAnsi="仿宋" w:eastAsia="仿宋_GB2312"/>
                <w:kern w:val="0"/>
                <w:sz w:val="24"/>
                <w:highlight w:val="none"/>
                <w:lang w:val="zh-CN"/>
              </w:rPr>
              <w:t>投标人未提供有效的资格证明文件的，视为投标人不具备招标文件中规定的资格要求，投标无效。</w:t>
            </w:r>
          </w:p>
        </w:tc>
      </w:tr>
      <w:tr w14:paraId="46EAE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708" w:type="dxa"/>
            <w:vMerge w:val="continue"/>
            <w:tcBorders>
              <w:left w:val="single" w:color="auto" w:sz="4" w:space="0"/>
              <w:bottom w:val="single" w:color="auto" w:sz="4" w:space="0"/>
              <w:right w:val="single" w:color="auto" w:sz="4" w:space="0"/>
            </w:tcBorders>
            <w:vAlign w:val="center"/>
          </w:tcPr>
          <w:p w14:paraId="72626F49">
            <w:pPr>
              <w:pageBreakBefore w:val="0"/>
              <w:widowControl w:val="0"/>
              <w:kinsoku/>
              <w:wordWrap w:val="0"/>
              <w:overflowPunct/>
              <w:topLinePunct w:val="0"/>
              <w:autoSpaceDE/>
              <w:autoSpaceDN/>
              <w:bidi w:val="0"/>
              <w:snapToGrid w:val="0"/>
              <w:spacing w:line="240" w:lineRule="auto"/>
              <w:ind w:left="0" w:leftChars="0" w:right="0" w:rightChars="0" w:firstLine="0" w:firstLineChars="0"/>
              <w:jc w:val="center"/>
              <w:textAlignment w:val="auto"/>
              <w:rPr>
                <w:rFonts w:ascii="仿宋_GB2312" w:hAnsi="仿宋" w:eastAsia="仿宋_GB2312" w:cs="仿宋_GB2312"/>
                <w:sz w:val="24"/>
                <w:highlight w:val="none"/>
              </w:rPr>
            </w:pPr>
          </w:p>
        </w:tc>
        <w:tc>
          <w:tcPr>
            <w:tcW w:w="2073" w:type="dxa"/>
            <w:vMerge w:val="continue"/>
            <w:tcBorders>
              <w:left w:val="single" w:color="auto" w:sz="4" w:space="0"/>
              <w:bottom w:val="single" w:color="000000" w:sz="8" w:space="0"/>
              <w:right w:val="single" w:color="000000" w:sz="8" w:space="0"/>
            </w:tcBorders>
            <w:vAlign w:val="center"/>
          </w:tcPr>
          <w:p w14:paraId="0FC1E795">
            <w:pPr>
              <w:pageBreakBefore w:val="0"/>
              <w:widowControl w:val="0"/>
              <w:kinsoku/>
              <w:wordWrap w:val="0"/>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p>
        </w:tc>
        <w:tc>
          <w:tcPr>
            <w:tcW w:w="6857" w:type="dxa"/>
            <w:tcBorders>
              <w:top w:val="single" w:color="auto" w:sz="4" w:space="0"/>
              <w:left w:val="single" w:color="000000" w:sz="2" w:space="0"/>
              <w:bottom w:val="single" w:color="000000" w:sz="8" w:space="0"/>
              <w:right w:val="single" w:color="000000" w:sz="8" w:space="0"/>
            </w:tcBorders>
            <w:vAlign w:val="center"/>
          </w:tcPr>
          <w:p w14:paraId="5E54F854">
            <w:pPr>
              <w:pageBreakBefore w:val="0"/>
              <w:widowControl w:val="0"/>
              <w:kinsoku/>
              <w:wordWrap w:val="0"/>
              <w:overflowPunct/>
              <w:topLinePunct w:val="0"/>
              <w:autoSpaceDE/>
              <w:autoSpaceDN/>
              <w:bidi w:val="0"/>
              <w:snapToGrid w:val="0"/>
              <w:spacing w:line="240" w:lineRule="auto"/>
              <w:textAlignment w:val="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2）资信证明文件：根据招标文件第四部分评标标准提供。</w:t>
            </w:r>
          </w:p>
        </w:tc>
      </w:tr>
      <w:tr w14:paraId="65E48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FA83080">
            <w:pPr>
              <w:pageBreakBefore w:val="0"/>
              <w:widowControl w:val="0"/>
              <w:kinsoku/>
              <w:wordWrap w:val="0"/>
              <w:overflowPunct/>
              <w:topLinePunct w:val="0"/>
              <w:autoSpaceDE/>
              <w:autoSpaceDN/>
              <w:bidi w:val="0"/>
              <w:snapToGrid w:val="0"/>
              <w:spacing w:line="240" w:lineRule="auto"/>
              <w:ind w:left="0" w:leftChars="0" w:right="0" w:rightChars="0" w:firstLine="0" w:firstLineChars="0"/>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4</w:t>
            </w:r>
          </w:p>
        </w:tc>
        <w:tc>
          <w:tcPr>
            <w:tcW w:w="2073" w:type="dxa"/>
            <w:tcBorders>
              <w:top w:val="single" w:color="000000" w:sz="8" w:space="0"/>
              <w:left w:val="single" w:color="auto" w:sz="4" w:space="0"/>
              <w:bottom w:val="single" w:color="000000" w:sz="8" w:space="0"/>
              <w:right w:val="single" w:color="000000" w:sz="8" w:space="0"/>
            </w:tcBorders>
            <w:vAlign w:val="center"/>
          </w:tcPr>
          <w:p w14:paraId="366335D6">
            <w:pPr>
              <w:pageBreakBefore w:val="0"/>
              <w:widowControl w:val="0"/>
              <w:kinsoku/>
              <w:wordWrap w:val="0"/>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开标前答疑会或现场考察</w:t>
            </w:r>
          </w:p>
        </w:tc>
        <w:tc>
          <w:tcPr>
            <w:tcW w:w="6857" w:type="dxa"/>
            <w:tcBorders>
              <w:top w:val="single" w:color="000000" w:sz="8" w:space="0"/>
              <w:left w:val="single" w:color="000000" w:sz="2" w:space="0"/>
              <w:bottom w:val="single" w:color="000000" w:sz="8" w:space="0"/>
              <w:right w:val="single" w:color="000000" w:sz="8" w:space="0"/>
            </w:tcBorders>
            <w:vAlign w:val="center"/>
          </w:tcPr>
          <w:p w14:paraId="6CE465B3">
            <w:pPr>
              <w:pageBreakBefore w:val="0"/>
              <w:widowControl w:val="0"/>
              <w:kinsoku/>
              <w:wordWrap w:val="0"/>
              <w:overflowPunct/>
              <w:topLinePunct w:val="0"/>
              <w:autoSpaceDE/>
              <w:autoSpaceDN/>
              <w:bidi w:val="0"/>
              <w:snapToGrid w:val="0"/>
              <w:spacing w:line="240" w:lineRule="auto"/>
              <w:textAlignment w:val="auto"/>
              <w:rPr>
                <w:rFonts w:ascii="仿宋_GB2312" w:hAnsi="仿宋" w:eastAsia="仿宋_GB2312"/>
                <w:sz w:val="24"/>
                <w:szCs w:val="20"/>
                <w:highlight w:val="none"/>
              </w:rPr>
            </w:pPr>
            <w:sdt>
              <w:sdtPr>
                <w:rPr>
                  <w:rFonts w:hint="eastAsia" w:ascii="仿宋_GB2312" w:hAnsi="仿宋" w:eastAsia="仿宋_GB2312" w:cs="Arial"/>
                  <w:kern w:val="0"/>
                  <w:sz w:val="24"/>
                  <w:highlight w:val="none"/>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tc>
      </w:tr>
      <w:tr w14:paraId="69B8A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57DA2E9">
            <w:pPr>
              <w:pageBreakBefore w:val="0"/>
              <w:widowControl w:val="0"/>
              <w:kinsoku/>
              <w:wordWrap w:val="0"/>
              <w:overflowPunct/>
              <w:topLinePunct w:val="0"/>
              <w:autoSpaceDE/>
              <w:autoSpaceDN/>
              <w:bidi w:val="0"/>
              <w:snapToGrid w:val="0"/>
              <w:spacing w:line="240" w:lineRule="auto"/>
              <w:ind w:left="0" w:leftChars="0" w:right="0" w:rightChars="0" w:firstLine="0" w:firstLineChars="0"/>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5</w:t>
            </w:r>
          </w:p>
        </w:tc>
        <w:tc>
          <w:tcPr>
            <w:tcW w:w="2073" w:type="dxa"/>
            <w:tcBorders>
              <w:top w:val="single" w:color="000000" w:sz="8" w:space="0"/>
              <w:left w:val="single" w:color="auto" w:sz="4" w:space="0"/>
              <w:bottom w:val="single" w:color="000000" w:sz="8" w:space="0"/>
              <w:right w:val="single" w:color="000000" w:sz="8" w:space="0"/>
            </w:tcBorders>
            <w:vAlign w:val="center"/>
          </w:tcPr>
          <w:p w14:paraId="5636E3A3">
            <w:pPr>
              <w:pageBreakBefore w:val="0"/>
              <w:widowControl w:val="0"/>
              <w:kinsoku/>
              <w:wordWrap w:val="0"/>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样品提供</w:t>
            </w:r>
          </w:p>
        </w:tc>
        <w:tc>
          <w:tcPr>
            <w:tcW w:w="6857" w:type="dxa"/>
            <w:tcBorders>
              <w:top w:val="single" w:color="000000" w:sz="8" w:space="0"/>
              <w:left w:val="single" w:color="000000" w:sz="2" w:space="0"/>
              <w:bottom w:val="single" w:color="000000" w:sz="8" w:space="0"/>
              <w:right w:val="single" w:color="000000" w:sz="8" w:space="0"/>
            </w:tcBorders>
            <w:vAlign w:val="center"/>
          </w:tcPr>
          <w:p w14:paraId="1D81DC9A">
            <w:pPr>
              <w:pageBreakBefore w:val="0"/>
              <w:widowControl w:val="0"/>
              <w:kinsoku/>
              <w:wordWrap w:val="0"/>
              <w:overflowPunct/>
              <w:topLinePunct w:val="0"/>
              <w:autoSpaceDE/>
              <w:autoSpaceDN/>
              <w:bidi w:val="0"/>
              <w:snapToGrid w:val="0"/>
              <w:spacing w:line="240" w:lineRule="auto"/>
              <w:textAlignment w:val="auto"/>
              <w:rPr>
                <w:rFonts w:ascii="仿宋_GB2312" w:hAnsi="仿宋" w:eastAsia="仿宋_GB2312"/>
                <w:b/>
                <w:sz w:val="24"/>
                <w:highlight w:val="none"/>
              </w:rPr>
            </w:pPr>
            <w:sdt>
              <w:sdtPr>
                <w:rPr>
                  <w:rFonts w:hint="eastAsia" w:ascii="仿宋_GB2312" w:hAnsi="仿宋" w:eastAsia="仿宋_GB2312" w:cs="Arial"/>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不要求提供。</w:t>
            </w:r>
          </w:p>
        </w:tc>
      </w:tr>
      <w:tr w14:paraId="3CF45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708" w:type="dxa"/>
            <w:tcBorders>
              <w:top w:val="single" w:color="auto" w:sz="4" w:space="0"/>
              <w:left w:val="single" w:color="000000" w:sz="8" w:space="0"/>
              <w:bottom w:val="single" w:color="auto" w:sz="4" w:space="0"/>
              <w:right w:val="single" w:color="000000" w:sz="2" w:space="0"/>
            </w:tcBorders>
            <w:vAlign w:val="center"/>
          </w:tcPr>
          <w:p w14:paraId="3EF5066F">
            <w:pPr>
              <w:pageBreakBefore w:val="0"/>
              <w:widowControl w:val="0"/>
              <w:kinsoku/>
              <w:wordWrap w:val="0"/>
              <w:overflowPunct/>
              <w:topLinePunct w:val="0"/>
              <w:autoSpaceDE/>
              <w:autoSpaceDN/>
              <w:bidi w:val="0"/>
              <w:snapToGrid w:val="0"/>
              <w:spacing w:line="240" w:lineRule="auto"/>
              <w:ind w:left="0" w:leftChars="0" w:right="0" w:rightChars="0" w:firstLine="0" w:firstLineChars="0"/>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6</w:t>
            </w:r>
          </w:p>
        </w:tc>
        <w:tc>
          <w:tcPr>
            <w:tcW w:w="2073" w:type="dxa"/>
            <w:tcBorders>
              <w:top w:val="single" w:color="000000" w:sz="8" w:space="0"/>
              <w:left w:val="single" w:color="000000" w:sz="2" w:space="0"/>
              <w:bottom w:val="single" w:color="000000" w:sz="8" w:space="0"/>
              <w:right w:val="single" w:color="000000" w:sz="8" w:space="0"/>
            </w:tcBorders>
            <w:vAlign w:val="center"/>
          </w:tcPr>
          <w:p w14:paraId="5213CC4B">
            <w:pPr>
              <w:pageBreakBefore w:val="0"/>
              <w:widowControl w:val="0"/>
              <w:kinsoku/>
              <w:wordWrap w:val="0"/>
              <w:overflowPunct/>
              <w:topLinePunct w:val="0"/>
              <w:autoSpaceDE/>
              <w:autoSpaceDN/>
              <w:bidi w:val="0"/>
              <w:snapToGrid w:val="0"/>
              <w:spacing w:line="240" w:lineRule="auto"/>
              <w:jc w:val="center"/>
              <w:textAlignment w:val="auto"/>
              <w:rPr>
                <w:rFonts w:ascii="仿宋_GB2312" w:hAnsi="仿宋" w:eastAsia="仿宋_GB2312" w:cs="仿宋_GB2312"/>
                <w:bCs/>
                <w:sz w:val="24"/>
                <w:highlight w:val="none"/>
              </w:rPr>
            </w:pPr>
            <w:r>
              <w:rPr>
                <w:rFonts w:hint="eastAsia" w:ascii="仿宋_GB2312" w:hAnsi="仿宋" w:eastAsia="仿宋_GB2312" w:cs="仿宋_GB2312"/>
                <w:b/>
                <w:sz w:val="24"/>
                <w:highlight w:val="none"/>
              </w:rPr>
              <w:t>方案讲解演示</w:t>
            </w:r>
          </w:p>
        </w:tc>
        <w:tc>
          <w:tcPr>
            <w:tcW w:w="6857" w:type="dxa"/>
            <w:tcBorders>
              <w:top w:val="single" w:color="000000" w:sz="8" w:space="0"/>
              <w:left w:val="single" w:color="000000" w:sz="2" w:space="0"/>
              <w:bottom w:val="single" w:color="000000" w:sz="8" w:space="0"/>
              <w:right w:val="single" w:color="000000" w:sz="8" w:space="0"/>
            </w:tcBorders>
            <w:vAlign w:val="center"/>
          </w:tcPr>
          <w:p w14:paraId="103C828D">
            <w:pPr>
              <w:pageBreakBefore w:val="0"/>
              <w:widowControl w:val="0"/>
              <w:kinsoku/>
              <w:wordWrap w:val="0"/>
              <w:overflowPunct/>
              <w:topLinePunct w:val="0"/>
              <w:autoSpaceDE/>
              <w:autoSpaceDN/>
              <w:bidi w:val="0"/>
              <w:snapToGrid w:val="0"/>
              <w:spacing w:line="240" w:lineRule="auto"/>
              <w:textAlignment w:val="auto"/>
              <w:rPr>
                <w:rFonts w:ascii="仿宋_GB2312" w:hAnsi="仿宋" w:eastAsia="仿宋_GB2312" w:cs="仿宋_GB2312"/>
                <w:b/>
                <w:kern w:val="0"/>
                <w:sz w:val="24"/>
                <w:highlight w:val="none"/>
                <w:lang w:val="zh-CN"/>
              </w:rPr>
            </w:pPr>
            <w:sdt>
              <w:sdtPr>
                <w:rPr>
                  <w:rFonts w:hint="eastAsia" w:ascii="仿宋_GB2312" w:hAnsi="仿宋" w:eastAsia="仿宋_GB2312" w:cs="Arial"/>
                  <w:kern w:val="0"/>
                  <w:sz w:val="24"/>
                  <w:highlight w:val="none"/>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highlight w:val="none"/>
                  </w:rPr>
                  <w:t></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tc>
      </w:tr>
      <w:tr w14:paraId="36A6A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708" w:type="dxa"/>
            <w:tcBorders>
              <w:top w:val="single" w:color="auto" w:sz="4" w:space="0"/>
              <w:left w:val="single" w:color="000000" w:sz="8" w:space="0"/>
              <w:bottom w:val="single" w:color="auto" w:sz="4" w:space="0"/>
              <w:right w:val="single" w:color="000000" w:sz="2" w:space="0"/>
            </w:tcBorders>
            <w:vAlign w:val="center"/>
          </w:tcPr>
          <w:p w14:paraId="0B7D6611">
            <w:pPr>
              <w:pageBreakBefore w:val="0"/>
              <w:widowControl w:val="0"/>
              <w:kinsoku/>
              <w:wordWrap w:val="0"/>
              <w:overflowPunct/>
              <w:topLinePunct w:val="0"/>
              <w:autoSpaceDE/>
              <w:autoSpaceDN/>
              <w:bidi w:val="0"/>
              <w:snapToGrid w:val="0"/>
              <w:spacing w:line="240" w:lineRule="auto"/>
              <w:ind w:left="0" w:leftChars="0" w:right="0" w:rightChars="0" w:firstLine="0" w:firstLineChars="0"/>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7</w:t>
            </w:r>
          </w:p>
        </w:tc>
        <w:tc>
          <w:tcPr>
            <w:tcW w:w="2073" w:type="dxa"/>
            <w:tcBorders>
              <w:top w:val="single" w:color="000000" w:sz="8" w:space="0"/>
              <w:left w:val="single" w:color="000000" w:sz="2" w:space="0"/>
              <w:bottom w:val="single" w:color="000000" w:sz="8" w:space="0"/>
              <w:right w:val="single" w:color="000000" w:sz="8" w:space="0"/>
            </w:tcBorders>
            <w:vAlign w:val="center"/>
          </w:tcPr>
          <w:p w14:paraId="66688E06">
            <w:pPr>
              <w:pageBreakBefore w:val="0"/>
              <w:widowControl w:val="0"/>
              <w:kinsoku/>
              <w:wordWrap w:val="0"/>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是否允许采购进口产品</w:t>
            </w:r>
          </w:p>
        </w:tc>
        <w:tc>
          <w:tcPr>
            <w:tcW w:w="6857" w:type="dxa"/>
            <w:tcBorders>
              <w:top w:val="single" w:color="000000" w:sz="8" w:space="0"/>
              <w:left w:val="single" w:color="000000" w:sz="2" w:space="0"/>
              <w:bottom w:val="single" w:color="000000" w:sz="8" w:space="0"/>
              <w:right w:val="single" w:color="000000" w:sz="8" w:space="0"/>
            </w:tcBorders>
            <w:vAlign w:val="center"/>
          </w:tcPr>
          <w:p w14:paraId="1B7C8032">
            <w:pPr>
              <w:pageBreakBefore w:val="0"/>
              <w:widowControl w:val="0"/>
              <w:kinsoku/>
              <w:wordWrap w:val="0"/>
              <w:overflowPunct/>
              <w:topLinePunct w:val="0"/>
              <w:autoSpaceDE/>
              <w:autoSpaceDN/>
              <w:bidi w:val="0"/>
              <w:snapToGrid w:val="0"/>
              <w:spacing w:line="240" w:lineRule="auto"/>
              <w:textAlignment w:val="auto"/>
              <w:rPr>
                <w:highlight w:val="none"/>
              </w:rPr>
            </w:pPr>
            <w:sdt>
              <w:sdtPr>
                <w:rPr>
                  <w:rFonts w:hint="eastAsia" w:ascii="仿宋_GB2312" w:hAnsi="仿宋" w:eastAsia="仿宋_GB2312" w:cs="Arial"/>
                  <w:kern w:val="0"/>
                  <w:sz w:val="24"/>
                  <w:highlight w:val="none"/>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hint="eastAsia" w:ascii="仿宋_GB2312" w:hAnsi="仿宋" w:eastAsia="仿宋_GB2312" w:cs="Arial"/>
                <w:kern w:val="0"/>
                <w:sz w:val="24"/>
                <w:highlight w:val="none"/>
              </w:rPr>
              <w:t>本项目不允许采购进口产品。</w:t>
            </w:r>
          </w:p>
        </w:tc>
      </w:tr>
      <w:tr w14:paraId="03B21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708" w:type="dxa"/>
            <w:tcBorders>
              <w:top w:val="single" w:color="auto" w:sz="4" w:space="0"/>
              <w:left w:val="single" w:color="000000" w:sz="8" w:space="0"/>
              <w:bottom w:val="single" w:color="auto" w:sz="4" w:space="0"/>
              <w:right w:val="single" w:color="000000" w:sz="2" w:space="0"/>
            </w:tcBorders>
            <w:vAlign w:val="center"/>
          </w:tcPr>
          <w:p w14:paraId="5648613C">
            <w:pPr>
              <w:pageBreakBefore w:val="0"/>
              <w:widowControl w:val="0"/>
              <w:kinsoku/>
              <w:wordWrap w:val="0"/>
              <w:overflowPunct/>
              <w:topLinePunct w:val="0"/>
              <w:autoSpaceDE/>
              <w:autoSpaceDN/>
              <w:bidi w:val="0"/>
              <w:snapToGrid w:val="0"/>
              <w:spacing w:line="240" w:lineRule="auto"/>
              <w:ind w:left="0" w:leftChars="0" w:right="0" w:rightChars="0" w:firstLine="0" w:firstLineChars="0"/>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8</w:t>
            </w:r>
          </w:p>
        </w:tc>
        <w:tc>
          <w:tcPr>
            <w:tcW w:w="2073" w:type="dxa"/>
            <w:tcBorders>
              <w:top w:val="single" w:color="000000" w:sz="8" w:space="0"/>
              <w:left w:val="single" w:color="000000" w:sz="2" w:space="0"/>
              <w:bottom w:val="single" w:color="000000" w:sz="8" w:space="0"/>
              <w:right w:val="single" w:color="000000" w:sz="8" w:space="0"/>
            </w:tcBorders>
            <w:vAlign w:val="center"/>
          </w:tcPr>
          <w:p w14:paraId="6FD05BCA">
            <w:pPr>
              <w:pageBreakBefore w:val="0"/>
              <w:widowControl w:val="0"/>
              <w:kinsoku/>
              <w:wordWrap w:val="0"/>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项目属性与核心产品</w:t>
            </w:r>
          </w:p>
        </w:tc>
        <w:tc>
          <w:tcPr>
            <w:tcW w:w="6857" w:type="dxa"/>
            <w:tcBorders>
              <w:top w:val="single" w:color="000000" w:sz="8" w:space="0"/>
              <w:left w:val="single" w:color="000000" w:sz="2" w:space="0"/>
              <w:bottom w:val="single" w:color="000000" w:sz="8" w:space="0"/>
              <w:right w:val="single" w:color="000000" w:sz="8" w:space="0"/>
            </w:tcBorders>
            <w:vAlign w:val="center"/>
          </w:tcPr>
          <w:p w14:paraId="72BD1CD0">
            <w:pPr>
              <w:pageBreakBefore w:val="0"/>
              <w:widowControl w:val="0"/>
              <w:kinsoku/>
              <w:wordWrap w:val="0"/>
              <w:overflowPunct/>
              <w:topLinePunct w:val="0"/>
              <w:autoSpaceDE/>
              <w:autoSpaceDN/>
              <w:bidi w:val="0"/>
              <w:snapToGrid w:val="0"/>
              <w:spacing w:line="240" w:lineRule="auto"/>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szCs w:val="24"/>
                    <w:highlight w:val="none"/>
                    <w:lang w:val="en-US" w:eastAsia="zh-CN" w:bidi="ar-SA"/>
                  </w:rPr>
                  <w:t>þ</w:t>
                </w:r>
              </w:sdtContent>
            </w:sdt>
            <w:r>
              <w:rPr>
                <w:rFonts w:ascii="仿宋_GB2312" w:hAnsi="仿宋" w:eastAsia="仿宋_GB2312" w:cs="Arial"/>
                <w:kern w:val="0"/>
                <w:sz w:val="24"/>
                <w:highlight w:val="none"/>
              </w:rPr>
              <w:t>B</w:t>
            </w:r>
            <w:r>
              <w:rPr>
                <w:rFonts w:hint="eastAsia" w:ascii="仿宋_GB2312" w:hAnsi="仿宋" w:eastAsia="仿宋_GB2312"/>
                <w:sz w:val="24"/>
                <w:highlight w:val="none"/>
              </w:rPr>
              <w:t>服务类。</w:t>
            </w:r>
          </w:p>
        </w:tc>
      </w:tr>
      <w:tr w14:paraId="09164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708" w:type="dxa"/>
            <w:tcBorders>
              <w:top w:val="single" w:color="auto" w:sz="4" w:space="0"/>
              <w:left w:val="single" w:color="000000" w:sz="8" w:space="0"/>
              <w:bottom w:val="single" w:color="auto" w:sz="4" w:space="0"/>
              <w:right w:val="single" w:color="000000" w:sz="2" w:space="0"/>
            </w:tcBorders>
            <w:vAlign w:val="center"/>
          </w:tcPr>
          <w:p w14:paraId="2668FC52">
            <w:pPr>
              <w:pageBreakBefore w:val="0"/>
              <w:widowControl w:val="0"/>
              <w:kinsoku/>
              <w:wordWrap w:val="0"/>
              <w:overflowPunct/>
              <w:topLinePunct w:val="0"/>
              <w:autoSpaceDE/>
              <w:autoSpaceDN/>
              <w:bidi w:val="0"/>
              <w:snapToGrid w:val="0"/>
              <w:spacing w:line="240" w:lineRule="auto"/>
              <w:ind w:left="0" w:leftChars="0" w:right="0" w:rightChars="0" w:firstLine="0" w:firstLineChars="0"/>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9</w:t>
            </w:r>
          </w:p>
        </w:tc>
        <w:tc>
          <w:tcPr>
            <w:tcW w:w="2073" w:type="dxa"/>
            <w:tcBorders>
              <w:top w:val="single" w:color="000000" w:sz="8" w:space="0"/>
              <w:left w:val="single" w:color="000000" w:sz="2" w:space="0"/>
              <w:bottom w:val="single" w:color="000000" w:sz="8" w:space="0"/>
              <w:right w:val="single" w:color="000000" w:sz="8" w:space="0"/>
            </w:tcBorders>
            <w:vAlign w:val="center"/>
          </w:tcPr>
          <w:p w14:paraId="61E6E53F">
            <w:pPr>
              <w:pageBreakBefore w:val="0"/>
              <w:widowControl w:val="0"/>
              <w:kinsoku/>
              <w:wordWrap w:val="0"/>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采购标的对应的中小企业划分标准所属行业</w:t>
            </w:r>
          </w:p>
        </w:tc>
        <w:tc>
          <w:tcPr>
            <w:tcW w:w="6857" w:type="dxa"/>
            <w:tcBorders>
              <w:top w:val="single" w:color="000000" w:sz="8" w:space="0"/>
              <w:left w:val="single" w:color="000000" w:sz="2" w:space="0"/>
              <w:bottom w:val="single" w:color="000000" w:sz="8" w:space="0"/>
              <w:right w:val="single" w:color="000000" w:sz="8" w:space="0"/>
            </w:tcBorders>
            <w:vAlign w:val="center"/>
          </w:tcPr>
          <w:p w14:paraId="13B8A8AE">
            <w:pPr>
              <w:pStyle w:val="4"/>
              <w:pageBreakBefore w:val="0"/>
              <w:widowControl w:val="0"/>
              <w:kinsoku/>
              <w:wordWrap w:val="0"/>
              <w:overflowPunct/>
              <w:topLinePunct w:val="0"/>
              <w:autoSpaceDE/>
              <w:autoSpaceDN/>
              <w:bidi w:val="0"/>
              <w:snapToGrid w:val="0"/>
              <w:spacing w:line="240" w:lineRule="auto"/>
              <w:textAlignment w:val="auto"/>
              <w:rPr>
                <w:rFonts w:hint="eastAsia" w:ascii="仿宋_GB2312" w:hAnsi="仿宋" w:eastAsia="仿宋_GB2312" w:cs="Arial"/>
                <w:b w:val="0"/>
                <w:bCs w:val="0"/>
                <w:kern w:val="0"/>
                <w:sz w:val="24"/>
                <w:szCs w:val="24"/>
                <w:highlight w:val="none"/>
                <w:lang w:val="en-US" w:eastAsia="zh-CN" w:bidi="ar-SA"/>
              </w:rPr>
            </w:pPr>
            <w:r>
              <w:rPr>
                <w:rFonts w:hint="eastAsia" w:ascii="仿宋_GB2312" w:hAnsi="仿宋" w:eastAsia="仿宋_GB2312" w:cs="Arial"/>
                <w:b w:val="0"/>
                <w:bCs w:val="0"/>
                <w:kern w:val="0"/>
                <w:sz w:val="24"/>
                <w:szCs w:val="24"/>
                <w:highlight w:val="none"/>
                <w:lang w:val="en-US" w:eastAsia="zh-CN" w:bidi="ar-SA"/>
              </w:rPr>
              <w:t>（1）标的：灌缝、路面砂浆修复项目，属于其他未列明行业。</w:t>
            </w:r>
          </w:p>
        </w:tc>
      </w:tr>
      <w:tr w14:paraId="68B3A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708" w:type="dxa"/>
            <w:tcBorders>
              <w:top w:val="single" w:color="auto" w:sz="4" w:space="0"/>
              <w:left w:val="single" w:color="000000" w:sz="8" w:space="0"/>
              <w:bottom w:val="single" w:color="auto" w:sz="4" w:space="0"/>
              <w:right w:val="single" w:color="000000" w:sz="2" w:space="0"/>
            </w:tcBorders>
            <w:vAlign w:val="center"/>
          </w:tcPr>
          <w:p w14:paraId="191C59B8">
            <w:pPr>
              <w:pageBreakBefore w:val="0"/>
              <w:widowControl w:val="0"/>
              <w:kinsoku/>
              <w:wordWrap w:val="0"/>
              <w:overflowPunct/>
              <w:topLinePunct w:val="0"/>
              <w:autoSpaceDE/>
              <w:autoSpaceDN/>
              <w:bidi w:val="0"/>
              <w:snapToGrid w:val="0"/>
              <w:spacing w:line="240" w:lineRule="auto"/>
              <w:ind w:left="0" w:leftChars="0" w:right="0" w:rightChars="0" w:firstLine="0" w:firstLineChars="0"/>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10</w:t>
            </w:r>
          </w:p>
        </w:tc>
        <w:tc>
          <w:tcPr>
            <w:tcW w:w="2073" w:type="dxa"/>
            <w:tcBorders>
              <w:top w:val="single" w:color="000000" w:sz="8" w:space="0"/>
              <w:left w:val="single" w:color="000000" w:sz="2" w:space="0"/>
              <w:bottom w:val="single" w:color="000000" w:sz="8" w:space="0"/>
              <w:right w:val="single" w:color="000000" w:sz="8" w:space="0"/>
            </w:tcBorders>
            <w:vAlign w:val="center"/>
          </w:tcPr>
          <w:p w14:paraId="0C3C4A33">
            <w:pPr>
              <w:pageBreakBefore w:val="0"/>
              <w:widowControl w:val="0"/>
              <w:kinsoku/>
              <w:wordWrap w:val="0"/>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节能产品、环境标志产品</w:t>
            </w:r>
          </w:p>
        </w:tc>
        <w:tc>
          <w:tcPr>
            <w:tcW w:w="6857" w:type="dxa"/>
            <w:tcBorders>
              <w:top w:val="single" w:color="000000" w:sz="8" w:space="0"/>
              <w:left w:val="single" w:color="000000" w:sz="2" w:space="0"/>
              <w:bottom w:val="single" w:color="000000" w:sz="8" w:space="0"/>
              <w:right w:val="single" w:color="000000" w:sz="8" w:space="0"/>
            </w:tcBorders>
            <w:vAlign w:val="center"/>
          </w:tcPr>
          <w:p w14:paraId="2212D55C">
            <w:pPr>
              <w:pageBreakBefore w:val="0"/>
              <w:widowControl w:val="0"/>
              <w:kinsoku/>
              <w:wordWrap w:val="0"/>
              <w:overflowPunct/>
              <w:topLinePunct w:val="0"/>
              <w:autoSpaceDE/>
              <w:autoSpaceDN/>
              <w:bidi w:val="0"/>
              <w:snapToGrid w:val="0"/>
              <w:spacing w:line="240" w:lineRule="auto"/>
              <w:textAlignment w:val="auto"/>
              <w:rPr>
                <w:rFonts w:hint="eastAsia" w:ascii="仿宋_GB2312" w:hAnsi="仿宋" w:eastAsia="仿宋_GB2312" w:cs="Arial"/>
                <w:kern w:val="0"/>
                <w:sz w:val="24"/>
                <w:highlight w:val="none"/>
              </w:rPr>
            </w:pPr>
            <w:r>
              <w:rPr>
                <w:rFonts w:hint="eastAsia" w:ascii="仿宋_GB2312" w:hAnsi="仿宋" w:eastAsia="仿宋_GB2312" w:cs="Arial"/>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2F04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708" w:type="dxa"/>
            <w:vMerge w:val="restart"/>
            <w:tcBorders>
              <w:top w:val="single" w:color="auto" w:sz="4" w:space="0"/>
              <w:left w:val="single" w:color="000000" w:sz="8" w:space="0"/>
              <w:right w:val="single" w:color="000000" w:sz="2" w:space="0"/>
            </w:tcBorders>
            <w:vAlign w:val="center"/>
          </w:tcPr>
          <w:p w14:paraId="76E58B96">
            <w:pPr>
              <w:pageBreakBefore w:val="0"/>
              <w:widowControl w:val="0"/>
              <w:kinsoku/>
              <w:wordWrap w:val="0"/>
              <w:overflowPunct/>
              <w:topLinePunct w:val="0"/>
              <w:autoSpaceDE/>
              <w:autoSpaceDN/>
              <w:bidi w:val="0"/>
              <w:snapToGrid w:val="0"/>
              <w:spacing w:line="240" w:lineRule="auto"/>
              <w:ind w:left="0" w:leftChars="0" w:right="0" w:rightChars="0" w:firstLine="0" w:firstLineChars="0"/>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11</w:t>
            </w:r>
          </w:p>
        </w:tc>
        <w:tc>
          <w:tcPr>
            <w:tcW w:w="2073" w:type="dxa"/>
            <w:vMerge w:val="restart"/>
            <w:tcBorders>
              <w:top w:val="single" w:color="000000" w:sz="8" w:space="0"/>
              <w:left w:val="single" w:color="000000" w:sz="2" w:space="0"/>
              <w:right w:val="single" w:color="000000" w:sz="8" w:space="0"/>
            </w:tcBorders>
            <w:vAlign w:val="center"/>
          </w:tcPr>
          <w:p w14:paraId="6D82A892">
            <w:pPr>
              <w:pageBreakBefore w:val="0"/>
              <w:widowControl w:val="0"/>
              <w:kinsoku/>
              <w:wordWrap w:val="0"/>
              <w:overflowPunct/>
              <w:topLinePunct w:val="0"/>
              <w:autoSpaceDE/>
              <w:autoSpaceDN/>
              <w:bidi w:val="0"/>
              <w:snapToGrid w:val="0"/>
              <w:spacing w:line="240" w:lineRule="auto"/>
              <w:jc w:val="center"/>
              <w:textAlignment w:val="auto"/>
              <w:rPr>
                <w:rFonts w:hint="eastAsia" w:ascii="仿宋_GB2312" w:hAnsi="仿宋" w:eastAsia="仿宋_GB2312" w:cs="仿宋_GB2312"/>
                <w:b/>
                <w:sz w:val="24"/>
                <w:highlight w:val="none"/>
                <w:lang w:eastAsia="zh-CN"/>
              </w:rPr>
            </w:pPr>
            <w:r>
              <w:rPr>
                <w:rFonts w:hint="eastAsia" w:ascii="仿宋_GB2312" w:hAnsi="仿宋" w:eastAsia="仿宋_GB2312" w:cs="仿宋_GB2312"/>
                <w:b/>
                <w:sz w:val="24"/>
                <w:highlight w:val="none"/>
                <w:lang w:eastAsia="zh-CN"/>
              </w:rPr>
              <w:t>政采金融服务</w:t>
            </w:r>
          </w:p>
        </w:tc>
        <w:tc>
          <w:tcPr>
            <w:tcW w:w="6857" w:type="dxa"/>
            <w:tcBorders>
              <w:top w:val="single" w:color="000000" w:sz="8" w:space="0"/>
              <w:left w:val="single" w:color="000000" w:sz="2" w:space="0"/>
              <w:bottom w:val="single" w:color="000000" w:sz="8" w:space="0"/>
              <w:right w:val="single" w:color="000000" w:sz="8" w:space="0"/>
            </w:tcBorders>
            <w:vAlign w:val="center"/>
          </w:tcPr>
          <w:p w14:paraId="331320B7">
            <w:pPr>
              <w:pageBreakBefore w:val="0"/>
              <w:widowControl w:val="0"/>
              <w:kinsoku/>
              <w:wordWrap w:val="0"/>
              <w:overflowPunct/>
              <w:topLinePunct w:val="0"/>
              <w:autoSpaceDE/>
              <w:autoSpaceDN/>
              <w:bidi w:val="0"/>
              <w:snapToGrid w:val="0"/>
              <w:spacing w:line="240" w:lineRule="auto"/>
              <w:textAlignment w:val="auto"/>
              <w:rPr>
                <w:rFonts w:hint="eastAsia" w:ascii="仿宋_GB2312" w:hAnsi="仿宋" w:eastAsia="仿宋_GB2312"/>
                <w:sz w:val="24"/>
                <w:highlight w:val="none"/>
                <w:lang w:eastAsia="zh-CN"/>
              </w:rPr>
            </w:pPr>
            <w:r>
              <w:rPr>
                <w:rFonts w:hint="eastAsia" w:ascii="仿宋_GB2312" w:hAnsi="仿宋" w:eastAsia="仿宋_GB2312"/>
                <w:sz w:val="24"/>
                <w:highlight w:val="none"/>
                <w:lang w:eastAsia="zh-CN"/>
              </w:rPr>
              <w:t>“政采云”平台目前为供应商提供政采贷、履约保函、预付款保函等相关金融服务，相关服务介绍见以下链接：https://jinrong.zcygov.cn/finance-service/#/home</w:t>
            </w:r>
          </w:p>
        </w:tc>
      </w:tr>
      <w:tr w14:paraId="43AFF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708" w:type="dxa"/>
            <w:vMerge w:val="continue"/>
            <w:tcBorders>
              <w:left w:val="single" w:color="000000" w:sz="8" w:space="0"/>
              <w:right w:val="single" w:color="000000" w:sz="2" w:space="0"/>
            </w:tcBorders>
            <w:vAlign w:val="center"/>
          </w:tcPr>
          <w:p w14:paraId="072293DA">
            <w:pPr>
              <w:pageBreakBefore w:val="0"/>
              <w:widowControl w:val="0"/>
              <w:kinsoku/>
              <w:wordWrap w:val="0"/>
              <w:overflowPunct/>
              <w:topLinePunct w:val="0"/>
              <w:autoSpaceDE/>
              <w:autoSpaceDN/>
              <w:bidi w:val="0"/>
              <w:snapToGrid w:val="0"/>
              <w:spacing w:line="240" w:lineRule="auto"/>
              <w:ind w:left="0" w:leftChars="0" w:right="0" w:rightChars="0" w:firstLine="0" w:firstLineChars="0"/>
              <w:jc w:val="center"/>
              <w:textAlignment w:val="auto"/>
              <w:rPr>
                <w:highlight w:val="none"/>
              </w:rPr>
            </w:pPr>
          </w:p>
        </w:tc>
        <w:tc>
          <w:tcPr>
            <w:tcW w:w="2073" w:type="dxa"/>
            <w:vMerge w:val="continue"/>
            <w:tcBorders>
              <w:left w:val="single" w:color="000000" w:sz="2" w:space="0"/>
              <w:right w:val="single" w:color="000000" w:sz="8" w:space="0"/>
            </w:tcBorders>
            <w:vAlign w:val="center"/>
          </w:tcPr>
          <w:p w14:paraId="5EE97E3A">
            <w:pPr>
              <w:pageBreakBefore w:val="0"/>
              <w:widowControl w:val="0"/>
              <w:kinsoku/>
              <w:wordWrap w:val="0"/>
              <w:overflowPunct/>
              <w:topLinePunct w:val="0"/>
              <w:autoSpaceDE/>
              <w:autoSpaceDN/>
              <w:bidi w:val="0"/>
              <w:snapToGrid w:val="0"/>
              <w:spacing w:line="240" w:lineRule="auto"/>
              <w:ind w:firstLine="420" w:firstLineChars="200"/>
              <w:textAlignment w:val="auto"/>
              <w:rPr>
                <w:highlight w:val="none"/>
              </w:rPr>
            </w:pPr>
          </w:p>
        </w:tc>
        <w:tc>
          <w:tcPr>
            <w:tcW w:w="6857" w:type="dxa"/>
            <w:tcBorders>
              <w:top w:val="single" w:color="000000" w:sz="8" w:space="0"/>
              <w:left w:val="single" w:color="000000" w:sz="2" w:space="0"/>
              <w:bottom w:val="single" w:color="000000" w:sz="8" w:space="0"/>
              <w:right w:val="single" w:color="000000" w:sz="8" w:space="0"/>
            </w:tcBorders>
            <w:vAlign w:val="center"/>
          </w:tcPr>
          <w:p w14:paraId="7A0917C2">
            <w:pPr>
              <w:pageBreakBefore w:val="0"/>
              <w:widowControl w:val="0"/>
              <w:kinsoku/>
              <w:wordWrap w:val="0"/>
              <w:overflowPunct/>
              <w:topLinePunct w:val="0"/>
              <w:autoSpaceDE/>
              <w:autoSpaceDN/>
              <w:bidi w:val="0"/>
              <w:snapToGrid w:val="0"/>
              <w:spacing w:line="240" w:lineRule="auto"/>
              <w:textAlignment w:val="auto"/>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DBDF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708" w:type="dxa"/>
            <w:tcBorders>
              <w:top w:val="single" w:color="auto" w:sz="4" w:space="0"/>
              <w:left w:val="single" w:color="000000" w:sz="8" w:space="0"/>
              <w:bottom w:val="single" w:color="auto" w:sz="4" w:space="0"/>
              <w:right w:val="single" w:color="000000" w:sz="2" w:space="0"/>
            </w:tcBorders>
            <w:vAlign w:val="center"/>
          </w:tcPr>
          <w:p w14:paraId="2A25EAF5">
            <w:pPr>
              <w:pageBreakBefore w:val="0"/>
              <w:widowControl w:val="0"/>
              <w:kinsoku/>
              <w:wordWrap w:val="0"/>
              <w:overflowPunct/>
              <w:topLinePunct w:val="0"/>
              <w:autoSpaceDE/>
              <w:autoSpaceDN/>
              <w:bidi w:val="0"/>
              <w:snapToGrid w:val="0"/>
              <w:spacing w:line="240" w:lineRule="auto"/>
              <w:ind w:left="0" w:leftChars="0" w:right="0" w:rightChars="0" w:firstLine="0" w:firstLineChars="0"/>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12</w:t>
            </w:r>
          </w:p>
        </w:tc>
        <w:tc>
          <w:tcPr>
            <w:tcW w:w="2073" w:type="dxa"/>
            <w:tcBorders>
              <w:top w:val="single" w:color="000000" w:sz="8" w:space="0"/>
              <w:left w:val="single" w:color="000000" w:sz="2" w:space="0"/>
              <w:bottom w:val="single" w:color="000000" w:sz="8" w:space="0"/>
              <w:right w:val="single" w:color="000000" w:sz="8" w:space="0"/>
            </w:tcBorders>
            <w:vAlign w:val="center"/>
          </w:tcPr>
          <w:p w14:paraId="5D9671BB">
            <w:pPr>
              <w:pageBreakBefore w:val="0"/>
              <w:widowControl w:val="0"/>
              <w:kinsoku/>
              <w:wordWrap w:val="0"/>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备份投标文件送达地点和签收人员</w:t>
            </w:r>
            <w:r>
              <w:rPr>
                <w:rFonts w:ascii="仿宋_GB2312" w:hAnsi="仿宋" w:eastAsia="仿宋_GB2312" w:cs="仿宋_GB2312"/>
                <w:b/>
                <w:sz w:val="24"/>
                <w:highlight w:val="none"/>
              </w:rPr>
              <w:t xml:space="preserve"> </w:t>
            </w:r>
          </w:p>
        </w:tc>
        <w:tc>
          <w:tcPr>
            <w:tcW w:w="6857" w:type="dxa"/>
            <w:tcBorders>
              <w:top w:val="single" w:color="000000" w:sz="8" w:space="0"/>
              <w:left w:val="single" w:color="000000" w:sz="2" w:space="0"/>
              <w:bottom w:val="single" w:color="000000" w:sz="8" w:space="0"/>
              <w:right w:val="single" w:color="000000" w:sz="8" w:space="0"/>
            </w:tcBorders>
            <w:vAlign w:val="center"/>
          </w:tcPr>
          <w:p w14:paraId="4FC952FD">
            <w:pPr>
              <w:pStyle w:val="35"/>
              <w:pageBreakBefore w:val="0"/>
              <w:widowControl w:val="0"/>
              <w:kinsoku/>
              <w:wordWrap w:val="0"/>
              <w:overflowPunct/>
              <w:topLinePunct w:val="0"/>
              <w:autoSpaceDE/>
              <w:autoSpaceDN/>
              <w:bidi w:val="0"/>
              <w:snapToGrid w:val="0"/>
              <w:spacing w:line="240" w:lineRule="auto"/>
              <w:textAlignment w:val="auto"/>
              <w:rPr>
                <w:rFonts w:hint="eastAsia" w:ascii="仿宋_GB2312" w:hAnsi="仿宋" w:eastAsia="仿宋_GB2312" w:cs="Times New Roman"/>
                <w:kern w:val="28"/>
                <w:sz w:val="24"/>
                <w:szCs w:val="24"/>
                <w:highlight w:val="none"/>
              </w:rPr>
            </w:pPr>
            <w:r>
              <w:rPr>
                <w:rFonts w:hint="eastAsia" w:ascii="仿宋_GB2312" w:hAnsi="仿宋" w:eastAsia="仿宋_GB2312" w:cs="Times New Roman"/>
                <w:kern w:val="28"/>
                <w:sz w:val="24"/>
                <w:szCs w:val="24"/>
                <w:highlight w:val="none"/>
              </w:rPr>
              <w:t>备份投标文件送达地点：</w:t>
            </w:r>
            <w:r>
              <w:rPr>
                <w:rFonts w:hint="eastAsia" w:ascii="仿宋_GB2312" w:hAnsi="仿宋" w:eastAsia="仿宋_GB2312" w:cs="Times New Roman"/>
                <w:kern w:val="28"/>
                <w:sz w:val="24"/>
                <w:szCs w:val="24"/>
                <w:highlight w:val="none"/>
                <w:u w:val="single"/>
                <w:lang w:val="en-US" w:eastAsia="zh-CN"/>
              </w:rPr>
              <w:t>永嘉县瓯北镇新桥村江心路70号</w:t>
            </w:r>
            <w:r>
              <w:rPr>
                <w:rFonts w:hint="eastAsia" w:ascii="仿宋_GB2312" w:hAnsi="仿宋" w:eastAsia="仿宋_GB2312" w:cs="Times New Roman"/>
                <w:kern w:val="28"/>
                <w:sz w:val="24"/>
                <w:szCs w:val="24"/>
                <w:highlight w:val="none"/>
              </w:rPr>
              <w:t>；</w:t>
            </w:r>
          </w:p>
          <w:p w14:paraId="237788E6">
            <w:pPr>
              <w:pStyle w:val="35"/>
              <w:pageBreakBefore w:val="0"/>
              <w:widowControl w:val="0"/>
              <w:kinsoku/>
              <w:wordWrap w:val="0"/>
              <w:overflowPunct/>
              <w:topLinePunct w:val="0"/>
              <w:autoSpaceDE/>
              <w:autoSpaceDN/>
              <w:bidi w:val="0"/>
              <w:snapToGrid w:val="0"/>
              <w:spacing w:line="240" w:lineRule="auto"/>
              <w:textAlignment w:val="auto"/>
              <w:rPr>
                <w:rFonts w:hint="eastAsia" w:ascii="仿宋_GB2312" w:hAnsi="仿宋" w:eastAsia="仿宋_GB2312" w:cs="仿宋_GB2312"/>
                <w:sz w:val="24"/>
                <w:szCs w:val="24"/>
                <w:highlight w:val="none"/>
              </w:rPr>
            </w:pPr>
            <w:r>
              <w:rPr>
                <w:rFonts w:hint="eastAsia" w:ascii="仿宋_GB2312" w:hAnsi="仿宋" w:eastAsia="仿宋_GB2312" w:cs="Times New Roman"/>
                <w:kern w:val="28"/>
                <w:sz w:val="24"/>
                <w:szCs w:val="24"/>
                <w:highlight w:val="none"/>
              </w:rPr>
              <w:t>备份投标文件签收人员联系电话：</w:t>
            </w:r>
            <w:r>
              <w:rPr>
                <w:rFonts w:hint="eastAsia" w:ascii="仿宋_GB2312" w:hAnsi="仿宋" w:eastAsia="仿宋_GB2312"/>
                <w:sz w:val="24"/>
                <w:highlight w:val="none"/>
                <w:u w:val="single"/>
                <w:lang w:eastAsia="zh-CN"/>
              </w:rPr>
              <w:t>陈女士，</w:t>
            </w:r>
            <w:r>
              <w:rPr>
                <w:rFonts w:hint="eastAsia" w:ascii="仿宋_GB2312" w:hAnsi="仿宋" w:eastAsia="仿宋_GB2312"/>
                <w:sz w:val="24"/>
                <w:highlight w:val="none"/>
                <w:u w:val="single"/>
                <w:lang w:val="en-US" w:eastAsia="zh-CN"/>
              </w:rPr>
              <w:t>15888215668</w:t>
            </w:r>
            <w:r>
              <w:rPr>
                <w:rFonts w:hint="eastAsia" w:ascii="仿宋_GB2312" w:hAnsi="仿宋" w:eastAsia="仿宋_GB2312" w:cs="仿宋_GB2312"/>
                <w:sz w:val="24"/>
                <w:szCs w:val="24"/>
                <w:highlight w:val="none"/>
              </w:rPr>
              <w:t>。</w:t>
            </w:r>
          </w:p>
          <w:p w14:paraId="2CC92A72">
            <w:pPr>
              <w:pStyle w:val="35"/>
              <w:pageBreakBefore w:val="0"/>
              <w:widowControl w:val="0"/>
              <w:kinsoku/>
              <w:wordWrap w:val="0"/>
              <w:overflowPunct/>
              <w:topLinePunct w:val="0"/>
              <w:autoSpaceDE/>
              <w:autoSpaceDN/>
              <w:bidi w:val="0"/>
              <w:snapToGrid w:val="0"/>
              <w:spacing w:line="240" w:lineRule="auto"/>
              <w:textAlignment w:val="auto"/>
              <w:rPr>
                <w:rFonts w:ascii="仿宋_GB2312" w:hAnsi="仿宋" w:eastAsia="仿宋_GB2312"/>
                <w:kern w:val="28"/>
                <w:sz w:val="24"/>
                <w:highlight w:val="none"/>
              </w:rPr>
            </w:pPr>
            <w:r>
              <w:rPr>
                <w:rFonts w:hint="eastAsia" w:ascii="仿宋_GB2312" w:hAnsi="仿宋" w:eastAsia="仿宋_GB2312" w:cs="仿宋_GB2312"/>
                <w:b/>
                <w:sz w:val="24"/>
                <w:szCs w:val="24"/>
                <w:highlight w:val="none"/>
              </w:rPr>
              <w:t>采购人、采购机构不强制或变相强制投标人提交备份投标文件。</w:t>
            </w:r>
          </w:p>
        </w:tc>
      </w:tr>
      <w:tr w14:paraId="6DACD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708" w:type="dxa"/>
            <w:tcBorders>
              <w:top w:val="single" w:color="auto" w:sz="4" w:space="0"/>
              <w:left w:val="single" w:color="000000" w:sz="8" w:space="0"/>
              <w:bottom w:val="single" w:color="auto" w:sz="4" w:space="0"/>
              <w:right w:val="single" w:color="000000" w:sz="2" w:space="0"/>
            </w:tcBorders>
            <w:vAlign w:val="center"/>
          </w:tcPr>
          <w:p w14:paraId="327E9509">
            <w:pPr>
              <w:pageBreakBefore w:val="0"/>
              <w:widowControl w:val="0"/>
              <w:kinsoku/>
              <w:wordWrap w:val="0"/>
              <w:overflowPunct/>
              <w:topLinePunct w:val="0"/>
              <w:autoSpaceDE/>
              <w:autoSpaceDN/>
              <w:bidi w:val="0"/>
              <w:snapToGrid w:val="0"/>
              <w:spacing w:line="240" w:lineRule="auto"/>
              <w:ind w:left="0" w:leftChars="0" w:right="0" w:rightChars="0" w:firstLine="0" w:firstLineChars="0"/>
              <w:jc w:val="center"/>
              <w:textAlignment w:val="auto"/>
              <w:rPr>
                <w:rFonts w:hint="default"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13</w:t>
            </w:r>
          </w:p>
        </w:tc>
        <w:tc>
          <w:tcPr>
            <w:tcW w:w="2073" w:type="dxa"/>
            <w:tcBorders>
              <w:top w:val="single" w:color="000000" w:sz="8" w:space="0"/>
              <w:left w:val="single" w:color="000000" w:sz="2" w:space="0"/>
              <w:bottom w:val="single" w:color="000000" w:sz="8" w:space="0"/>
              <w:right w:val="single" w:color="000000" w:sz="8" w:space="0"/>
            </w:tcBorders>
            <w:vAlign w:val="center"/>
          </w:tcPr>
          <w:p w14:paraId="42926869">
            <w:pPr>
              <w:pageBreakBefore w:val="0"/>
              <w:widowControl w:val="0"/>
              <w:kinsoku/>
              <w:wordWrap w:val="0"/>
              <w:overflowPunct/>
              <w:topLinePunct w:val="0"/>
              <w:autoSpaceDE/>
              <w:autoSpaceDN/>
              <w:bidi w:val="0"/>
              <w:snapToGrid w:val="0"/>
              <w:spacing w:line="240" w:lineRule="auto"/>
              <w:jc w:val="center"/>
              <w:textAlignment w:val="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招标代理服务费</w:t>
            </w:r>
          </w:p>
        </w:tc>
        <w:tc>
          <w:tcPr>
            <w:tcW w:w="6857" w:type="dxa"/>
            <w:tcBorders>
              <w:top w:val="single" w:color="000000" w:sz="8" w:space="0"/>
              <w:left w:val="single" w:color="000000" w:sz="2" w:space="0"/>
              <w:bottom w:val="single" w:color="000000" w:sz="8" w:space="0"/>
              <w:right w:val="single" w:color="000000" w:sz="8" w:space="0"/>
            </w:tcBorders>
            <w:vAlign w:val="center"/>
          </w:tcPr>
          <w:p w14:paraId="470CD0D9">
            <w:pPr>
              <w:pStyle w:val="35"/>
              <w:pageBreakBefore w:val="0"/>
              <w:widowControl w:val="0"/>
              <w:kinsoku/>
              <w:wordWrap w:val="0"/>
              <w:overflowPunct/>
              <w:topLinePunct w:val="0"/>
              <w:autoSpaceDE/>
              <w:autoSpaceDN/>
              <w:bidi w:val="0"/>
              <w:snapToGrid w:val="0"/>
              <w:spacing w:line="240" w:lineRule="auto"/>
              <w:textAlignment w:val="auto"/>
              <w:rPr>
                <w:rFonts w:hint="eastAsia" w:ascii="仿宋_GB2312" w:hAnsi="仿宋" w:eastAsia="仿宋_GB2312" w:cs="Arial"/>
                <w:snapToGrid/>
                <w:kern w:val="0"/>
                <w:sz w:val="24"/>
                <w:szCs w:val="24"/>
                <w:highlight w:val="none"/>
                <w:lang w:val="en-US" w:eastAsia="zh-CN" w:bidi="ar-SA"/>
              </w:rPr>
            </w:pPr>
            <w:r>
              <w:rPr>
                <w:rFonts w:hint="eastAsia" w:ascii="仿宋_GB2312" w:hAnsi="仿宋" w:eastAsia="仿宋_GB2312" w:cs="Arial"/>
                <w:snapToGrid/>
                <w:kern w:val="0"/>
                <w:sz w:val="24"/>
                <w:szCs w:val="24"/>
                <w:highlight w:val="none"/>
                <w:lang w:val="en-US" w:eastAsia="zh-CN" w:bidi="ar-SA"/>
              </w:rPr>
              <w:t>本项目的招标代理服务费由中标单位支付，代理费25350元，由中标单位在领取中标通知书前，一次性支付给代理公司，上述费用应含在投标报价中（不得单独列项），投标人在投标报价让利中考虑上述费用。</w:t>
            </w:r>
          </w:p>
        </w:tc>
      </w:tr>
      <w:tr w14:paraId="6561E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708" w:type="dxa"/>
            <w:tcBorders>
              <w:top w:val="single" w:color="auto" w:sz="4" w:space="0"/>
              <w:left w:val="single" w:color="000000" w:sz="8" w:space="0"/>
              <w:bottom w:val="single" w:color="auto" w:sz="4" w:space="0"/>
              <w:right w:val="single" w:color="000000" w:sz="2" w:space="0"/>
            </w:tcBorders>
            <w:vAlign w:val="center"/>
          </w:tcPr>
          <w:p w14:paraId="285C7A21">
            <w:pPr>
              <w:pageBreakBefore w:val="0"/>
              <w:widowControl w:val="0"/>
              <w:kinsoku/>
              <w:wordWrap w:val="0"/>
              <w:overflowPunct/>
              <w:topLinePunct w:val="0"/>
              <w:autoSpaceDE/>
              <w:autoSpaceDN/>
              <w:bidi w:val="0"/>
              <w:snapToGrid w:val="0"/>
              <w:spacing w:line="240" w:lineRule="auto"/>
              <w:ind w:left="0" w:leftChars="0" w:right="0" w:rightChars="0" w:firstLine="0" w:firstLineChars="0"/>
              <w:jc w:val="center"/>
              <w:textAlignment w:val="auto"/>
              <w:rPr>
                <w:rFonts w:hint="eastAsia" w:ascii="仿宋_GB2312" w:hAnsi="仿宋" w:eastAsia="仿宋_GB2312" w:cs="仿宋_GB2312"/>
                <w:sz w:val="24"/>
                <w:highlight w:val="none"/>
                <w:lang w:eastAsia="zh-CN"/>
              </w:rPr>
            </w:pPr>
            <w:r>
              <w:rPr>
                <w:rFonts w:ascii="仿宋_GB2312" w:hAnsi="仿宋" w:eastAsia="仿宋_GB2312" w:cs="仿宋_GB2312"/>
                <w:sz w:val="24"/>
                <w:highlight w:val="none"/>
              </w:rPr>
              <w:t>1</w:t>
            </w:r>
            <w:r>
              <w:rPr>
                <w:rFonts w:hint="eastAsia" w:ascii="仿宋_GB2312" w:hAnsi="仿宋" w:eastAsia="仿宋_GB2312" w:cs="仿宋_GB2312"/>
                <w:sz w:val="24"/>
                <w:highlight w:val="none"/>
                <w:lang w:val="en-US" w:eastAsia="zh-CN"/>
              </w:rPr>
              <w:t>4</w:t>
            </w:r>
          </w:p>
        </w:tc>
        <w:tc>
          <w:tcPr>
            <w:tcW w:w="2073" w:type="dxa"/>
            <w:tcBorders>
              <w:top w:val="single" w:color="000000" w:sz="8" w:space="0"/>
              <w:left w:val="single" w:color="000000" w:sz="2" w:space="0"/>
              <w:bottom w:val="single" w:color="000000" w:sz="8" w:space="0"/>
              <w:right w:val="single" w:color="000000" w:sz="8" w:space="0"/>
            </w:tcBorders>
            <w:vAlign w:val="center"/>
          </w:tcPr>
          <w:p w14:paraId="0DF19846">
            <w:pPr>
              <w:pageBreakBefore w:val="0"/>
              <w:widowControl w:val="0"/>
              <w:kinsoku/>
              <w:wordWrap w:val="0"/>
              <w:overflowPunct/>
              <w:topLinePunct w:val="0"/>
              <w:autoSpaceDE/>
              <w:autoSpaceDN/>
              <w:bidi w:val="0"/>
              <w:snapToGrid w:val="0"/>
              <w:spacing w:line="240" w:lineRule="auto"/>
              <w:jc w:val="center"/>
              <w:textAlignment w:val="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特别说明</w:t>
            </w:r>
          </w:p>
        </w:tc>
        <w:tc>
          <w:tcPr>
            <w:tcW w:w="6857" w:type="dxa"/>
            <w:tcBorders>
              <w:top w:val="single" w:color="000000" w:sz="8" w:space="0"/>
              <w:left w:val="single" w:color="000000" w:sz="2" w:space="0"/>
              <w:bottom w:val="single" w:color="000000" w:sz="8" w:space="0"/>
              <w:right w:val="single" w:color="000000" w:sz="8" w:space="0"/>
            </w:tcBorders>
            <w:vAlign w:val="center"/>
          </w:tcPr>
          <w:p w14:paraId="0F33DF95">
            <w:pPr>
              <w:pageBreakBefore w:val="0"/>
              <w:widowControl w:val="0"/>
              <w:kinsoku/>
              <w:wordWrap w:val="0"/>
              <w:overflowPunct/>
              <w:topLinePunct w:val="0"/>
              <w:autoSpaceDE/>
              <w:autoSpaceDN/>
              <w:bidi w:val="0"/>
              <w:snapToGrid w:val="0"/>
              <w:spacing w:line="240" w:lineRule="auto"/>
              <w:textAlignment w:val="auto"/>
              <w:rPr>
                <w:rFonts w:hint="eastAsia" w:ascii="仿宋_GB2312" w:hAnsi="仿宋" w:eastAsia="仿宋_GB2312" w:cs="Arial"/>
                <w:snapToGrid/>
                <w:kern w:val="0"/>
                <w:sz w:val="24"/>
                <w:szCs w:val="24"/>
                <w:highlight w:val="none"/>
                <w:lang w:val="en-US" w:eastAsia="zh-CN" w:bidi="ar-SA"/>
              </w:rPr>
            </w:pPr>
            <w:r>
              <w:rPr>
                <w:rFonts w:hint="eastAsia" w:ascii="仿宋_GB2312" w:hAnsi="仿宋" w:eastAsia="仿宋_GB2312" w:cs="Arial"/>
                <w:snapToGrid/>
                <w:kern w:val="0"/>
                <w:sz w:val="24"/>
                <w:szCs w:val="24"/>
                <w:highlight w:val="none"/>
                <w:lang w:val="en-US" w:eastAsia="zh-CN" w:bidi="ar-SA"/>
              </w:rPr>
              <w:t>1、履约担保：中标供应商应提供合同金额1%的履约保证金。</w:t>
            </w:r>
          </w:p>
          <w:p w14:paraId="366DFC7E">
            <w:pPr>
              <w:pStyle w:val="2"/>
              <w:jc w:val="both"/>
              <w:rPr>
                <w:rFonts w:hint="default" w:ascii="仿宋_GB2312" w:hAnsi="仿宋" w:eastAsia="仿宋_GB2312" w:cs="Arial"/>
                <w:snapToGrid/>
                <w:kern w:val="0"/>
                <w:sz w:val="24"/>
                <w:szCs w:val="24"/>
                <w:highlight w:val="none"/>
                <w:lang w:val="en-US" w:eastAsia="zh-CN" w:bidi="ar-SA"/>
              </w:rPr>
            </w:pPr>
            <w:r>
              <w:rPr>
                <w:rFonts w:hint="eastAsia" w:ascii="仿宋_GB2312" w:hAnsi="仿宋" w:eastAsia="仿宋_GB2312" w:cs="Arial"/>
                <w:b w:val="0"/>
                <w:bCs/>
                <w:snapToGrid/>
                <w:kern w:val="0"/>
                <w:sz w:val="24"/>
                <w:szCs w:val="24"/>
                <w:highlight w:val="none"/>
                <w:lang w:val="en-US" w:eastAsia="zh-CN" w:bidi="ar-SA"/>
              </w:rPr>
              <w:t>2、合同缺陷责任期满后30日内无息退还。</w:t>
            </w:r>
          </w:p>
        </w:tc>
      </w:tr>
    </w:tbl>
    <w:p w14:paraId="2750D33E">
      <w:pPr>
        <w:kinsoku/>
        <w:wordWrap w:val="0"/>
        <w:topLinePunct w:val="0"/>
        <w:bidi w:val="0"/>
        <w:snapToGrid w:val="0"/>
        <w:spacing w:line="360" w:lineRule="auto"/>
        <w:jc w:val="center"/>
        <w:rPr>
          <w:rFonts w:ascii="仿宋" w:hAnsi="仿宋" w:eastAsia="仿宋" w:cs="仿宋_GB2312"/>
          <w:b/>
          <w:sz w:val="32"/>
          <w:szCs w:val="20"/>
          <w:highlight w:val="none"/>
        </w:rPr>
      </w:pPr>
    </w:p>
    <w:bookmarkEnd w:id="10"/>
    <w:p w14:paraId="64AE101A">
      <w:pPr>
        <w:kinsoku/>
        <w:wordWrap w:val="0"/>
        <w:topLinePunct w:val="0"/>
        <w:bidi w:val="0"/>
        <w:adjustRightInd/>
        <w:spacing w:line="360" w:lineRule="auto"/>
        <w:ind w:firstLine="3845" w:firstLineChars="1197"/>
        <w:outlineLvl w:val="0"/>
        <w:rPr>
          <w:rFonts w:hint="eastAsia" w:ascii="仿宋_GB2312" w:hAnsi="仿宋" w:eastAsia="仿宋_GB2312" w:cs="仿宋_GB2312"/>
          <w:b/>
          <w:sz w:val="32"/>
          <w:szCs w:val="20"/>
          <w:highlight w:val="none"/>
        </w:rPr>
      </w:pPr>
      <w:bookmarkStart w:id="11" w:name="第三部分"/>
      <w:bookmarkStart w:id="12" w:name="_Toc164416483"/>
    </w:p>
    <w:p w14:paraId="6C1B0078">
      <w:pPr>
        <w:kinsoku/>
        <w:wordWrap w:val="0"/>
        <w:topLinePunct w:val="0"/>
        <w:bidi w:val="0"/>
        <w:adjustRightInd/>
        <w:spacing w:line="360" w:lineRule="auto"/>
        <w:ind w:firstLine="3845" w:firstLineChars="1197"/>
        <w:outlineLvl w:val="0"/>
        <w:rPr>
          <w:rFonts w:hint="eastAsia" w:ascii="仿宋_GB2312" w:hAnsi="仿宋" w:eastAsia="仿宋_GB2312" w:cs="仿宋_GB2312"/>
          <w:b/>
          <w:sz w:val="32"/>
          <w:szCs w:val="20"/>
          <w:highlight w:val="none"/>
        </w:rPr>
      </w:pPr>
    </w:p>
    <w:p w14:paraId="0F48EDC6">
      <w:pPr>
        <w:kinsoku/>
        <w:wordWrap w:val="0"/>
        <w:topLinePunct w:val="0"/>
        <w:bidi w:val="0"/>
        <w:adjustRightInd/>
        <w:spacing w:line="360" w:lineRule="auto"/>
        <w:ind w:firstLine="3845" w:firstLineChars="1197"/>
        <w:outlineLvl w:val="0"/>
        <w:rPr>
          <w:rFonts w:hint="eastAsia" w:ascii="仿宋_GB2312" w:hAnsi="仿宋" w:eastAsia="仿宋_GB2312" w:cs="仿宋_GB2312"/>
          <w:b/>
          <w:sz w:val="32"/>
          <w:szCs w:val="20"/>
          <w:highlight w:val="none"/>
        </w:rPr>
      </w:pPr>
    </w:p>
    <w:p w14:paraId="05CDBA61">
      <w:pPr>
        <w:kinsoku/>
        <w:wordWrap w:val="0"/>
        <w:topLinePunct w:val="0"/>
        <w:bidi w:val="0"/>
        <w:adjustRightInd/>
        <w:spacing w:line="360" w:lineRule="auto"/>
        <w:ind w:firstLine="3845" w:firstLineChars="1197"/>
        <w:outlineLvl w:val="0"/>
        <w:rPr>
          <w:rFonts w:hint="eastAsia" w:ascii="仿宋_GB2312" w:hAnsi="仿宋" w:eastAsia="仿宋_GB2312" w:cs="仿宋_GB2312"/>
          <w:b/>
          <w:sz w:val="32"/>
          <w:szCs w:val="20"/>
          <w:highlight w:val="none"/>
        </w:rPr>
      </w:pPr>
    </w:p>
    <w:p w14:paraId="7A097B4C">
      <w:pPr>
        <w:kinsoku/>
        <w:wordWrap w:val="0"/>
        <w:topLinePunct w:val="0"/>
        <w:bidi w:val="0"/>
        <w:adjustRightInd/>
        <w:spacing w:line="360" w:lineRule="auto"/>
        <w:ind w:firstLine="3845" w:firstLineChars="1197"/>
        <w:outlineLvl w:val="0"/>
        <w:rPr>
          <w:rFonts w:hint="eastAsia" w:ascii="仿宋_GB2312" w:hAnsi="仿宋" w:eastAsia="仿宋_GB2312" w:cs="仿宋_GB2312"/>
          <w:b/>
          <w:sz w:val="32"/>
          <w:szCs w:val="20"/>
          <w:highlight w:val="none"/>
        </w:rPr>
      </w:pPr>
    </w:p>
    <w:p w14:paraId="4F43F866">
      <w:pPr>
        <w:kinsoku/>
        <w:wordWrap w:val="0"/>
        <w:topLinePunct w:val="0"/>
        <w:bidi w:val="0"/>
        <w:adjustRightInd/>
        <w:spacing w:line="360" w:lineRule="auto"/>
        <w:ind w:firstLine="3845" w:firstLineChars="1197"/>
        <w:outlineLvl w:val="0"/>
        <w:rPr>
          <w:rFonts w:hint="eastAsia" w:ascii="仿宋_GB2312" w:hAnsi="仿宋" w:eastAsia="仿宋_GB2312" w:cs="仿宋_GB2312"/>
          <w:b/>
          <w:sz w:val="32"/>
          <w:szCs w:val="20"/>
          <w:highlight w:val="none"/>
        </w:rPr>
      </w:pPr>
    </w:p>
    <w:p w14:paraId="32791FDD">
      <w:pPr>
        <w:kinsoku/>
        <w:wordWrap w:val="0"/>
        <w:topLinePunct w:val="0"/>
        <w:bidi w:val="0"/>
        <w:rPr>
          <w:rFonts w:hint="eastAsia" w:ascii="仿宋_GB2312" w:hAnsi="仿宋" w:eastAsia="仿宋_GB2312" w:cs="仿宋_GB2312"/>
          <w:b/>
          <w:sz w:val="32"/>
          <w:szCs w:val="20"/>
          <w:highlight w:val="none"/>
        </w:rPr>
      </w:pPr>
      <w:r>
        <w:rPr>
          <w:rFonts w:hint="eastAsia" w:ascii="仿宋_GB2312" w:hAnsi="仿宋" w:eastAsia="仿宋_GB2312" w:cs="仿宋_GB2312"/>
          <w:b/>
          <w:sz w:val="32"/>
          <w:szCs w:val="20"/>
          <w:highlight w:val="none"/>
        </w:rPr>
        <w:br w:type="page"/>
      </w:r>
    </w:p>
    <w:p w14:paraId="4ADA1AB4">
      <w:pPr>
        <w:kinsoku/>
        <w:wordWrap w:val="0"/>
        <w:topLinePunct w:val="0"/>
        <w:bidi w:val="0"/>
        <w:adjustRightInd/>
        <w:spacing w:line="360" w:lineRule="auto"/>
        <w:ind w:firstLine="3845" w:firstLineChars="1197"/>
        <w:outlineLvl w:val="0"/>
        <w:rPr>
          <w:rFonts w:ascii="仿宋_GB2312" w:hAnsi="仿宋" w:eastAsia="仿宋_GB2312" w:cs="仿宋_GB2312"/>
          <w:b/>
          <w:sz w:val="32"/>
          <w:szCs w:val="20"/>
          <w:highlight w:val="none"/>
        </w:rPr>
      </w:pPr>
      <w:r>
        <w:rPr>
          <w:rFonts w:hint="eastAsia" w:ascii="仿宋_GB2312" w:hAnsi="仿宋" w:eastAsia="仿宋_GB2312" w:cs="仿宋_GB2312"/>
          <w:b/>
          <w:sz w:val="32"/>
          <w:szCs w:val="20"/>
          <w:highlight w:val="none"/>
        </w:rPr>
        <w:t>一、总则</w:t>
      </w:r>
    </w:p>
    <w:p w14:paraId="4EA1BE0A">
      <w:pPr>
        <w:keepNext w:val="0"/>
        <w:keepLines w:val="0"/>
        <w:pageBreakBefore w:val="0"/>
        <w:kinsoku/>
        <w:wordWrap w:val="0"/>
        <w:overflowPunct/>
        <w:topLinePunct w:val="0"/>
        <w:autoSpaceDE/>
        <w:autoSpaceDN/>
        <w:bidi w:val="0"/>
        <w:snapToGrid w:val="0"/>
        <w:spacing w:beforeAutospacing="0" w:line="360" w:lineRule="auto"/>
        <w:ind w:firstLine="482" w:firstLineChars="200"/>
        <w:jc w:val="left"/>
        <w:textAlignment w:val="auto"/>
        <w:outlineLvl w:val="1"/>
        <w:rPr>
          <w:rFonts w:ascii="仿宋_GB2312" w:hAnsi="仿宋" w:eastAsia="仿宋_GB2312"/>
          <w:b/>
          <w:sz w:val="24"/>
          <w:highlight w:val="none"/>
        </w:rPr>
      </w:pPr>
      <w:r>
        <w:rPr>
          <w:rFonts w:ascii="仿宋_GB2312" w:hAnsi="仿宋" w:eastAsia="仿宋_GB2312"/>
          <w:b/>
          <w:sz w:val="24"/>
          <w:highlight w:val="none"/>
        </w:rPr>
        <w:t xml:space="preserve">1. </w:t>
      </w:r>
      <w:r>
        <w:rPr>
          <w:rFonts w:hint="eastAsia" w:ascii="仿宋_GB2312" w:hAnsi="仿宋" w:eastAsia="仿宋_GB2312"/>
          <w:b/>
          <w:sz w:val="24"/>
          <w:highlight w:val="none"/>
        </w:rPr>
        <w:t>适用范围</w:t>
      </w:r>
    </w:p>
    <w:p w14:paraId="2A02A255">
      <w:pPr>
        <w:keepNext w:val="0"/>
        <w:keepLines w:val="0"/>
        <w:pageBreakBefore w:val="0"/>
        <w:kinsoku/>
        <w:wordWrap w:val="0"/>
        <w:overflowPunct/>
        <w:topLinePunct w:val="0"/>
        <w:autoSpaceDE/>
        <w:autoSpaceDN/>
        <w:bidi w:val="0"/>
        <w:snapToGrid w:val="0"/>
        <w:spacing w:beforeAutospacing="0" w:line="360" w:lineRule="auto"/>
        <w:ind w:firstLine="480" w:firstLineChars="200"/>
        <w:jc w:val="left"/>
        <w:textAlignment w:val="auto"/>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14:paraId="4FD78ECF">
      <w:pPr>
        <w:keepNext w:val="0"/>
        <w:keepLines w:val="0"/>
        <w:pageBreakBefore w:val="0"/>
        <w:kinsoku/>
        <w:wordWrap w:val="0"/>
        <w:overflowPunct/>
        <w:topLinePunct w:val="0"/>
        <w:autoSpaceDE/>
        <w:autoSpaceDN/>
        <w:bidi w:val="0"/>
        <w:adjustRightInd/>
        <w:snapToGrid w:val="0"/>
        <w:spacing w:beforeAutospacing="0" w:line="360" w:lineRule="auto"/>
        <w:ind w:firstLine="482" w:firstLineChars="200"/>
        <w:textAlignment w:val="auto"/>
        <w:outlineLvl w:val="0"/>
        <w:rPr>
          <w:rFonts w:ascii="仿宋_GB2312" w:hAnsi="仿宋" w:eastAsia="仿宋_GB2312" w:cs="仿宋_GB2312"/>
          <w:b/>
          <w:sz w:val="24"/>
          <w:highlight w:val="none"/>
        </w:rPr>
      </w:pPr>
      <w:r>
        <w:rPr>
          <w:rFonts w:ascii="仿宋_GB2312" w:hAnsi="仿宋" w:eastAsia="仿宋_GB2312" w:cs="仿宋_GB2312"/>
          <w:b/>
          <w:sz w:val="24"/>
          <w:highlight w:val="none"/>
        </w:rPr>
        <w:t>2.定义</w:t>
      </w:r>
    </w:p>
    <w:p w14:paraId="03E0999E">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14:paraId="2ECBA6B4">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“采购机构”系指招标公告中载明的本项目的采购机构。</w:t>
      </w:r>
    </w:p>
    <w:p w14:paraId="704507B4">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14:paraId="3052C22D">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14:paraId="0C685C0D">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14:paraId="372C51B3">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2.6“电子交易平台”是指本项目政府采购活动所依托的政府采购云平台（https://www.zcygov.cn/）。</w:t>
      </w:r>
    </w:p>
    <w:p w14:paraId="3078D030">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系指实质性要求条款，“★”系产品采购项目中单一产品或核心产品，“</w:t>
      </w:r>
      <w:sdt>
        <w:sdtPr>
          <w:rPr>
            <w:rFonts w:hint="eastAsia" w:ascii="仿宋_GB2312" w:hAnsi="仿宋" w:eastAsia="仿宋_GB2312" w:cs="Arial"/>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highlight w:val="none"/>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系指适用本项目的要求，“</w:t>
      </w:r>
      <w:sdt>
        <w:sdtPr>
          <w:rPr>
            <w:rFonts w:hint="eastAsia" w:ascii="仿宋_GB2312" w:hAnsi="仿宋" w:eastAsia="仿宋_GB2312" w:cs="Arial"/>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系指不适用本项目的要求。</w:t>
      </w:r>
    </w:p>
    <w:p w14:paraId="7252FC54">
      <w:pPr>
        <w:keepNext w:val="0"/>
        <w:keepLines w:val="0"/>
        <w:pageBreakBefore w:val="0"/>
        <w:kinsoku/>
        <w:wordWrap w:val="0"/>
        <w:overflowPunct/>
        <w:topLinePunct w:val="0"/>
        <w:autoSpaceDE/>
        <w:autoSpaceDN/>
        <w:bidi w:val="0"/>
        <w:snapToGrid w:val="0"/>
        <w:spacing w:beforeAutospacing="0" w:line="360" w:lineRule="auto"/>
        <w:ind w:firstLine="482" w:firstLineChars="200"/>
        <w:textAlignment w:val="auto"/>
        <w:rPr>
          <w:rFonts w:ascii="仿宋_GB2312" w:hAnsi="仿宋" w:eastAsia="仿宋_GB2312"/>
          <w:b/>
          <w:sz w:val="24"/>
          <w:highlight w:val="none"/>
        </w:rPr>
      </w:pPr>
      <w:r>
        <w:rPr>
          <w:rFonts w:ascii="仿宋_GB2312" w:hAnsi="仿宋" w:eastAsia="仿宋_GB2312"/>
          <w:b/>
          <w:sz w:val="24"/>
          <w:highlight w:val="none"/>
        </w:rPr>
        <w:t>3.</w:t>
      </w:r>
      <w:r>
        <w:rPr>
          <w:rFonts w:ascii="仿宋_GB2312" w:hAnsi="仿宋" w:eastAsia="仿宋_GB2312"/>
          <w:highlight w:val="none"/>
        </w:rPr>
        <w:t xml:space="preserve"> </w:t>
      </w:r>
      <w:r>
        <w:rPr>
          <w:rFonts w:hint="eastAsia" w:ascii="仿宋_GB2312" w:hAnsi="仿宋" w:eastAsia="仿宋_GB2312"/>
          <w:b/>
          <w:sz w:val="24"/>
          <w:highlight w:val="none"/>
        </w:rPr>
        <w:t>采购项目需要落实的政府采购政策</w:t>
      </w:r>
    </w:p>
    <w:p w14:paraId="4C851AF2">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013432">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14:paraId="049BD0C3">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A590705">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14:paraId="407DA6F0">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8C22CD0">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3.3支持中小企业发展</w:t>
      </w:r>
    </w:p>
    <w:p w14:paraId="6BEBB5FE">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378C51">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14:paraId="2F717C1E">
      <w:pPr>
        <w:keepNext w:val="0"/>
        <w:keepLines w:val="0"/>
        <w:pageBreakBefore w:val="0"/>
        <w:widowControl/>
        <w:kinsoku/>
        <w:wordWrap w:val="0"/>
        <w:overflowPunct/>
        <w:topLinePunct w:val="0"/>
        <w:autoSpaceDE/>
        <w:autoSpaceDN/>
        <w:bidi w:val="0"/>
        <w:snapToGrid w:val="0"/>
        <w:spacing w:beforeAutospacing="0" w:line="360" w:lineRule="auto"/>
        <w:ind w:firstLine="480" w:firstLineChars="200"/>
        <w:jc w:val="left"/>
        <w:textAlignment w:val="auto"/>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14:paraId="60F0B30C">
      <w:pPr>
        <w:keepNext w:val="0"/>
        <w:keepLines w:val="0"/>
        <w:pageBreakBefore w:val="0"/>
        <w:widowControl/>
        <w:kinsoku/>
        <w:wordWrap w:val="0"/>
        <w:overflowPunct/>
        <w:topLinePunct w:val="0"/>
        <w:autoSpaceDE/>
        <w:autoSpaceDN/>
        <w:bidi w:val="0"/>
        <w:snapToGrid w:val="0"/>
        <w:spacing w:beforeAutospacing="0" w:line="360" w:lineRule="auto"/>
        <w:ind w:firstLine="480" w:firstLineChars="200"/>
        <w:jc w:val="left"/>
        <w:textAlignment w:val="auto"/>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14:paraId="6E305E4A">
      <w:pPr>
        <w:keepNext w:val="0"/>
        <w:keepLines w:val="0"/>
        <w:pageBreakBefore w:val="0"/>
        <w:widowControl/>
        <w:kinsoku/>
        <w:wordWrap w:val="0"/>
        <w:overflowPunct/>
        <w:topLinePunct w:val="0"/>
        <w:autoSpaceDE/>
        <w:autoSpaceDN/>
        <w:bidi w:val="0"/>
        <w:snapToGrid w:val="0"/>
        <w:spacing w:beforeAutospacing="0" w:line="360" w:lineRule="auto"/>
        <w:ind w:firstLine="480" w:firstLineChars="200"/>
        <w:jc w:val="left"/>
        <w:textAlignment w:val="auto"/>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14:paraId="094871DB">
      <w:pPr>
        <w:keepNext w:val="0"/>
        <w:keepLines w:val="0"/>
        <w:pageBreakBefore w:val="0"/>
        <w:widowControl/>
        <w:kinsoku/>
        <w:wordWrap w:val="0"/>
        <w:overflowPunct/>
        <w:topLinePunct w:val="0"/>
        <w:autoSpaceDE/>
        <w:autoSpaceDN/>
        <w:bidi w:val="0"/>
        <w:snapToGrid w:val="0"/>
        <w:spacing w:beforeAutospacing="0" w:line="360" w:lineRule="auto"/>
        <w:ind w:firstLine="480" w:firstLineChars="200"/>
        <w:jc w:val="left"/>
        <w:textAlignment w:val="auto"/>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14:paraId="003D757B">
      <w:pPr>
        <w:keepNext w:val="0"/>
        <w:keepLines w:val="0"/>
        <w:pageBreakBefore w:val="0"/>
        <w:widowControl/>
        <w:kinsoku/>
        <w:wordWrap w:val="0"/>
        <w:overflowPunct/>
        <w:topLinePunct w:val="0"/>
        <w:autoSpaceDE/>
        <w:autoSpaceDN/>
        <w:bidi w:val="0"/>
        <w:snapToGrid w:val="0"/>
        <w:spacing w:beforeAutospacing="0" w:line="360" w:lineRule="auto"/>
        <w:ind w:firstLine="480" w:firstLineChars="200"/>
        <w:jc w:val="left"/>
        <w:textAlignment w:val="auto"/>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14:paraId="0B54324D">
      <w:pPr>
        <w:keepNext w:val="0"/>
        <w:keepLines w:val="0"/>
        <w:pageBreakBefore w:val="0"/>
        <w:widowControl/>
        <w:kinsoku/>
        <w:wordWrap w:val="0"/>
        <w:overflowPunct/>
        <w:topLinePunct w:val="0"/>
        <w:autoSpaceDE/>
        <w:autoSpaceDN/>
        <w:bidi w:val="0"/>
        <w:snapToGrid w:val="0"/>
        <w:spacing w:beforeAutospacing="0" w:line="360" w:lineRule="auto"/>
        <w:ind w:firstLine="480" w:firstLineChars="200"/>
        <w:jc w:val="left"/>
        <w:textAlignment w:val="auto"/>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14:paraId="557B09DF">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b/>
          <w:bCs/>
          <w:sz w:val="24"/>
          <w:highlight w:val="none"/>
        </w:rPr>
      </w:pPr>
      <w:r>
        <w:rPr>
          <w:rFonts w:ascii="仿宋_GB2312" w:hAnsi="仿宋" w:eastAsia="仿宋_GB2312"/>
          <w:sz w:val="24"/>
          <w:highlight w:val="none"/>
        </w:rPr>
        <w:t>3.3.3</w:t>
      </w:r>
      <w:r>
        <w:rPr>
          <w:rFonts w:hint="eastAsia" w:ascii="仿宋_GB2312" w:hAnsi="仿宋" w:eastAsia="仿宋_GB2312"/>
          <w:b/>
          <w:bCs/>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b/>
          <w:bCs/>
          <w:sz w:val="24"/>
          <w:highlight w:val="none"/>
          <w:lang w:val="en-US" w:eastAsia="zh-CN"/>
        </w:rPr>
        <w:t>2</w:t>
      </w:r>
      <w:r>
        <w:rPr>
          <w:rFonts w:ascii="仿宋_GB2312" w:hAnsi="仿宋" w:eastAsia="仿宋_GB2312"/>
          <w:b/>
          <w:bCs/>
          <w:sz w:val="24"/>
          <w:highlight w:val="none"/>
        </w:rPr>
        <w:t>0%的扣除，用扣除后的价格参与评审</w:t>
      </w:r>
      <w:r>
        <w:rPr>
          <w:rFonts w:ascii="仿宋_GB2312" w:hAnsi="仿宋" w:eastAsia="仿宋_GB2312"/>
          <w:sz w:val="24"/>
          <w:highlight w:val="none"/>
        </w:rPr>
        <w:t>。</w:t>
      </w:r>
      <w:r>
        <w:rPr>
          <w:rFonts w:ascii="仿宋_GB2312" w:hAnsi="仿宋" w:eastAsia="仿宋_GB2312"/>
          <w:b/>
          <w:bCs/>
          <w:sz w:val="24"/>
          <w:highlight w:val="none"/>
        </w:rPr>
        <w:t>接受大中型企业与小微企业组成联合体或者允许大中型企业向一家或者多家小微企业分包的</w:t>
      </w:r>
      <w:r>
        <w:rPr>
          <w:rFonts w:hint="eastAsia" w:ascii="仿宋_GB2312" w:hAnsi="仿宋" w:eastAsia="仿宋_GB2312"/>
          <w:b/>
          <w:bCs/>
          <w:sz w:val="24"/>
          <w:highlight w:val="none"/>
        </w:rPr>
        <w:t>政府</w:t>
      </w:r>
      <w:r>
        <w:rPr>
          <w:rFonts w:ascii="仿宋_GB2312" w:hAnsi="仿宋" w:eastAsia="仿宋_GB2312"/>
          <w:b/>
          <w:bCs/>
          <w:sz w:val="24"/>
          <w:highlight w:val="none"/>
        </w:rPr>
        <w:t>采购</w:t>
      </w:r>
      <w:r>
        <w:rPr>
          <w:rFonts w:hint="eastAsia" w:ascii="仿宋_GB2312" w:hAnsi="仿宋" w:eastAsia="仿宋_GB2312"/>
          <w:b/>
          <w:bCs/>
          <w:sz w:val="24"/>
          <w:highlight w:val="none"/>
        </w:rPr>
        <w:t>货物或服务</w:t>
      </w:r>
      <w:r>
        <w:rPr>
          <w:rFonts w:ascii="仿宋_GB2312" w:hAnsi="仿宋" w:eastAsia="仿宋_GB2312"/>
          <w:b/>
          <w:bCs/>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34626BAA">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14:paraId="01D0E552">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DEB51D2">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w:t>
      </w:r>
      <w:r>
        <w:rPr>
          <w:rFonts w:hint="eastAsia" w:ascii="仿宋_GB2312" w:hAnsi="仿宋" w:eastAsia="仿宋_GB2312"/>
          <w:b/>
          <w:bCs/>
          <w:sz w:val="24"/>
          <w:highlight w:val="none"/>
        </w:rPr>
        <w:t>声明内容不实的，属于提供虚假材料谋取中标、成交的，依法承担法律责任。</w:t>
      </w:r>
    </w:p>
    <w:p w14:paraId="52CBEC92">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14:paraId="3B04279D">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14:paraId="30F47022">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14:paraId="17CDBAF0">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14:paraId="0B305882">
      <w:pPr>
        <w:keepNext w:val="0"/>
        <w:keepLines w:val="0"/>
        <w:pageBreakBefore w:val="0"/>
        <w:kinsoku/>
        <w:wordWrap w:val="0"/>
        <w:overflowPunct/>
        <w:topLinePunct w:val="0"/>
        <w:autoSpaceDE/>
        <w:autoSpaceDN/>
        <w:bidi w:val="0"/>
        <w:snapToGrid w:val="0"/>
        <w:spacing w:beforeAutospacing="0" w:line="360" w:lineRule="auto"/>
        <w:ind w:firstLine="480" w:firstLineChars="200"/>
        <w:textAlignment w:val="auto"/>
        <w:rPr>
          <w:rFonts w:ascii="仿宋_GB2312" w:hAnsi="仿宋" w:eastAsia="仿宋_GB2312"/>
          <w:b/>
          <w:sz w:val="24"/>
          <w:highlight w:val="none"/>
        </w:rPr>
      </w:pPr>
      <w:r>
        <w:rPr>
          <w:rFonts w:ascii="仿宋_GB2312" w:hAnsi="仿宋" w:eastAsia="仿宋_GB2312"/>
          <w:sz w:val="24"/>
          <w:highlight w:val="none"/>
        </w:rPr>
        <w:t>3.5中小企业信用融资：为支持和促进中小企业发展，进一步发挥政府采购政策功能，</w:t>
      </w:r>
      <w:r>
        <w:rPr>
          <w:rFonts w:hint="eastAsia" w:ascii="仿宋_GB2312" w:hAnsi="仿宋" w:eastAsia="仿宋_GB2312"/>
          <w:sz w:val="24"/>
          <w:highlight w:val="none"/>
          <w:lang w:eastAsia="zh-CN"/>
        </w:rPr>
        <w:t>“政采云”平台目前提供政采贷、履约保函、预付款保函等金融服务</w:t>
      </w:r>
      <w:r>
        <w:rPr>
          <w:rFonts w:ascii="仿宋_GB2312" w:hAnsi="仿宋" w:eastAsia="仿宋_GB2312"/>
          <w:sz w:val="24"/>
          <w:highlight w:val="none"/>
        </w:rPr>
        <w:t>，供应商若有融资意向，</w:t>
      </w:r>
      <w:r>
        <w:rPr>
          <w:rFonts w:hint="eastAsia" w:ascii="仿宋_GB2312" w:hAnsi="仿宋" w:eastAsia="仿宋_GB2312"/>
          <w:sz w:val="24"/>
          <w:highlight w:val="none"/>
          <w:lang w:eastAsia="zh-CN"/>
        </w:rPr>
        <w:t>可登陆https://jinrong.zcygov.cn/finance-service/#/help查看详情</w:t>
      </w:r>
      <w:r>
        <w:rPr>
          <w:rFonts w:ascii="仿宋_GB2312" w:hAnsi="仿宋" w:eastAsia="仿宋_GB2312"/>
          <w:sz w:val="24"/>
          <w:highlight w:val="none"/>
        </w:rPr>
        <w:t>。</w:t>
      </w:r>
      <w:r>
        <w:rPr>
          <w:rFonts w:ascii="仿宋_GB2312" w:hAnsi="仿宋" w:eastAsia="仿宋_GB2312"/>
          <w:sz w:val="24"/>
          <w:highlight w:val="none"/>
        </w:rPr>
        <w:cr/>
      </w:r>
      <w:r>
        <w:rPr>
          <w:rFonts w:ascii="仿宋_GB2312" w:hAnsi="仿宋" w:eastAsia="仿宋_GB2312"/>
          <w:b/>
          <w:sz w:val="24"/>
          <w:highlight w:val="none"/>
        </w:rPr>
        <w:t xml:space="preserve">4. </w:t>
      </w:r>
      <w:r>
        <w:rPr>
          <w:rFonts w:hint="eastAsia" w:ascii="仿宋_GB2312" w:hAnsi="仿宋" w:eastAsia="仿宋_GB2312"/>
          <w:b/>
          <w:sz w:val="24"/>
          <w:highlight w:val="none"/>
        </w:rPr>
        <w:t>询问、质疑、投诉</w:t>
      </w:r>
    </w:p>
    <w:p w14:paraId="78837212">
      <w:pPr>
        <w:keepNext w:val="0"/>
        <w:keepLines w:val="0"/>
        <w:pageBreakBefore w:val="0"/>
        <w:kinsoku/>
        <w:wordWrap w:val="0"/>
        <w:overflowPunct/>
        <w:topLinePunct w:val="0"/>
        <w:autoSpaceDE w:val="0"/>
        <w:autoSpaceDN w:val="0"/>
        <w:bidi w:val="0"/>
        <w:snapToGrid w:val="0"/>
        <w:spacing w:beforeAutospacing="0" w:line="360" w:lineRule="auto"/>
        <w:ind w:firstLine="480" w:firstLineChars="200"/>
        <w:jc w:val="left"/>
        <w:textAlignment w:val="auto"/>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14:paraId="141BD3DD">
      <w:pPr>
        <w:keepNext w:val="0"/>
        <w:keepLines w:val="0"/>
        <w:pageBreakBefore w:val="0"/>
        <w:kinsoku/>
        <w:wordWrap w:val="0"/>
        <w:overflowPunct/>
        <w:topLinePunct w:val="0"/>
        <w:autoSpaceDE w:val="0"/>
        <w:autoSpaceDN w:val="0"/>
        <w:bidi w:val="0"/>
        <w:snapToGrid w:val="0"/>
        <w:spacing w:beforeAutospacing="0" w:line="360" w:lineRule="auto"/>
        <w:ind w:firstLine="480" w:firstLineChars="200"/>
        <w:jc w:val="left"/>
        <w:textAlignment w:val="auto"/>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6A986989">
      <w:pPr>
        <w:keepNext w:val="0"/>
        <w:keepLines w:val="0"/>
        <w:pageBreakBefore w:val="0"/>
        <w:kinsoku/>
        <w:wordWrap w:val="0"/>
        <w:overflowPunct/>
        <w:topLinePunct w:val="0"/>
        <w:autoSpaceDE w:val="0"/>
        <w:autoSpaceDN w:val="0"/>
        <w:bidi w:val="0"/>
        <w:snapToGrid w:val="0"/>
        <w:spacing w:beforeAutospacing="0" w:line="360" w:lineRule="auto"/>
        <w:ind w:firstLine="480" w:firstLineChars="200"/>
        <w:jc w:val="left"/>
        <w:textAlignment w:val="auto"/>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14:paraId="2BE83C73">
      <w:pPr>
        <w:pStyle w:val="35"/>
        <w:keepNext w:val="0"/>
        <w:keepLines w:val="0"/>
        <w:pageBreakBefore w:val="0"/>
        <w:kinsoku/>
        <w:wordWrap w:val="0"/>
        <w:overflowPunct/>
        <w:topLinePunct w:val="0"/>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14:paraId="6A8C1F20">
      <w:pPr>
        <w:pStyle w:val="35"/>
        <w:keepNext w:val="0"/>
        <w:keepLines w:val="0"/>
        <w:pageBreakBefore w:val="0"/>
        <w:kinsoku/>
        <w:wordWrap w:val="0"/>
        <w:overflowPunct/>
        <w:topLinePunct w:val="0"/>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EE0507D">
      <w:pPr>
        <w:pStyle w:val="6"/>
        <w:keepNext w:val="0"/>
        <w:keepLines w:val="0"/>
        <w:pageBreakBefore w:val="0"/>
        <w:kinsoku/>
        <w:wordWrap w:val="0"/>
        <w:overflowPunct/>
        <w:topLinePunct w:val="0"/>
        <w:bidi w:val="0"/>
        <w:snapToGrid w:val="0"/>
        <w:spacing w:beforeAutospacing="0" w:line="360" w:lineRule="auto"/>
        <w:ind w:firstLine="480" w:firstLineChars="200"/>
        <w:textAlignment w:val="auto"/>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14:paraId="695A7F6B">
      <w:pPr>
        <w:pStyle w:val="35"/>
        <w:keepNext w:val="0"/>
        <w:keepLines w:val="0"/>
        <w:pageBreakBefore w:val="0"/>
        <w:kinsoku/>
        <w:wordWrap w:val="0"/>
        <w:overflowPunct/>
        <w:topLinePunct w:val="0"/>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14:paraId="655FDE81">
      <w:pPr>
        <w:pStyle w:val="35"/>
        <w:keepNext w:val="0"/>
        <w:keepLines w:val="0"/>
        <w:pageBreakBefore w:val="0"/>
        <w:kinsoku/>
        <w:wordWrap w:val="0"/>
        <w:overflowPunct/>
        <w:topLinePunct w:val="0"/>
        <w:bidi w:val="0"/>
        <w:snapToGrid w:val="0"/>
        <w:spacing w:beforeAutospacing="0" w:line="360"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14:paraId="37B899ED">
      <w:pPr>
        <w:pStyle w:val="35"/>
        <w:keepNext w:val="0"/>
        <w:keepLines w:val="0"/>
        <w:pageBreakBefore w:val="0"/>
        <w:kinsoku/>
        <w:wordWrap w:val="0"/>
        <w:overflowPunct/>
        <w:topLinePunct w:val="0"/>
        <w:bidi w:val="0"/>
        <w:snapToGrid w:val="0"/>
        <w:spacing w:beforeAutospacing="0" w:line="360" w:lineRule="auto"/>
        <w:ind w:firstLine="480" w:firstLineChars="200"/>
        <w:textAlignment w:val="auto"/>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14:paraId="4FD700AA">
      <w:pPr>
        <w:pStyle w:val="35"/>
        <w:keepNext w:val="0"/>
        <w:keepLines w:val="0"/>
        <w:pageBreakBefore w:val="0"/>
        <w:kinsoku/>
        <w:wordWrap w:val="0"/>
        <w:overflowPunct/>
        <w:topLinePunct w:val="0"/>
        <w:bidi w:val="0"/>
        <w:snapToGrid w:val="0"/>
        <w:spacing w:beforeAutospacing="0" w:line="360" w:lineRule="auto"/>
        <w:ind w:firstLine="480" w:firstLineChars="200"/>
        <w:textAlignment w:val="auto"/>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14:paraId="687047F2">
      <w:pPr>
        <w:pStyle w:val="35"/>
        <w:keepNext w:val="0"/>
        <w:keepLines w:val="0"/>
        <w:pageBreakBefore w:val="0"/>
        <w:kinsoku/>
        <w:wordWrap w:val="0"/>
        <w:overflowPunct/>
        <w:topLinePunct w:val="0"/>
        <w:bidi w:val="0"/>
        <w:snapToGrid w:val="0"/>
        <w:spacing w:beforeAutospacing="0" w:line="360" w:lineRule="auto"/>
        <w:ind w:firstLine="480" w:firstLineChars="200"/>
        <w:textAlignment w:val="auto"/>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14:paraId="2E743E39">
      <w:pPr>
        <w:pStyle w:val="35"/>
        <w:keepNext w:val="0"/>
        <w:keepLines w:val="0"/>
        <w:pageBreakBefore w:val="0"/>
        <w:kinsoku/>
        <w:wordWrap w:val="0"/>
        <w:overflowPunct/>
        <w:topLinePunct w:val="0"/>
        <w:bidi w:val="0"/>
        <w:snapToGrid w:val="0"/>
        <w:spacing w:beforeAutospacing="0" w:line="360" w:lineRule="auto"/>
        <w:ind w:firstLine="480" w:firstLineChars="200"/>
        <w:textAlignment w:val="auto"/>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14:paraId="590351C3">
      <w:pPr>
        <w:pStyle w:val="35"/>
        <w:keepNext w:val="0"/>
        <w:keepLines w:val="0"/>
        <w:pageBreakBefore w:val="0"/>
        <w:kinsoku/>
        <w:wordWrap w:val="0"/>
        <w:overflowPunct/>
        <w:topLinePunct w:val="0"/>
        <w:bidi w:val="0"/>
        <w:snapToGrid w:val="0"/>
        <w:spacing w:beforeAutospacing="0" w:line="360" w:lineRule="auto"/>
        <w:ind w:firstLine="480" w:firstLineChars="200"/>
        <w:textAlignment w:val="auto"/>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14:paraId="54AED5DA">
      <w:pPr>
        <w:pStyle w:val="35"/>
        <w:keepNext w:val="0"/>
        <w:keepLines w:val="0"/>
        <w:pageBreakBefore w:val="0"/>
        <w:kinsoku/>
        <w:wordWrap w:val="0"/>
        <w:overflowPunct/>
        <w:topLinePunct w:val="0"/>
        <w:bidi w:val="0"/>
        <w:snapToGrid w:val="0"/>
        <w:spacing w:beforeAutospacing="0" w:line="360" w:lineRule="auto"/>
        <w:ind w:firstLine="480" w:firstLineChars="200"/>
        <w:textAlignment w:val="auto"/>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14:paraId="140F90EF">
      <w:pPr>
        <w:pStyle w:val="35"/>
        <w:keepNext w:val="0"/>
        <w:keepLines w:val="0"/>
        <w:pageBreakBefore w:val="0"/>
        <w:kinsoku/>
        <w:wordWrap w:val="0"/>
        <w:overflowPunct/>
        <w:topLinePunct w:val="0"/>
        <w:bidi w:val="0"/>
        <w:snapToGrid w:val="0"/>
        <w:spacing w:beforeAutospacing="0" w:line="360" w:lineRule="auto"/>
        <w:ind w:firstLine="480" w:firstLineChars="200"/>
        <w:textAlignment w:val="auto"/>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14:paraId="384472AE">
      <w:pPr>
        <w:pStyle w:val="886"/>
        <w:keepNext w:val="0"/>
        <w:keepLines w:val="0"/>
        <w:pageBreakBefore w:val="0"/>
        <w:shd w:val="clear" w:color="auto" w:fill="FFFFFF"/>
        <w:kinsoku/>
        <w:wordWrap w:val="0"/>
        <w:overflowPunct/>
        <w:topLinePunct w:val="0"/>
        <w:bidi w:val="0"/>
        <w:snapToGrid w:val="0"/>
        <w:spacing w:before="0" w:beforeAutospacing="0" w:after="0" w:afterAutospacing="0" w:line="360" w:lineRule="auto"/>
        <w:ind w:firstLine="480" w:firstLineChars="200"/>
        <w:contextualSpacing/>
        <w:textAlignment w:val="auto"/>
        <w:rPr>
          <w:rFonts w:ascii="仿宋_GB2312" w:hAnsi="仿宋" w:eastAsia="仿宋_GB2312"/>
          <w:highlight w:val="none"/>
        </w:rPr>
      </w:pPr>
      <w:r>
        <w:rPr>
          <w:rFonts w:hint="eastAsia" w:ascii="仿宋_GB2312" w:hAnsi="仿宋" w:eastAsia="仿宋_GB2312"/>
          <w:highlight w:val="none"/>
        </w:rPr>
        <w:t>供应商提交的质疑函需一式三份。供应商为自然人的，应当由本人签字；供应商为法人或者其他组织的，应当由法定代表人、主要负责人，或者其授权代表签字或者盖章，并加盖公章。</w:t>
      </w:r>
    </w:p>
    <w:p w14:paraId="6DA563E6">
      <w:pPr>
        <w:pStyle w:val="886"/>
        <w:keepNext w:val="0"/>
        <w:keepLines w:val="0"/>
        <w:pageBreakBefore w:val="0"/>
        <w:shd w:val="clear" w:color="auto" w:fill="FFFFFF"/>
        <w:kinsoku/>
        <w:wordWrap w:val="0"/>
        <w:overflowPunct/>
        <w:topLinePunct w:val="0"/>
        <w:bidi w:val="0"/>
        <w:snapToGrid w:val="0"/>
        <w:spacing w:before="0" w:beforeAutospacing="0" w:after="0" w:afterAutospacing="0" w:line="360" w:lineRule="auto"/>
        <w:ind w:firstLine="480" w:firstLineChars="200"/>
        <w:contextualSpacing/>
        <w:textAlignment w:val="auto"/>
        <w:rPr>
          <w:rFonts w:ascii="仿宋_GB2312" w:hAnsi="仿宋" w:eastAsia="仿宋_GB2312"/>
          <w:highlight w:val="none"/>
        </w:rPr>
      </w:pPr>
      <w:r>
        <w:rPr>
          <w:rFonts w:hint="eastAsia" w:ascii="仿宋_GB2312" w:hAnsi="仿宋" w:eastAsia="仿宋_GB2312"/>
          <w:highlight w:val="none"/>
        </w:rPr>
        <w:t>质疑函范本及制作说明详见附件</w:t>
      </w:r>
      <w:r>
        <w:rPr>
          <w:rFonts w:ascii="仿宋_GB2312" w:hAnsi="仿宋" w:eastAsia="仿宋_GB2312"/>
          <w:highlight w:val="none"/>
        </w:rPr>
        <w:t>2。</w:t>
      </w:r>
    </w:p>
    <w:p w14:paraId="27BCAEFC">
      <w:pPr>
        <w:pStyle w:val="886"/>
        <w:keepNext w:val="0"/>
        <w:keepLines w:val="0"/>
        <w:pageBreakBefore w:val="0"/>
        <w:shd w:val="clear" w:color="auto" w:fill="FFFFFF"/>
        <w:kinsoku/>
        <w:wordWrap w:val="0"/>
        <w:overflowPunct/>
        <w:topLinePunct w:val="0"/>
        <w:bidi w:val="0"/>
        <w:snapToGrid w:val="0"/>
        <w:spacing w:before="0" w:beforeAutospacing="0" w:after="0" w:afterAutospacing="0" w:line="360" w:lineRule="auto"/>
        <w:ind w:firstLine="480" w:firstLineChars="200"/>
        <w:contextualSpacing/>
        <w:textAlignment w:val="auto"/>
        <w:rPr>
          <w:rFonts w:hint="eastAsia"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.4</w:t>
      </w:r>
      <w:r>
        <w:rPr>
          <w:rFonts w:hint="eastAsia" w:ascii="仿宋_GB2312" w:hAnsi="仿宋" w:eastAsia="仿宋_GB2312"/>
          <w:highlight w:val="none"/>
        </w:rPr>
        <w:t>采购人或者采购机构应当在收到供应商的书面质疑后七个工作日内作出答复，并以书面形式通知质疑供应商和其他与质疑处理结果有利害关系的政府采购当事人，但答复的内容不得涉及商业秘密。</w:t>
      </w:r>
    </w:p>
    <w:p w14:paraId="23AE5C3F">
      <w:pPr>
        <w:pStyle w:val="886"/>
        <w:keepNext w:val="0"/>
        <w:keepLines w:val="0"/>
        <w:pageBreakBefore w:val="0"/>
        <w:shd w:val="clear" w:color="auto" w:fill="FFFFFF"/>
        <w:kinsoku/>
        <w:wordWrap w:val="0"/>
        <w:overflowPunct/>
        <w:topLinePunct w:val="0"/>
        <w:bidi w:val="0"/>
        <w:snapToGrid w:val="0"/>
        <w:spacing w:before="0" w:beforeAutospacing="0" w:after="0" w:afterAutospacing="0" w:line="360" w:lineRule="auto"/>
        <w:ind w:firstLine="480" w:firstLineChars="200"/>
        <w:contextualSpacing/>
        <w:textAlignment w:val="auto"/>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.5询问或者质疑事项可能影响采购结果的，采购人应当暂停签订合同，已经签订合同的，应当中止履行合同。</w:t>
      </w:r>
    </w:p>
    <w:p w14:paraId="48FDEE04">
      <w:pPr>
        <w:pStyle w:val="886"/>
        <w:keepNext w:val="0"/>
        <w:keepLines w:val="0"/>
        <w:pageBreakBefore w:val="0"/>
        <w:shd w:val="clear" w:color="auto" w:fill="FFFFFF"/>
        <w:kinsoku/>
        <w:wordWrap w:val="0"/>
        <w:overflowPunct/>
        <w:topLinePunct w:val="0"/>
        <w:bidi w:val="0"/>
        <w:snapToGrid w:val="0"/>
        <w:spacing w:before="0" w:beforeAutospacing="0" w:after="0" w:afterAutospacing="0" w:line="360" w:lineRule="auto"/>
        <w:ind w:firstLine="480" w:firstLineChars="200"/>
        <w:contextualSpacing/>
        <w:textAlignment w:val="auto"/>
        <w:rPr>
          <w:rFonts w:ascii="仿宋_GB2312" w:hAnsi="仿宋" w:eastAsia="仿宋_GB2312" w:cs="微软雅黑"/>
          <w:highlight w:val="none"/>
          <w:lang w:val="zh-CN"/>
        </w:rPr>
      </w:pPr>
      <w:r>
        <w:rPr>
          <w:rFonts w:ascii="仿宋_GB2312" w:hAnsi="仿宋" w:eastAsia="仿宋_GB2312" w:cs="微软雅黑"/>
          <w:highlight w:val="none"/>
          <w:lang w:val="zh-CN"/>
        </w:rPr>
        <w:t>4.3供应商投诉</w:t>
      </w:r>
    </w:p>
    <w:p w14:paraId="4CC3AF5B">
      <w:pPr>
        <w:pStyle w:val="886"/>
        <w:keepNext w:val="0"/>
        <w:keepLines w:val="0"/>
        <w:pageBreakBefore w:val="0"/>
        <w:shd w:val="clear" w:color="auto" w:fill="FFFFFF"/>
        <w:kinsoku/>
        <w:wordWrap w:val="0"/>
        <w:overflowPunct/>
        <w:topLinePunct w:val="0"/>
        <w:bidi w:val="0"/>
        <w:snapToGrid w:val="0"/>
        <w:spacing w:before="0" w:beforeAutospacing="0" w:after="0" w:afterAutospacing="0" w:line="360" w:lineRule="auto"/>
        <w:ind w:firstLine="480" w:firstLineChars="200"/>
        <w:contextualSpacing/>
        <w:textAlignment w:val="auto"/>
        <w:rPr>
          <w:rFonts w:ascii="仿宋_GB2312" w:hAnsi="仿宋" w:eastAsia="仿宋_GB2312"/>
          <w:highlight w:val="none"/>
        </w:rPr>
      </w:pPr>
      <w:r>
        <w:rPr>
          <w:rFonts w:ascii="仿宋_GB2312" w:hAnsi="仿宋" w:eastAsia="仿宋_GB2312"/>
          <w:highlight w:val="none"/>
        </w:rPr>
        <w:t>4.3.1质疑供应商对采购人、采购机构的答复不满意或者采购人、采购机构未在规定的时间内</w:t>
      </w:r>
      <w:r>
        <w:rPr>
          <w:rFonts w:hint="eastAsia" w:ascii="仿宋_GB2312" w:hAnsi="仿宋" w:eastAsia="仿宋_GB2312"/>
          <w:highlight w:val="none"/>
        </w:rPr>
        <w:t>作出答复的，可以在答复期满后十五个工作日内向同级政府采购监督管理部门提出投诉。</w:t>
      </w:r>
    </w:p>
    <w:p w14:paraId="113AE731">
      <w:pPr>
        <w:pStyle w:val="886"/>
        <w:keepNext w:val="0"/>
        <w:keepLines w:val="0"/>
        <w:pageBreakBefore w:val="0"/>
        <w:shd w:val="clear" w:color="auto" w:fill="FFFFFF"/>
        <w:kinsoku/>
        <w:wordWrap w:val="0"/>
        <w:overflowPunct/>
        <w:topLinePunct w:val="0"/>
        <w:bidi w:val="0"/>
        <w:snapToGrid w:val="0"/>
        <w:spacing w:before="0" w:beforeAutospacing="0" w:after="0" w:afterAutospacing="0" w:line="360" w:lineRule="auto"/>
        <w:ind w:firstLine="480" w:firstLineChars="200"/>
        <w:contextualSpacing/>
        <w:textAlignment w:val="auto"/>
        <w:rPr>
          <w:rFonts w:ascii="仿宋_GB2312" w:hAnsi="仿宋" w:eastAsia="仿宋_GB2312"/>
          <w:highlight w:val="none"/>
        </w:rPr>
      </w:pPr>
      <w:r>
        <w:rPr>
          <w:rFonts w:ascii="仿宋_GB2312" w:hAnsi="仿宋" w:eastAsia="仿宋_GB2312"/>
          <w:highlight w:val="none"/>
        </w:rPr>
        <w:t>4.3.</w:t>
      </w:r>
      <w:r>
        <w:rPr>
          <w:rFonts w:ascii="仿宋_GB2312" w:hAnsi="仿宋" w:eastAsia="仿宋_GB2312" w:cs="微软雅黑"/>
          <w:highlight w:val="none"/>
          <w:lang w:val="zh-CN"/>
        </w:rPr>
        <w:t>2</w:t>
      </w:r>
      <w:r>
        <w:rPr>
          <w:rFonts w:hint="eastAsia" w:ascii="仿宋_GB2312" w:hAnsi="仿宋" w:eastAsia="仿宋_GB2312"/>
          <w:highlight w:val="none"/>
        </w:rPr>
        <w:t>供应商投诉的事项不得超出已质疑事项的范围，基于质疑答复内容提出的投诉事项除外。</w:t>
      </w:r>
    </w:p>
    <w:p w14:paraId="00FD8B06">
      <w:pPr>
        <w:pStyle w:val="886"/>
        <w:keepNext w:val="0"/>
        <w:keepLines w:val="0"/>
        <w:pageBreakBefore w:val="0"/>
        <w:shd w:val="clear" w:color="auto" w:fill="FFFFFF"/>
        <w:kinsoku/>
        <w:wordWrap w:val="0"/>
        <w:overflowPunct/>
        <w:topLinePunct w:val="0"/>
        <w:bidi w:val="0"/>
        <w:snapToGrid w:val="0"/>
        <w:spacing w:before="0" w:beforeAutospacing="0" w:after="0" w:afterAutospacing="0" w:line="360" w:lineRule="auto"/>
        <w:ind w:firstLine="480" w:firstLineChars="200"/>
        <w:contextualSpacing/>
        <w:textAlignment w:val="auto"/>
        <w:rPr>
          <w:rFonts w:ascii="仿宋_GB2312" w:hAnsi="仿宋" w:eastAsia="仿宋_GB2312"/>
          <w:highlight w:val="none"/>
        </w:rPr>
      </w:pPr>
      <w:r>
        <w:rPr>
          <w:rFonts w:ascii="仿宋_GB2312" w:hAnsi="仿宋" w:eastAsia="仿宋_GB2312"/>
          <w:highlight w:val="none"/>
        </w:rPr>
        <w:t>4.3.3供应</w:t>
      </w:r>
      <w:r>
        <w:rPr>
          <w:rFonts w:hint="eastAsia" w:ascii="仿宋_GB2312" w:hAnsi="仿宋" w:eastAsia="仿宋_GB2312"/>
          <w:highlight w:val="none"/>
        </w:rPr>
        <w:t>商投诉应当有明确的请求和必要的证明材料。</w:t>
      </w:r>
    </w:p>
    <w:p w14:paraId="70DF36F7">
      <w:pPr>
        <w:pStyle w:val="886"/>
        <w:keepNext w:val="0"/>
        <w:keepLines w:val="0"/>
        <w:pageBreakBefore w:val="0"/>
        <w:shd w:val="clear" w:color="auto" w:fill="FFFFFF"/>
        <w:kinsoku/>
        <w:wordWrap w:val="0"/>
        <w:overflowPunct/>
        <w:topLinePunct w:val="0"/>
        <w:bidi w:val="0"/>
        <w:snapToGrid w:val="0"/>
        <w:spacing w:before="0" w:beforeAutospacing="0" w:after="0" w:afterAutospacing="0" w:line="360" w:lineRule="auto"/>
        <w:ind w:firstLine="480" w:firstLineChars="200"/>
        <w:contextualSpacing/>
        <w:textAlignment w:val="auto"/>
        <w:rPr>
          <w:rFonts w:ascii="仿宋_GB2312" w:hAnsi="仿宋" w:eastAsia="仿宋_GB2312"/>
          <w:highlight w:val="none"/>
        </w:rPr>
      </w:pPr>
      <w:r>
        <w:rPr>
          <w:rFonts w:ascii="仿宋_GB2312" w:hAnsi="仿宋" w:eastAsia="仿宋_GB2312"/>
          <w:highlight w:val="none"/>
        </w:rPr>
        <w:t xml:space="preserve">4.3.5 </w:t>
      </w:r>
      <w:r>
        <w:rPr>
          <w:rFonts w:hint="eastAsia" w:ascii="仿宋_GB2312" w:hAnsi="仿宋" w:eastAsia="仿宋_GB2312"/>
          <w:highlight w:val="none"/>
        </w:rPr>
        <w:t>以联合体形式参加政府采购活动的，其投诉应当由组成联合体的所有供应商共同提出。</w:t>
      </w:r>
    </w:p>
    <w:p w14:paraId="5E2A4D09">
      <w:pPr>
        <w:pStyle w:val="886"/>
        <w:keepNext w:val="0"/>
        <w:keepLines w:val="0"/>
        <w:pageBreakBefore w:val="0"/>
        <w:shd w:val="clear" w:color="auto" w:fill="FFFFFF"/>
        <w:kinsoku/>
        <w:wordWrap w:val="0"/>
        <w:overflowPunct/>
        <w:topLinePunct w:val="0"/>
        <w:bidi w:val="0"/>
        <w:snapToGrid w:val="0"/>
        <w:spacing w:before="0" w:beforeAutospacing="0" w:after="0" w:afterAutospacing="0" w:line="360" w:lineRule="auto"/>
        <w:ind w:firstLine="480" w:firstLineChars="200"/>
        <w:contextualSpacing/>
        <w:textAlignment w:val="auto"/>
        <w:rPr>
          <w:rFonts w:ascii="仿宋_GB2312" w:hAnsi="仿宋" w:eastAsia="仿宋_GB2312"/>
          <w:highlight w:val="none"/>
        </w:rPr>
      </w:pPr>
      <w:r>
        <w:rPr>
          <w:rFonts w:hint="eastAsia" w:ascii="仿宋_GB2312" w:hAnsi="仿宋" w:eastAsia="仿宋_GB2312"/>
          <w:highlight w:val="none"/>
        </w:rPr>
        <w:t>投诉书范本及制作说明详见附件</w:t>
      </w:r>
      <w:r>
        <w:rPr>
          <w:rFonts w:ascii="仿宋_GB2312" w:hAnsi="仿宋" w:eastAsia="仿宋_GB2312"/>
          <w:highlight w:val="none"/>
        </w:rPr>
        <w:t>3。</w:t>
      </w:r>
    </w:p>
    <w:p w14:paraId="755773E4">
      <w:pPr>
        <w:pStyle w:val="128"/>
        <w:kinsoku/>
        <w:wordWrap w:val="0"/>
        <w:topLinePunct w:val="0"/>
        <w:bidi w:val="0"/>
        <w:snapToGrid w:val="0"/>
        <w:spacing w:before="0"/>
        <w:ind w:firstLine="360"/>
        <w:rPr>
          <w:rFonts w:ascii="仿宋_GB2312" w:hAnsi="仿宋" w:eastAsia="仿宋_GB2312" w:cs="仿宋_GB2312"/>
          <w:sz w:val="18"/>
          <w:szCs w:val="18"/>
          <w:highlight w:val="none"/>
        </w:rPr>
      </w:pPr>
    </w:p>
    <w:p w14:paraId="56D4D331">
      <w:pPr>
        <w:kinsoku/>
        <w:wordWrap w:val="0"/>
        <w:topLinePunct w:val="0"/>
        <w:bidi w:val="0"/>
        <w:adjustRightInd/>
        <w:spacing w:line="360" w:lineRule="auto"/>
        <w:jc w:val="center"/>
        <w:outlineLvl w:val="0"/>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二、招标文件的构成、澄清、修改</w:t>
      </w:r>
    </w:p>
    <w:p w14:paraId="0C47EA4D">
      <w:pPr>
        <w:pStyle w:val="35"/>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5．招标文件的构成</w:t>
      </w:r>
    </w:p>
    <w:p w14:paraId="02E0B2BF">
      <w:pPr>
        <w:pStyle w:val="35"/>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14:paraId="2EB76C78">
      <w:pPr>
        <w:pStyle w:val="35"/>
        <w:keepNext w:val="0"/>
        <w:keepLines w:val="0"/>
        <w:pageBreakBefore w:val="0"/>
        <w:widowControl w:val="0"/>
        <w:tabs>
          <w:tab w:val="left" w:pos="840"/>
        </w:tabs>
        <w:kinsoku/>
        <w:wordWrap w:val="0"/>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14:paraId="48518E38">
      <w:pPr>
        <w:pStyle w:val="35"/>
        <w:keepNext w:val="0"/>
        <w:keepLines w:val="0"/>
        <w:pageBreakBefore w:val="0"/>
        <w:widowControl w:val="0"/>
        <w:tabs>
          <w:tab w:val="left" w:pos="840"/>
        </w:tabs>
        <w:kinsoku/>
        <w:wordWrap w:val="0"/>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14:paraId="7A32DCF9">
      <w:pPr>
        <w:pStyle w:val="35"/>
        <w:keepNext w:val="0"/>
        <w:keepLines w:val="0"/>
        <w:pageBreakBefore w:val="0"/>
        <w:widowControl w:val="0"/>
        <w:tabs>
          <w:tab w:val="left" w:pos="840"/>
        </w:tabs>
        <w:kinsoku/>
        <w:wordWrap w:val="0"/>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14:paraId="713762B3">
      <w:pPr>
        <w:pStyle w:val="35"/>
        <w:keepNext w:val="0"/>
        <w:keepLines w:val="0"/>
        <w:pageBreakBefore w:val="0"/>
        <w:widowControl w:val="0"/>
        <w:tabs>
          <w:tab w:val="left" w:pos="840"/>
        </w:tabs>
        <w:kinsoku/>
        <w:wordWrap w:val="0"/>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14:paraId="2CFDF25C">
      <w:pPr>
        <w:pStyle w:val="35"/>
        <w:keepNext w:val="0"/>
        <w:keepLines w:val="0"/>
        <w:pageBreakBefore w:val="0"/>
        <w:widowControl w:val="0"/>
        <w:tabs>
          <w:tab w:val="left" w:pos="840"/>
        </w:tabs>
        <w:kinsoku/>
        <w:wordWrap w:val="0"/>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14:paraId="3711CEED">
      <w:pPr>
        <w:pStyle w:val="35"/>
        <w:keepNext w:val="0"/>
        <w:keepLines w:val="0"/>
        <w:pageBreakBefore w:val="0"/>
        <w:widowControl w:val="0"/>
        <w:tabs>
          <w:tab w:val="left" w:pos="840"/>
        </w:tabs>
        <w:kinsoku/>
        <w:wordWrap w:val="0"/>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14:paraId="02556C09">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14:paraId="4710E165">
      <w:pPr>
        <w:pStyle w:val="35"/>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6. </w:t>
      </w:r>
      <w:r>
        <w:rPr>
          <w:rFonts w:hint="eastAsia" w:ascii="仿宋_GB2312" w:hAnsi="仿宋" w:eastAsia="仿宋_GB2312" w:cs="仿宋_GB2312"/>
          <w:b/>
          <w:sz w:val="24"/>
          <w:szCs w:val="24"/>
          <w:highlight w:val="none"/>
        </w:rPr>
        <w:t>招标文件的澄清、修改</w:t>
      </w:r>
    </w:p>
    <w:p w14:paraId="02200EDC">
      <w:pPr>
        <w:pStyle w:val="128"/>
        <w:keepNext w:val="0"/>
        <w:keepLines w:val="0"/>
        <w:pageBreakBefore w:val="0"/>
        <w:widowControl w:val="0"/>
        <w:kinsoku/>
        <w:wordWrap w:val="0"/>
        <w:overflowPunct/>
        <w:topLinePunct w:val="0"/>
        <w:autoSpaceDE/>
        <w:autoSpaceDN/>
        <w:bidi w:val="0"/>
        <w:adjustRightInd w:val="0"/>
        <w:snapToGrid w:val="0"/>
        <w:spacing w:before="0"/>
        <w:ind w:firstLine="480" w:firstLineChars="200"/>
        <w:textAlignment w:val="auto"/>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14:paraId="4F6DBCE0">
      <w:pPr>
        <w:pStyle w:val="128"/>
        <w:keepNext w:val="0"/>
        <w:keepLines w:val="0"/>
        <w:pageBreakBefore w:val="0"/>
        <w:widowControl w:val="0"/>
        <w:kinsoku/>
        <w:wordWrap w:val="0"/>
        <w:overflowPunct/>
        <w:topLinePunct w:val="0"/>
        <w:autoSpaceDE/>
        <w:autoSpaceDN/>
        <w:bidi w:val="0"/>
        <w:adjustRightInd w:val="0"/>
        <w:snapToGrid w:val="0"/>
        <w:spacing w:before="0"/>
        <w:ind w:firstLine="480" w:firstLineChars="200"/>
        <w:textAlignment w:val="auto"/>
        <w:rPr>
          <w:rFonts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9A587DD">
      <w:pPr>
        <w:pStyle w:val="24"/>
        <w:kinsoku/>
        <w:wordWrap w:val="0"/>
        <w:topLinePunct w:val="0"/>
        <w:bidi w:val="0"/>
        <w:rPr>
          <w:rFonts w:ascii="仿宋_GB2312" w:hAnsi="仿宋" w:eastAsia="仿宋_GB2312" w:cs="仿宋_GB2312"/>
          <w:sz w:val="18"/>
          <w:szCs w:val="18"/>
          <w:highlight w:val="none"/>
          <w:lang w:val="en-US"/>
        </w:rPr>
      </w:pPr>
    </w:p>
    <w:p w14:paraId="3BD0D803">
      <w:pPr>
        <w:kinsoku/>
        <w:wordWrap w:val="0"/>
        <w:topLinePunct w:val="0"/>
        <w:bidi w:val="0"/>
        <w:adjustRightInd/>
        <w:spacing w:line="360" w:lineRule="auto"/>
        <w:jc w:val="center"/>
        <w:outlineLvl w:val="0"/>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14:paraId="36DC30D5">
      <w:pPr>
        <w:pStyle w:val="35"/>
        <w:keepNext w:val="0"/>
        <w:keepLines w:val="0"/>
        <w:pageBreakBefore w:val="0"/>
        <w:kinsoku/>
        <w:wordWrap w:val="0"/>
        <w:overflowPunct/>
        <w:topLinePunct w:val="0"/>
        <w:bidi w:val="0"/>
        <w:adjustRightInd w:val="0"/>
        <w:snapToGrid w:val="0"/>
        <w:spacing w:line="360" w:lineRule="auto"/>
        <w:ind w:firstLine="482" w:firstLineChars="200"/>
        <w:textAlignment w:val="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7. </w:t>
      </w:r>
      <w:r>
        <w:rPr>
          <w:rFonts w:hint="eastAsia" w:ascii="仿宋_GB2312" w:hAnsi="仿宋" w:eastAsia="仿宋_GB2312" w:cs="仿宋_GB2312"/>
          <w:b/>
          <w:sz w:val="24"/>
          <w:szCs w:val="24"/>
          <w:highlight w:val="none"/>
        </w:rPr>
        <w:t>招标文件的获取</w:t>
      </w:r>
    </w:p>
    <w:p w14:paraId="73557F21">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14:paraId="4791B712">
      <w:pPr>
        <w:pStyle w:val="35"/>
        <w:keepNext w:val="0"/>
        <w:keepLines w:val="0"/>
        <w:pageBreakBefore w:val="0"/>
        <w:kinsoku/>
        <w:wordWrap w:val="0"/>
        <w:overflowPunct/>
        <w:topLinePunct w:val="0"/>
        <w:bidi w:val="0"/>
        <w:adjustRightInd w:val="0"/>
        <w:snapToGrid w:val="0"/>
        <w:spacing w:line="360" w:lineRule="auto"/>
        <w:ind w:firstLine="482" w:firstLineChars="200"/>
        <w:textAlignment w:val="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8.开标前答疑会或现场考察</w:t>
      </w:r>
    </w:p>
    <w:p w14:paraId="6B92928D">
      <w:pPr>
        <w:pStyle w:val="35"/>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14:paraId="202D2669">
      <w:pPr>
        <w:pStyle w:val="35"/>
        <w:keepNext w:val="0"/>
        <w:keepLines w:val="0"/>
        <w:pageBreakBefore w:val="0"/>
        <w:kinsoku/>
        <w:wordWrap w:val="0"/>
        <w:overflowPunct/>
        <w:topLinePunct w:val="0"/>
        <w:bidi w:val="0"/>
        <w:adjustRightInd w:val="0"/>
        <w:snapToGrid w:val="0"/>
        <w:spacing w:line="360" w:lineRule="auto"/>
        <w:ind w:firstLine="482" w:firstLineChars="200"/>
        <w:textAlignment w:val="auto"/>
        <w:rPr>
          <w:rFonts w:ascii="仿宋_GB2312" w:hAnsi="仿宋" w:eastAsia="仿宋_GB2312" w:cs="仿宋_GB2312"/>
          <w:b/>
          <w:szCs w:val="24"/>
          <w:highlight w:val="none"/>
        </w:rPr>
      </w:pPr>
      <w:r>
        <w:rPr>
          <w:rFonts w:ascii="仿宋_GB2312" w:hAnsi="仿宋" w:eastAsia="仿宋_GB2312"/>
          <w:b/>
          <w:kern w:val="28"/>
          <w:sz w:val="24"/>
          <w:szCs w:val="24"/>
          <w:highlight w:val="none"/>
        </w:rPr>
        <w:t>9.投标保证金</w:t>
      </w:r>
    </w:p>
    <w:p w14:paraId="2ADCF48A">
      <w:pPr>
        <w:pStyle w:val="6"/>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509A5C37">
      <w:pPr>
        <w:pStyle w:val="35"/>
        <w:keepNext w:val="0"/>
        <w:keepLines w:val="0"/>
        <w:pageBreakBefore w:val="0"/>
        <w:kinsoku/>
        <w:wordWrap w:val="0"/>
        <w:overflowPunct/>
        <w:topLinePunct w:val="0"/>
        <w:bidi w:val="0"/>
        <w:adjustRightInd w:val="0"/>
        <w:snapToGrid w:val="0"/>
        <w:spacing w:line="360" w:lineRule="auto"/>
        <w:ind w:firstLine="482" w:firstLineChars="200"/>
        <w:textAlignment w:val="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10. </w:t>
      </w:r>
      <w:r>
        <w:rPr>
          <w:rFonts w:hint="eastAsia" w:ascii="仿宋_GB2312" w:hAnsi="仿宋" w:eastAsia="仿宋_GB2312" w:cs="仿宋_GB2312"/>
          <w:b/>
          <w:sz w:val="24"/>
          <w:szCs w:val="24"/>
          <w:highlight w:val="none"/>
        </w:rPr>
        <w:t>投标文件的语言</w:t>
      </w:r>
    </w:p>
    <w:p w14:paraId="290547E6">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textAlignment w:val="auto"/>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14:paraId="76742569">
      <w:pPr>
        <w:pStyle w:val="35"/>
        <w:keepNext w:val="0"/>
        <w:keepLines w:val="0"/>
        <w:pageBreakBefore w:val="0"/>
        <w:kinsoku/>
        <w:wordWrap w:val="0"/>
        <w:overflowPunct/>
        <w:topLinePunct w:val="0"/>
        <w:bidi w:val="0"/>
        <w:adjustRightInd w:val="0"/>
        <w:snapToGrid w:val="0"/>
        <w:spacing w:line="360" w:lineRule="auto"/>
        <w:ind w:firstLine="482" w:firstLineChars="200"/>
        <w:textAlignment w:val="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11. </w:t>
      </w:r>
      <w:r>
        <w:rPr>
          <w:rFonts w:hint="eastAsia" w:ascii="仿宋_GB2312" w:hAnsi="仿宋" w:eastAsia="仿宋_GB2312" w:cs="仿宋_GB2312"/>
          <w:b/>
          <w:sz w:val="24"/>
          <w:szCs w:val="24"/>
          <w:highlight w:val="none"/>
        </w:rPr>
        <w:t>投标文件的组成</w:t>
      </w:r>
    </w:p>
    <w:p w14:paraId="14F2F6D1">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14:paraId="67680175">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14:paraId="45207543">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p>
    <w:p w14:paraId="6F8D53F0">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hint="eastAsia" w:ascii="仿宋_GB2312" w:hAnsi="仿宋" w:eastAsia="仿宋_GB2312" w:cs="仿宋_GB2312"/>
          <w:sz w:val="24"/>
          <w:highlight w:val="none"/>
          <w:lang w:eastAsia="zh-CN"/>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lang w:eastAsia="zh-CN"/>
        </w:rPr>
        <w:t>；</w:t>
      </w:r>
    </w:p>
    <w:p w14:paraId="0773C1F8">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hint="eastAsia" w:ascii="仿宋_GB2312" w:hAnsi="仿宋" w:eastAsia="仿宋_GB2312" w:cs="仿宋_GB2312"/>
          <w:kern w:val="0"/>
          <w:sz w:val="24"/>
          <w:highlight w:val="none"/>
          <w:lang w:val="zh-CN"/>
        </w:rPr>
      </w:pPr>
      <w:r>
        <w:rPr>
          <w:rFonts w:ascii="仿宋_GB2312" w:hAnsi="仿宋" w:eastAsia="仿宋_GB2312" w:cs="仿宋_GB2312"/>
          <w:sz w:val="24"/>
          <w:highlight w:val="none"/>
        </w:rPr>
        <w:t>11.1.</w:t>
      </w:r>
      <w:r>
        <w:rPr>
          <w:rFonts w:hint="eastAsia" w:ascii="仿宋_GB2312" w:hAnsi="仿宋" w:eastAsia="仿宋_GB2312" w:cs="仿宋_GB2312"/>
          <w:sz w:val="24"/>
          <w:highlight w:val="none"/>
          <w:lang w:val="en-US" w:eastAsia="zh-CN"/>
        </w:rPr>
        <w:t>4</w:t>
      </w:r>
      <w:r>
        <w:rPr>
          <w:rFonts w:ascii="仿宋_GB2312" w:hAnsi="仿宋" w:eastAsia="仿宋_GB2312" w:cs="仿宋_GB2312"/>
          <w:kern w:val="0"/>
          <w:sz w:val="24"/>
          <w:highlight w:val="none"/>
          <w:lang w:val="zh-CN"/>
        </w:rPr>
        <w:t>投标人</w:t>
      </w:r>
      <w:r>
        <w:rPr>
          <w:rFonts w:hint="eastAsia" w:ascii="仿宋_GB2312" w:hAnsi="仿宋" w:eastAsia="仿宋_GB2312" w:cs="仿宋_GB2312"/>
          <w:kern w:val="0"/>
          <w:sz w:val="24"/>
          <w:highlight w:val="none"/>
          <w:lang w:val="zh-CN"/>
        </w:rPr>
        <w:t>营业执照（扫描件加盖公章）；</w:t>
      </w:r>
    </w:p>
    <w:p w14:paraId="57755178">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sz w:val="24"/>
          <w:highlight w:val="none"/>
          <w:lang w:val="en-US" w:eastAsia="zh-CN"/>
        </w:rPr>
        <w:t>5</w:t>
      </w:r>
      <w:r>
        <w:rPr>
          <w:rFonts w:ascii="仿宋_GB2312" w:hAnsi="仿宋" w:eastAsia="仿宋_GB2312" w:cs="仿宋_GB2312"/>
          <w:kern w:val="0"/>
          <w:sz w:val="24"/>
          <w:highlight w:val="none"/>
          <w:lang w:val="zh-CN"/>
        </w:rPr>
        <w:t>投标人</w:t>
      </w:r>
      <w:r>
        <w:rPr>
          <w:rFonts w:hint="eastAsia" w:ascii="仿宋_GB2312" w:hAnsi="仿宋" w:eastAsia="仿宋_GB2312" w:cs="仿宋_GB2312"/>
          <w:kern w:val="0"/>
          <w:sz w:val="24"/>
          <w:highlight w:val="none"/>
          <w:lang w:val="zh-CN"/>
        </w:rPr>
        <w:t>应商近期财务报表（扫描件加盖公章，新成立企业应提供情况说明）</w:t>
      </w:r>
      <w:r>
        <w:rPr>
          <w:rFonts w:ascii="仿宋_GB2312" w:hAnsi="仿宋" w:eastAsia="仿宋_GB2312" w:cs="仿宋_GB2312"/>
          <w:sz w:val="24"/>
          <w:highlight w:val="none"/>
        </w:rPr>
        <w:t>。</w:t>
      </w:r>
    </w:p>
    <w:p w14:paraId="25148EF6">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14:paraId="7691E4A7">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14:paraId="300F4614">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14:paraId="44AD5EF8">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11.2.3联合协议；</w:t>
      </w:r>
    </w:p>
    <w:p w14:paraId="3B4BA526">
      <w:pPr>
        <w:keepNext w:val="0"/>
        <w:keepLines w:val="0"/>
        <w:pageBreakBefore w:val="0"/>
        <w:tabs>
          <w:tab w:val="center" w:pos="4535"/>
        </w:tabs>
        <w:kinsoku/>
        <w:wordWrap w:val="0"/>
        <w:overflowPunct/>
        <w:topLinePunct w:val="0"/>
        <w:bidi w:val="0"/>
        <w:adjustRightInd w:val="0"/>
        <w:snapToGrid w:val="0"/>
        <w:spacing w:line="360" w:lineRule="auto"/>
        <w:ind w:firstLine="480" w:firstLineChars="200"/>
        <w:textAlignment w:val="auto"/>
        <w:rPr>
          <w:rFonts w:hint="eastAsia" w:ascii="仿宋_GB2312" w:hAnsi="仿宋" w:eastAsia="仿宋_GB2312" w:cs="仿宋_GB2312"/>
          <w:sz w:val="24"/>
          <w:highlight w:val="none"/>
          <w:lang w:eastAsia="zh-CN"/>
        </w:rPr>
      </w:pPr>
      <w:r>
        <w:rPr>
          <w:rFonts w:ascii="仿宋_GB2312" w:hAnsi="仿宋" w:eastAsia="仿宋_GB2312" w:cs="仿宋_GB2312"/>
          <w:sz w:val="24"/>
          <w:highlight w:val="none"/>
        </w:rPr>
        <w:t>11.2.4分包意向协议；</w:t>
      </w:r>
      <w:r>
        <w:rPr>
          <w:rFonts w:hint="eastAsia" w:ascii="仿宋_GB2312" w:hAnsi="仿宋" w:eastAsia="仿宋_GB2312" w:cs="仿宋_GB2312"/>
          <w:sz w:val="24"/>
          <w:highlight w:val="none"/>
          <w:lang w:eastAsia="zh-CN"/>
        </w:rPr>
        <w:tab/>
      </w:r>
    </w:p>
    <w:p w14:paraId="047FAA7E">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14:paraId="21449D2E">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14:paraId="1CAAEDE2">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11.2.7商务技术偏离表；</w:t>
      </w:r>
    </w:p>
    <w:p w14:paraId="1460AAF6">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14:paraId="6832620E">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14:paraId="7DDA81B8">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14:paraId="15D57817">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11.3.2中小企业声明函。</w:t>
      </w:r>
    </w:p>
    <w:p w14:paraId="6910264B">
      <w:pPr>
        <w:keepNext w:val="0"/>
        <w:keepLines w:val="0"/>
        <w:pageBreakBefore w:val="0"/>
        <w:kinsoku/>
        <w:wordWrap w:val="0"/>
        <w:overflowPunct/>
        <w:topLinePunct w:val="0"/>
        <w:bidi w:val="0"/>
        <w:adjustRightInd w:val="0"/>
        <w:snapToGrid w:val="0"/>
        <w:spacing w:line="360" w:lineRule="auto"/>
        <w:ind w:firstLine="482" w:firstLineChars="200"/>
        <w:textAlignment w:val="auto"/>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14:paraId="4D88CF31">
      <w:pPr>
        <w:keepNext w:val="0"/>
        <w:keepLines w:val="0"/>
        <w:pageBreakBefore w:val="0"/>
        <w:kinsoku/>
        <w:wordWrap w:val="0"/>
        <w:overflowPunct/>
        <w:topLinePunct w:val="0"/>
        <w:bidi w:val="0"/>
        <w:adjustRightInd w:val="0"/>
        <w:snapToGrid w:val="0"/>
        <w:spacing w:line="360" w:lineRule="auto"/>
        <w:ind w:firstLine="482" w:firstLineChars="200"/>
        <w:textAlignment w:val="auto"/>
        <w:rPr>
          <w:rFonts w:ascii="仿宋_GB2312" w:hAnsi="仿宋" w:eastAsia="仿宋_GB2312" w:cs="仿宋_GB2312"/>
          <w:b/>
          <w:sz w:val="24"/>
          <w:szCs w:val="21"/>
          <w:highlight w:val="none"/>
        </w:rPr>
      </w:pPr>
      <w:r>
        <w:rPr>
          <w:rFonts w:hint="eastAsia" w:ascii="仿宋_GB2312" w:hAnsi="仿宋" w:eastAsia="仿宋_GB2312"/>
          <w:b/>
          <w:sz w:val="24"/>
          <w:highlight w:val="none"/>
        </w:rPr>
        <w:t>投标人提供虚假材料投标的，投标无效。</w:t>
      </w:r>
    </w:p>
    <w:p w14:paraId="776C9DC8">
      <w:pPr>
        <w:pStyle w:val="128"/>
        <w:keepNext w:val="0"/>
        <w:keepLines w:val="0"/>
        <w:pageBreakBefore w:val="0"/>
        <w:kinsoku/>
        <w:wordWrap w:val="0"/>
        <w:overflowPunct/>
        <w:topLinePunct w:val="0"/>
        <w:bidi w:val="0"/>
        <w:adjustRightInd w:val="0"/>
        <w:snapToGrid w:val="0"/>
        <w:spacing w:before="0"/>
        <w:ind w:firstLine="482" w:firstLineChars="200"/>
        <w:textAlignment w:val="auto"/>
        <w:outlineLvl w:val="0"/>
        <w:rPr>
          <w:rFonts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 xml:space="preserve">. </w:t>
      </w:r>
      <w:r>
        <w:rPr>
          <w:rFonts w:hint="eastAsia" w:ascii="仿宋_GB2312" w:hAnsi="仿宋" w:eastAsia="仿宋_GB2312" w:cs="仿宋_GB2312"/>
          <w:b/>
          <w:szCs w:val="24"/>
          <w:highlight w:val="none"/>
        </w:rPr>
        <w:t>投标文件的编制</w:t>
      </w:r>
    </w:p>
    <w:p w14:paraId="1675496F">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14:paraId="783CF4F5">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14:paraId="4B489077">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CA数字证书，申领流程请自行前往“浙江政府采购网-下载专区-电子交易客户端-CA驱动和申领流程”进行查阅。</w:t>
      </w:r>
    </w:p>
    <w:p w14:paraId="5481B619">
      <w:pPr>
        <w:keepNext w:val="0"/>
        <w:keepLines w:val="0"/>
        <w:pageBreakBefore w:val="0"/>
        <w:kinsoku/>
        <w:wordWrap w:val="0"/>
        <w:overflowPunct/>
        <w:topLinePunct w:val="0"/>
        <w:bidi w:val="0"/>
        <w:adjustRightInd w:val="0"/>
        <w:snapToGrid w:val="0"/>
        <w:spacing w:line="360" w:lineRule="auto"/>
        <w:ind w:firstLine="482" w:firstLineChars="200"/>
        <w:textAlignment w:val="auto"/>
        <w:rPr>
          <w:rFonts w:ascii="仿宋_GB2312" w:hAnsi="仿宋" w:eastAsia="仿宋_GB2312"/>
          <w:b/>
          <w:sz w:val="24"/>
          <w:highlight w:val="none"/>
        </w:rPr>
      </w:pPr>
      <w:r>
        <w:rPr>
          <w:rFonts w:ascii="仿宋_GB2312" w:hAnsi="仿宋" w:eastAsia="仿宋_GB2312"/>
          <w:b/>
          <w:sz w:val="24"/>
          <w:highlight w:val="none"/>
        </w:rPr>
        <w:t>13.投标文件的签署、盖章</w:t>
      </w:r>
    </w:p>
    <w:p w14:paraId="04B86CF2">
      <w:pPr>
        <w:pStyle w:val="128"/>
        <w:keepNext w:val="0"/>
        <w:keepLines w:val="0"/>
        <w:pageBreakBefore w:val="0"/>
        <w:kinsoku/>
        <w:wordWrap w:val="0"/>
        <w:overflowPunct/>
        <w:topLinePunct w:val="0"/>
        <w:bidi w:val="0"/>
        <w:adjustRightInd w:val="0"/>
        <w:snapToGrid w:val="0"/>
        <w:spacing w:before="0"/>
        <w:ind w:firstLine="480" w:firstLineChars="200"/>
        <w:textAlignment w:val="auto"/>
        <w:rPr>
          <w:rFonts w:ascii="仿宋_GB2312" w:hAnsi="仿宋" w:eastAsia="仿宋_GB2312" w:cs="仿宋_GB2312"/>
          <w:b/>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14:paraId="07249BEC">
      <w:pPr>
        <w:pStyle w:val="128"/>
        <w:keepNext w:val="0"/>
        <w:keepLines w:val="0"/>
        <w:pageBreakBefore w:val="0"/>
        <w:kinsoku/>
        <w:wordWrap w:val="0"/>
        <w:overflowPunct/>
        <w:topLinePunct w:val="0"/>
        <w:bidi w:val="0"/>
        <w:adjustRightInd w:val="0"/>
        <w:snapToGrid w:val="0"/>
        <w:spacing w:before="0"/>
        <w:ind w:firstLine="480" w:firstLineChars="200"/>
        <w:textAlignment w:val="auto"/>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14:paraId="4F59C3DB">
      <w:pPr>
        <w:pStyle w:val="128"/>
        <w:keepNext w:val="0"/>
        <w:keepLines w:val="0"/>
        <w:pageBreakBefore w:val="0"/>
        <w:kinsoku/>
        <w:wordWrap w:val="0"/>
        <w:overflowPunct/>
        <w:topLinePunct w:val="0"/>
        <w:bidi w:val="0"/>
        <w:adjustRightInd w:val="0"/>
        <w:snapToGrid w:val="0"/>
        <w:spacing w:before="0"/>
        <w:ind w:firstLine="480" w:firstLineChars="200"/>
        <w:textAlignment w:val="auto"/>
        <w:rPr>
          <w:rFonts w:ascii="仿宋_GB2312" w:hAnsi="仿宋" w:eastAsia="仿宋_GB2312" w:cs="仿宋_GB2312"/>
          <w:szCs w:val="24"/>
          <w:highlight w:val="none"/>
        </w:rPr>
      </w:pPr>
      <w:r>
        <w:rPr>
          <w:rFonts w:ascii="仿宋_GB2312" w:hAnsi="仿宋" w:eastAsia="仿宋_GB2312" w:cs="仿宋_GB2312"/>
          <w:highlight w:val="none"/>
        </w:rPr>
        <w:t>13.3招标文件对投标文件签署、盖章的要求适用于电子签名。</w:t>
      </w:r>
    </w:p>
    <w:p w14:paraId="7CC9D232">
      <w:pPr>
        <w:pStyle w:val="128"/>
        <w:keepNext w:val="0"/>
        <w:keepLines w:val="0"/>
        <w:pageBreakBefore w:val="0"/>
        <w:kinsoku/>
        <w:wordWrap w:val="0"/>
        <w:overflowPunct/>
        <w:topLinePunct w:val="0"/>
        <w:bidi w:val="0"/>
        <w:adjustRightInd w:val="0"/>
        <w:snapToGrid w:val="0"/>
        <w:spacing w:before="0"/>
        <w:ind w:firstLine="482" w:firstLineChars="200"/>
        <w:textAlignment w:val="auto"/>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14. </w:t>
      </w:r>
      <w:r>
        <w:rPr>
          <w:rFonts w:hint="eastAsia" w:ascii="仿宋_GB2312" w:hAnsi="仿宋" w:eastAsia="仿宋_GB2312" w:cs="仿宋_GB2312"/>
          <w:b/>
          <w:szCs w:val="24"/>
          <w:highlight w:val="none"/>
        </w:rPr>
        <w:t>投标文件的提交、补充、修改、撤回</w:t>
      </w:r>
    </w:p>
    <w:p w14:paraId="429FB88F">
      <w:pPr>
        <w:pStyle w:val="128"/>
        <w:keepNext w:val="0"/>
        <w:keepLines w:val="0"/>
        <w:pageBreakBefore w:val="0"/>
        <w:kinsoku/>
        <w:wordWrap w:val="0"/>
        <w:overflowPunct/>
        <w:topLinePunct w:val="0"/>
        <w:bidi w:val="0"/>
        <w:adjustRightInd w:val="0"/>
        <w:snapToGrid w:val="0"/>
        <w:spacing w:before="0"/>
        <w:ind w:firstLine="480" w:firstLineChars="200"/>
        <w:textAlignment w:val="auto"/>
        <w:rPr>
          <w:rFonts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B67FE1">
      <w:pPr>
        <w:pStyle w:val="128"/>
        <w:keepNext w:val="0"/>
        <w:keepLines w:val="0"/>
        <w:pageBreakBefore w:val="0"/>
        <w:kinsoku/>
        <w:wordWrap w:val="0"/>
        <w:overflowPunct/>
        <w:topLinePunct w:val="0"/>
        <w:bidi w:val="0"/>
        <w:adjustRightInd w:val="0"/>
        <w:snapToGrid w:val="0"/>
        <w:spacing w:before="0"/>
        <w:ind w:firstLine="480" w:firstLineChars="200"/>
        <w:textAlignment w:val="auto"/>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374C943">
      <w:pPr>
        <w:pStyle w:val="128"/>
        <w:keepNext w:val="0"/>
        <w:keepLines w:val="0"/>
        <w:pageBreakBefore w:val="0"/>
        <w:kinsoku/>
        <w:wordWrap w:val="0"/>
        <w:overflowPunct/>
        <w:topLinePunct w:val="0"/>
        <w:bidi w:val="0"/>
        <w:adjustRightInd w:val="0"/>
        <w:snapToGrid w:val="0"/>
        <w:spacing w:before="0"/>
        <w:ind w:firstLine="480" w:firstLineChars="200"/>
        <w:textAlignment w:val="auto"/>
        <w:rPr>
          <w:rFonts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4D43557">
      <w:pPr>
        <w:pStyle w:val="35"/>
        <w:keepNext w:val="0"/>
        <w:keepLines w:val="0"/>
        <w:pageBreakBefore w:val="0"/>
        <w:kinsoku/>
        <w:wordWrap w:val="0"/>
        <w:overflowPunct/>
        <w:topLinePunct w:val="0"/>
        <w:bidi w:val="0"/>
        <w:adjustRightInd w:val="0"/>
        <w:snapToGrid w:val="0"/>
        <w:spacing w:line="360" w:lineRule="auto"/>
        <w:ind w:firstLine="482" w:firstLineChars="200"/>
        <w:textAlignment w:val="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15.备份投标文件</w:t>
      </w:r>
    </w:p>
    <w:p w14:paraId="40DF581C">
      <w:pPr>
        <w:pStyle w:val="35"/>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highlight w:val="none"/>
        </w:rPr>
        <w:t>但采购人、采购机构不强制或变相强制投标人提交备份投标文件。</w:t>
      </w:r>
    </w:p>
    <w:p w14:paraId="2EB54C85">
      <w:pPr>
        <w:pStyle w:val="35"/>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15.2备份投标文件须在“政</w:t>
      </w:r>
      <w:r>
        <w:rPr>
          <w:rFonts w:hint="eastAsia" w:ascii="仿宋_GB2312" w:hAnsi="仿宋" w:eastAsia="仿宋_GB2312" w:cs="仿宋_GB2312"/>
          <w:sz w:val="24"/>
          <w:szCs w:val="24"/>
          <w:highlight w:val="none"/>
        </w:rPr>
        <w:t>采云投标客户端”制作生成，并储存在</w:t>
      </w:r>
      <w:r>
        <w:rPr>
          <w:rFonts w:hint="eastAsia" w:ascii="仿宋_GB2312" w:hAnsi="仿宋" w:eastAsia="仿宋_GB2312"/>
          <w:sz w:val="24"/>
          <w:highlight w:val="none"/>
          <w:lang w:val="en-US" w:eastAsia="zh-CN"/>
        </w:rPr>
        <w:t>U</w:t>
      </w:r>
      <w:r>
        <w:rPr>
          <w:rFonts w:ascii="仿宋_GB2312" w:hAnsi="仿宋" w:eastAsia="仿宋_GB2312"/>
          <w:sz w:val="24"/>
          <w:highlight w:val="none"/>
        </w:rPr>
        <w:t>盘</w:t>
      </w:r>
      <w:r>
        <w:rPr>
          <w:rFonts w:hint="eastAsia" w:ascii="仿宋_GB2312" w:hAnsi="仿宋" w:eastAsia="仿宋_GB2312" w:cs="仿宋_GB2312"/>
          <w:sz w:val="24"/>
          <w:szCs w:val="24"/>
          <w:highlight w:val="none"/>
        </w:rPr>
        <w:t>中。备份投标文件应当密封包装并在包装上加盖公章并注明投标项目名称，投标人名称</w:t>
      </w:r>
      <w:r>
        <w:rPr>
          <w:rFonts w:ascii="仿宋_GB2312" w:hAnsi="仿宋" w:eastAsia="仿宋_GB2312" w:cs="仿宋_GB2312"/>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sz w:val="24"/>
          <w:highlight w:val="none"/>
        </w:rPr>
        <w:t>不符合上述制作、</w:t>
      </w:r>
      <w:r>
        <w:rPr>
          <w:rFonts w:hint="eastAsia" w:ascii="仿宋_GB2312" w:hAnsi="仿宋" w:eastAsia="仿宋_GB2312" w:cs="仿宋_GB2312"/>
          <w:b/>
          <w:sz w:val="24"/>
          <w:szCs w:val="24"/>
          <w:highlight w:val="none"/>
        </w:rPr>
        <w:t>存储、密封规定的备份投标文件将被视为无效或者被拒绝接收。</w:t>
      </w:r>
    </w:p>
    <w:p w14:paraId="26170AFD">
      <w:pPr>
        <w:pStyle w:val="35"/>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F508E55">
      <w:pPr>
        <w:pStyle w:val="35"/>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highlight w:val="none"/>
        </w:rPr>
        <w:t>招标文件第二部分投标人须知前附表规定的备份投标文件送达地点；</w:t>
      </w:r>
      <w:r>
        <w:rPr>
          <w:rFonts w:hint="eastAsia" w:ascii="仿宋_GB2312" w:hAnsi="仿宋" w:eastAsia="仿宋_GB2312" w:cs="仿宋_GB2312"/>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6C9442B3">
      <w:pPr>
        <w:pStyle w:val="35"/>
        <w:keepNext w:val="0"/>
        <w:keepLines w:val="0"/>
        <w:pageBreakBefore w:val="0"/>
        <w:kinsoku/>
        <w:wordWrap w:val="0"/>
        <w:overflowPunct/>
        <w:topLinePunct w:val="0"/>
        <w:bidi w:val="0"/>
        <w:adjustRightInd w:val="0"/>
        <w:snapToGrid w:val="0"/>
        <w:spacing w:line="360" w:lineRule="auto"/>
        <w:ind w:firstLine="482" w:firstLineChars="200"/>
        <w:textAlignment w:val="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15.5投标人仅提交备份投标文件，没有在电子交易平台传输递交投标文件的，投标无效。</w:t>
      </w:r>
    </w:p>
    <w:p w14:paraId="5D623CCA">
      <w:pPr>
        <w:pStyle w:val="128"/>
        <w:keepNext w:val="0"/>
        <w:keepLines w:val="0"/>
        <w:pageBreakBefore w:val="0"/>
        <w:kinsoku/>
        <w:wordWrap w:val="0"/>
        <w:overflowPunct/>
        <w:topLinePunct w:val="0"/>
        <w:bidi w:val="0"/>
        <w:adjustRightInd w:val="0"/>
        <w:snapToGrid w:val="0"/>
        <w:spacing w:before="0"/>
        <w:ind w:firstLine="482" w:firstLineChars="200"/>
        <w:textAlignment w:val="auto"/>
        <w:rPr>
          <w:rFonts w:ascii="仿宋_GB2312" w:hAnsi="仿宋" w:eastAsia="仿宋_GB2312" w:cs="仿宋_GB2312"/>
          <w:b/>
          <w:szCs w:val="24"/>
          <w:highlight w:val="none"/>
        </w:rPr>
      </w:pPr>
      <w:r>
        <w:rPr>
          <w:rFonts w:ascii="仿宋_GB2312" w:hAnsi="仿宋" w:eastAsia="仿宋_GB2312" w:cs="仿宋_GB2312"/>
          <w:b/>
          <w:szCs w:val="24"/>
          <w:highlight w:val="none"/>
        </w:rPr>
        <w:t>16.投标文件的无效处理</w:t>
      </w:r>
    </w:p>
    <w:p w14:paraId="5605C525">
      <w:pPr>
        <w:pStyle w:val="27"/>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szCs w:val="21"/>
          <w:highlight w:val="none"/>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w:t>
      </w:r>
      <w:r>
        <w:rPr>
          <w:rFonts w:hint="eastAsia" w:ascii="仿宋_GB2312" w:hAnsi="仿宋" w:eastAsia="仿宋_GB2312"/>
          <w:highlight w:val="none"/>
          <w:lang w:val="en-US" w:eastAsia="zh-CN"/>
        </w:rPr>
        <w:t>4.2</w:t>
      </w:r>
      <w:r>
        <w:rPr>
          <w:rFonts w:ascii="仿宋_GB2312" w:hAnsi="仿宋" w:eastAsia="仿宋_GB2312"/>
          <w:highlight w:val="none"/>
        </w:rPr>
        <w:t>项规定</w:t>
      </w:r>
      <w:r>
        <w:rPr>
          <w:rFonts w:hint="eastAsia" w:ascii="仿宋_GB2312" w:hAnsi="仿宋" w:eastAsia="仿宋_GB2312" w:cs="仿宋_GB2312"/>
          <w:szCs w:val="21"/>
          <w:highlight w:val="none"/>
        </w:rPr>
        <w:t>的情形之一的，投标无效：</w:t>
      </w:r>
    </w:p>
    <w:p w14:paraId="45DB4674">
      <w:pPr>
        <w:pStyle w:val="128"/>
        <w:keepNext w:val="0"/>
        <w:keepLines w:val="0"/>
        <w:pageBreakBefore w:val="0"/>
        <w:kinsoku/>
        <w:wordWrap w:val="0"/>
        <w:overflowPunct/>
        <w:topLinePunct w:val="0"/>
        <w:bidi w:val="0"/>
        <w:adjustRightInd w:val="0"/>
        <w:snapToGrid w:val="0"/>
        <w:spacing w:before="0"/>
        <w:ind w:firstLine="482" w:firstLineChars="200"/>
        <w:textAlignment w:val="auto"/>
        <w:rPr>
          <w:rFonts w:ascii="仿宋_GB2312" w:hAnsi="仿宋" w:eastAsia="仿宋_GB2312" w:cs="仿宋_GB2312"/>
          <w:b/>
          <w:szCs w:val="24"/>
          <w:highlight w:val="none"/>
        </w:rPr>
      </w:pPr>
      <w:r>
        <w:rPr>
          <w:rFonts w:ascii="仿宋_GB2312" w:hAnsi="仿宋" w:eastAsia="仿宋_GB2312" w:cs="仿宋_GB2312"/>
          <w:b/>
          <w:szCs w:val="24"/>
          <w:highlight w:val="none"/>
        </w:rPr>
        <w:t>17.投标有效期</w:t>
      </w:r>
    </w:p>
    <w:p w14:paraId="08607B8A">
      <w:pPr>
        <w:keepNext w:val="0"/>
        <w:keepLines w:val="0"/>
        <w:pageBreakBefore w:val="0"/>
        <w:kinsoku/>
        <w:wordWrap w:val="0"/>
        <w:overflowPunct/>
        <w:topLinePunct w:val="0"/>
        <w:bidi w:val="0"/>
        <w:adjustRightInd w:val="0"/>
        <w:snapToGrid w:val="0"/>
        <w:spacing w:line="360" w:lineRule="auto"/>
        <w:ind w:firstLine="480" w:firstLineChars="200"/>
        <w:textAlignment w:val="auto"/>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17.1投标有效期为从提交投标文件的截止之日起90天。▲</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14:paraId="3729C797">
      <w:pPr>
        <w:pStyle w:val="128"/>
        <w:keepNext w:val="0"/>
        <w:keepLines w:val="0"/>
        <w:pageBreakBefore w:val="0"/>
        <w:kinsoku/>
        <w:wordWrap w:val="0"/>
        <w:overflowPunct/>
        <w:topLinePunct w:val="0"/>
        <w:bidi w:val="0"/>
        <w:adjustRightInd w:val="0"/>
        <w:snapToGrid w:val="0"/>
        <w:spacing w:before="0"/>
        <w:ind w:firstLine="480" w:firstLineChars="200"/>
        <w:textAlignment w:val="auto"/>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14:paraId="3177AB36">
      <w:pPr>
        <w:pStyle w:val="128"/>
        <w:keepNext w:val="0"/>
        <w:keepLines w:val="0"/>
        <w:pageBreakBefore w:val="0"/>
        <w:kinsoku/>
        <w:wordWrap w:val="0"/>
        <w:overflowPunct/>
        <w:topLinePunct w:val="0"/>
        <w:bidi w:val="0"/>
        <w:adjustRightInd w:val="0"/>
        <w:snapToGrid w:val="0"/>
        <w:spacing w:before="0"/>
        <w:ind w:firstLine="480" w:firstLineChars="200"/>
        <w:textAlignment w:val="auto"/>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62D297C">
      <w:pPr>
        <w:pStyle w:val="128"/>
        <w:kinsoku/>
        <w:wordWrap w:val="0"/>
        <w:topLinePunct w:val="0"/>
        <w:bidi w:val="0"/>
        <w:spacing w:before="0"/>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14:paraId="3BCB643D">
      <w:pPr>
        <w:pStyle w:val="554"/>
        <w:keepNext w:val="0"/>
        <w:keepLines w:val="0"/>
        <w:pageBreakBefore w:val="0"/>
        <w:kinsoku/>
        <w:wordWrap w:val="0"/>
        <w:overflowPunct/>
        <w:topLinePunct w:val="0"/>
        <w:bidi w:val="0"/>
        <w:adjustRightInd w:val="0"/>
        <w:snapToGrid w:val="0"/>
        <w:spacing w:before="0" w:beforeAutospacing="0" w:line="360" w:lineRule="auto"/>
        <w:ind w:left="0" w:firstLine="482" w:firstLineChars="200"/>
        <w:contextualSpacing/>
        <w:textAlignment w:val="auto"/>
        <w:rPr>
          <w:rFonts w:ascii="仿宋_GB2312" w:eastAsia="仿宋_GB2312"/>
          <w:sz w:val="24"/>
          <w:highlight w:val="none"/>
        </w:rPr>
      </w:pPr>
      <w:r>
        <w:rPr>
          <w:rFonts w:ascii="仿宋_GB2312" w:hAnsi="仿宋" w:eastAsia="仿宋_GB2312" w:cs="仿宋_GB2312"/>
          <w:b/>
          <w:sz w:val="24"/>
          <w:szCs w:val="24"/>
          <w:highlight w:val="none"/>
        </w:rPr>
        <w:t>18.开标</w:t>
      </w:r>
      <w:r>
        <w:rPr>
          <w:rFonts w:ascii="仿宋_GB2312" w:eastAsia="仿宋_GB2312"/>
          <w:sz w:val="24"/>
          <w:highlight w:val="none"/>
        </w:rPr>
        <w:t xml:space="preserve"> </w:t>
      </w:r>
    </w:p>
    <w:p w14:paraId="071C38BC">
      <w:pPr>
        <w:pStyle w:val="554"/>
        <w:keepNext w:val="0"/>
        <w:keepLines w:val="0"/>
        <w:pageBreakBefore w:val="0"/>
        <w:kinsoku/>
        <w:wordWrap w:val="0"/>
        <w:overflowPunct/>
        <w:topLinePunct w:val="0"/>
        <w:bidi w:val="0"/>
        <w:adjustRightInd w:val="0"/>
        <w:snapToGrid w:val="0"/>
        <w:spacing w:before="0" w:beforeAutospacing="0" w:line="360" w:lineRule="auto"/>
        <w:ind w:left="0" w:firstLine="480" w:firstLineChars="200"/>
        <w:contextualSpacing/>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14:paraId="5D1EC4B9">
      <w:pPr>
        <w:pStyle w:val="554"/>
        <w:keepNext w:val="0"/>
        <w:keepLines w:val="0"/>
        <w:pageBreakBefore w:val="0"/>
        <w:kinsoku/>
        <w:wordWrap w:val="0"/>
        <w:overflowPunct/>
        <w:topLinePunct w:val="0"/>
        <w:bidi w:val="0"/>
        <w:adjustRightInd w:val="0"/>
        <w:snapToGrid w:val="0"/>
        <w:spacing w:before="0" w:beforeAutospacing="0" w:line="360" w:lineRule="auto"/>
        <w:ind w:left="0" w:firstLine="480" w:firstLineChars="200"/>
        <w:contextualSpacing/>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14:paraId="31374CE1">
      <w:pPr>
        <w:pStyle w:val="554"/>
        <w:keepNext w:val="0"/>
        <w:keepLines w:val="0"/>
        <w:pageBreakBefore w:val="0"/>
        <w:kinsoku/>
        <w:wordWrap w:val="0"/>
        <w:overflowPunct/>
        <w:topLinePunct w:val="0"/>
        <w:bidi w:val="0"/>
        <w:adjustRightInd w:val="0"/>
        <w:snapToGrid w:val="0"/>
        <w:spacing w:before="0" w:beforeAutospacing="0" w:line="360" w:lineRule="auto"/>
        <w:ind w:left="0" w:firstLine="480" w:firstLineChars="200"/>
        <w:contextualSpacing/>
        <w:textAlignment w:val="auto"/>
        <w:rPr>
          <w:rFonts w:ascii="仿宋_GB2312" w:hAnsi="仿宋" w:eastAsia="仿宋_GB2312" w:cs="仿宋_GB2312"/>
          <w:b/>
          <w:sz w:val="24"/>
          <w:highlight w:val="none"/>
        </w:rPr>
      </w:pPr>
      <w:r>
        <w:rPr>
          <w:rFonts w:ascii="仿宋_GB2312" w:hAnsi="仿宋" w:eastAsia="仿宋_GB2312" w:cs="仿宋_GB2312"/>
          <w:sz w:val="24"/>
          <w:highlight w:val="none"/>
        </w:rPr>
        <w:t>18.3</w:t>
      </w:r>
      <w:r>
        <w:rPr>
          <w:rFonts w:hint="eastAsia" w:ascii="仿宋_GB2312" w:hAnsi="仿宋" w:eastAsia="仿宋_GB2312" w:cs="仿宋_GB2312"/>
          <w:b/>
          <w:sz w:val="24"/>
          <w:highlight w:val="none"/>
        </w:rPr>
        <w:t>投标文件未按时解密，投标人提供了备份投标文件的，以备份投标文件作为依据，否则视为投标文件撤回。投标文件已按时解密的，备份投标文件自动失效。</w:t>
      </w:r>
    </w:p>
    <w:p w14:paraId="43CD55F0">
      <w:pPr>
        <w:keepNext w:val="0"/>
        <w:keepLines w:val="0"/>
        <w:pageBreakBefore w:val="0"/>
        <w:widowControl/>
        <w:kinsoku/>
        <w:wordWrap w:val="0"/>
        <w:overflowPunct/>
        <w:topLinePunct w:val="0"/>
        <w:bidi w:val="0"/>
        <w:adjustRightInd w:val="0"/>
        <w:snapToGrid w:val="0"/>
        <w:spacing w:beforeAutospacing="0" w:line="360" w:lineRule="auto"/>
        <w:ind w:firstLine="482" w:firstLineChars="200"/>
        <w:jc w:val="left"/>
        <w:textAlignment w:val="auto"/>
        <w:rPr>
          <w:rFonts w:ascii="仿宋_GB2312" w:hAnsi="仿宋" w:eastAsia="仿宋_GB2312" w:cs="仿宋_GB2312"/>
          <w:b/>
          <w:sz w:val="24"/>
          <w:szCs w:val="20"/>
          <w:highlight w:val="none"/>
        </w:rPr>
      </w:pPr>
      <w:r>
        <w:rPr>
          <w:rFonts w:ascii="仿宋_GB2312" w:hAnsi="仿宋" w:eastAsia="仿宋_GB2312" w:cs="仿宋_GB2312"/>
          <w:b/>
          <w:sz w:val="24"/>
          <w:szCs w:val="20"/>
          <w:highlight w:val="none"/>
        </w:rPr>
        <w:t>19、资格审查</w:t>
      </w:r>
    </w:p>
    <w:p w14:paraId="61D3152D">
      <w:pPr>
        <w:pStyle w:val="128"/>
        <w:keepNext w:val="0"/>
        <w:keepLines w:val="0"/>
        <w:pageBreakBefore w:val="0"/>
        <w:kinsoku/>
        <w:wordWrap w:val="0"/>
        <w:overflowPunct/>
        <w:topLinePunct w:val="0"/>
        <w:bidi w:val="0"/>
        <w:adjustRightInd w:val="0"/>
        <w:snapToGrid w:val="0"/>
        <w:spacing w:before="0" w:beforeAutospacing="0"/>
        <w:ind w:firstLine="480" w:firstLineChars="200"/>
        <w:textAlignment w:val="auto"/>
        <w:rPr>
          <w:rFonts w:ascii="仿宋_GB2312" w:hAnsi="仿宋" w:eastAsia="仿宋_GB2312" w:cs="Arial"/>
          <w:kern w:val="0"/>
          <w:szCs w:val="24"/>
          <w:highlight w:val="none"/>
        </w:rPr>
      </w:pPr>
      <w:r>
        <w:rPr>
          <w:rFonts w:ascii="仿宋_GB2312" w:hAnsi="仿宋" w:eastAsia="仿宋_GB2312" w:cs="Arial"/>
          <w:kern w:val="0"/>
          <w:szCs w:val="24"/>
          <w:highlight w:val="none"/>
        </w:rPr>
        <w:t>19.1开标后，采购人或采购机构将依法对投标人的资格进行审查。</w:t>
      </w:r>
    </w:p>
    <w:p w14:paraId="09532A31">
      <w:pPr>
        <w:keepNext w:val="0"/>
        <w:keepLines w:val="0"/>
        <w:pageBreakBefore w:val="0"/>
        <w:kinsoku/>
        <w:wordWrap w:val="0"/>
        <w:overflowPunct/>
        <w:topLinePunct w:val="0"/>
        <w:bidi w:val="0"/>
        <w:adjustRightInd w:val="0"/>
        <w:snapToGrid w:val="0"/>
        <w:spacing w:beforeAutospacing="0" w:line="360" w:lineRule="auto"/>
        <w:ind w:firstLine="480" w:firstLineChars="200"/>
        <w:textAlignment w:val="auto"/>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rPr>
        <w:t>采购人或采购机构依据法律法规和招标文件的规定，对投标人的基本资格条件、特定资格条件进行审查。</w:t>
      </w:r>
    </w:p>
    <w:p w14:paraId="434EB79D">
      <w:pPr>
        <w:pStyle w:val="128"/>
        <w:keepNext w:val="0"/>
        <w:keepLines w:val="0"/>
        <w:pageBreakBefore w:val="0"/>
        <w:kinsoku/>
        <w:wordWrap w:val="0"/>
        <w:overflowPunct/>
        <w:topLinePunct w:val="0"/>
        <w:bidi w:val="0"/>
        <w:adjustRightInd w:val="0"/>
        <w:snapToGrid w:val="0"/>
        <w:spacing w:before="0" w:beforeAutospacing="0"/>
        <w:ind w:firstLine="480" w:firstLineChars="200"/>
        <w:textAlignment w:val="auto"/>
        <w:rPr>
          <w:rFonts w:ascii="仿宋_GB2312" w:hAnsi="仿宋" w:eastAsia="仿宋_GB2312" w:cs="仿宋_GB2312"/>
          <w:highlight w:val="none"/>
        </w:rPr>
      </w:pPr>
      <w:r>
        <w:rPr>
          <w:rFonts w:ascii="仿宋_GB2312" w:hAnsi="仿宋" w:eastAsia="仿宋_GB2312" w:cs="Arial"/>
          <w:kern w:val="0"/>
          <w:szCs w:val="24"/>
          <w:highlight w:val="none"/>
        </w:rPr>
        <w:t>19.3投标人未按照招标文件要求提供与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14:paraId="0761D744">
      <w:pPr>
        <w:pStyle w:val="128"/>
        <w:keepNext w:val="0"/>
        <w:keepLines w:val="0"/>
        <w:pageBreakBefore w:val="0"/>
        <w:kinsoku/>
        <w:wordWrap w:val="0"/>
        <w:overflowPunct/>
        <w:topLinePunct w:val="0"/>
        <w:bidi w:val="0"/>
        <w:adjustRightInd w:val="0"/>
        <w:snapToGrid w:val="0"/>
        <w:spacing w:before="0" w:beforeAutospacing="0"/>
        <w:ind w:firstLine="480" w:firstLineChars="200"/>
        <w:textAlignment w:val="auto"/>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4对未通过资格审查的投标人，采购人或采购机构告知其未通过的原因。</w:t>
      </w:r>
    </w:p>
    <w:p w14:paraId="16211D72">
      <w:pPr>
        <w:pStyle w:val="128"/>
        <w:keepNext w:val="0"/>
        <w:keepLines w:val="0"/>
        <w:pageBreakBefore w:val="0"/>
        <w:kinsoku/>
        <w:wordWrap w:val="0"/>
        <w:overflowPunct/>
        <w:topLinePunct w:val="0"/>
        <w:bidi w:val="0"/>
        <w:adjustRightInd w:val="0"/>
        <w:snapToGrid w:val="0"/>
        <w:spacing w:before="0" w:beforeAutospacing="0"/>
        <w:ind w:firstLine="480" w:firstLineChars="200"/>
        <w:textAlignment w:val="auto"/>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5合格投标人不足3家的，不再评标。</w:t>
      </w:r>
    </w:p>
    <w:p w14:paraId="758DD075">
      <w:pPr>
        <w:pStyle w:val="128"/>
        <w:keepNext w:val="0"/>
        <w:keepLines w:val="0"/>
        <w:pageBreakBefore w:val="0"/>
        <w:kinsoku/>
        <w:wordWrap w:val="0"/>
        <w:overflowPunct/>
        <w:topLinePunct w:val="0"/>
        <w:bidi w:val="0"/>
        <w:adjustRightInd w:val="0"/>
        <w:snapToGrid w:val="0"/>
        <w:spacing w:before="0" w:beforeAutospacing="0"/>
        <w:ind w:firstLine="482" w:firstLineChars="200"/>
        <w:textAlignment w:val="auto"/>
        <w:rPr>
          <w:rFonts w:ascii="仿宋_GB2312" w:hAnsi="仿宋" w:eastAsia="仿宋_GB2312" w:cs="仿宋_GB2312"/>
          <w:b/>
          <w:szCs w:val="24"/>
          <w:highlight w:val="none"/>
        </w:rPr>
      </w:pPr>
      <w:r>
        <w:rPr>
          <w:rFonts w:ascii="仿宋_GB2312" w:hAnsi="仿宋" w:eastAsia="仿宋_GB2312" w:cs="仿宋_GB2312"/>
          <w:b/>
          <w:szCs w:val="24"/>
          <w:highlight w:val="none"/>
        </w:rPr>
        <w:t>20、信用信息查询</w:t>
      </w:r>
    </w:p>
    <w:p w14:paraId="740C1B62">
      <w:pPr>
        <w:pStyle w:val="128"/>
        <w:keepNext w:val="0"/>
        <w:keepLines w:val="0"/>
        <w:pageBreakBefore w:val="0"/>
        <w:kinsoku/>
        <w:wordWrap w:val="0"/>
        <w:overflowPunct/>
        <w:topLinePunct w:val="0"/>
        <w:bidi w:val="0"/>
        <w:adjustRightInd w:val="0"/>
        <w:snapToGrid w:val="0"/>
        <w:spacing w:before="0" w:beforeAutospacing="0"/>
        <w:ind w:firstLine="480" w:firstLineChars="200"/>
        <w:textAlignment w:val="auto"/>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20.1信用信息查询渠道及截止时间：采购机构将通过“信用中国”网站(www.creditchina.gov.cn)、中国政府采购网(www.ccgp.gov.cn)渠道查询投标人投标截止时间当天的信用记录。</w:t>
      </w:r>
    </w:p>
    <w:p w14:paraId="105A12C8">
      <w:pPr>
        <w:pStyle w:val="128"/>
        <w:keepNext w:val="0"/>
        <w:keepLines w:val="0"/>
        <w:pageBreakBefore w:val="0"/>
        <w:kinsoku/>
        <w:wordWrap w:val="0"/>
        <w:overflowPunct/>
        <w:topLinePunct w:val="0"/>
        <w:bidi w:val="0"/>
        <w:adjustRightInd w:val="0"/>
        <w:snapToGrid w:val="0"/>
        <w:spacing w:before="0" w:beforeAutospacing="0"/>
        <w:ind w:firstLine="480" w:firstLineChars="200"/>
        <w:textAlignment w:val="auto"/>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14:paraId="5960FB4A">
      <w:pPr>
        <w:pStyle w:val="128"/>
        <w:keepNext w:val="0"/>
        <w:keepLines w:val="0"/>
        <w:pageBreakBefore w:val="0"/>
        <w:kinsoku/>
        <w:wordWrap w:val="0"/>
        <w:overflowPunct/>
        <w:topLinePunct w:val="0"/>
        <w:bidi w:val="0"/>
        <w:adjustRightInd w:val="0"/>
        <w:snapToGrid w:val="0"/>
        <w:spacing w:before="0" w:beforeAutospacing="0"/>
        <w:ind w:firstLine="480" w:firstLineChars="200"/>
        <w:textAlignment w:val="auto"/>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14:paraId="1A1EA6CB">
      <w:pPr>
        <w:pStyle w:val="128"/>
        <w:keepNext w:val="0"/>
        <w:keepLines w:val="0"/>
        <w:pageBreakBefore w:val="0"/>
        <w:kinsoku/>
        <w:wordWrap w:val="0"/>
        <w:overflowPunct/>
        <w:topLinePunct w:val="0"/>
        <w:bidi w:val="0"/>
        <w:adjustRightInd w:val="0"/>
        <w:snapToGrid w:val="0"/>
        <w:spacing w:before="0" w:beforeAutospacing="0"/>
        <w:ind w:firstLine="480" w:firstLineChars="200"/>
        <w:textAlignment w:val="auto"/>
        <w:rPr>
          <w:rFonts w:ascii="仿宋_GB2312" w:hAnsi="仿宋" w:eastAsia="仿宋_GB2312" w:cs="仿宋_GB2312"/>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14:paraId="62691613">
      <w:pPr>
        <w:pStyle w:val="128"/>
        <w:kinsoku/>
        <w:wordWrap w:val="0"/>
        <w:topLinePunct w:val="0"/>
        <w:bidi w:val="0"/>
        <w:spacing w:before="0"/>
        <w:ind w:firstLine="0" w:firstLineChars="0"/>
        <w:rPr>
          <w:rFonts w:ascii="仿宋_GB2312" w:hAnsi="仿宋" w:eastAsia="仿宋_GB2312" w:cs="Arial"/>
          <w:kern w:val="0"/>
          <w:szCs w:val="24"/>
          <w:highlight w:val="none"/>
        </w:rPr>
      </w:pPr>
    </w:p>
    <w:p w14:paraId="3389592D">
      <w:pPr>
        <w:kinsoku/>
        <w:wordWrap w:val="0"/>
        <w:topLinePunct w:val="0"/>
        <w:bidi w:val="0"/>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14:paraId="1543C2D3">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ascii="仿宋_GB2312" w:hAnsi="仿宋" w:eastAsia="仿宋_GB2312" w:cs="仿宋_GB2312"/>
          <w:b/>
          <w:sz w:val="24"/>
          <w:highlight w:val="none"/>
        </w:rPr>
      </w:pPr>
      <w:bookmarkStart w:id="13" w:name="_Toc91899903"/>
      <w:r>
        <w:rPr>
          <w:rFonts w:ascii="仿宋_GB2312" w:hAnsi="仿宋" w:eastAsia="仿宋_GB2312" w:cs="仿宋_GB2312"/>
          <w:b/>
          <w:sz w:val="24"/>
          <w:highlight w:val="none"/>
        </w:rPr>
        <w:t>21.</w:t>
      </w:r>
      <w:r>
        <w:rPr>
          <w:rFonts w:ascii="仿宋_GB2312" w:eastAsia="仿宋_GB2312"/>
          <w:highlight w:val="none"/>
        </w:rPr>
        <w:t xml:space="preserve"> </w:t>
      </w: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14:paraId="06EEE8BC">
      <w:pPr>
        <w:kinsoku/>
        <w:wordWrap w:val="0"/>
        <w:topLinePunct w:val="0"/>
        <w:bidi w:val="0"/>
        <w:spacing w:line="360" w:lineRule="auto"/>
        <w:rPr>
          <w:rFonts w:ascii="仿宋_GB2312" w:hAnsi="仿宋" w:eastAsia="仿宋_GB2312" w:cs="仿宋_GB2312"/>
          <w:b/>
          <w:sz w:val="24"/>
          <w:highlight w:val="none"/>
        </w:rPr>
      </w:pPr>
    </w:p>
    <w:p w14:paraId="3D943C52">
      <w:pPr>
        <w:kinsoku/>
        <w:wordWrap w:val="0"/>
        <w:topLinePunct w:val="0"/>
        <w:bidi w:val="0"/>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标</w:t>
      </w:r>
    </w:p>
    <w:p w14:paraId="632A61AA">
      <w:pPr>
        <w:pStyle w:val="128"/>
        <w:keepNext w:val="0"/>
        <w:keepLines w:val="0"/>
        <w:pageBreakBefore w:val="0"/>
        <w:kinsoku/>
        <w:wordWrap w:val="0"/>
        <w:overflowPunct/>
        <w:topLinePunct w:val="0"/>
        <w:autoSpaceDE/>
        <w:autoSpaceDN/>
        <w:bidi w:val="0"/>
        <w:adjustRightInd w:val="0"/>
        <w:snapToGrid w:val="0"/>
        <w:spacing w:before="0"/>
        <w:ind w:firstLine="482" w:firstLineChars="200"/>
        <w:textAlignment w:val="auto"/>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22. </w:t>
      </w:r>
      <w:r>
        <w:rPr>
          <w:rFonts w:hint="eastAsia" w:ascii="仿宋_GB2312" w:hAnsi="仿宋" w:eastAsia="仿宋_GB2312" w:cs="仿宋_GB2312"/>
          <w:b/>
          <w:szCs w:val="24"/>
          <w:highlight w:val="none"/>
        </w:rPr>
        <w:t>确定中标供应商</w:t>
      </w:r>
    </w:p>
    <w:p w14:paraId="36FECED2">
      <w:pPr>
        <w:pStyle w:val="128"/>
        <w:keepNext w:val="0"/>
        <w:keepLines w:val="0"/>
        <w:pageBreakBefore w:val="0"/>
        <w:kinsoku/>
        <w:wordWrap w:val="0"/>
        <w:overflowPunct/>
        <w:topLinePunct w:val="0"/>
        <w:autoSpaceDE/>
        <w:autoSpaceDN/>
        <w:bidi w:val="0"/>
        <w:adjustRightInd w:val="0"/>
        <w:snapToGrid w:val="0"/>
        <w:spacing w:before="0"/>
        <w:ind w:firstLine="480" w:firstLineChars="200"/>
        <w:textAlignment w:val="auto"/>
        <w:rPr>
          <w:rFonts w:ascii="仿宋_GB2312" w:hAnsi="仿宋" w:eastAsia="仿宋_GB2312" w:cs="仿宋_GB2312"/>
          <w:b/>
          <w:szCs w:val="24"/>
          <w:highlight w:val="none"/>
        </w:rPr>
      </w:pPr>
      <w:r>
        <w:rPr>
          <w:rFonts w:hint="eastAsia" w:ascii="仿宋_GB2312" w:hAnsi="仿宋" w:eastAsia="仿宋_GB2312" w:cs="仿宋_GB2312"/>
          <w:szCs w:val="24"/>
          <w:highlight w:val="none"/>
        </w:rPr>
        <w:t>采购人将自收到评审报告之日起</w:t>
      </w:r>
      <w:r>
        <w:rPr>
          <w:rFonts w:ascii="仿宋_GB2312" w:hAnsi="仿宋" w:eastAsia="仿宋_GB2312" w:cs="仿宋_GB2312"/>
          <w:szCs w:val="24"/>
          <w:highlight w:val="none"/>
        </w:rPr>
        <w:t>5个工作日内通过电子交易平台在评审报告推荐的中标候选人中按顺序确定中标供应商。</w:t>
      </w:r>
    </w:p>
    <w:p w14:paraId="1D2772AC">
      <w:pPr>
        <w:pStyle w:val="128"/>
        <w:keepNext w:val="0"/>
        <w:keepLines w:val="0"/>
        <w:pageBreakBefore w:val="0"/>
        <w:kinsoku/>
        <w:wordWrap w:val="0"/>
        <w:overflowPunct/>
        <w:topLinePunct w:val="0"/>
        <w:autoSpaceDE/>
        <w:autoSpaceDN/>
        <w:bidi w:val="0"/>
        <w:adjustRightInd w:val="0"/>
        <w:snapToGrid w:val="0"/>
        <w:spacing w:before="0"/>
        <w:ind w:firstLine="482" w:firstLineChars="200"/>
        <w:textAlignment w:val="auto"/>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14:paraId="35BEA19C">
      <w:pPr>
        <w:keepNext w:val="0"/>
        <w:keepLines w:val="0"/>
        <w:pageBreakBefore w:val="0"/>
        <w:widowControl/>
        <w:shd w:val="clear" w:color="auto" w:fill="FFFFFF"/>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14:paraId="71171CD6">
      <w:pPr>
        <w:keepNext w:val="0"/>
        <w:keepLines w:val="0"/>
        <w:pageBreakBefore w:val="0"/>
        <w:widowControl/>
        <w:shd w:val="clear" w:color="auto" w:fill="FFFFFF"/>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的名称、规格型号、数量、单价、服务要求，中标公告期限以及评审专家名单、评分汇总及明细。</w:t>
      </w:r>
    </w:p>
    <w:p w14:paraId="6C68DFB0">
      <w:pPr>
        <w:keepNext w:val="0"/>
        <w:keepLines w:val="0"/>
        <w:pageBreakBefore w:val="0"/>
        <w:widowControl/>
        <w:shd w:val="clear" w:color="auto" w:fill="FFFFFF"/>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14:paraId="7B889E54">
      <w:pPr>
        <w:kinsoku/>
        <w:wordWrap w:val="0"/>
        <w:topLinePunct w:val="0"/>
        <w:bidi w:val="0"/>
        <w:snapToGrid w:val="0"/>
        <w:spacing w:line="360" w:lineRule="auto"/>
        <w:ind w:left="120" w:leftChars="57" w:firstLine="482" w:firstLineChars="150"/>
        <w:jc w:val="center"/>
        <w:rPr>
          <w:rFonts w:ascii="仿宋_GB2312" w:hAnsi="仿宋" w:eastAsia="仿宋_GB2312" w:cs="仿宋_GB2312"/>
          <w:b/>
          <w:sz w:val="32"/>
          <w:highlight w:val="none"/>
        </w:rPr>
      </w:pPr>
    </w:p>
    <w:p w14:paraId="1FDCB27C">
      <w:pPr>
        <w:kinsoku/>
        <w:wordWrap w:val="0"/>
        <w:topLinePunct w:val="0"/>
        <w:bidi w:val="0"/>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14:paraId="6B89801C">
      <w:pPr>
        <w:pStyle w:val="128"/>
        <w:keepNext w:val="0"/>
        <w:keepLines w:val="0"/>
        <w:pageBreakBefore w:val="0"/>
        <w:kinsoku/>
        <w:wordWrap w:val="0"/>
        <w:overflowPunct/>
        <w:topLinePunct w:val="0"/>
        <w:autoSpaceDE/>
        <w:autoSpaceDN/>
        <w:bidi w:val="0"/>
        <w:adjustRightInd w:val="0"/>
        <w:snapToGrid w:val="0"/>
        <w:spacing w:before="0"/>
        <w:ind w:firstLine="482" w:firstLineChars="200"/>
        <w:textAlignment w:val="auto"/>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24. </w:t>
      </w:r>
      <w:r>
        <w:rPr>
          <w:rFonts w:hint="eastAsia" w:ascii="仿宋_GB2312" w:hAnsi="仿宋" w:eastAsia="仿宋_GB2312" w:cs="仿宋_GB2312"/>
          <w:b/>
          <w:szCs w:val="24"/>
          <w:highlight w:val="none"/>
        </w:rPr>
        <w:t>合同主要条款详见第五部分拟签订的合同文本。</w:t>
      </w:r>
    </w:p>
    <w:p w14:paraId="1422FDD6">
      <w:pPr>
        <w:pStyle w:val="128"/>
        <w:keepNext w:val="0"/>
        <w:keepLines w:val="0"/>
        <w:pageBreakBefore w:val="0"/>
        <w:kinsoku/>
        <w:wordWrap w:val="0"/>
        <w:overflowPunct/>
        <w:topLinePunct w:val="0"/>
        <w:autoSpaceDE/>
        <w:autoSpaceDN/>
        <w:bidi w:val="0"/>
        <w:adjustRightInd w:val="0"/>
        <w:snapToGrid w:val="0"/>
        <w:spacing w:before="0"/>
        <w:ind w:firstLine="482" w:firstLineChars="200"/>
        <w:textAlignment w:val="auto"/>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25. </w:t>
      </w:r>
      <w:r>
        <w:rPr>
          <w:rFonts w:hint="eastAsia" w:ascii="仿宋_GB2312" w:hAnsi="仿宋" w:eastAsia="仿宋_GB2312" w:cs="仿宋_GB2312"/>
          <w:b/>
          <w:szCs w:val="24"/>
          <w:highlight w:val="none"/>
        </w:rPr>
        <w:t>合同的签订</w:t>
      </w:r>
    </w:p>
    <w:p w14:paraId="5F19A8AF">
      <w:pPr>
        <w:pageBreakBefore w:val="0"/>
        <w:widowControl/>
        <w:shd w:val="clear" w:color="auto" w:fill="FFFFFF"/>
        <w:kinsoku/>
        <w:wordWrap w:val="0"/>
        <w:overflowPunct/>
        <w:topLinePunct w:val="0"/>
        <w:autoSpaceDE/>
        <w:autoSpaceDN/>
        <w:bidi w:val="0"/>
        <w:snapToGrid w:val="0"/>
        <w:spacing w:line="360" w:lineRule="auto"/>
        <w:ind w:firstLine="480" w:firstLineChars="200"/>
        <w:jc w:val="left"/>
        <w:textAlignment w:val="auto"/>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14:paraId="2AA79536">
      <w:pPr>
        <w:pStyle w:val="128"/>
        <w:pageBreakBefore w:val="0"/>
        <w:kinsoku/>
        <w:wordWrap w:val="0"/>
        <w:overflowPunct/>
        <w:topLinePunct w:val="0"/>
        <w:autoSpaceDE/>
        <w:autoSpaceDN/>
        <w:bidi w:val="0"/>
        <w:snapToGrid w:val="0"/>
        <w:spacing w:before="0"/>
        <w:ind w:firstLine="480" w:firstLineChars="200"/>
        <w:textAlignment w:val="auto"/>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0EB74263">
      <w:pPr>
        <w:pStyle w:val="128"/>
        <w:pageBreakBefore w:val="0"/>
        <w:kinsoku/>
        <w:wordWrap w:val="0"/>
        <w:overflowPunct/>
        <w:topLinePunct w:val="0"/>
        <w:autoSpaceDE/>
        <w:autoSpaceDN/>
        <w:bidi w:val="0"/>
        <w:snapToGrid w:val="0"/>
        <w:spacing w:before="0"/>
        <w:ind w:firstLine="480" w:firstLineChars="200"/>
        <w:textAlignment w:val="auto"/>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14:paraId="6749FB7A">
      <w:pPr>
        <w:pStyle w:val="128"/>
        <w:pageBreakBefore w:val="0"/>
        <w:kinsoku/>
        <w:wordWrap w:val="0"/>
        <w:overflowPunct/>
        <w:topLinePunct w:val="0"/>
        <w:autoSpaceDE/>
        <w:autoSpaceDN/>
        <w:bidi w:val="0"/>
        <w:snapToGrid w:val="0"/>
        <w:spacing w:before="0"/>
        <w:ind w:firstLine="480" w:firstLineChars="200"/>
        <w:textAlignment w:val="auto"/>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14:paraId="65F7F6B7">
      <w:pPr>
        <w:pStyle w:val="128"/>
        <w:pageBreakBefore w:val="0"/>
        <w:kinsoku/>
        <w:wordWrap w:val="0"/>
        <w:overflowPunct/>
        <w:topLinePunct w:val="0"/>
        <w:autoSpaceDE/>
        <w:autoSpaceDN/>
        <w:bidi w:val="0"/>
        <w:snapToGrid w:val="0"/>
        <w:spacing w:before="0"/>
        <w:ind w:firstLine="480" w:firstLineChars="200"/>
        <w:textAlignment w:val="auto"/>
        <w:rPr>
          <w:rFonts w:hint="eastAsia"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14:paraId="39E3F629">
      <w:pPr>
        <w:pStyle w:val="128"/>
        <w:pageBreakBefore w:val="0"/>
        <w:numPr>
          <w:ilvl w:val="0"/>
          <w:numId w:val="1"/>
        </w:numPr>
        <w:kinsoku/>
        <w:wordWrap w:val="0"/>
        <w:overflowPunct/>
        <w:topLinePunct w:val="0"/>
        <w:autoSpaceDE/>
        <w:autoSpaceDN/>
        <w:bidi w:val="0"/>
        <w:snapToGrid w:val="0"/>
        <w:spacing w:before="0"/>
        <w:ind w:left="0" w:leftChars="0" w:firstLine="482" w:firstLineChars="200"/>
        <w:textAlignment w:val="auto"/>
        <w:rPr>
          <w:rFonts w:hint="default" w:ascii="仿宋_GB2312" w:hAnsi="仿宋" w:eastAsia="仿宋_GB2312" w:cs="仿宋_GB2312"/>
          <w:b/>
          <w:kern w:val="2"/>
          <w:sz w:val="24"/>
          <w:szCs w:val="24"/>
          <w:highlight w:val="none"/>
          <w:lang w:val="en-US" w:eastAsia="zh-CN" w:bidi="ar-SA"/>
        </w:rPr>
      </w:pPr>
      <w:r>
        <w:rPr>
          <w:rFonts w:hint="eastAsia" w:ascii="仿宋_GB2312" w:hAnsi="仿宋" w:eastAsia="仿宋_GB2312" w:cs="仿宋_GB2312"/>
          <w:b/>
          <w:kern w:val="2"/>
          <w:sz w:val="24"/>
          <w:szCs w:val="24"/>
          <w:highlight w:val="none"/>
          <w:lang w:val="en-US" w:eastAsia="zh-CN" w:bidi="ar-SA"/>
        </w:rPr>
        <w:t>预付款支付</w:t>
      </w:r>
    </w:p>
    <w:p w14:paraId="44E102D7">
      <w:pPr>
        <w:pStyle w:val="128"/>
        <w:pageBreakBefore w:val="0"/>
        <w:kinsoku/>
        <w:wordWrap w:val="0"/>
        <w:overflowPunct/>
        <w:topLinePunct w:val="0"/>
        <w:autoSpaceDE/>
        <w:autoSpaceDN/>
        <w:bidi w:val="0"/>
        <w:snapToGrid w:val="0"/>
        <w:spacing w:before="0"/>
        <w:ind w:firstLine="480" w:firstLineChars="200"/>
        <w:textAlignment w:val="auto"/>
        <w:rPr>
          <w:rFonts w:hint="eastAsia" w:ascii="仿宋_GB2312" w:hAnsi="仿宋" w:eastAsia="仿宋_GB2312" w:cs="仿宋_GB2312"/>
          <w:b/>
          <w:bCs/>
          <w:highlight w:val="none"/>
          <w:lang w:val="en-US" w:eastAsia="zh-CN"/>
        </w:rPr>
      </w:pPr>
      <w:r>
        <w:rPr>
          <w:rFonts w:hint="eastAsia" w:ascii="仿宋_GB2312" w:hAnsi="仿宋" w:eastAsia="仿宋_GB2312" w:cs="仿宋_GB2312"/>
          <w:highlight w:val="none"/>
          <w:lang w:val="en-US" w:eastAsia="zh-CN"/>
        </w:rPr>
        <w:t>采购人根据《浙江省财政厅关于进一步发挥政府采购政策功能全力推动经济稳进提质的通知》（浙财采监〔2022〕3号）执行预付款制度，具体预付款支付比例应当在合同中约定。</w:t>
      </w:r>
    </w:p>
    <w:p w14:paraId="794B51EB">
      <w:pPr>
        <w:pStyle w:val="128"/>
        <w:pageBreakBefore w:val="0"/>
        <w:kinsoku/>
        <w:wordWrap w:val="0"/>
        <w:overflowPunct/>
        <w:topLinePunct w:val="0"/>
        <w:autoSpaceDE/>
        <w:autoSpaceDN/>
        <w:bidi w:val="0"/>
        <w:snapToGrid w:val="0"/>
        <w:spacing w:before="0"/>
        <w:ind w:firstLine="480" w:firstLineChars="200"/>
        <w:textAlignment w:val="auto"/>
        <w:rPr>
          <w:rFonts w:hint="eastAsia" w:ascii="仿宋_GB2312" w:hAnsi="仿宋" w:eastAsia="仿宋_GB2312" w:cs="仿宋_GB2312"/>
          <w:highlight w:val="none"/>
          <w:lang w:val="en-US" w:eastAsia="zh-CN"/>
        </w:rPr>
      </w:pPr>
      <w:r>
        <w:rPr>
          <w:rFonts w:hint="eastAsia" w:ascii="仿宋_GB2312" w:hAnsi="仿宋" w:eastAsia="仿宋_GB2312" w:cs="仿宋_GB2312"/>
          <w:highlight w:val="none"/>
          <w:lang w:val="en-US" w:eastAsia="zh-CN"/>
        </w:rPr>
        <w:t>采购人执行预付款支付的可根据项目整体情况及中标供应商诚信情况，要求中标供应商提供预付款保函。</w:t>
      </w:r>
    </w:p>
    <w:p w14:paraId="7E5B475B">
      <w:pPr>
        <w:pStyle w:val="128"/>
        <w:pageBreakBefore w:val="0"/>
        <w:kinsoku/>
        <w:wordWrap w:val="0"/>
        <w:overflowPunct/>
        <w:topLinePunct w:val="0"/>
        <w:autoSpaceDE/>
        <w:autoSpaceDN/>
        <w:bidi w:val="0"/>
        <w:snapToGrid w:val="0"/>
        <w:spacing w:before="0"/>
        <w:ind w:firstLine="480" w:firstLineChars="200"/>
        <w:textAlignment w:val="auto"/>
        <w:rPr>
          <w:rFonts w:ascii="仿宋" w:hAnsi="仿宋" w:eastAsia="仿宋"/>
          <w:sz w:val="24"/>
          <w:highlight w:val="none"/>
        </w:rPr>
      </w:pPr>
      <w:r>
        <w:rPr>
          <w:rFonts w:hint="eastAsia" w:ascii="仿宋_GB2312" w:hAnsi="仿宋" w:eastAsia="仿宋_GB2312" w:cs="仿宋_GB2312"/>
          <w:highlight w:val="none"/>
          <w:lang w:val="en-US" w:eastAsia="zh-CN"/>
        </w:rPr>
        <w:t>供应商可登录政采云前台大厅选择金</w:t>
      </w:r>
      <w:r>
        <w:rPr>
          <w:rFonts w:hint="eastAsia" w:ascii="仿宋" w:hAnsi="仿宋" w:eastAsia="仿宋"/>
          <w:sz w:val="24"/>
          <w:highlight w:val="none"/>
        </w:rPr>
        <w:t>融服务 - 【保函保险服务】出具预付款保函，具体步骤：选择产品—填写供应商信息—选择中标项目—确认信息—等待保险/保函受理—确认保单—支付保费—成功出单。政采云金融专线400-903-9583。</w:t>
      </w:r>
    </w:p>
    <w:p w14:paraId="3F19AB59">
      <w:pPr>
        <w:pStyle w:val="27"/>
        <w:pageBreakBefore w:val="0"/>
        <w:numPr>
          <w:ilvl w:val="0"/>
          <w:numId w:val="0"/>
        </w:numPr>
        <w:kinsoku/>
        <w:wordWrap w:val="0"/>
        <w:overflowPunct/>
        <w:topLinePunct w:val="0"/>
        <w:autoSpaceDE/>
        <w:autoSpaceDN/>
        <w:bidi w:val="0"/>
        <w:snapToGrid w:val="0"/>
        <w:spacing w:line="360" w:lineRule="auto"/>
        <w:ind w:firstLine="482" w:firstLineChars="200"/>
        <w:textAlignment w:val="auto"/>
        <w:rPr>
          <w:rFonts w:hint="eastAsia" w:ascii="仿宋_GB2312" w:hAnsi="仿宋" w:eastAsia="仿宋_GB2312" w:cs="仿宋_GB2312"/>
          <w:b/>
          <w:highlight w:val="none"/>
        </w:rPr>
      </w:pPr>
      <w:r>
        <w:rPr>
          <w:rFonts w:hint="eastAsia" w:ascii="仿宋_GB2312" w:hAnsi="仿宋" w:eastAsia="仿宋_GB2312" w:cs="仿宋_GB2312"/>
          <w:b/>
          <w:highlight w:val="none"/>
          <w:lang w:val="en-US" w:eastAsia="zh-CN"/>
        </w:rPr>
        <w:t>27.</w:t>
      </w:r>
      <w:r>
        <w:rPr>
          <w:rFonts w:hint="eastAsia" w:ascii="仿宋_GB2312" w:hAnsi="仿宋" w:eastAsia="仿宋_GB2312" w:cs="仿宋_GB2312"/>
          <w:b/>
          <w:highlight w:val="none"/>
        </w:rPr>
        <w:t>履约保证金</w:t>
      </w:r>
    </w:p>
    <w:p w14:paraId="748BE6A2">
      <w:pPr>
        <w:pageBreakBefore w:val="0"/>
        <w:tabs>
          <w:tab w:val="left" w:pos="0"/>
        </w:tabs>
        <w:kinsoku/>
        <w:wordWrap w:val="0"/>
        <w:overflowPunct/>
        <w:topLinePunct w:val="0"/>
        <w:autoSpaceDE/>
        <w:autoSpaceDN/>
        <w:bidi w:val="0"/>
        <w:snapToGrid w:val="0"/>
        <w:spacing w:line="360" w:lineRule="auto"/>
        <w:ind w:firstLine="480" w:firstLineChars="200"/>
        <w:textAlignment w:val="auto"/>
        <w:rPr>
          <w:rFonts w:hint="eastAsia" w:ascii="仿宋_GB2312" w:hAnsi="仿宋" w:eastAsia="仿宋_GB2312"/>
          <w:b/>
          <w:sz w:val="24"/>
          <w:highlight w:val="none"/>
          <w:lang w:eastAsia="zh-CN"/>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。履约保证金的数额不得超过政府采购合同金额的</w:t>
      </w:r>
      <w:r>
        <w:rPr>
          <w:rFonts w:ascii="仿宋_GB2312" w:hAnsi="仿宋" w:eastAsia="仿宋_GB2312"/>
          <w:sz w:val="24"/>
          <w:highlight w:val="none"/>
        </w:rPr>
        <w:t>5%。</w:t>
      </w:r>
      <w:r>
        <w:rPr>
          <w:rFonts w:hint="eastAsia" w:ascii="仿宋_GB2312" w:hAnsi="仿宋" w:eastAsia="仿宋_GB2312"/>
          <w:sz w:val="24"/>
          <w:highlight w:val="none"/>
        </w:rPr>
        <w:t>鼓励和支持供应商以银行、保险公司出具的保函形式提供履约保证金。</w:t>
      </w:r>
      <w:r>
        <w:rPr>
          <w:rFonts w:hint="eastAsia" w:ascii="仿宋_GB2312" w:hAnsi="仿宋" w:eastAsia="仿宋_GB2312"/>
          <w:b/>
          <w:sz w:val="24"/>
          <w:highlight w:val="none"/>
        </w:rPr>
        <w:t>采购人不得拒收履约保函。</w:t>
      </w:r>
      <w:r>
        <w:rPr>
          <w:rFonts w:hint="eastAsia" w:ascii="仿宋_GB2312" w:hAnsi="仿宋" w:eastAsia="仿宋_GB2312"/>
          <w:b w:val="0"/>
          <w:bCs/>
          <w:sz w:val="24"/>
          <w:highlight w:val="none"/>
          <w:lang w:eastAsia="zh-CN"/>
        </w:rPr>
        <w:t>供应商提交履约保证金时间最晚不得超过合同签订后五日，否则视为违约。</w:t>
      </w:r>
    </w:p>
    <w:p w14:paraId="510E5A4D">
      <w:pPr>
        <w:pageBreakBefore w:val="0"/>
        <w:tabs>
          <w:tab w:val="left" w:pos="0"/>
        </w:tabs>
        <w:kinsoku/>
        <w:wordWrap w:val="0"/>
        <w:overflowPunct/>
        <w:topLinePunct w:val="0"/>
        <w:autoSpaceDE/>
        <w:autoSpaceDN/>
        <w:bidi w:val="0"/>
        <w:snapToGrid w:val="0"/>
        <w:spacing w:line="360" w:lineRule="auto"/>
        <w:ind w:firstLine="480" w:firstLineChars="200"/>
        <w:textAlignment w:val="auto"/>
        <w:rPr>
          <w:rFonts w:ascii="仿宋_GB2312" w:hAnsi="仿宋" w:eastAsia="仿宋_GB2312" w:cs="仿宋_GB2312"/>
          <w:sz w:val="24"/>
          <w:szCs w:val="20"/>
          <w:highlight w:val="none"/>
        </w:rPr>
      </w:pPr>
      <w:r>
        <w:rPr>
          <w:rFonts w:hint="eastAsia" w:ascii="仿宋_GB2312" w:hAnsi="仿宋" w:eastAsia="仿宋_GB2312" w:cs="仿宋_GB2312"/>
          <w:sz w:val="24"/>
          <w:szCs w:val="20"/>
          <w:highlight w:val="none"/>
        </w:rPr>
        <w:t>政府采购货物和服务项目中，采购单位可根据</w:t>
      </w:r>
      <w:r>
        <w:rPr>
          <w:rFonts w:hint="eastAsia" w:ascii="仿宋_GB2312" w:hAnsi="仿宋" w:eastAsia="仿宋_GB2312" w:cs="仿宋_GB2312"/>
          <w:sz w:val="24"/>
          <w:szCs w:val="20"/>
          <w:highlight w:val="none"/>
          <w:lang w:eastAsia="zh-CN"/>
        </w:rPr>
        <w:t>中标供应商的信用</w:t>
      </w:r>
      <w:r>
        <w:rPr>
          <w:rFonts w:hint="eastAsia" w:ascii="仿宋_GB2312" w:hAnsi="仿宋" w:eastAsia="仿宋_GB2312" w:cs="仿宋_GB2312"/>
          <w:sz w:val="24"/>
          <w:szCs w:val="20"/>
          <w:highlight w:val="none"/>
        </w:rPr>
        <w:t>情况减免履约保证金。</w:t>
      </w:r>
    </w:p>
    <w:p w14:paraId="41698B78">
      <w:pPr>
        <w:pStyle w:val="4"/>
        <w:pageBreakBefore w:val="0"/>
        <w:kinsoku/>
        <w:wordWrap w:val="0"/>
        <w:overflowPunct/>
        <w:topLinePunct w:val="0"/>
        <w:autoSpaceDE/>
        <w:autoSpaceDN/>
        <w:bidi w:val="0"/>
        <w:snapToGrid w:val="0"/>
        <w:ind w:left="0" w:firstLine="480" w:firstLineChars="200"/>
        <w:textAlignment w:val="auto"/>
        <w:rPr>
          <w:highlight w:val="none"/>
          <w:lang w:val="en-US"/>
        </w:rPr>
      </w:pPr>
      <w:r>
        <w:rPr>
          <w:rFonts w:hint="eastAsia"/>
          <w:b w:val="0"/>
          <w:bCs w:val="0"/>
          <w:snapToGrid w:val="0"/>
          <w:kern w:val="28"/>
          <w:sz w:val="24"/>
          <w:highlight w:val="none"/>
        </w:rPr>
        <w:t>供应商</w:t>
      </w:r>
      <w:r>
        <w:rPr>
          <w:rFonts w:hint="eastAsia"/>
          <w:b w:val="0"/>
          <w:bCs w:val="0"/>
          <w:snapToGrid w:val="0"/>
          <w:kern w:val="28"/>
          <w:sz w:val="24"/>
          <w:highlight w:val="none"/>
          <w:lang w:val="en-US"/>
        </w:rPr>
        <w:t>可</w:t>
      </w:r>
      <w:r>
        <w:rPr>
          <w:rFonts w:hint="eastAsia"/>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1F909CF">
      <w:pPr>
        <w:kinsoku/>
        <w:wordWrap w:val="0"/>
        <w:topLinePunct w:val="0"/>
        <w:bidi w:val="0"/>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14:paraId="402AF77B">
      <w:pPr>
        <w:pStyle w:val="128"/>
        <w:keepNext w:val="0"/>
        <w:keepLines w:val="0"/>
        <w:pageBreakBefore w:val="0"/>
        <w:widowControl w:val="0"/>
        <w:kinsoku/>
        <w:wordWrap w:val="0"/>
        <w:overflowPunct/>
        <w:topLinePunct w:val="0"/>
        <w:autoSpaceDE/>
        <w:autoSpaceDN/>
        <w:bidi w:val="0"/>
        <w:adjustRightInd w:val="0"/>
        <w:snapToGrid w:val="0"/>
        <w:spacing w:before="0"/>
        <w:ind w:firstLine="480" w:firstLineChars="200"/>
        <w:textAlignment w:val="auto"/>
        <w:rPr>
          <w:rFonts w:ascii="仿宋_GB2312" w:hAnsi="仿宋" w:eastAsia="仿宋_GB2312" w:cs="仿宋_GB2312"/>
          <w:highlight w:val="none"/>
        </w:rPr>
      </w:pPr>
      <w:r>
        <w:rPr>
          <w:rFonts w:ascii="仿宋_GB2312" w:hAnsi="仿宋" w:eastAsia="仿宋_GB2312" w:cs="仿宋_GB2312"/>
          <w:highlight w:val="none"/>
        </w:rPr>
        <w:t>2</w:t>
      </w:r>
      <w:r>
        <w:rPr>
          <w:rFonts w:hint="eastAsia" w:ascii="仿宋_GB2312" w:hAnsi="仿宋" w:eastAsia="仿宋_GB2312" w:cs="仿宋_GB2312"/>
          <w:b/>
          <w:szCs w:val="24"/>
          <w:highlight w:val="none"/>
          <w:lang w:val="en-US" w:eastAsia="zh-CN"/>
        </w:rPr>
        <w:t>8</w:t>
      </w:r>
      <w:r>
        <w:rPr>
          <w:rFonts w:ascii="仿宋_GB2312" w:hAnsi="仿宋" w:eastAsia="仿宋_GB2312" w:cs="仿宋_GB2312"/>
          <w:b/>
          <w:szCs w:val="24"/>
          <w:highlight w:val="none"/>
        </w:rPr>
        <w:t xml:space="preserve">.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14:paraId="76EBCC62">
      <w:pPr>
        <w:pStyle w:val="128"/>
        <w:keepNext w:val="0"/>
        <w:keepLines w:val="0"/>
        <w:pageBreakBefore w:val="0"/>
        <w:widowControl w:val="0"/>
        <w:kinsoku/>
        <w:wordWrap w:val="0"/>
        <w:overflowPunct/>
        <w:topLinePunct w:val="0"/>
        <w:autoSpaceDE/>
        <w:autoSpaceDN/>
        <w:bidi w:val="0"/>
        <w:adjustRightInd w:val="0"/>
        <w:snapToGrid w:val="0"/>
        <w:spacing w:before="0"/>
        <w:ind w:firstLine="480" w:firstLineChars="200"/>
        <w:textAlignment w:val="auto"/>
        <w:rPr>
          <w:rFonts w:ascii="仿宋_GB2312" w:hAnsi="仿宋" w:eastAsia="仿宋_GB2312" w:cs="仿宋_GB2312"/>
          <w:highlight w:val="none"/>
        </w:rPr>
      </w:pPr>
      <w:r>
        <w:rPr>
          <w:rFonts w:ascii="仿宋_GB2312" w:hAnsi="仿宋" w:eastAsia="仿宋_GB2312" w:cs="仿宋_GB2312"/>
          <w:highlight w:val="none"/>
        </w:rPr>
        <w:t>2</w:t>
      </w:r>
      <w:r>
        <w:rPr>
          <w:rFonts w:hint="eastAsia" w:ascii="仿宋_GB2312" w:hAnsi="仿宋" w:eastAsia="仿宋_GB2312" w:cs="仿宋_GB2312"/>
          <w:highlight w:val="none"/>
          <w:lang w:val="en-US" w:eastAsia="zh-CN"/>
        </w:rPr>
        <w:t>8</w:t>
      </w:r>
      <w:r>
        <w:rPr>
          <w:rFonts w:ascii="仿宋_GB2312" w:hAnsi="仿宋" w:eastAsia="仿宋_GB2312" w:cs="仿宋_GB2312"/>
          <w:highlight w:val="none"/>
        </w:rPr>
        <w:t xml:space="preserve">.1电子交易平台发生故障而无法登录访问的； </w:t>
      </w:r>
    </w:p>
    <w:p w14:paraId="3ED1E704">
      <w:pPr>
        <w:pStyle w:val="128"/>
        <w:keepNext w:val="0"/>
        <w:keepLines w:val="0"/>
        <w:pageBreakBefore w:val="0"/>
        <w:widowControl w:val="0"/>
        <w:kinsoku/>
        <w:wordWrap w:val="0"/>
        <w:overflowPunct/>
        <w:topLinePunct w:val="0"/>
        <w:autoSpaceDE/>
        <w:autoSpaceDN/>
        <w:bidi w:val="0"/>
        <w:adjustRightInd w:val="0"/>
        <w:snapToGrid w:val="0"/>
        <w:spacing w:before="0"/>
        <w:ind w:firstLine="480" w:firstLineChars="200"/>
        <w:textAlignment w:val="auto"/>
        <w:rPr>
          <w:rFonts w:ascii="仿宋_GB2312" w:hAnsi="仿宋" w:eastAsia="仿宋_GB2312" w:cs="仿宋_GB2312"/>
          <w:highlight w:val="none"/>
        </w:rPr>
      </w:pPr>
      <w:r>
        <w:rPr>
          <w:rFonts w:ascii="仿宋_GB2312" w:hAnsi="仿宋" w:eastAsia="仿宋_GB2312" w:cs="仿宋_GB2312"/>
          <w:highlight w:val="none"/>
        </w:rPr>
        <w:t>2</w:t>
      </w:r>
      <w:r>
        <w:rPr>
          <w:rFonts w:hint="eastAsia" w:ascii="仿宋_GB2312" w:hAnsi="仿宋" w:eastAsia="仿宋_GB2312" w:cs="仿宋_GB2312"/>
          <w:highlight w:val="none"/>
          <w:lang w:val="en-US" w:eastAsia="zh-CN"/>
        </w:rPr>
        <w:t>8</w:t>
      </w:r>
      <w:r>
        <w:rPr>
          <w:rFonts w:ascii="仿宋_GB2312" w:hAnsi="仿宋" w:eastAsia="仿宋_GB2312" w:cs="仿宋_GB2312"/>
          <w:highlight w:val="none"/>
        </w:rPr>
        <w:t>.2电子交易平台应用或数据库出现错误，不能进行正常操作的；</w:t>
      </w:r>
    </w:p>
    <w:p w14:paraId="2CFEF0B9">
      <w:pPr>
        <w:pStyle w:val="128"/>
        <w:keepNext w:val="0"/>
        <w:keepLines w:val="0"/>
        <w:pageBreakBefore w:val="0"/>
        <w:widowControl w:val="0"/>
        <w:kinsoku/>
        <w:wordWrap w:val="0"/>
        <w:overflowPunct/>
        <w:topLinePunct w:val="0"/>
        <w:autoSpaceDE/>
        <w:autoSpaceDN/>
        <w:bidi w:val="0"/>
        <w:adjustRightInd w:val="0"/>
        <w:snapToGrid w:val="0"/>
        <w:spacing w:before="0"/>
        <w:ind w:firstLine="480" w:firstLineChars="200"/>
        <w:textAlignment w:val="auto"/>
        <w:rPr>
          <w:rFonts w:ascii="仿宋_GB2312" w:hAnsi="仿宋" w:eastAsia="仿宋_GB2312" w:cs="仿宋_GB2312"/>
          <w:highlight w:val="none"/>
        </w:rPr>
      </w:pPr>
      <w:r>
        <w:rPr>
          <w:rFonts w:ascii="仿宋_GB2312" w:hAnsi="仿宋" w:eastAsia="仿宋_GB2312" w:cs="仿宋_GB2312"/>
          <w:highlight w:val="none"/>
        </w:rPr>
        <w:t>2</w:t>
      </w:r>
      <w:r>
        <w:rPr>
          <w:rFonts w:hint="eastAsia" w:ascii="仿宋_GB2312" w:hAnsi="仿宋" w:eastAsia="仿宋_GB2312" w:cs="仿宋_GB2312"/>
          <w:highlight w:val="none"/>
          <w:lang w:val="en-US" w:eastAsia="zh-CN"/>
        </w:rPr>
        <w:t>8</w:t>
      </w:r>
      <w:r>
        <w:rPr>
          <w:rFonts w:ascii="仿宋_GB2312" w:hAnsi="仿宋" w:eastAsia="仿宋_GB2312" w:cs="仿宋_GB2312"/>
          <w:highlight w:val="none"/>
        </w:rPr>
        <w:t>.3电子交易平台发现严重安全漏洞，有潜在泄密危险的；</w:t>
      </w:r>
    </w:p>
    <w:p w14:paraId="59AD7F85">
      <w:pPr>
        <w:pStyle w:val="128"/>
        <w:keepNext w:val="0"/>
        <w:keepLines w:val="0"/>
        <w:pageBreakBefore w:val="0"/>
        <w:widowControl w:val="0"/>
        <w:kinsoku/>
        <w:wordWrap w:val="0"/>
        <w:overflowPunct/>
        <w:topLinePunct w:val="0"/>
        <w:autoSpaceDE/>
        <w:autoSpaceDN/>
        <w:bidi w:val="0"/>
        <w:adjustRightInd w:val="0"/>
        <w:snapToGrid w:val="0"/>
        <w:spacing w:before="0"/>
        <w:ind w:firstLine="480" w:firstLineChars="200"/>
        <w:textAlignment w:val="auto"/>
        <w:rPr>
          <w:rFonts w:ascii="仿宋_GB2312" w:hAnsi="仿宋" w:eastAsia="仿宋_GB2312" w:cs="仿宋_GB2312"/>
          <w:highlight w:val="none"/>
        </w:rPr>
      </w:pPr>
      <w:r>
        <w:rPr>
          <w:rFonts w:ascii="仿宋_GB2312" w:hAnsi="仿宋" w:eastAsia="仿宋_GB2312" w:cs="仿宋_GB2312"/>
          <w:highlight w:val="none"/>
        </w:rPr>
        <w:t>2</w:t>
      </w:r>
      <w:r>
        <w:rPr>
          <w:rFonts w:hint="eastAsia" w:ascii="仿宋_GB2312" w:hAnsi="仿宋" w:eastAsia="仿宋_GB2312" w:cs="仿宋_GB2312"/>
          <w:highlight w:val="none"/>
          <w:lang w:val="en-US" w:eastAsia="zh-CN"/>
        </w:rPr>
        <w:t>8</w:t>
      </w:r>
      <w:r>
        <w:rPr>
          <w:rFonts w:ascii="仿宋_GB2312" w:hAnsi="仿宋" w:eastAsia="仿宋_GB2312" w:cs="仿宋_GB2312"/>
          <w:highlight w:val="none"/>
        </w:rPr>
        <w:t xml:space="preserve">.4病毒发作导致不能进行正常操作的； </w:t>
      </w:r>
    </w:p>
    <w:p w14:paraId="10572C65">
      <w:pPr>
        <w:pStyle w:val="128"/>
        <w:keepNext w:val="0"/>
        <w:keepLines w:val="0"/>
        <w:pageBreakBefore w:val="0"/>
        <w:widowControl w:val="0"/>
        <w:kinsoku/>
        <w:wordWrap w:val="0"/>
        <w:overflowPunct/>
        <w:topLinePunct w:val="0"/>
        <w:autoSpaceDE/>
        <w:autoSpaceDN/>
        <w:bidi w:val="0"/>
        <w:adjustRightInd w:val="0"/>
        <w:snapToGrid w:val="0"/>
        <w:spacing w:before="0"/>
        <w:ind w:firstLine="480" w:firstLineChars="200"/>
        <w:textAlignment w:val="auto"/>
        <w:rPr>
          <w:rFonts w:ascii="仿宋_GB2312" w:hAnsi="仿宋" w:eastAsia="仿宋_GB2312" w:cs="仿宋_GB2312"/>
          <w:highlight w:val="none"/>
        </w:rPr>
      </w:pPr>
      <w:r>
        <w:rPr>
          <w:rFonts w:ascii="仿宋_GB2312" w:hAnsi="仿宋" w:eastAsia="仿宋_GB2312" w:cs="仿宋_GB2312"/>
          <w:highlight w:val="none"/>
        </w:rPr>
        <w:t>2</w:t>
      </w:r>
      <w:r>
        <w:rPr>
          <w:rFonts w:hint="eastAsia" w:ascii="仿宋_GB2312" w:hAnsi="仿宋" w:eastAsia="仿宋_GB2312" w:cs="仿宋_GB2312"/>
          <w:highlight w:val="none"/>
          <w:lang w:val="en-US" w:eastAsia="zh-CN"/>
        </w:rPr>
        <w:t>8</w:t>
      </w:r>
      <w:r>
        <w:rPr>
          <w:rFonts w:ascii="仿宋_GB2312" w:hAnsi="仿宋" w:eastAsia="仿宋_GB2312" w:cs="仿宋_GB2312"/>
          <w:highlight w:val="none"/>
        </w:rPr>
        <w:t>.5其他无法保证电子交易的公平、公正和安全的情况。</w:t>
      </w:r>
    </w:p>
    <w:p w14:paraId="2656CA8A">
      <w:pPr>
        <w:pStyle w:val="128"/>
        <w:keepNext w:val="0"/>
        <w:keepLines w:val="0"/>
        <w:pageBreakBefore w:val="0"/>
        <w:widowControl w:val="0"/>
        <w:kinsoku/>
        <w:wordWrap w:val="0"/>
        <w:overflowPunct/>
        <w:topLinePunct w:val="0"/>
        <w:autoSpaceDE/>
        <w:autoSpaceDN/>
        <w:bidi w:val="0"/>
        <w:adjustRightInd w:val="0"/>
        <w:snapToGrid w:val="0"/>
        <w:spacing w:before="0"/>
        <w:ind w:firstLine="480" w:firstLineChars="200"/>
        <w:textAlignment w:val="auto"/>
        <w:rPr>
          <w:rFonts w:ascii="仿宋_GB2312" w:hAnsi="仿宋" w:eastAsia="仿宋_GB2312" w:cs="仿宋_GB2312"/>
          <w:highlight w:val="none"/>
        </w:rPr>
      </w:pPr>
      <w:r>
        <w:rPr>
          <w:rFonts w:ascii="仿宋_GB2312" w:hAnsi="仿宋" w:eastAsia="仿宋_GB2312" w:cs="仿宋_GB2312"/>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7D3BDB2">
      <w:pPr>
        <w:kinsoku/>
        <w:wordWrap w:val="0"/>
        <w:topLinePunct w:val="0"/>
        <w:bidi w:val="0"/>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九、验收</w:t>
      </w:r>
    </w:p>
    <w:p w14:paraId="5AEB2098">
      <w:pPr>
        <w:pStyle w:val="27"/>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ascii="仿宋_GB2312" w:hAnsi="仿宋" w:eastAsia="仿宋_GB2312" w:cs="仿宋_GB2312"/>
          <w:b/>
          <w:highlight w:val="none"/>
        </w:rPr>
      </w:pPr>
      <w:r>
        <w:rPr>
          <w:rFonts w:ascii="仿宋_GB2312" w:hAnsi="仿宋" w:eastAsia="仿宋_GB2312" w:cs="仿宋_GB2312"/>
          <w:b/>
          <w:highlight w:val="none"/>
        </w:rPr>
        <w:t>29.验收</w:t>
      </w:r>
    </w:p>
    <w:p w14:paraId="41299E79">
      <w:pPr>
        <w:keepNext w:val="0"/>
        <w:keepLines w:val="0"/>
        <w:pageBreakBefore w:val="0"/>
        <w:widowControl w:val="0"/>
        <w:tabs>
          <w:tab w:val="left" w:pos="0"/>
        </w:tabs>
        <w:kinsoku/>
        <w:wordWrap w:val="0"/>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Helvetica"/>
          <w:kern w:val="0"/>
          <w:sz w:val="24"/>
          <w:highlight w:val="none"/>
        </w:rPr>
      </w:pPr>
      <w:r>
        <w:rPr>
          <w:rFonts w:ascii="仿宋_GB2312" w:hAnsi="仿宋" w:eastAsia="仿宋_GB2312" w:cs="Helvetica"/>
          <w:kern w:val="0"/>
          <w:sz w:val="24"/>
          <w:highlight w:val="none"/>
        </w:rPr>
        <w:t>29.1采购人</w:t>
      </w:r>
      <w:r>
        <w:rPr>
          <w:rFonts w:hint="eastAsia" w:ascii="仿宋_GB2312" w:hAnsi="仿宋" w:eastAsia="仿宋_GB2312" w:cs="Helvetica"/>
          <w:kern w:val="0"/>
          <w:sz w:val="24"/>
          <w:highlight w:val="none"/>
          <w:lang w:eastAsia="zh-CN"/>
        </w:rPr>
        <w:t>根据《温州市政府采购履约验收办法》（温财采</w:t>
      </w:r>
      <w:r>
        <w:rPr>
          <w:rFonts w:ascii="仿宋_GB2312" w:hAnsi="仿宋" w:eastAsia="仿宋_GB2312"/>
          <w:sz w:val="24"/>
          <w:highlight w:val="none"/>
        </w:rPr>
        <w:t>〔20</w:t>
      </w:r>
      <w:r>
        <w:rPr>
          <w:rFonts w:hint="eastAsia" w:ascii="仿宋_GB2312" w:hAnsi="仿宋" w:eastAsia="仿宋_GB2312"/>
          <w:sz w:val="24"/>
          <w:highlight w:val="none"/>
          <w:lang w:val="en-US" w:eastAsia="zh-CN"/>
        </w:rPr>
        <w:t>20</w:t>
      </w:r>
      <w:r>
        <w:rPr>
          <w:rFonts w:ascii="仿宋_GB2312" w:hAnsi="仿宋" w:eastAsia="仿宋_GB2312"/>
          <w:sz w:val="24"/>
          <w:highlight w:val="none"/>
        </w:rPr>
        <w:t>〕</w:t>
      </w:r>
      <w:r>
        <w:rPr>
          <w:rFonts w:hint="eastAsia" w:ascii="仿宋_GB2312" w:hAnsi="仿宋" w:eastAsia="仿宋_GB2312"/>
          <w:sz w:val="24"/>
          <w:highlight w:val="none"/>
          <w:lang w:val="en-US" w:eastAsia="zh-CN"/>
        </w:rPr>
        <w:t>6号</w:t>
      </w:r>
      <w:r>
        <w:rPr>
          <w:rFonts w:hint="eastAsia" w:ascii="仿宋_GB2312" w:hAnsi="仿宋" w:eastAsia="仿宋_GB2312" w:cs="Helvetica"/>
          <w:kern w:val="0"/>
          <w:sz w:val="24"/>
          <w:highlight w:val="none"/>
          <w:lang w:eastAsia="zh-CN"/>
        </w:rPr>
        <w:t>）</w:t>
      </w:r>
      <w:r>
        <w:rPr>
          <w:rFonts w:ascii="仿宋_GB2312" w:hAnsi="仿宋" w:eastAsia="仿宋_GB2312" w:cs="Helvetica"/>
          <w:kern w:val="0"/>
          <w:sz w:val="24"/>
          <w:highlight w:val="none"/>
        </w:rPr>
        <w:t>组织对供应商的履约验收</w:t>
      </w:r>
      <w:r>
        <w:rPr>
          <w:rFonts w:hint="eastAsia" w:ascii="仿宋_GB2312" w:hAnsi="仿宋" w:eastAsia="仿宋_GB2312" w:cs="Helvetica"/>
          <w:kern w:val="0"/>
          <w:sz w:val="24"/>
          <w:highlight w:val="none"/>
          <w:lang w:eastAsia="zh-CN"/>
        </w:rPr>
        <w:t>工作</w:t>
      </w:r>
      <w:r>
        <w:rPr>
          <w:rFonts w:ascii="仿宋_GB2312" w:hAnsi="仿宋" w:eastAsia="仿宋_GB2312" w:cs="Helvetica"/>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0CA32F">
      <w:pPr>
        <w:keepNext w:val="0"/>
        <w:keepLines w:val="0"/>
        <w:pageBreakBefore w:val="0"/>
        <w:widowControl w:val="0"/>
        <w:tabs>
          <w:tab w:val="left" w:pos="0"/>
        </w:tabs>
        <w:kinsoku/>
        <w:wordWrap w:val="0"/>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Helvetica"/>
          <w:kern w:val="0"/>
          <w:sz w:val="24"/>
          <w:highlight w:val="none"/>
        </w:rPr>
      </w:pPr>
      <w:r>
        <w:rPr>
          <w:rFonts w:ascii="仿宋_GB2312" w:hAnsi="仿宋" w:eastAsia="仿宋_GB2312" w:cs="Helvetica"/>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highlight w:val="none"/>
        </w:rPr>
        <w:t>验收书的参考资料一并存档。</w:t>
      </w:r>
    </w:p>
    <w:p w14:paraId="640B9998">
      <w:pPr>
        <w:keepNext w:val="0"/>
        <w:keepLines w:val="0"/>
        <w:pageBreakBefore w:val="0"/>
        <w:widowControl w:val="0"/>
        <w:tabs>
          <w:tab w:val="left" w:pos="0"/>
        </w:tabs>
        <w:kinsoku/>
        <w:wordWrap w:val="0"/>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Helvetica"/>
          <w:kern w:val="0"/>
          <w:sz w:val="24"/>
          <w:highlight w:val="none"/>
        </w:rPr>
      </w:pPr>
      <w:r>
        <w:rPr>
          <w:rFonts w:ascii="仿宋_GB2312" w:hAnsi="仿宋" w:eastAsia="仿宋_GB2312" w:cs="Helvetica"/>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778F5E">
      <w:pPr>
        <w:keepNext w:val="0"/>
        <w:keepLines w:val="0"/>
        <w:pageBreakBefore w:val="0"/>
        <w:widowControl w:val="0"/>
        <w:tabs>
          <w:tab w:val="left" w:pos="0"/>
        </w:tabs>
        <w:kinsoku/>
        <w:wordWrap w:val="0"/>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仿宋_GB2312"/>
          <w:sz w:val="18"/>
          <w:szCs w:val="18"/>
          <w:highlight w:val="none"/>
        </w:rPr>
      </w:pPr>
      <w:r>
        <w:rPr>
          <w:rFonts w:ascii="仿宋_GB2312" w:hAnsi="仿宋" w:eastAsia="仿宋_GB2312" w:cs="Helvetica"/>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7A9F5A7">
      <w:pPr>
        <w:tabs>
          <w:tab w:val="left" w:pos="0"/>
        </w:tabs>
        <w:kinsoku/>
        <w:wordWrap w:val="0"/>
        <w:topLinePunct w:val="0"/>
        <w:bidi w:val="0"/>
        <w:spacing w:line="360" w:lineRule="auto"/>
        <w:ind w:firstLine="480"/>
        <w:rPr>
          <w:rFonts w:ascii="仿宋_GB2312" w:hAnsi="仿宋" w:eastAsia="仿宋_GB2312" w:cs="Helvetica"/>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75236101"/>
      <w:bookmarkEnd w:id="14"/>
      <w:bookmarkStart w:id="15" w:name="_Hlt74729768"/>
      <w:bookmarkEnd w:id="15"/>
      <w:bookmarkStart w:id="16" w:name="_Hlt74714665"/>
      <w:bookmarkEnd w:id="16"/>
      <w:bookmarkStart w:id="17" w:name="_Hlt68072990"/>
      <w:bookmarkEnd w:id="17"/>
      <w:bookmarkStart w:id="18" w:name="_Hlt74707468"/>
      <w:bookmarkEnd w:id="18"/>
      <w:bookmarkStart w:id="19" w:name="_Hlt68403820"/>
      <w:bookmarkEnd w:id="19"/>
      <w:bookmarkStart w:id="20" w:name="_Hlt75236011"/>
      <w:bookmarkEnd w:id="20"/>
      <w:bookmarkStart w:id="21" w:name="_Hlt75236290"/>
      <w:bookmarkEnd w:id="21"/>
      <w:bookmarkStart w:id="22" w:name="_Hlt74730295"/>
      <w:bookmarkEnd w:id="22"/>
      <w:bookmarkStart w:id="23" w:name="_Hlt68072998"/>
      <w:bookmarkEnd w:id="23"/>
      <w:bookmarkStart w:id="24" w:name="_Hlt68073093"/>
      <w:bookmarkEnd w:id="24"/>
      <w:bookmarkStart w:id="25" w:name="_Hlt68057669"/>
      <w:bookmarkEnd w:id="25"/>
    </w:p>
    <w:bookmarkEnd w:id="11"/>
    <w:bookmarkEnd w:id="12"/>
    <w:p w14:paraId="7304BD4D">
      <w:pPr>
        <w:kinsoku/>
        <w:wordWrap w:val="0"/>
        <w:topLinePunct w:val="0"/>
        <w:bidi w:val="0"/>
        <w:spacing w:line="360" w:lineRule="auto"/>
        <w:jc w:val="center"/>
        <w:outlineLvl w:val="0"/>
        <w:rPr>
          <w:rFonts w:ascii="仿宋" w:hAnsi="仿宋" w:eastAsia="仿宋" w:cs="仿宋_GB2312"/>
          <w:b/>
          <w:sz w:val="36"/>
          <w:szCs w:val="36"/>
          <w:highlight w:val="none"/>
        </w:rPr>
      </w:pPr>
      <w:bookmarkStart w:id="26" w:name="第四部分"/>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p>
    <w:p w14:paraId="361DAA7F">
      <w:pPr>
        <w:pStyle w:val="2"/>
        <w:keepNext w:val="0"/>
        <w:keepLines w:val="0"/>
        <w:pageBreakBefore w:val="0"/>
        <w:kinsoku/>
        <w:wordWrap/>
        <w:topLinePunct w:val="0"/>
        <w:bidi w:val="0"/>
        <w:adjustRightInd w:val="0"/>
        <w:snapToGrid w:val="0"/>
        <w:spacing w:line="360" w:lineRule="auto"/>
        <w:ind w:left="0" w:firstLine="422" w:firstLineChars="200"/>
        <w:rPr>
          <w:rFonts w:ascii="宋体" w:hAnsi="宋体"/>
          <w:color w:val="auto"/>
          <w:sz w:val="21"/>
          <w:szCs w:val="21"/>
          <w:highlight w:val="none"/>
        </w:rPr>
      </w:pPr>
      <w:bookmarkStart w:id="27" w:name="_Toc2889"/>
      <w:r>
        <w:rPr>
          <w:rFonts w:hint="eastAsia" w:ascii="宋体" w:hAnsi="宋体"/>
          <w:color w:val="auto"/>
          <w:sz w:val="21"/>
          <w:szCs w:val="21"/>
          <w:highlight w:val="none"/>
        </w:rPr>
        <w:t>一、采购总说明</w:t>
      </w:r>
      <w:bookmarkEnd w:id="27"/>
    </w:p>
    <w:p w14:paraId="1BD67D32">
      <w:pPr>
        <w:keepNext w:val="0"/>
        <w:keepLines w:val="0"/>
        <w:pageBreakBefore w:val="0"/>
        <w:kinsoku/>
        <w:wordWrap/>
        <w:topLinePunct w:val="0"/>
        <w:bidi w:val="0"/>
        <w:adjustRightInd w:val="0"/>
        <w:snapToGrid w:val="0"/>
        <w:spacing w:line="360" w:lineRule="auto"/>
        <w:ind w:left="0" w:firstLine="420" w:firstLineChars="200"/>
        <w:rPr>
          <w:rFonts w:hint="eastAsia" w:ascii="宋体" w:eastAsia="宋体"/>
          <w:b w:val="0"/>
          <w:color w:val="auto"/>
          <w:sz w:val="21"/>
          <w:szCs w:val="21"/>
          <w:highlight w:val="none"/>
        </w:rPr>
      </w:pPr>
      <w:r>
        <w:rPr>
          <w:rFonts w:hint="eastAsia" w:ascii="宋体" w:eastAsia="宋体"/>
          <w:b w:val="0"/>
          <w:color w:val="auto"/>
          <w:sz w:val="21"/>
          <w:szCs w:val="21"/>
          <w:highlight w:val="none"/>
        </w:rPr>
        <w:t>1、本技术规范要求提出的是最低限度的基本技术要求，并未对所有技术细节作出规定，供应商应提供符合本技术要求和国家标准、行业标准的优质产品。</w:t>
      </w:r>
    </w:p>
    <w:p w14:paraId="6F85511A">
      <w:pPr>
        <w:keepNext w:val="0"/>
        <w:keepLines w:val="0"/>
        <w:pageBreakBefore w:val="0"/>
        <w:kinsoku/>
        <w:wordWrap/>
        <w:topLinePunct w:val="0"/>
        <w:bidi w:val="0"/>
        <w:adjustRightInd w:val="0"/>
        <w:snapToGrid w:val="0"/>
        <w:spacing w:line="360" w:lineRule="auto"/>
        <w:ind w:left="0" w:firstLine="420" w:firstLineChars="200"/>
        <w:rPr>
          <w:rFonts w:hint="eastAsia" w:ascii="宋体" w:eastAsia="宋体"/>
          <w:b w:val="0"/>
          <w:color w:val="auto"/>
          <w:sz w:val="21"/>
          <w:szCs w:val="21"/>
          <w:highlight w:val="none"/>
        </w:rPr>
      </w:pPr>
      <w:r>
        <w:rPr>
          <w:rFonts w:hint="eastAsia" w:ascii="宋体" w:eastAsia="宋体"/>
          <w:b w:val="0"/>
          <w:color w:val="auto"/>
          <w:sz w:val="21"/>
          <w:szCs w:val="21"/>
          <w:highlight w:val="none"/>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4166AD06">
      <w:pPr>
        <w:keepNext w:val="0"/>
        <w:keepLines w:val="0"/>
        <w:pageBreakBefore w:val="0"/>
        <w:kinsoku/>
        <w:wordWrap/>
        <w:topLinePunct w:val="0"/>
        <w:bidi w:val="0"/>
        <w:adjustRightInd w:val="0"/>
        <w:snapToGrid w:val="0"/>
        <w:spacing w:line="360" w:lineRule="auto"/>
        <w:ind w:left="0" w:firstLine="420" w:firstLineChars="200"/>
        <w:rPr>
          <w:rFonts w:hint="eastAsia" w:ascii="宋体" w:eastAsia="宋体"/>
          <w:b w:val="0"/>
          <w:color w:val="auto"/>
          <w:sz w:val="21"/>
          <w:szCs w:val="21"/>
          <w:highlight w:val="none"/>
        </w:rPr>
      </w:pPr>
      <w:r>
        <w:rPr>
          <w:rFonts w:hint="eastAsia" w:ascii="宋体" w:eastAsia="宋体"/>
          <w:b w:val="0"/>
          <w:color w:val="auto"/>
          <w:sz w:val="21"/>
          <w:szCs w:val="21"/>
          <w:highlight w:val="none"/>
        </w:rPr>
        <w:t>3、技术要求及标准的执行</w:t>
      </w:r>
    </w:p>
    <w:p w14:paraId="7967D082">
      <w:pPr>
        <w:keepNext w:val="0"/>
        <w:keepLines w:val="0"/>
        <w:pageBreakBefore w:val="0"/>
        <w:kinsoku/>
        <w:wordWrap/>
        <w:topLinePunct w:val="0"/>
        <w:bidi w:val="0"/>
        <w:adjustRightInd w:val="0"/>
        <w:snapToGrid w:val="0"/>
        <w:spacing w:line="360" w:lineRule="auto"/>
        <w:ind w:left="0" w:firstLine="420" w:firstLineChars="200"/>
        <w:rPr>
          <w:rFonts w:hint="eastAsia" w:ascii="宋体" w:eastAsia="宋体"/>
          <w:b w:val="0"/>
          <w:color w:val="auto"/>
          <w:sz w:val="21"/>
          <w:szCs w:val="21"/>
          <w:highlight w:val="none"/>
        </w:rPr>
      </w:pPr>
      <w:r>
        <w:rPr>
          <w:rFonts w:hint="eastAsia" w:ascii="宋体" w:eastAsia="宋体"/>
          <w:b w:val="0"/>
          <w:color w:val="auto"/>
          <w:sz w:val="21"/>
          <w:szCs w:val="21"/>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540D67F0">
      <w:pPr>
        <w:pStyle w:val="2"/>
        <w:keepNext w:val="0"/>
        <w:keepLines w:val="0"/>
        <w:pageBreakBefore w:val="0"/>
        <w:kinsoku/>
        <w:wordWrap/>
        <w:topLinePunct w:val="0"/>
        <w:bidi w:val="0"/>
        <w:adjustRightInd w:val="0"/>
        <w:snapToGrid w:val="0"/>
        <w:spacing w:line="360" w:lineRule="auto"/>
        <w:ind w:left="0" w:firstLine="422" w:firstLineChars="200"/>
        <w:rPr>
          <w:rFonts w:hint="eastAsia" w:ascii="宋体" w:hAnsi="宋体"/>
          <w:b w:val="0"/>
          <w:color w:val="auto"/>
          <w:sz w:val="21"/>
          <w:szCs w:val="21"/>
          <w:highlight w:val="none"/>
        </w:rPr>
      </w:pPr>
      <w:bookmarkStart w:id="28" w:name="_Toc11899"/>
      <w:r>
        <w:rPr>
          <w:rFonts w:hint="eastAsia" w:ascii="宋体" w:hAnsi="宋体"/>
          <w:color w:val="auto"/>
          <w:sz w:val="21"/>
          <w:szCs w:val="21"/>
          <w:highlight w:val="none"/>
        </w:rPr>
        <w:t>二、采购内容及技术要求</w:t>
      </w:r>
      <w:bookmarkEnd w:id="28"/>
    </w:p>
    <w:p w14:paraId="7E8248DA">
      <w:pPr>
        <w:keepNext w:val="0"/>
        <w:keepLines w:val="0"/>
        <w:pageBreakBefore w:val="0"/>
        <w:kinsoku/>
        <w:wordWrap/>
        <w:topLinePunct w:val="0"/>
        <w:autoSpaceDE w:val="0"/>
        <w:autoSpaceDN w:val="0"/>
        <w:bidi w:val="0"/>
        <w:adjustRightInd w:val="0"/>
        <w:snapToGrid w:val="0"/>
        <w:spacing w:line="360" w:lineRule="auto"/>
        <w:ind w:left="0" w:firstLine="420" w:firstLineChars="200"/>
        <w:textAlignment w:val="bottom"/>
        <w:rPr>
          <w:rFonts w:hint="eastAsia" w:ascii="宋体" w:eastAsia="宋体"/>
          <w:b w:val="0"/>
          <w:color w:val="auto"/>
          <w:sz w:val="21"/>
          <w:szCs w:val="21"/>
          <w:highlight w:val="none"/>
        </w:rPr>
      </w:pPr>
      <w:r>
        <w:rPr>
          <w:rFonts w:hint="eastAsia" w:ascii="宋体" w:eastAsia="宋体"/>
          <w:b w:val="0"/>
          <w:color w:val="auto"/>
          <w:sz w:val="21"/>
          <w:szCs w:val="21"/>
          <w:highlight w:val="none"/>
        </w:rPr>
        <w:t>1、采购内容</w:t>
      </w:r>
    </w:p>
    <w:p w14:paraId="74BD45E4">
      <w:pPr>
        <w:pStyle w:val="35"/>
        <w:keepNext w:val="0"/>
        <w:keepLines w:val="0"/>
        <w:pageBreakBefore w:val="0"/>
        <w:kinsoku/>
        <w:wordWrap/>
        <w:topLinePunct w:val="0"/>
        <w:bidi w:val="0"/>
        <w:adjustRightInd w:val="0"/>
        <w:snapToGrid w:val="0"/>
        <w:spacing w:line="360" w:lineRule="auto"/>
        <w:ind w:left="0" w:firstLine="420" w:firstLineChars="200"/>
        <w:rPr>
          <w:rFonts w:hint="eastAsia" w:ascii="宋体" w:hAnsi="宋体" w:eastAsia="宋体" w:cs="宋体"/>
          <w:b w:val="0"/>
          <w:color w:val="auto"/>
          <w:sz w:val="21"/>
          <w:szCs w:val="21"/>
          <w:highlight w:val="none"/>
        </w:rPr>
      </w:pPr>
      <w:r>
        <w:rPr>
          <w:rFonts w:hint="eastAsia" w:ascii="宋体" w:eastAsia="宋体"/>
          <w:b w:val="0"/>
          <w:color w:val="auto"/>
          <w:sz w:val="21"/>
          <w:szCs w:val="21"/>
          <w:highlight w:val="none"/>
        </w:rPr>
        <w:t>本工程此次发包范围为</w:t>
      </w:r>
      <w:r>
        <w:rPr>
          <w:rFonts w:hint="eastAsia"/>
          <w:b w:val="0"/>
          <w:color w:val="auto"/>
          <w:sz w:val="21"/>
          <w:szCs w:val="21"/>
          <w:highlight w:val="none"/>
          <w:lang w:eastAsia="zh-CN"/>
        </w:rPr>
        <w:t xml:space="preserve"> 2024年永嘉县路面灌缝、路面砂浆修复项目</w:t>
      </w:r>
      <w:r>
        <w:rPr>
          <w:rFonts w:hint="eastAsia" w:ascii="宋体" w:eastAsia="宋体"/>
          <w:b w:val="0"/>
          <w:color w:val="auto"/>
          <w:sz w:val="21"/>
          <w:szCs w:val="21"/>
          <w:highlight w:val="none"/>
        </w:rPr>
        <w:t>的采购</w:t>
      </w:r>
      <w:r>
        <w:rPr>
          <w:rFonts w:hint="eastAsia" w:ascii="宋体" w:hAnsi="宋体" w:eastAsia="宋体" w:cs="宋体"/>
          <w:b w:val="0"/>
          <w:color w:val="auto"/>
          <w:sz w:val="21"/>
          <w:szCs w:val="21"/>
          <w:highlight w:val="none"/>
        </w:rPr>
        <w:t>。</w:t>
      </w:r>
    </w:p>
    <w:p w14:paraId="73CE7FD8">
      <w:pPr>
        <w:pStyle w:val="35"/>
        <w:keepNext w:val="0"/>
        <w:keepLines w:val="0"/>
        <w:pageBreakBefore w:val="0"/>
        <w:kinsoku/>
        <w:wordWrap/>
        <w:topLinePunct w:val="0"/>
        <w:bidi w:val="0"/>
        <w:adjustRightInd w:val="0"/>
        <w:snapToGrid w:val="0"/>
        <w:spacing w:line="360" w:lineRule="auto"/>
        <w:ind w:left="0" w:firstLine="420" w:firstLineChars="200"/>
        <w:rPr>
          <w:rFonts w:hint="default" w:ascii="宋体" w:hAnsi="宋体" w:eastAsia="宋体" w:cs="宋体"/>
          <w:b w:val="0"/>
          <w:color w:val="auto"/>
          <w:sz w:val="21"/>
          <w:szCs w:val="21"/>
          <w:highlight w:val="yellow"/>
          <w:lang w:val="en-US" w:eastAsia="zh-CN"/>
        </w:rPr>
      </w:pPr>
      <w:r>
        <w:rPr>
          <w:rFonts w:hint="eastAsia" w:hAnsi="宋体" w:cs="宋体"/>
          <w:b w:val="0"/>
          <w:color w:val="auto"/>
          <w:sz w:val="21"/>
          <w:szCs w:val="21"/>
          <w:highlight w:val="yellow"/>
          <w:lang w:eastAsia="zh-CN"/>
        </w:rPr>
        <w:t>本项目服务期</w:t>
      </w:r>
      <w:r>
        <w:rPr>
          <w:rFonts w:hint="eastAsia" w:hAnsi="宋体" w:cs="宋体"/>
          <w:b w:val="0"/>
          <w:color w:val="auto"/>
          <w:sz w:val="21"/>
          <w:szCs w:val="21"/>
          <w:highlight w:val="yellow"/>
          <w:lang w:val="en-US" w:eastAsia="zh-CN"/>
        </w:rPr>
        <w:t>1+1年，两年总预算400万元，单年度预算200万元。</w:t>
      </w:r>
    </w:p>
    <w:p w14:paraId="6BB72472">
      <w:pPr>
        <w:keepNext w:val="0"/>
        <w:keepLines w:val="0"/>
        <w:pageBreakBefore w:val="0"/>
        <w:kinsoku/>
        <w:wordWrap/>
        <w:topLinePunct w:val="0"/>
        <w:autoSpaceDE w:val="0"/>
        <w:autoSpaceDN w:val="0"/>
        <w:bidi w:val="0"/>
        <w:adjustRightInd w:val="0"/>
        <w:snapToGrid w:val="0"/>
        <w:spacing w:line="360" w:lineRule="auto"/>
        <w:ind w:left="0"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以下内容须包含在报价中：</w:t>
      </w:r>
    </w:p>
    <w:tbl>
      <w:tblPr>
        <w:tblStyle w:val="62"/>
        <w:tblW w:w="92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626"/>
        <w:gridCol w:w="1188"/>
        <w:gridCol w:w="795"/>
        <w:gridCol w:w="1043"/>
        <w:gridCol w:w="2830"/>
      </w:tblGrid>
      <w:tr w14:paraId="0A72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8" w:type="dxa"/>
            <w:noWrap/>
            <w:vAlign w:val="center"/>
          </w:tcPr>
          <w:p w14:paraId="498EB6C8">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序号</w:t>
            </w:r>
          </w:p>
        </w:tc>
        <w:tc>
          <w:tcPr>
            <w:tcW w:w="2626" w:type="dxa"/>
            <w:noWrap/>
            <w:vAlign w:val="center"/>
          </w:tcPr>
          <w:p w14:paraId="0911F13E">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名称</w:t>
            </w:r>
          </w:p>
        </w:tc>
        <w:tc>
          <w:tcPr>
            <w:tcW w:w="1188" w:type="dxa"/>
            <w:noWrap/>
            <w:vAlign w:val="center"/>
          </w:tcPr>
          <w:p w14:paraId="1CC753E1">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条件</w:t>
            </w:r>
          </w:p>
        </w:tc>
        <w:tc>
          <w:tcPr>
            <w:tcW w:w="795" w:type="dxa"/>
            <w:noWrap/>
            <w:vAlign w:val="center"/>
          </w:tcPr>
          <w:p w14:paraId="653B799A">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单位</w:t>
            </w:r>
          </w:p>
        </w:tc>
        <w:tc>
          <w:tcPr>
            <w:tcW w:w="1043" w:type="dxa"/>
            <w:noWrap/>
            <w:vAlign w:val="center"/>
          </w:tcPr>
          <w:p w14:paraId="690677C5">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数量</w:t>
            </w:r>
          </w:p>
        </w:tc>
        <w:tc>
          <w:tcPr>
            <w:tcW w:w="2830" w:type="dxa"/>
            <w:noWrap/>
            <w:vAlign w:val="center"/>
          </w:tcPr>
          <w:p w14:paraId="1E51657C">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备注</w:t>
            </w:r>
          </w:p>
        </w:tc>
      </w:tr>
      <w:tr w14:paraId="3A5E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8" w:type="dxa"/>
            <w:noWrap w:val="0"/>
            <w:vAlign w:val="center"/>
          </w:tcPr>
          <w:p w14:paraId="2D3CE070">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1</w:t>
            </w:r>
          </w:p>
        </w:tc>
        <w:tc>
          <w:tcPr>
            <w:tcW w:w="2626" w:type="dxa"/>
            <w:noWrap w:val="0"/>
            <w:vAlign w:val="center"/>
          </w:tcPr>
          <w:p w14:paraId="6B68D3BB">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沥青路面清缝灌缝</w:t>
            </w:r>
          </w:p>
        </w:tc>
        <w:tc>
          <w:tcPr>
            <w:tcW w:w="1188" w:type="dxa"/>
            <w:noWrap w:val="0"/>
            <w:vAlign w:val="center"/>
          </w:tcPr>
          <w:p w14:paraId="7E5EF831">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包工包料</w:t>
            </w:r>
          </w:p>
        </w:tc>
        <w:tc>
          <w:tcPr>
            <w:tcW w:w="795" w:type="dxa"/>
            <w:noWrap w:val="0"/>
            <w:vAlign w:val="center"/>
          </w:tcPr>
          <w:p w14:paraId="430B6FD7">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m</w:t>
            </w:r>
          </w:p>
        </w:tc>
        <w:tc>
          <w:tcPr>
            <w:tcW w:w="1043" w:type="dxa"/>
            <w:noWrap w:val="0"/>
            <w:vAlign w:val="center"/>
          </w:tcPr>
          <w:p w14:paraId="1ECE7A2A">
            <w:pPr>
              <w:adjustRightInd w:val="0"/>
              <w:snapToGrid w:val="0"/>
              <w:jc w:val="center"/>
              <w:rPr>
                <w:rFonts w:hint="default" w:ascii="宋体" w:eastAsia="宋体"/>
                <w:b w:val="0"/>
                <w:bCs w:val="0"/>
                <w:sz w:val="22"/>
                <w:szCs w:val="22"/>
                <w:highlight w:val="none"/>
                <w:lang w:val="en-US" w:eastAsia="zh-CN"/>
              </w:rPr>
            </w:pPr>
            <w:r>
              <w:rPr>
                <w:rFonts w:hint="eastAsia" w:ascii="宋体"/>
                <w:b w:val="0"/>
                <w:bCs w:val="0"/>
                <w:sz w:val="22"/>
                <w:szCs w:val="22"/>
                <w:highlight w:val="none"/>
                <w:lang w:val="en-US" w:eastAsia="zh-CN"/>
              </w:rPr>
              <w:t>190000</w:t>
            </w:r>
          </w:p>
        </w:tc>
        <w:tc>
          <w:tcPr>
            <w:tcW w:w="2830" w:type="dxa"/>
            <w:noWrap w:val="0"/>
            <w:vAlign w:val="center"/>
          </w:tcPr>
          <w:p w14:paraId="4A1CBAED">
            <w:pPr>
              <w:adjustRightInd w:val="0"/>
              <w:snapToGrid w:val="0"/>
              <w:jc w:val="center"/>
              <w:rPr>
                <w:rFonts w:hint="eastAsia" w:ascii="宋体" w:eastAsia="宋体"/>
                <w:b w:val="0"/>
                <w:bCs w:val="0"/>
                <w:sz w:val="22"/>
                <w:szCs w:val="22"/>
                <w:highlight w:val="none"/>
              </w:rPr>
            </w:pPr>
          </w:p>
        </w:tc>
      </w:tr>
      <w:tr w14:paraId="7352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8" w:type="dxa"/>
            <w:noWrap w:val="0"/>
            <w:vAlign w:val="center"/>
          </w:tcPr>
          <w:p w14:paraId="074C1055">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2</w:t>
            </w:r>
          </w:p>
        </w:tc>
        <w:tc>
          <w:tcPr>
            <w:tcW w:w="2626" w:type="dxa"/>
            <w:noWrap w:val="0"/>
            <w:vAlign w:val="center"/>
          </w:tcPr>
          <w:p w14:paraId="22BBEE80">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沥青路面开槽灌缝</w:t>
            </w:r>
          </w:p>
        </w:tc>
        <w:tc>
          <w:tcPr>
            <w:tcW w:w="1188" w:type="dxa"/>
            <w:noWrap w:val="0"/>
            <w:vAlign w:val="center"/>
          </w:tcPr>
          <w:p w14:paraId="644F0A61">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包工包料</w:t>
            </w:r>
          </w:p>
        </w:tc>
        <w:tc>
          <w:tcPr>
            <w:tcW w:w="795" w:type="dxa"/>
            <w:noWrap w:val="0"/>
            <w:vAlign w:val="center"/>
          </w:tcPr>
          <w:p w14:paraId="1A3E787C">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m</w:t>
            </w:r>
          </w:p>
        </w:tc>
        <w:tc>
          <w:tcPr>
            <w:tcW w:w="1043" w:type="dxa"/>
            <w:noWrap w:val="0"/>
            <w:vAlign w:val="center"/>
          </w:tcPr>
          <w:p w14:paraId="016602B1">
            <w:pPr>
              <w:adjustRightInd w:val="0"/>
              <w:snapToGrid w:val="0"/>
              <w:jc w:val="center"/>
              <w:rPr>
                <w:rFonts w:hint="default" w:ascii="宋体" w:eastAsia="宋体"/>
                <w:b w:val="0"/>
                <w:bCs w:val="0"/>
                <w:sz w:val="22"/>
                <w:szCs w:val="22"/>
                <w:highlight w:val="none"/>
                <w:lang w:val="en-US" w:eastAsia="zh-CN"/>
              </w:rPr>
            </w:pPr>
            <w:r>
              <w:rPr>
                <w:rFonts w:hint="eastAsia" w:ascii="宋体"/>
                <w:b w:val="0"/>
                <w:bCs w:val="0"/>
                <w:sz w:val="22"/>
                <w:szCs w:val="22"/>
                <w:highlight w:val="none"/>
                <w:lang w:val="en-US" w:eastAsia="zh-CN"/>
              </w:rPr>
              <w:t>3000</w:t>
            </w:r>
          </w:p>
        </w:tc>
        <w:tc>
          <w:tcPr>
            <w:tcW w:w="2830" w:type="dxa"/>
            <w:noWrap w:val="0"/>
            <w:vAlign w:val="center"/>
          </w:tcPr>
          <w:p w14:paraId="2CE834B9">
            <w:pPr>
              <w:adjustRightInd w:val="0"/>
              <w:snapToGrid w:val="0"/>
              <w:jc w:val="center"/>
              <w:rPr>
                <w:rFonts w:hint="eastAsia" w:ascii="宋体" w:eastAsia="宋体"/>
                <w:b w:val="0"/>
                <w:bCs w:val="0"/>
                <w:sz w:val="22"/>
                <w:szCs w:val="22"/>
                <w:highlight w:val="none"/>
              </w:rPr>
            </w:pPr>
          </w:p>
        </w:tc>
      </w:tr>
      <w:tr w14:paraId="497C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8" w:type="dxa"/>
            <w:noWrap w:val="0"/>
            <w:vAlign w:val="center"/>
          </w:tcPr>
          <w:p w14:paraId="507D5448">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3</w:t>
            </w:r>
          </w:p>
        </w:tc>
        <w:tc>
          <w:tcPr>
            <w:tcW w:w="2626" w:type="dxa"/>
            <w:noWrap w:val="0"/>
            <w:vAlign w:val="center"/>
          </w:tcPr>
          <w:p w14:paraId="533732E2">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水泥路面清缝灌缝</w:t>
            </w:r>
          </w:p>
        </w:tc>
        <w:tc>
          <w:tcPr>
            <w:tcW w:w="1188" w:type="dxa"/>
            <w:noWrap w:val="0"/>
            <w:vAlign w:val="center"/>
          </w:tcPr>
          <w:p w14:paraId="1EA51BDF">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包工包料</w:t>
            </w:r>
          </w:p>
        </w:tc>
        <w:tc>
          <w:tcPr>
            <w:tcW w:w="795" w:type="dxa"/>
            <w:noWrap w:val="0"/>
            <w:vAlign w:val="center"/>
          </w:tcPr>
          <w:p w14:paraId="4F3127D7">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m</w:t>
            </w:r>
          </w:p>
        </w:tc>
        <w:tc>
          <w:tcPr>
            <w:tcW w:w="1043" w:type="dxa"/>
            <w:noWrap w:val="0"/>
            <w:vAlign w:val="center"/>
          </w:tcPr>
          <w:p w14:paraId="3F07186D">
            <w:pPr>
              <w:adjustRightInd w:val="0"/>
              <w:snapToGrid w:val="0"/>
              <w:jc w:val="center"/>
              <w:rPr>
                <w:rFonts w:hint="default" w:ascii="宋体" w:eastAsia="宋体"/>
                <w:b w:val="0"/>
                <w:bCs w:val="0"/>
                <w:sz w:val="22"/>
                <w:szCs w:val="22"/>
                <w:highlight w:val="none"/>
                <w:lang w:val="en-US"/>
              </w:rPr>
            </w:pPr>
            <w:r>
              <w:rPr>
                <w:rFonts w:hint="eastAsia" w:ascii="宋体"/>
                <w:b w:val="0"/>
                <w:bCs w:val="0"/>
                <w:sz w:val="22"/>
                <w:szCs w:val="22"/>
                <w:highlight w:val="none"/>
                <w:lang w:val="en-US" w:eastAsia="zh-CN"/>
              </w:rPr>
              <w:t>120000</w:t>
            </w:r>
          </w:p>
        </w:tc>
        <w:tc>
          <w:tcPr>
            <w:tcW w:w="2830" w:type="dxa"/>
            <w:noWrap w:val="0"/>
            <w:vAlign w:val="center"/>
          </w:tcPr>
          <w:p w14:paraId="11A27A88">
            <w:pPr>
              <w:adjustRightInd w:val="0"/>
              <w:snapToGrid w:val="0"/>
              <w:jc w:val="center"/>
              <w:rPr>
                <w:rFonts w:hint="eastAsia" w:ascii="宋体" w:eastAsia="宋体"/>
                <w:b w:val="0"/>
                <w:bCs w:val="0"/>
                <w:sz w:val="22"/>
                <w:szCs w:val="22"/>
                <w:highlight w:val="none"/>
              </w:rPr>
            </w:pPr>
          </w:p>
        </w:tc>
      </w:tr>
      <w:tr w14:paraId="176C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8" w:type="dxa"/>
            <w:noWrap w:val="0"/>
            <w:vAlign w:val="center"/>
          </w:tcPr>
          <w:p w14:paraId="50DF9E67">
            <w:pPr>
              <w:adjustRightInd w:val="0"/>
              <w:snapToGrid w:val="0"/>
              <w:jc w:val="center"/>
              <w:rPr>
                <w:rFonts w:hint="eastAsia" w:ascii="宋体" w:eastAsia="宋体"/>
                <w:b w:val="0"/>
                <w:bCs w:val="0"/>
                <w:sz w:val="22"/>
                <w:szCs w:val="22"/>
                <w:highlight w:val="none"/>
                <w:lang w:val="en-US" w:eastAsia="zh-CN"/>
              </w:rPr>
            </w:pPr>
            <w:r>
              <w:rPr>
                <w:rFonts w:hint="eastAsia" w:ascii="宋体" w:eastAsia="宋体"/>
                <w:b w:val="0"/>
                <w:bCs w:val="0"/>
                <w:sz w:val="22"/>
                <w:szCs w:val="22"/>
                <w:highlight w:val="none"/>
                <w:lang w:val="en-US" w:eastAsia="zh-CN"/>
              </w:rPr>
              <w:t>4</w:t>
            </w:r>
          </w:p>
        </w:tc>
        <w:tc>
          <w:tcPr>
            <w:tcW w:w="2626" w:type="dxa"/>
            <w:noWrap w:val="0"/>
            <w:vAlign w:val="center"/>
          </w:tcPr>
          <w:p w14:paraId="47C3BA13">
            <w:pPr>
              <w:adjustRightInd w:val="0"/>
              <w:snapToGrid w:val="0"/>
              <w:jc w:val="center"/>
              <w:rPr>
                <w:rFonts w:hint="default" w:ascii="宋体" w:eastAsia="宋体"/>
                <w:b w:val="0"/>
                <w:bCs w:val="0"/>
                <w:sz w:val="22"/>
                <w:szCs w:val="22"/>
                <w:highlight w:val="none"/>
                <w:lang w:val="en-US" w:eastAsia="zh-CN"/>
              </w:rPr>
            </w:pPr>
            <w:r>
              <w:rPr>
                <w:rFonts w:hint="eastAsia" w:ascii="宋体" w:eastAsia="宋体"/>
                <w:b w:val="0"/>
                <w:bCs w:val="0"/>
                <w:sz w:val="22"/>
                <w:szCs w:val="22"/>
                <w:highlight w:val="none"/>
              </w:rPr>
              <w:t>水泥路面</w:t>
            </w:r>
            <w:r>
              <w:rPr>
                <w:rFonts w:hint="eastAsia" w:ascii="宋体"/>
                <w:b w:val="0"/>
                <w:bCs w:val="0"/>
                <w:sz w:val="22"/>
                <w:szCs w:val="22"/>
                <w:highlight w:val="none"/>
                <w:lang w:val="en-US" w:eastAsia="zh-CN"/>
              </w:rPr>
              <w:t>病害</w:t>
            </w:r>
            <w:r>
              <w:rPr>
                <w:rFonts w:hint="eastAsia" w:ascii="宋体" w:eastAsia="宋体"/>
                <w:b w:val="0"/>
                <w:bCs w:val="0"/>
                <w:sz w:val="22"/>
                <w:szCs w:val="22"/>
                <w:highlight w:val="none"/>
                <w:lang w:val="en-US" w:eastAsia="zh-CN"/>
              </w:rPr>
              <w:t>砂浆修补</w:t>
            </w:r>
          </w:p>
        </w:tc>
        <w:tc>
          <w:tcPr>
            <w:tcW w:w="1188" w:type="dxa"/>
            <w:noWrap w:val="0"/>
            <w:vAlign w:val="center"/>
          </w:tcPr>
          <w:p w14:paraId="167D4F9E">
            <w:pPr>
              <w:adjustRightInd w:val="0"/>
              <w:snapToGrid w:val="0"/>
              <w:jc w:val="center"/>
              <w:rPr>
                <w:rFonts w:hint="eastAsia" w:ascii="宋体" w:eastAsia="宋体"/>
                <w:b w:val="0"/>
                <w:bCs w:val="0"/>
                <w:sz w:val="22"/>
                <w:szCs w:val="22"/>
                <w:highlight w:val="none"/>
              </w:rPr>
            </w:pPr>
            <w:r>
              <w:rPr>
                <w:rFonts w:hint="eastAsia" w:ascii="宋体" w:eastAsia="宋体"/>
                <w:b w:val="0"/>
                <w:bCs w:val="0"/>
                <w:sz w:val="22"/>
                <w:szCs w:val="22"/>
                <w:highlight w:val="none"/>
              </w:rPr>
              <w:t>包工包料</w:t>
            </w:r>
          </w:p>
        </w:tc>
        <w:tc>
          <w:tcPr>
            <w:tcW w:w="795" w:type="dxa"/>
            <w:noWrap w:val="0"/>
            <w:vAlign w:val="center"/>
          </w:tcPr>
          <w:p w14:paraId="597FDD3F">
            <w:pPr>
              <w:adjustRightInd w:val="0"/>
              <w:snapToGrid w:val="0"/>
              <w:jc w:val="center"/>
              <w:rPr>
                <w:rFonts w:hint="default" w:ascii="宋体" w:eastAsia="宋体"/>
                <w:b w:val="0"/>
                <w:bCs w:val="0"/>
                <w:sz w:val="22"/>
                <w:szCs w:val="22"/>
                <w:highlight w:val="none"/>
                <w:lang w:val="en-US" w:eastAsia="zh-CN"/>
              </w:rPr>
            </w:pPr>
            <w:r>
              <w:rPr>
                <w:rFonts w:hint="eastAsia" w:ascii="宋体" w:eastAsia="宋体"/>
                <w:b w:val="0"/>
                <w:bCs w:val="0"/>
                <w:sz w:val="22"/>
                <w:szCs w:val="22"/>
                <w:highlight w:val="none"/>
                <w:lang w:val="en-US" w:eastAsia="zh-CN"/>
              </w:rPr>
              <w:t>m2</w:t>
            </w:r>
          </w:p>
        </w:tc>
        <w:tc>
          <w:tcPr>
            <w:tcW w:w="1043" w:type="dxa"/>
            <w:noWrap w:val="0"/>
            <w:vAlign w:val="center"/>
          </w:tcPr>
          <w:p w14:paraId="6AD80652">
            <w:pPr>
              <w:adjustRightInd w:val="0"/>
              <w:snapToGrid w:val="0"/>
              <w:jc w:val="center"/>
              <w:rPr>
                <w:rFonts w:hint="default" w:ascii="宋体" w:eastAsia="宋体"/>
                <w:b w:val="0"/>
                <w:bCs w:val="0"/>
                <w:sz w:val="22"/>
                <w:szCs w:val="22"/>
                <w:highlight w:val="none"/>
                <w:lang w:val="en-US" w:eastAsia="zh-CN"/>
              </w:rPr>
            </w:pPr>
            <w:r>
              <w:rPr>
                <w:rFonts w:hint="eastAsia" w:ascii="宋体"/>
                <w:b w:val="0"/>
                <w:bCs w:val="0"/>
                <w:sz w:val="22"/>
                <w:szCs w:val="22"/>
                <w:highlight w:val="none"/>
                <w:lang w:val="en-US" w:eastAsia="zh-CN"/>
              </w:rPr>
              <w:t>1000</w:t>
            </w:r>
          </w:p>
        </w:tc>
        <w:tc>
          <w:tcPr>
            <w:tcW w:w="2830" w:type="dxa"/>
            <w:noWrap w:val="0"/>
            <w:vAlign w:val="center"/>
          </w:tcPr>
          <w:p w14:paraId="3D9B6396">
            <w:pPr>
              <w:adjustRightInd w:val="0"/>
              <w:snapToGrid w:val="0"/>
              <w:jc w:val="center"/>
              <w:rPr>
                <w:rFonts w:hint="default" w:ascii="宋体" w:eastAsia="宋体"/>
                <w:b w:val="0"/>
                <w:bCs w:val="0"/>
                <w:sz w:val="22"/>
                <w:szCs w:val="22"/>
                <w:highlight w:val="none"/>
                <w:lang w:val="en-US" w:eastAsia="zh-CN"/>
              </w:rPr>
            </w:pPr>
            <w:r>
              <w:rPr>
                <w:rFonts w:hint="eastAsia" w:ascii="宋体"/>
                <w:b w:val="0"/>
                <w:bCs w:val="0"/>
                <w:sz w:val="22"/>
                <w:szCs w:val="22"/>
                <w:highlight w:val="none"/>
                <w:lang w:val="en-US" w:eastAsia="zh-CN"/>
              </w:rPr>
              <w:t>材料：硅酸盐基聚合物砂浆、环氧树脂砂浆等，具有高强度、早强、耐久性性能。</w:t>
            </w:r>
          </w:p>
        </w:tc>
      </w:tr>
      <w:tr w14:paraId="0CA1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0" w:type="dxa"/>
            <w:gridSpan w:val="6"/>
            <w:noWrap w:val="0"/>
            <w:vAlign w:val="center"/>
          </w:tcPr>
          <w:p w14:paraId="256C00D6">
            <w:pPr>
              <w:adjustRightInd w:val="0"/>
              <w:snapToGrid w:val="0"/>
              <w:jc w:val="center"/>
              <w:rPr>
                <w:rFonts w:hint="default" w:ascii="宋体"/>
                <w:b w:val="0"/>
                <w:bCs w:val="0"/>
                <w:sz w:val="22"/>
                <w:szCs w:val="22"/>
                <w:highlight w:val="none"/>
                <w:lang w:val="en-US" w:eastAsia="zh-CN"/>
              </w:rPr>
            </w:pPr>
            <w:r>
              <w:rPr>
                <w:rFonts w:hint="eastAsia" w:ascii="宋体"/>
                <w:b w:val="0"/>
                <w:bCs w:val="0"/>
                <w:sz w:val="22"/>
                <w:szCs w:val="22"/>
                <w:highlight w:val="none"/>
                <w:lang w:val="en-US" w:eastAsia="zh-CN"/>
              </w:rPr>
              <w:t>数量为1年度的暂定工作数量，工程量按实增减。</w:t>
            </w:r>
          </w:p>
        </w:tc>
      </w:tr>
    </w:tbl>
    <w:p w14:paraId="62E569E6">
      <w:pPr>
        <w:keepNext w:val="0"/>
        <w:keepLines w:val="0"/>
        <w:pageBreakBefore w:val="0"/>
        <w:kinsoku/>
        <w:wordWrap/>
        <w:topLinePunct w:val="0"/>
        <w:autoSpaceDE w:val="0"/>
        <w:autoSpaceDN w:val="0"/>
        <w:bidi w:val="0"/>
        <w:adjustRightInd w:val="0"/>
        <w:snapToGrid w:val="0"/>
        <w:spacing w:line="360" w:lineRule="auto"/>
        <w:ind w:left="0" w:firstLine="420" w:firstLineChars="200"/>
        <w:rPr>
          <w:rFonts w:hint="eastAsia" w:ascii="宋体" w:hAnsi="宋体" w:eastAsia="宋体" w:cs="宋体"/>
          <w:color w:val="auto"/>
          <w:sz w:val="21"/>
          <w:szCs w:val="21"/>
          <w:highlight w:val="none"/>
        </w:rPr>
      </w:pPr>
    </w:p>
    <w:p w14:paraId="31BADEA8">
      <w:pPr>
        <w:keepNext w:val="0"/>
        <w:keepLines w:val="0"/>
        <w:pageBreakBefore w:val="0"/>
        <w:kinsoku/>
        <w:wordWrap/>
        <w:topLinePunct w:val="0"/>
        <w:autoSpaceDE w:val="0"/>
        <w:autoSpaceDN w:val="0"/>
        <w:bidi w:val="0"/>
        <w:adjustRightInd w:val="0"/>
        <w:snapToGrid w:val="0"/>
        <w:spacing w:line="360" w:lineRule="auto"/>
        <w:ind w:left="0"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注：</w:t>
      </w:r>
      <w:r>
        <w:rPr>
          <w:rFonts w:hint="eastAsia" w:ascii="宋体" w:hAnsi="宋体" w:eastAsia="宋体" w:cs="宋体"/>
          <w:color w:val="auto"/>
          <w:sz w:val="21"/>
          <w:szCs w:val="21"/>
          <w:highlight w:val="none"/>
          <w:u w:val="single"/>
          <w:lang w:val="zh-CN"/>
        </w:rPr>
        <w:t>投标报价应包括采购文件所确定的招标范围内的全部内容，以及为完成上述内容所必须的临时工程、材料、劳务及机械等所需的全部费用。投标人应充分考虑施工期间政策、价格和气象等所有风险，以及所有根据合同或其它原因应由投标人支付的税金和其它应缴纳的费用一并计入总报价，中标后不作调整。工程量按实增减，减少部分工程量，中标单位不得另计取施工管理费及利润等费用。</w:t>
      </w:r>
    </w:p>
    <w:p w14:paraId="78700368">
      <w:pPr>
        <w:pStyle w:val="2"/>
        <w:keepNext w:val="0"/>
        <w:keepLines w:val="0"/>
        <w:pageBreakBefore w:val="0"/>
        <w:kinsoku/>
        <w:wordWrap/>
        <w:topLinePunct w:val="0"/>
        <w:bidi w:val="0"/>
        <w:adjustRightInd w:val="0"/>
        <w:snapToGrid w:val="0"/>
        <w:spacing w:line="360" w:lineRule="auto"/>
        <w:ind w:left="0" w:firstLine="422" w:firstLineChars="200"/>
        <w:rPr>
          <w:color w:val="auto"/>
          <w:sz w:val="21"/>
          <w:szCs w:val="21"/>
          <w:highlight w:val="none"/>
        </w:rPr>
      </w:pPr>
      <w:bookmarkStart w:id="29" w:name="_Toc5874"/>
      <w:r>
        <w:rPr>
          <w:rFonts w:hint="eastAsia"/>
          <w:color w:val="auto"/>
          <w:sz w:val="21"/>
          <w:szCs w:val="21"/>
          <w:highlight w:val="none"/>
        </w:rPr>
        <w:t>三、</w:t>
      </w:r>
      <w:r>
        <w:rPr>
          <w:rFonts w:hint="eastAsia" w:ascii="宋体" w:hAnsi="宋体"/>
          <w:color w:val="auto"/>
          <w:sz w:val="21"/>
          <w:szCs w:val="21"/>
          <w:highlight w:val="none"/>
        </w:rPr>
        <w:t>商务条款</w:t>
      </w:r>
      <w:bookmarkEnd w:id="29"/>
    </w:p>
    <w:p w14:paraId="3CABF781">
      <w:pPr>
        <w:keepNext w:val="0"/>
        <w:keepLines w:val="0"/>
        <w:pageBreakBefore w:val="0"/>
        <w:kinsoku/>
        <w:wordWrap/>
        <w:topLinePunct w:val="0"/>
        <w:bidi w:val="0"/>
        <w:adjustRightInd w:val="0"/>
        <w:snapToGrid w:val="0"/>
        <w:spacing w:line="360" w:lineRule="auto"/>
        <w:ind w:left="0" w:firstLine="420" w:firstLineChars="200"/>
        <w:rPr>
          <w:rFonts w:hint="eastAsia" w:ascii="宋体" w:eastAsia="宋体"/>
          <w:b w:val="0"/>
          <w:bCs w:val="0"/>
          <w:color w:val="auto"/>
          <w:sz w:val="21"/>
          <w:szCs w:val="21"/>
          <w:highlight w:val="none"/>
        </w:rPr>
      </w:pPr>
      <w:r>
        <w:rPr>
          <w:rFonts w:hint="eastAsia" w:ascii="宋体" w:eastAsia="宋体"/>
          <w:b w:val="0"/>
          <w:bCs w:val="0"/>
          <w:color w:val="auto"/>
          <w:sz w:val="21"/>
          <w:szCs w:val="21"/>
          <w:highlight w:val="none"/>
        </w:rPr>
        <w:t xml:space="preserve">1、付款方式 </w:t>
      </w:r>
    </w:p>
    <w:p w14:paraId="2180250A">
      <w:pPr>
        <w:keepNext w:val="0"/>
        <w:keepLines w:val="0"/>
        <w:pageBreakBefore w:val="0"/>
        <w:kinsoku/>
        <w:wordWrap/>
        <w:topLinePunct w:val="0"/>
        <w:bidi w:val="0"/>
        <w:adjustRightInd w:val="0"/>
        <w:snapToGrid w:val="0"/>
        <w:spacing w:line="360" w:lineRule="auto"/>
        <w:ind w:left="0" w:firstLine="420" w:firstLineChars="200"/>
        <w:rPr>
          <w:rFonts w:hint="eastAsia" w:ascii="宋体" w:eastAsia="宋体"/>
          <w:b w:val="0"/>
          <w:bCs w:val="0"/>
          <w:color w:val="auto"/>
          <w:sz w:val="21"/>
          <w:szCs w:val="21"/>
          <w:highlight w:val="none"/>
          <w:lang w:eastAsia="zh-CN"/>
        </w:rPr>
      </w:pPr>
      <w:r>
        <w:rPr>
          <w:rFonts w:hint="eastAsia" w:ascii="宋体" w:eastAsia="宋体"/>
          <w:b w:val="0"/>
          <w:bCs w:val="0"/>
          <w:color w:val="auto"/>
          <w:sz w:val="21"/>
          <w:szCs w:val="21"/>
          <w:highlight w:val="none"/>
        </w:rPr>
        <w:t>以小修保养年度总承包的工程价款支付，以签约合同总价分</w:t>
      </w:r>
      <w:r>
        <w:rPr>
          <w:rFonts w:hint="eastAsia" w:ascii="宋体"/>
          <w:b w:val="0"/>
          <w:bCs w:val="0"/>
          <w:color w:val="auto"/>
          <w:sz w:val="21"/>
          <w:szCs w:val="21"/>
          <w:highlight w:val="none"/>
          <w:lang w:eastAsia="zh-CN"/>
        </w:rPr>
        <w:t>四期</w:t>
      </w:r>
      <w:r>
        <w:rPr>
          <w:rFonts w:hint="eastAsia" w:ascii="宋体"/>
          <w:b w:val="0"/>
          <w:bCs w:val="0"/>
          <w:color w:val="auto"/>
          <w:sz w:val="21"/>
          <w:szCs w:val="21"/>
          <w:highlight w:val="none"/>
          <w:lang w:val="en-US" w:eastAsia="zh-CN"/>
        </w:rPr>
        <w:t>(</w:t>
      </w:r>
      <w:r>
        <w:rPr>
          <w:rFonts w:hint="eastAsia" w:ascii="宋体"/>
          <w:b w:val="0"/>
          <w:bCs w:val="0"/>
          <w:color w:val="auto"/>
          <w:sz w:val="21"/>
          <w:szCs w:val="21"/>
          <w:highlight w:val="none"/>
          <w:lang w:eastAsia="zh-CN"/>
        </w:rPr>
        <w:t>三个月为一期</w:t>
      </w:r>
      <w:r>
        <w:rPr>
          <w:rFonts w:hint="eastAsia" w:ascii="宋体"/>
          <w:b w:val="0"/>
          <w:bCs w:val="0"/>
          <w:color w:val="auto"/>
          <w:sz w:val="21"/>
          <w:szCs w:val="21"/>
          <w:highlight w:val="none"/>
          <w:lang w:val="en-US" w:eastAsia="zh-CN"/>
        </w:rPr>
        <w:t>)</w:t>
      </w:r>
      <w:r>
        <w:rPr>
          <w:rFonts w:hint="eastAsia" w:ascii="宋体" w:eastAsia="宋体"/>
          <w:b w:val="0"/>
          <w:bCs w:val="0"/>
          <w:color w:val="auto"/>
          <w:sz w:val="21"/>
          <w:szCs w:val="21"/>
          <w:highlight w:val="none"/>
        </w:rPr>
        <w:t>按比例支付，</w:t>
      </w:r>
      <w:r>
        <w:rPr>
          <w:rFonts w:hint="eastAsia" w:ascii="宋体"/>
          <w:b w:val="0"/>
          <w:bCs w:val="0"/>
          <w:color w:val="auto"/>
          <w:sz w:val="21"/>
          <w:szCs w:val="21"/>
          <w:highlight w:val="none"/>
          <w:lang w:eastAsia="zh-CN"/>
        </w:rPr>
        <w:t>每期</w:t>
      </w:r>
      <w:r>
        <w:rPr>
          <w:rFonts w:hint="eastAsia" w:ascii="宋体" w:eastAsia="宋体"/>
          <w:b w:val="0"/>
          <w:bCs w:val="0"/>
          <w:color w:val="auto"/>
          <w:sz w:val="21"/>
          <w:szCs w:val="21"/>
          <w:highlight w:val="none"/>
        </w:rPr>
        <w:t>支付完成工程量的</w:t>
      </w:r>
      <w:r>
        <w:rPr>
          <w:rFonts w:hint="eastAsia" w:ascii="宋体"/>
          <w:b w:val="0"/>
          <w:bCs w:val="0"/>
          <w:color w:val="auto"/>
          <w:sz w:val="21"/>
          <w:szCs w:val="21"/>
          <w:highlight w:val="none"/>
          <w:lang w:val="en-US" w:eastAsia="zh-CN"/>
        </w:rPr>
        <w:t>100</w:t>
      </w:r>
      <w:r>
        <w:rPr>
          <w:rFonts w:hint="eastAsia" w:ascii="宋体" w:eastAsia="宋体"/>
          <w:b w:val="0"/>
          <w:bCs w:val="0"/>
          <w:color w:val="auto"/>
          <w:sz w:val="21"/>
          <w:szCs w:val="21"/>
          <w:highlight w:val="none"/>
        </w:rPr>
        <w:t>%，以</w:t>
      </w:r>
      <w:r>
        <w:rPr>
          <w:rFonts w:hint="eastAsia" w:ascii="宋体"/>
          <w:b w:val="0"/>
          <w:bCs w:val="0"/>
          <w:color w:val="auto"/>
          <w:sz w:val="21"/>
          <w:szCs w:val="21"/>
          <w:highlight w:val="none"/>
          <w:lang w:eastAsia="zh-CN"/>
        </w:rPr>
        <w:t>下期</w:t>
      </w:r>
      <w:r>
        <w:rPr>
          <w:rFonts w:hint="eastAsia" w:ascii="宋体" w:eastAsia="宋体"/>
          <w:b w:val="0"/>
          <w:bCs w:val="0"/>
          <w:color w:val="auto"/>
          <w:sz w:val="21"/>
          <w:szCs w:val="21"/>
          <w:highlight w:val="none"/>
        </w:rPr>
        <w:t>首月的前15日内支付。最终支付时间以财政拨款为准</w:t>
      </w:r>
      <w:r>
        <w:rPr>
          <w:rFonts w:hint="eastAsia" w:ascii="宋体"/>
          <w:b w:val="0"/>
          <w:bCs w:val="0"/>
          <w:color w:val="auto"/>
          <w:sz w:val="21"/>
          <w:szCs w:val="21"/>
          <w:highlight w:val="none"/>
          <w:lang w:eastAsia="zh-CN"/>
        </w:rPr>
        <w:t>。</w:t>
      </w:r>
    </w:p>
    <w:p w14:paraId="2AD97E01">
      <w:pPr>
        <w:keepNext w:val="0"/>
        <w:keepLines w:val="0"/>
        <w:pageBreakBefore w:val="0"/>
        <w:kinsoku/>
        <w:wordWrap/>
        <w:topLinePunct w:val="0"/>
        <w:bidi w:val="0"/>
        <w:adjustRightInd w:val="0"/>
        <w:snapToGrid w:val="0"/>
        <w:spacing w:line="360" w:lineRule="auto"/>
        <w:ind w:left="0" w:firstLine="420" w:firstLineChars="200"/>
        <w:rPr>
          <w:rFonts w:hint="eastAsia" w:ascii="宋体" w:hAnsi="Times New Roman" w:eastAsia="宋体" w:cs="Times New Roman"/>
          <w:b w:val="0"/>
          <w:bCs w:val="0"/>
          <w:color w:val="auto"/>
          <w:sz w:val="21"/>
          <w:szCs w:val="21"/>
          <w:highlight w:val="none"/>
        </w:rPr>
      </w:pPr>
      <w:r>
        <w:rPr>
          <w:rFonts w:hint="default" w:ascii="宋体" w:hAnsi="Times New Roman" w:eastAsia="宋体" w:cs="Times New Roman"/>
          <w:b w:val="0"/>
          <w:bCs w:val="0"/>
          <w:color w:val="auto"/>
          <w:sz w:val="21"/>
          <w:szCs w:val="21"/>
          <w:highlight w:val="none"/>
          <w:lang w:val="en-US" w:eastAsia="zh-CN"/>
        </w:rPr>
        <w:t>合同单价为灌缝宽度4CM的结算单价，若小于4CM则结算单价按比例下浮。验收抽检工程量代表该路线整公里实际数量，故当验收路段实际工程量少于上报数量时，该公里路段工程量按比例核减。</w:t>
      </w:r>
    </w:p>
    <w:p w14:paraId="19ED763C">
      <w:pPr>
        <w:keepNext w:val="0"/>
        <w:keepLines w:val="0"/>
        <w:pageBreakBefore w:val="0"/>
        <w:kinsoku/>
        <w:wordWrap/>
        <w:topLinePunct w:val="0"/>
        <w:bidi w:val="0"/>
        <w:adjustRightInd w:val="0"/>
        <w:snapToGrid w:val="0"/>
        <w:spacing w:line="360" w:lineRule="auto"/>
        <w:ind w:left="0" w:firstLine="420" w:firstLineChars="200"/>
        <w:rPr>
          <w:rFonts w:hint="eastAsia" w:ascii="宋体" w:eastAsia="宋体"/>
          <w:b w:val="0"/>
          <w:bCs w:val="0"/>
          <w:color w:val="auto"/>
          <w:sz w:val="21"/>
          <w:szCs w:val="21"/>
          <w:highlight w:val="none"/>
        </w:rPr>
      </w:pPr>
      <w:r>
        <w:rPr>
          <w:rFonts w:hint="eastAsia" w:ascii="宋体" w:eastAsia="宋体"/>
          <w:b w:val="0"/>
          <w:bCs w:val="0"/>
          <w:color w:val="auto"/>
          <w:sz w:val="21"/>
          <w:szCs w:val="21"/>
          <w:highlight w:val="none"/>
          <w:lang w:val="en-US" w:eastAsia="zh-CN"/>
        </w:rPr>
        <w:t>2、</w:t>
      </w:r>
      <w:r>
        <w:rPr>
          <w:rFonts w:hint="eastAsia" w:ascii="宋体" w:eastAsia="宋体"/>
          <w:b w:val="0"/>
          <w:bCs w:val="0"/>
          <w:color w:val="auto"/>
          <w:sz w:val="21"/>
          <w:szCs w:val="21"/>
          <w:highlight w:val="none"/>
        </w:rPr>
        <w:t>工程质量及工期要求</w:t>
      </w:r>
    </w:p>
    <w:p w14:paraId="03F21E5E">
      <w:pPr>
        <w:keepNext w:val="0"/>
        <w:keepLines w:val="0"/>
        <w:pageBreakBefore w:val="0"/>
        <w:kinsoku/>
        <w:wordWrap/>
        <w:topLinePunct w:val="0"/>
        <w:bidi w:val="0"/>
        <w:adjustRightInd w:val="0"/>
        <w:snapToGrid w:val="0"/>
        <w:spacing w:line="360" w:lineRule="auto"/>
        <w:ind w:left="0" w:firstLine="420" w:firstLineChars="200"/>
        <w:rPr>
          <w:rFonts w:hint="eastAsia" w:ascii="宋体" w:eastAsia="宋体"/>
          <w:b w:val="0"/>
          <w:bCs w:val="0"/>
          <w:color w:val="auto"/>
          <w:sz w:val="21"/>
          <w:szCs w:val="21"/>
          <w:highlight w:val="none"/>
        </w:rPr>
      </w:pPr>
      <w:r>
        <w:rPr>
          <w:rFonts w:hint="eastAsia" w:ascii="宋体" w:eastAsia="宋体"/>
          <w:b w:val="0"/>
          <w:bCs w:val="0"/>
          <w:color w:val="auto"/>
          <w:sz w:val="21"/>
          <w:szCs w:val="21"/>
          <w:highlight w:val="none"/>
        </w:rPr>
        <w:t>1</w:t>
      </w:r>
      <w:r>
        <w:rPr>
          <w:rFonts w:hint="eastAsia" w:ascii="宋体" w:eastAsia="宋体"/>
          <w:b w:val="0"/>
          <w:bCs w:val="0"/>
          <w:color w:val="auto"/>
          <w:sz w:val="21"/>
          <w:szCs w:val="21"/>
          <w:highlight w:val="none"/>
          <w:lang w:val="en-US" w:eastAsia="zh-CN"/>
        </w:rPr>
        <w:t>.</w:t>
      </w:r>
      <w:r>
        <w:rPr>
          <w:rFonts w:hint="eastAsia" w:ascii="宋体" w:eastAsia="宋体"/>
          <w:b w:val="0"/>
          <w:bCs w:val="0"/>
          <w:color w:val="auto"/>
          <w:sz w:val="21"/>
          <w:szCs w:val="21"/>
          <w:highlight w:val="none"/>
        </w:rPr>
        <w:t>工程质量：合格；</w:t>
      </w:r>
    </w:p>
    <w:p w14:paraId="205B6D92">
      <w:pPr>
        <w:keepNext w:val="0"/>
        <w:keepLines w:val="0"/>
        <w:pageBreakBefore w:val="0"/>
        <w:kinsoku/>
        <w:wordWrap/>
        <w:topLinePunct w:val="0"/>
        <w:bidi w:val="0"/>
        <w:adjustRightInd w:val="0"/>
        <w:snapToGrid w:val="0"/>
        <w:spacing w:line="360" w:lineRule="auto"/>
        <w:ind w:left="0" w:firstLine="420" w:firstLineChars="200"/>
        <w:rPr>
          <w:rFonts w:hint="eastAsia" w:ascii="宋体" w:eastAsia="宋体"/>
          <w:b w:val="0"/>
          <w:bCs w:val="0"/>
          <w:color w:val="auto"/>
          <w:sz w:val="21"/>
          <w:szCs w:val="21"/>
          <w:highlight w:val="none"/>
        </w:rPr>
      </w:pPr>
      <w:r>
        <w:rPr>
          <w:rFonts w:hint="eastAsia" w:ascii="宋体" w:eastAsia="宋体"/>
          <w:b w:val="0"/>
          <w:bCs w:val="0"/>
          <w:color w:val="auto"/>
          <w:sz w:val="21"/>
          <w:szCs w:val="21"/>
          <w:highlight w:val="none"/>
        </w:rPr>
        <w:t>2</w:t>
      </w:r>
      <w:r>
        <w:rPr>
          <w:rFonts w:hint="eastAsia" w:ascii="宋体" w:eastAsia="宋体"/>
          <w:b w:val="0"/>
          <w:bCs w:val="0"/>
          <w:color w:val="auto"/>
          <w:sz w:val="21"/>
          <w:szCs w:val="21"/>
          <w:highlight w:val="none"/>
          <w:lang w:val="en-US" w:eastAsia="zh-CN"/>
        </w:rPr>
        <w:t>.</w:t>
      </w:r>
      <w:r>
        <w:rPr>
          <w:rFonts w:hint="eastAsia" w:ascii="宋体" w:eastAsia="宋体"/>
          <w:b w:val="0"/>
          <w:bCs w:val="0"/>
          <w:color w:val="auto"/>
          <w:sz w:val="21"/>
          <w:szCs w:val="21"/>
          <w:highlight w:val="none"/>
        </w:rPr>
        <w:t>施工工期：</w:t>
      </w:r>
      <w:r>
        <w:rPr>
          <w:rFonts w:hint="eastAsia" w:ascii="宋体"/>
          <w:b w:val="0"/>
          <w:bCs w:val="0"/>
          <w:color w:val="auto"/>
          <w:sz w:val="21"/>
          <w:szCs w:val="21"/>
          <w:highlight w:val="none"/>
          <w:lang w:val="en-US" w:eastAsia="zh-CN"/>
        </w:rPr>
        <w:t>1+1年,合同1年1签，考核达标后可续签一年</w:t>
      </w:r>
      <w:r>
        <w:rPr>
          <w:rFonts w:hint="eastAsia" w:ascii="宋体" w:eastAsia="宋体"/>
          <w:b w:val="0"/>
          <w:bCs w:val="0"/>
          <w:color w:val="auto"/>
          <w:sz w:val="21"/>
          <w:szCs w:val="21"/>
          <w:highlight w:val="none"/>
        </w:rPr>
        <w:t>。</w:t>
      </w:r>
    </w:p>
    <w:p w14:paraId="1B48F9D8">
      <w:pPr>
        <w:keepNext w:val="0"/>
        <w:keepLines w:val="0"/>
        <w:pageBreakBefore w:val="0"/>
        <w:kinsoku/>
        <w:wordWrap/>
        <w:topLinePunct w:val="0"/>
        <w:bidi w:val="0"/>
        <w:adjustRightInd w:val="0"/>
        <w:snapToGrid w:val="0"/>
        <w:spacing w:line="360" w:lineRule="auto"/>
        <w:ind w:left="0" w:firstLine="420" w:firstLineChars="200"/>
        <w:rPr>
          <w:rFonts w:hint="eastAsia" w:ascii="宋体" w:eastAsia="宋体"/>
          <w:b w:val="0"/>
          <w:bCs w:val="0"/>
          <w:color w:val="auto"/>
          <w:sz w:val="21"/>
          <w:szCs w:val="21"/>
          <w:highlight w:val="none"/>
        </w:rPr>
      </w:pPr>
      <w:r>
        <w:rPr>
          <w:rFonts w:hint="eastAsia" w:ascii="宋体" w:eastAsia="宋体"/>
          <w:b w:val="0"/>
          <w:bCs w:val="0"/>
          <w:color w:val="auto"/>
          <w:sz w:val="21"/>
          <w:szCs w:val="21"/>
          <w:highlight w:val="none"/>
          <w:lang w:val="en-US" w:eastAsia="zh-CN"/>
        </w:rPr>
        <w:t>3</w:t>
      </w:r>
      <w:r>
        <w:rPr>
          <w:rFonts w:hint="eastAsia" w:ascii="宋体" w:eastAsia="宋体"/>
          <w:b w:val="0"/>
          <w:bCs w:val="0"/>
          <w:color w:val="auto"/>
          <w:sz w:val="21"/>
          <w:szCs w:val="21"/>
          <w:highlight w:val="none"/>
          <w:lang w:eastAsia="zh-CN"/>
        </w:rPr>
        <w:t>、</w:t>
      </w:r>
      <w:r>
        <w:rPr>
          <w:rFonts w:hint="eastAsia" w:ascii="宋体" w:eastAsia="宋体"/>
          <w:b w:val="0"/>
          <w:bCs w:val="0"/>
          <w:color w:val="auto"/>
          <w:sz w:val="21"/>
          <w:szCs w:val="21"/>
          <w:highlight w:val="none"/>
        </w:rPr>
        <w:t>预付款</w:t>
      </w:r>
    </w:p>
    <w:p w14:paraId="62DB7FF9">
      <w:pPr>
        <w:keepNext w:val="0"/>
        <w:keepLines w:val="0"/>
        <w:pageBreakBefore w:val="0"/>
        <w:kinsoku/>
        <w:wordWrap/>
        <w:topLinePunct w:val="0"/>
        <w:bidi w:val="0"/>
        <w:adjustRightInd w:val="0"/>
        <w:snapToGrid w:val="0"/>
        <w:spacing w:line="360" w:lineRule="auto"/>
        <w:ind w:left="0" w:firstLine="420" w:firstLineChars="200"/>
        <w:rPr>
          <w:rFonts w:hint="eastAsia" w:ascii="宋体" w:eastAsia="宋体"/>
          <w:b w:val="0"/>
          <w:bCs w:val="0"/>
          <w:color w:val="auto"/>
          <w:sz w:val="21"/>
          <w:szCs w:val="21"/>
          <w:highlight w:val="none"/>
          <w:lang w:eastAsia="zh-CN"/>
        </w:rPr>
      </w:pPr>
      <w:r>
        <w:rPr>
          <w:rFonts w:hint="eastAsia" w:ascii="宋体"/>
          <w:b w:val="0"/>
          <w:bCs w:val="0"/>
          <w:color w:val="auto"/>
          <w:sz w:val="21"/>
          <w:szCs w:val="21"/>
          <w:highlight w:val="none"/>
          <w:lang w:eastAsia="zh-CN"/>
        </w:rPr>
        <w:t>采购人在合同生效且具备实施条件后7个工作日内支付合同价款</w:t>
      </w:r>
      <w:r>
        <w:rPr>
          <w:rFonts w:hint="eastAsia" w:ascii="宋体"/>
          <w:b w:val="0"/>
          <w:bCs w:val="0"/>
          <w:color w:val="auto"/>
          <w:sz w:val="21"/>
          <w:szCs w:val="21"/>
          <w:highlight w:val="none"/>
          <w:lang w:val="en-US" w:eastAsia="zh-CN"/>
        </w:rPr>
        <w:t>4</w:t>
      </w:r>
      <w:r>
        <w:rPr>
          <w:rFonts w:hint="eastAsia" w:ascii="宋体"/>
          <w:b w:val="0"/>
          <w:bCs w:val="0"/>
          <w:color w:val="auto"/>
          <w:sz w:val="21"/>
          <w:szCs w:val="21"/>
          <w:highlight w:val="none"/>
          <w:lang w:eastAsia="zh-CN"/>
        </w:rPr>
        <w:t>0%的预付款（（根据《浙江省财政厅关于进一步发挥政府采购政策功能全力推动经济稳进提升的通知》浙财采监[2022]3号文件））</w:t>
      </w:r>
      <w:r>
        <w:rPr>
          <w:rFonts w:hint="eastAsia" w:ascii="宋体"/>
          <w:b w:val="0"/>
          <w:bCs w:val="0"/>
          <w:color w:val="auto"/>
          <w:sz w:val="21"/>
          <w:szCs w:val="21"/>
          <w:highlight w:val="none"/>
          <w:lang w:val="en-US" w:eastAsia="zh-CN"/>
        </w:rPr>
        <w:t>,在签订合同时，供应商明确表示无需预付款或者主动要求降低预付款比例的，采购单位可不适用前述规定预付款。因财政国库库款能力不足等情势变更情况导致无法执行相关文件要求的支付比例，采购人与中标供应商应根据实际情况另行协商约定，中标供应商确认不因采购人延期付款的情形要求采购人承担逾期付款利息等违约责任。预付款（如有）在每期进度款中等比扣回。</w:t>
      </w:r>
    </w:p>
    <w:p w14:paraId="33173EE0">
      <w:pPr>
        <w:pStyle w:val="2"/>
        <w:rPr>
          <w:rFonts w:hint="eastAsia"/>
          <w:highlight w:val="none"/>
          <w:lang w:eastAsia="zh-CN"/>
        </w:rPr>
      </w:pPr>
    </w:p>
    <w:p w14:paraId="6D9F523F">
      <w:pPr>
        <w:pStyle w:val="2"/>
        <w:keepNext w:val="0"/>
        <w:keepLines w:val="0"/>
        <w:pageBreakBefore w:val="0"/>
        <w:kinsoku/>
        <w:wordWrap/>
        <w:topLinePunct w:val="0"/>
        <w:bidi w:val="0"/>
        <w:adjustRightInd w:val="0"/>
        <w:snapToGrid w:val="0"/>
        <w:spacing w:line="360" w:lineRule="auto"/>
        <w:ind w:left="0" w:firstLine="422" w:firstLineChars="200"/>
        <w:rPr>
          <w:rFonts w:hint="eastAsia" w:eastAsia="宋体"/>
          <w:color w:val="auto"/>
          <w:sz w:val="21"/>
          <w:szCs w:val="21"/>
          <w:highlight w:val="none"/>
          <w:lang w:eastAsia="zh-CN"/>
        </w:rPr>
      </w:pPr>
      <w:bookmarkStart w:id="30" w:name="_Toc18"/>
      <w:r>
        <w:rPr>
          <w:rFonts w:hint="eastAsia"/>
          <w:color w:val="auto"/>
          <w:sz w:val="21"/>
          <w:szCs w:val="21"/>
          <w:highlight w:val="none"/>
          <w:lang w:eastAsia="zh-CN"/>
        </w:rPr>
        <w:t>四</w:t>
      </w:r>
      <w:r>
        <w:rPr>
          <w:rFonts w:hint="eastAsia"/>
          <w:color w:val="auto"/>
          <w:sz w:val="21"/>
          <w:szCs w:val="21"/>
          <w:highlight w:val="none"/>
        </w:rPr>
        <w:t>、</w:t>
      </w:r>
      <w:r>
        <w:rPr>
          <w:rFonts w:hint="eastAsia" w:ascii="宋体" w:hAnsi="宋体"/>
          <w:color w:val="auto"/>
          <w:sz w:val="21"/>
          <w:szCs w:val="21"/>
          <w:highlight w:val="none"/>
          <w:lang w:eastAsia="zh-CN"/>
        </w:rPr>
        <w:t>技术标准和规范</w:t>
      </w:r>
      <w:bookmarkEnd w:id="30"/>
    </w:p>
    <w:p w14:paraId="19EA304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一、水泥混凝土路面</w:t>
      </w:r>
    </w:p>
    <w:p w14:paraId="691C8BD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水泥混凝土路面指以水泥混凝土面板和基（垫）层所组成的路面，亦称刚性路面。它包括普通混凝土、钢筋混凝土、碾压混凝土、钢纤维混凝土、连续配筋混凝土等。</w:t>
      </w:r>
    </w:p>
    <w:p w14:paraId="2EFE8586">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1.1 </w:t>
      </w:r>
      <w:r>
        <w:rPr>
          <w:rFonts w:hint="eastAsia" w:ascii="宋体" w:hAnsi="宋体" w:eastAsia="宋体" w:cs="宋体"/>
          <w:b w:val="0"/>
          <w:bCs w:val="0"/>
          <w:sz w:val="21"/>
          <w:szCs w:val="21"/>
          <w:highlight w:val="none"/>
          <w:lang w:val="zh-CN"/>
        </w:rPr>
        <w:t>水泥路面小修保养内容</w:t>
      </w:r>
    </w:p>
    <w:p w14:paraId="4F0CD36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针对水泥路面常见病害类型，小修养护主要内容包括：</w:t>
      </w:r>
    </w:p>
    <w:p w14:paraId="1ED526A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zh-CN"/>
        </w:rPr>
        <w:t>）清扫路面泥土、杂物；</w:t>
      </w:r>
    </w:p>
    <w:p w14:paraId="72594F02">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zh-CN"/>
        </w:rPr>
        <w:t>）清除路面积水、积雪、积冰、积砂、铺防滑料等；</w:t>
      </w:r>
    </w:p>
    <w:p w14:paraId="7E23988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zh-CN"/>
        </w:rPr>
        <w:t>）修补路面裂缝、接缝、坑洞、断角、局部碎裂、错台、板块脱空、拱起等病害；</w:t>
      </w:r>
    </w:p>
    <w:p w14:paraId="6C4E46BD">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zh-CN"/>
        </w:rPr>
        <w:t>）清理边沟、路肩培土等。</w:t>
      </w:r>
    </w:p>
    <w:p w14:paraId="0FBB3E11">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1.2 </w:t>
      </w:r>
      <w:r>
        <w:rPr>
          <w:rFonts w:hint="eastAsia" w:ascii="宋体" w:hAnsi="宋体" w:eastAsia="宋体" w:cs="宋体"/>
          <w:b w:val="0"/>
          <w:bCs w:val="0"/>
          <w:sz w:val="21"/>
          <w:szCs w:val="21"/>
          <w:highlight w:val="none"/>
          <w:lang w:val="zh-CN"/>
        </w:rPr>
        <w:t>水泥路面小修保养要求</w:t>
      </w:r>
    </w:p>
    <w:p w14:paraId="3DF8B7F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水泥路面一旦开始破坏，破损就会迅速发展。因此，必须做好预防性、经常性养护，通过经常的巡视观察，及早发现缺陷，查清原因，采取适当的措施，保持路面状况的完好。</w:t>
      </w:r>
    </w:p>
    <w:p w14:paraId="7324A62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维修用水泥应具有强度高、收缩小、耐磨性强、抗冻性好等性能，以采用硅酸盐道路水泥和普通硅酸盐水泥为宜，标号不宜低于</w:t>
      </w:r>
      <w:r>
        <w:rPr>
          <w:rFonts w:hint="eastAsia" w:ascii="宋体" w:hAnsi="宋体" w:eastAsia="宋体" w:cs="宋体"/>
          <w:b w:val="0"/>
          <w:bCs w:val="0"/>
          <w:sz w:val="21"/>
          <w:szCs w:val="21"/>
          <w:highlight w:val="none"/>
        </w:rPr>
        <w:t>42.5</w:t>
      </w:r>
      <w:r>
        <w:rPr>
          <w:rFonts w:hint="eastAsia" w:ascii="宋体" w:hAnsi="宋体" w:eastAsia="宋体" w:cs="宋体"/>
          <w:b w:val="0"/>
          <w:bCs w:val="0"/>
          <w:sz w:val="21"/>
          <w:szCs w:val="21"/>
          <w:highlight w:val="none"/>
          <w:lang w:val="zh-CN"/>
        </w:rPr>
        <w:t>级。</w:t>
      </w:r>
    </w:p>
    <w:p w14:paraId="0FC0F0F3">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1.3 </w:t>
      </w:r>
      <w:r>
        <w:rPr>
          <w:rFonts w:hint="eastAsia" w:ascii="宋体" w:hAnsi="宋体" w:eastAsia="宋体" w:cs="宋体"/>
          <w:b w:val="0"/>
          <w:bCs w:val="0"/>
          <w:sz w:val="21"/>
          <w:szCs w:val="21"/>
          <w:highlight w:val="none"/>
          <w:lang w:val="zh-CN"/>
        </w:rPr>
        <w:t>规范性引用文件</w:t>
      </w:r>
    </w:p>
    <w:p w14:paraId="2322650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本手册主要依据下列文件相关要求编写。凡是注日期的引用文件，仅所注日期的版本适用于本文件。凡是不注日期的引用文件，其最新版本（包括所有的修改单）适用于本手册。</w:t>
      </w:r>
    </w:p>
    <w:p w14:paraId="5A320AC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JTG F30-2014         </w:t>
      </w:r>
      <w:r>
        <w:rPr>
          <w:rFonts w:hint="eastAsia" w:ascii="宋体" w:hAnsi="宋体" w:eastAsia="宋体" w:cs="宋体"/>
          <w:b w:val="0"/>
          <w:bCs w:val="0"/>
          <w:sz w:val="21"/>
          <w:szCs w:val="21"/>
          <w:highlight w:val="none"/>
          <w:lang w:val="zh-CN"/>
        </w:rPr>
        <w:t>公路水泥混凝土路面施工技术细则</w:t>
      </w:r>
    </w:p>
    <w:p w14:paraId="06C4EFA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JTG F80/1-2004      </w:t>
      </w:r>
      <w:r>
        <w:rPr>
          <w:rFonts w:hint="eastAsia" w:ascii="宋体" w:hAnsi="宋体" w:eastAsia="宋体" w:cs="宋体"/>
          <w:b w:val="0"/>
          <w:bCs w:val="0"/>
          <w:sz w:val="21"/>
          <w:szCs w:val="21"/>
          <w:highlight w:val="none"/>
          <w:lang w:val="zh-CN"/>
        </w:rPr>
        <w:t>公路工程质量检验评定标准</w:t>
      </w:r>
    </w:p>
    <w:p w14:paraId="2B4EC36A">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JTG H10-20</w:t>
      </w:r>
      <w:r>
        <w:rPr>
          <w:rFonts w:hint="eastAsia" w:ascii="宋体" w:hAnsi="宋体" w:cs="宋体"/>
          <w:b w:val="0"/>
          <w:bCs w:val="0"/>
          <w:sz w:val="21"/>
          <w:szCs w:val="21"/>
          <w:highlight w:val="none"/>
          <w:lang w:val="en-US" w:eastAsia="zh-CN"/>
        </w:rPr>
        <w:t>23</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zh-CN"/>
        </w:rPr>
        <w:t>公路养护技术规范</w:t>
      </w:r>
    </w:p>
    <w:p w14:paraId="4D1842C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JTJ 073.2-20</w:t>
      </w:r>
      <w:r>
        <w:rPr>
          <w:rFonts w:hint="eastAsia" w:ascii="宋体" w:hAnsi="宋体" w:cs="宋体"/>
          <w:b w:val="0"/>
          <w:bCs w:val="0"/>
          <w:sz w:val="21"/>
          <w:szCs w:val="21"/>
          <w:highlight w:val="none"/>
          <w:lang w:val="en-US" w:eastAsia="zh-CN"/>
        </w:rPr>
        <w:t>01</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zh-CN"/>
        </w:rPr>
        <w:t>公路水泥混凝土路面养护技术规范</w:t>
      </w:r>
    </w:p>
    <w:p w14:paraId="3763FEA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JTG H30-2015        </w:t>
      </w:r>
      <w:r>
        <w:rPr>
          <w:rFonts w:hint="eastAsia" w:ascii="宋体" w:hAnsi="宋体" w:eastAsia="宋体" w:cs="宋体"/>
          <w:b w:val="0"/>
          <w:bCs w:val="0"/>
          <w:sz w:val="21"/>
          <w:szCs w:val="21"/>
          <w:highlight w:val="none"/>
          <w:lang w:val="zh-CN"/>
        </w:rPr>
        <w:t>公路养护安全作业规程</w:t>
      </w:r>
    </w:p>
    <w:p w14:paraId="73EA894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JTG E60-2008        </w:t>
      </w:r>
      <w:r>
        <w:rPr>
          <w:rFonts w:hint="eastAsia" w:ascii="宋体" w:hAnsi="宋体" w:eastAsia="宋体" w:cs="宋体"/>
          <w:b w:val="0"/>
          <w:bCs w:val="0"/>
          <w:sz w:val="21"/>
          <w:szCs w:val="21"/>
          <w:highlight w:val="none"/>
          <w:lang w:val="zh-CN"/>
        </w:rPr>
        <w:t>公路路基路面现场测试规程</w:t>
      </w:r>
    </w:p>
    <w:p w14:paraId="2BD5248D">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1.4</w:t>
      </w:r>
      <w:r>
        <w:rPr>
          <w:rFonts w:hint="eastAsia" w:ascii="宋体" w:hAnsi="宋体" w:eastAsia="宋体" w:cs="宋体"/>
          <w:b w:val="0"/>
          <w:bCs w:val="0"/>
          <w:sz w:val="21"/>
          <w:szCs w:val="21"/>
          <w:highlight w:val="none"/>
        </w:rPr>
        <w:t>水泥混凝土路面的接缝应保持完好，表面平顺。保养及填缝料更换应符合下列要求：</w:t>
      </w:r>
    </w:p>
    <w:p w14:paraId="138D00E9">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（1）填缝料凸出板面，一级公路超出3mm，其它等级公路超过5mm时应铲平；</w:t>
      </w:r>
    </w:p>
    <w:p w14:paraId="164B2EBE">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（2）填缝料外溢流淌到接缝两侧面板，影响路面平整度和路容时应予清除；</w:t>
      </w:r>
    </w:p>
    <w:p w14:paraId="3DF8CE41">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（3）杂物嵌入接缝时应予清除，若杂物系小石块及其它坚硬物时，应及时剔除。</w:t>
      </w:r>
    </w:p>
    <w:p w14:paraId="71906854">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应对填缝料进行周期性或日常性的更换。更换周期一般为2～3年；如填缝料局部脱落时应进行灌缝填补；填缝料脱落缺失大于三分之一缝长或填缝料老化、接缝渗水严重时应立即进行整条接缝的填缝料更换，更换前应清除原接缝内的填缝料和杂物，新灌注填缝料时应做到饱满、密实、粘结牢固；</w:t>
      </w:r>
    </w:p>
    <w:p w14:paraId="22E18961">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（5）填缝料技术要求应符合《公路水泥混凝土路面养护技术规范》（JTJ 073.1-2001）附录A.2的规定。</w:t>
      </w:r>
    </w:p>
    <w:p w14:paraId="2CCD7089">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1.5</w:t>
      </w:r>
      <w:r>
        <w:rPr>
          <w:rFonts w:hint="eastAsia" w:ascii="宋体" w:hAnsi="宋体" w:eastAsia="宋体" w:cs="宋体"/>
          <w:b w:val="0"/>
          <w:bCs w:val="0"/>
          <w:sz w:val="21"/>
          <w:szCs w:val="21"/>
          <w:highlight w:val="none"/>
        </w:rPr>
        <w:t>．裂缝维修方法</w:t>
      </w:r>
    </w:p>
    <w:p w14:paraId="2E10A148">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（1）对宽度小于3mm的轻微裂缝，可采取扩缝灌浆</w:t>
      </w:r>
    </w:p>
    <w:p w14:paraId="320F88D1">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a．顺着裂缝扩宽成1.5～2.0cm的沟槽，槽深可根据裂缝深度确定，最大深度不得超过2/3板厚；</w:t>
      </w:r>
    </w:p>
    <w:p w14:paraId="2A58315A">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b．清除混凝土碎屑，吹净灰尘后，填入粒径0.3～0.6cm的清洁石屑；</w:t>
      </w:r>
    </w:p>
    <w:p w14:paraId="37942025">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c．根据选用的灌缝材料，按《公路水泥混凝土路面养护技术规范》（JTJ 073.1-2001）附录A规定进行配比，混合均匀后，灌入扩缝内。</w:t>
      </w:r>
    </w:p>
    <w:p w14:paraId="4F7B4CD3">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d．灌缝材料固化后，达到通车强度，即可开放交通。</w:t>
      </w:r>
    </w:p>
    <w:p w14:paraId="32550E38">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（2）对贯穿全厚的大于3mm小于15mm的中等裂缝，可采取条带罩面进行补缝</w:t>
      </w:r>
    </w:p>
    <w:p w14:paraId="24259250">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a．在裂缝两侧切缝时，应平行于缩缝，且距裂缝距离不小于15cm；</w:t>
      </w:r>
    </w:p>
    <w:p w14:paraId="2CF0DC5B">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b．凿除两横缝内混凝土的深度以7cm为宜；</w:t>
      </w:r>
    </w:p>
    <w:p w14:paraId="53B7D61D">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c．每间隔50cm打一对钯钉孔，钯钉孔的大小应略大于钯钉直径2～4mm。并在两钯钉孔之间打一对与钯钉孔直径相一致的钯钉槽；</w:t>
      </w:r>
    </w:p>
    <w:p w14:paraId="0AB76E5F">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d．钯钉宜采用φ16螺纹钢筋，使用前应予以除锈。钯钉长度不小于20cm，弯钩长度为7cm；</w:t>
      </w:r>
    </w:p>
    <w:p w14:paraId="5783856E">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e．钯钉孔必须填满砂浆，方可将钯钉插入孔内安装；</w:t>
      </w:r>
    </w:p>
    <w:p w14:paraId="1BBA5525">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f．切割的缝内壁应凿毛，并清除松动的混凝土碎块及表面尘土、裸石；</w:t>
      </w:r>
    </w:p>
    <w:p w14:paraId="45864238">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g．浇筑混凝土应及时振捣密实、抹平，并喷洒养护剂；</w:t>
      </w:r>
    </w:p>
    <w:p w14:paraId="061E3D4F">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h．修补块面板两侧，应加深缩缝，并灌注填缝料。</w:t>
      </w:r>
    </w:p>
    <w:p w14:paraId="21CBC0D6">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（3）对宽度大于15mm的严重裂缝可采用全深度补块。</w:t>
      </w:r>
    </w:p>
    <w:p w14:paraId="65C45D05">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全深度补块可采用分集料嵌锁法、刨挖法、设置传力杆法。</w:t>
      </w:r>
    </w:p>
    <w:p w14:paraId="790B4220">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a．集料嵌锁法</w:t>
      </w:r>
    </w:p>
    <w:p w14:paraId="373FA7C2">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① 在修补的混凝土路面位置上，平行于缩缝划线，沿划线位置进行全深度切割。在保留板块边部，沿内侧4cm位置，锯5cm深的缝，全深锯口和半深锯口之间的4cm宽条混凝土垂直面应凿成毛面。</w:t>
      </w:r>
    </w:p>
    <w:p w14:paraId="2D8F533B">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② 破碎、清查旧混凝土过程中不得伤及基层、相邻面板和路肩。若破除的旧混凝土面积当天完不成混凝土浇筑时，其补块位置应作临时补块；</w:t>
      </w:r>
    </w:p>
    <w:p w14:paraId="79891E9B">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③ 处理基层时，基层强度符合规范要求，应整平基层；基层强度低于规范要求，应予以补强，并严格整平；若基层全部损坏或松软，应按原设计基层材料重作基层，其技术要求应符合现行《公路路面基层施工技术规范》（JTJ 034-2000）的规定；</w:t>
      </w:r>
    </w:p>
    <w:p w14:paraId="4503B6B0">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④ 混凝土配合比应根据设计弯拉强度、耐久性、耐磨性、和易性等要求，先用原材料进行配合比设计，各种材料的物理性能及化学成分应符合现行《公路水泥混凝土路面设计规范》（JTG D40-2003）规定；</w:t>
      </w:r>
    </w:p>
    <w:p w14:paraId="09C6F652">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⑤ 用水量应控制在混合料运到工地最佳和易性所需要的最小值，最大水灰比为0.4。如采用jk系列混凝土快速修补材料，水灰比以0.30～0.40为宜，坍落度宜控制在2cm内。混凝土24h弯拉强度应不低于3.0MPa；</w:t>
      </w:r>
    </w:p>
    <w:p w14:paraId="79BE14DD">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⑥ 混凝土摊铺应在混凝土拌和后30～40min内卸到补块区内，并振捣密实；</w:t>
      </w:r>
    </w:p>
    <w:p w14:paraId="7EF679B1">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⑦ 浇筑的混凝土面层应与相邻路面的横断面吻合，其表面平整度应符合现行《公路工程质量检验评定标准 第一册 土建工程》（JTG F80/1-2004）规定，补块的表面纹理应与原路面吻合；</w:t>
      </w:r>
    </w:p>
    <w:p w14:paraId="334D0709">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⑧ 补块养生宜采用养护剂，其用量根据养护材料性能确定；</w:t>
      </w:r>
    </w:p>
    <w:p w14:paraId="4420F4EA">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⑨ 做接缝时，将板中间的各缩缝锯切到1/4板厚处，将接缝材料填入缩缝内；</w:t>
      </w:r>
    </w:p>
    <w:p w14:paraId="2E8CA34A">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⑩ 混凝土达到通车强度后，即可开放交通。</w:t>
      </w:r>
    </w:p>
    <w:p w14:paraId="152863B7">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3.1 </w:t>
      </w:r>
      <w:r>
        <w:rPr>
          <w:rFonts w:hint="eastAsia" w:ascii="宋体" w:hAnsi="宋体" w:eastAsia="宋体" w:cs="宋体"/>
          <w:b w:val="0"/>
          <w:bCs w:val="0"/>
          <w:sz w:val="21"/>
          <w:szCs w:val="21"/>
          <w:highlight w:val="none"/>
          <w:lang w:val="zh-CN"/>
        </w:rPr>
        <w:t>清缝灌缝</w:t>
      </w:r>
    </w:p>
    <w:p w14:paraId="3FCCFA82">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zh-CN"/>
        </w:rPr>
        <w:t>）适用条件</w:t>
      </w:r>
    </w:p>
    <w:p w14:paraId="69D75FB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适用于非基层原因造成的轻微裂缝。</w:t>
      </w:r>
    </w:p>
    <w:p w14:paraId="3B80B39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zh-CN"/>
        </w:rPr>
        <w:t>）养护时间</w:t>
      </w:r>
    </w:p>
    <w:p w14:paraId="5ECEEDB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裂缝处治要求</w:t>
      </w: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zh-CN"/>
        </w:rPr>
        <w:t>个月内完成，每年雨季来临前对轻微裂缝填缝一次。</w:t>
      </w:r>
    </w:p>
    <w:p w14:paraId="2663E65D">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zh-CN"/>
        </w:rPr>
        <w:t>）原材料要求</w:t>
      </w:r>
    </w:p>
    <w:p w14:paraId="2E42919A">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灌缝材料主要包括道路密封胶、洁净的细砂。为了保证灌缝质量，道路密封胶必须满足表</w:t>
      </w:r>
      <w:r>
        <w:rPr>
          <w:rFonts w:hint="eastAsia" w:ascii="宋体" w:hAnsi="宋体" w:eastAsia="宋体" w:cs="宋体"/>
          <w:b w:val="0"/>
          <w:bCs w:val="0"/>
          <w:sz w:val="21"/>
          <w:szCs w:val="21"/>
          <w:highlight w:val="none"/>
        </w:rPr>
        <w:t>3.1-1</w:t>
      </w:r>
      <w:r>
        <w:rPr>
          <w:rFonts w:hint="eastAsia" w:ascii="宋体" w:hAnsi="宋体" w:eastAsia="宋体" w:cs="宋体"/>
          <w:b w:val="0"/>
          <w:bCs w:val="0"/>
          <w:sz w:val="21"/>
          <w:szCs w:val="21"/>
          <w:highlight w:val="none"/>
          <w:lang w:val="zh-CN"/>
        </w:rPr>
        <w:t>要求，且必须符合《路面加热型密封胶》JT/T 740—2015规定，采用低温型（-10℃）。</w:t>
      </w:r>
    </w:p>
    <w:p w14:paraId="03167F4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表</w:t>
      </w:r>
      <w:r>
        <w:rPr>
          <w:rFonts w:hint="eastAsia" w:ascii="宋体" w:hAnsi="宋体" w:eastAsia="宋体" w:cs="宋体"/>
          <w:b w:val="0"/>
          <w:bCs w:val="0"/>
          <w:sz w:val="21"/>
          <w:szCs w:val="21"/>
          <w:highlight w:val="none"/>
        </w:rPr>
        <w:t xml:space="preserve">3.1-1 </w:t>
      </w:r>
      <w:r>
        <w:rPr>
          <w:rFonts w:hint="eastAsia" w:ascii="宋体" w:hAnsi="宋体" w:eastAsia="宋体" w:cs="宋体"/>
          <w:b w:val="0"/>
          <w:bCs w:val="0"/>
          <w:sz w:val="21"/>
          <w:szCs w:val="21"/>
          <w:highlight w:val="none"/>
          <w:lang w:val="zh-CN"/>
        </w:rPr>
        <w:t>道路密封胶技术要求</w:t>
      </w:r>
    </w:p>
    <w:tbl>
      <w:tblPr>
        <w:tblStyle w:val="62"/>
        <w:tblW w:w="9498" w:type="dxa"/>
        <w:tblInd w:w="28" w:type="dxa"/>
        <w:tblLayout w:type="fixed"/>
        <w:tblCellMar>
          <w:top w:w="0" w:type="dxa"/>
          <w:left w:w="28" w:type="dxa"/>
          <w:bottom w:w="0" w:type="dxa"/>
          <w:right w:w="28" w:type="dxa"/>
        </w:tblCellMar>
      </w:tblPr>
      <w:tblGrid>
        <w:gridCol w:w="1327"/>
        <w:gridCol w:w="1106"/>
        <w:gridCol w:w="1413"/>
        <w:gridCol w:w="1413"/>
        <w:gridCol w:w="1413"/>
        <w:gridCol w:w="1413"/>
        <w:gridCol w:w="1413"/>
      </w:tblGrid>
      <w:tr w14:paraId="2C473CA5">
        <w:tblPrEx>
          <w:tblCellMar>
            <w:top w:w="0" w:type="dxa"/>
            <w:left w:w="28" w:type="dxa"/>
            <w:bottom w:w="0" w:type="dxa"/>
            <w:right w:w="28" w:type="dxa"/>
          </w:tblCellMar>
        </w:tblPrEx>
        <w:trPr>
          <w:trHeight w:val="397" w:hRule="atLeast"/>
        </w:trPr>
        <w:tc>
          <w:tcPr>
            <w:tcW w:w="851"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E779D4D">
            <w:pPr>
              <w:bidi w:val="0"/>
              <w:jc w:val="center"/>
              <w:rPr>
                <w:rFonts w:hint="eastAsia"/>
                <w:highlight w:val="none"/>
              </w:rPr>
            </w:pPr>
            <w:r>
              <w:rPr>
                <w:rFonts w:hint="eastAsia"/>
                <w:highlight w:val="none"/>
                <w:lang w:val="zh-CN"/>
              </w:rPr>
              <w:t>试验</w:t>
            </w:r>
          </w:p>
          <w:p w14:paraId="7ABF64E0">
            <w:pPr>
              <w:bidi w:val="0"/>
              <w:jc w:val="center"/>
              <w:rPr>
                <w:rFonts w:hint="eastAsia"/>
                <w:highlight w:val="none"/>
                <w:lang w:val="zh-CN"/>
              </w:rPr>
            </w:pPr>
            <w:r>
              <w:rPr>
                <w:rFonts w:hint="eastAsia"/>
                <w:highlight w:val="none"/>
                <w:lang w:val="zh-CN"/>
              </w:rPr>
              <w:t>项目</w:t>
            </w:r>
          </w:p>
        </w:tc>
        <w:tc>
          <w:tcPr>
            <w:tcW w:w="709"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205C52B">
            <w:pPr>
              <w:bidi w:val="0"/>
              <w:jc w:val="center"/>
              <w:rPr>
                <w:rFonts w:hint="eastAsia"/>
                <w:highlight w:val="none"/>
                <w:lang w:val="zh-CN"/>
              </w:rPr>
            </w:pPr>
            <w:r>
              <w:rPr>
                <w:rFonts w:hint="eastAsia"/>
                <w:highlight w:val="none"/>
                <w:lang w:val="zh-CN"/>
              </w:rPr>
              <w:t>单位</w:t>
            </w:r>
          </w:p>
        </w:tc>
        <w:tc>
          <w:tcPr>
            <w:tcW w:w="907" w:type="dxa"/>
            <w:gridSpan w:val="5"/>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DD08762">
            <w:pPr>
              <w:bidi w:val="0"/>
              <w:jc w:val="center"/>
              <w:rPr>
                <w:rFonts w:hint="eastAsia"/>
                <w:highlight w:val="none"/>
                <w:lang w:val="zh-CN"/>
              </w:rPr>
            </w:pPr>
            <w:r>
              <w:rPr>
                <w:rFonts w:hint="eastAsia"/>
                <w:highlight w:val="none"/>
                <w:lang w:val="zh-CN"/>
              </w:rPr>
              <w:t>技术要求</w:t>
            </w:r>
          </w:p>
        </w:tc>
      </w:tr>
      <w:tr w14:paraId="1F75DC5D">
        <w:tblPrEx>
          <w:tblCellMar>
            <w:top w:w="0" w:type="dxa"/>
            <w:left w:w="28" w:type="dxa"/>
            <w:bottom w:w="0" w:type="dxa"/>
            <w:right w:w="28" w:type="dxa"/>
          </w:tblCellMar>
        </w:tblPrEx>
        <w:trPr>
          <w:trHeight w:val="397" w:hRule="atLeast"/>
        </w:trPr>
        <w:tc>
          <w:tcPr>
            <w:tcW w:w="85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0934A53">
            <w:pPr>
              <w:bidi w:val="0"/>
              <w:jc w:val="center"/>
              <w:rPr>
                <w:rFonts w:hint="eastAsia"/>
                <w:highlight w:val="none"/>
                <w:lang w:val="zh-CN"/>
              </w:rPr>
            </w:pPr>
          </w:p>
        </w:tc>
        <w:tc>
          <w:tcPr>
            <w:tcW w:w="709"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C0DB85D">
            <w:pPr>
              <w:bidi w:val="0"/>
              <w:jc w:val="center"/>
              <w:rPr>
                <w:rFonts w:hint="eastAsia"/>
                <w:highlight w:val="none"/>
                <w:lang w:val="zh-CN"/>
              </w:rPr>
            </w:pP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4F8A69C">
            <w:pPr>
              <w:bidi w:val="0"/>
              <w:jc w:val="center"/>
              <w:rPr>
                <w:rFonts w:hint="eastAsia"/>
                <w:highlight w:val="none"/>
                <w:lang w:val="zh-CN"/>
              </w:rPr>
            </w:pPr>
            <w:r>
              <w:rPr>
                <w:rFonts w:hint="eastAsia"/>
                <w:highlight w:val="none"/>
                <w:lang w:val="zh-CN"/>
              </w:rPr>
              <w:t>高温型</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D9DB0B8">
            <w:pPr>
              <w:bidi w:val="0"/>
              <w:jc w:val="center"/>
              <w:rPr>
                <w:rFonts w:hint="eastAsia"/>
                <w:highlight w:val="none"/>
                <w:lang w:val="zh-CN"/>
              </w:rPr>
            </w:pPr>
            <w:r>
              <w:rPr>
                <w:rFonts w:hint="eastAsia"/>
                <w:highlight w:val="none"/>
                <w:lang w:val="zh-CN"/>
              </w:rPr>
              <w:t>普通型</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87DA60E">
            <w:pPr>
              <w:bidi w:val="0"/>
              <w:jc w:val="center"/>
              <w:rPr>
                <w:rFonts w:hint="eastAsia"/>
                <w:highlight w:val="none"/>
                <w:lang w:val="zh-CN"/>
              </w:rPr>
            </w:pPr>
            <w:r>
              <w:rPr>
                <w:rFonts w:hint="eastAsia"/>
                <w:highlight w:val="none"/>
                <w:lang w:val="zh-CN"/>
              </w:rPr>
              <w:t>低温型</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8EE83D8">
            <w:pPr>
              <w:bidi w:val="0"/>
              <w:jc w:val="center"/>
              <w:rPr>
                <w:rFonts w:hint="eastAsia"/>
                <w:highlight w:val="none"/>
                <w:lang w:val="zh-CN"/>
              </w:rPr>
            </w:pPr>
            <w:r>
              <w:rPr>
                <w:rFonts w:hint="eastAsia"/>
                <w:highlight w:val="none"/>
                <w:lang w:val="zh-CN"/>
              </w:rPr>
              <w:t>寒冷型</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236EF2F">
            <w:pPr>
              <w:bidi w:val="0"/>
              <w:jc w:val="center"/>
              <w:rPr>
                <w:rFonts w:hint="eastAsia"/>
                <w:highlight w:val="none"/>
                <w:lang w:val="zh-CN"/>
              </w:rPr>
            </w:pPr>
            <w:r>
              <w:rPr>
                <w:rFonts w:hint="eastAsia"/>
                <w:highlight w:val="none"/>
                <w:lang w:val="zh-CN"/>
              </w:rPr>
              <w:t>严寒型</w:t>
            </w:r>
          </w:p>
        </w:tc>
      </w:tr>
      <w:tr w14:paraId="2EF56434">
        <w:tblPrEx>
          <w:tblCellMar>
            <w:top w:w="0" w:type="dxa"/>
            <w:left w:w="28" w:type="dxa"/>
            <w:bottom w:w="0" w:type="dxa"/>
            <w:right w:w="28" w:type="dxa"/>
          </w:tblCellMar>
        </w:tblPrEx>
        <w:trPr>
          <w:trHeight w:val="397" w:hRule="atLeast"/>
        </w:trPr>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E67A2F4">
            <w:pPr>
              <w:bidi w:val="0"/>
              <w:jc w:val="center"/>
              <w:rPr>
                <w:rFonts w:hint="eastAsia"/>
                <w:highlight w:val="none"/>
                <w:lang w:val="zh-CN"/>
              </w:rPr>
            </w:pPr>
            <w:r>
              <w:rPr>
                <w:rFonts w:hint="eastAsia"/>
                <w:highlight w:val="none"/>
                <w:lang w:val="zh-CN"/>
              </w:rPr>
              <w:t>锥入度</w:t>
            </w:r>
          </w:p>
        </w:tc>
        <w:tc>
          <w:tcPr>
            <w:tcW w:w="70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624FBFF">
            <w:pPr>
              <w:bidi w:val="0"/>
              <w:jc w:val="center"/>
              <w:rPr>
                <w:rFonts w:hint="eastAsia"/>
                <w:highlight w:val="none"/>
                <w:lang w:val="zh-CN"/>
              </w:rPr>
            </w:pPr>
            <w:r>
              <w:rPr>
                <w:rFonts w:hint="eastAsia"/>
                <w:highlight w:val="none"/>
              </w:rPr>
              <w:t>0.1mm</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27A9672">
            <w:pPr>
              <w:bidi w:val="0"/>
              <w:jc w:val="center"/>
              <w:rPr>
                <w:rFonts w:hint="eastAsia"/>
                <w:highlight w:val="none"/>
                <w:lang w:val="zh-CN"/>
              </w:rPr>
            </w:pPr>
            <w:r>
              <w:rPr>
                <w:rFonts w:hint="eastAsia"/>
                <w:highlight w:val="none"/>
                <w:lang w:val="zh-CN"/>
              </w:rPr>
              <w:t>≤</w:t>
            </w:r>
            <w:r>
              <w:rPr>
                <w:rFonts w:hint="eastAsia"/>
                <w:highlight w:val="none"/>
              </w:rPr>
              <w:t>70</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A4B400E">
            <w:pPr>
              <w:bidi w:val="0"/>
              <w:jc w:val="center"/>
              <w:rPr>
                <w:rFonts w:hint="eastAsia"/>
                <w:highlight w:val="none"/>
                <w:lang w:val="zh-CN"/>
              </w:rPr>
            </w:pPr>
            <w:r>
              <w:rPr>
                <w:rFonts w:hint="eastAsia"/>
                <w:highlight w:val="none"/>
              </w:rPr>
              <w:t>50-90</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8676AED">
            <w:pPr>
              <w:bidi w:val="0"/>
              <w:jc w:val="center"/>
              <w:rPr>
                <w:rFonts w:hint="eastAsia"/>
                <w:highlight w:val="none"/>
                <w:lang w:val="zh-CN"/>
              </w:rPr>
            </w:pPr>
            <w:r>
              <w:rPr>
                <w:rFonts w:hint="eastAsia"/>
                <w:highlight w:val="none"/>
              </w:rPr>
              <w:t>70-110</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B5B450">
            <w:pPr>
              <w:bidi w:val="0"/>
              <w:jc w:val="center"/>
              <w:rPr>
                <w:rFonts w:hint="eastAsia"/>
                <w:highlight w:val="none"/>
                <w:lang w:val="zh-CN"/>
              </w:rPr>
            </w:pPr>
            <w:r>
              <w:rPr>
                <w:rFonts w:hint="eastAsia"/>
                <w:highlight w:val="none"/>
              </w:rPr>
              <w:t>90-150</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26D5940">
            <w:pPr>
              <w:bidi w:val="0"/>
              <w:jc w:val="center"/>
              <w:rPr>
                <w:rFonts w:hint="eastAsia"/>
                <w:highlight w:val="none"/>
                <w:lang w:val="zh-CN"/>
              </w:rPr>
            </w:pPr>
            <w:r>
              <w:rPr>
                <w:rFonts w:hint="eastAsia"/>
                <w:highlight w:val="none"/>
              </w:rPr>
              <w:t>120-180</w:t>
            </w:r>
          </w:p>
        </w:tc>
      </w:tr>
      <w:tr w14:paraId="0DB4B794">
        <w:tblPrEx>
          <w:tblCellMar>
            <w:top w:w="0" w:type="dxa"/>
            <w:left w:w="28" w:type="dxa"/>
            <w:bottom w:w="0" w:type="dxa"/>
            <w:right w:w="28" w:type="dxa"/>
          </w:tblCellMar>
        </w:tblPrEx>
        <w:trPr>
          <w:trHeight w:val="397" w:hRule="atLeast"/>
        </w:trPr>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A29364C">
            <w:pPr>
              <w:bidi w:val="0"/>
              <w:jc w:val="center"/>
              <w:rPr>
                <w:rFonts w:hint="eastAsia"/>
                <w:highlight w:val="none"/>
                <w:lang w:val="zh-CN"/>
              </w:rPr>
            </w:pPr>
            <w:r>
              <w:rPr>
                <w:rFonts w:hint="eastAsia"/>
                <w:highlight w:val="none"/>
                <w:lang w:val="zh-CN"/>
              </w:rPr>
              <w:t>软化点</w:t>
            </w:r>
          </w:p>
        </w:tc>
        <w:tc>
          <w:tcPr>
            <w:tcW w:w="70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69324C4">
            <w:pPr>
              <w:bidi w:val="0"/>
              <w:jc w:val="center"/>
              <w:rPr>
                <w:rFonts w:hint="eastAsia"/>
                <w:highlight w:val="none"/>
                <w:lang w:val="zh-CN"/>
              </w:rPr>
            </w:pPr>
            <w:r>
              <w:rPr>
                <w:rFonts w:hint="eastAsia"/>
                <w:highlight w:val="none"/>
                <w:lang w:val="zh-CN"/>
              </w:rPr>
              <w:t>℃</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4E8372D">
            <w:pPr>
              <w:bidi w:val="0"/>
              <w:jc w:val="center"/>
              <w:rPr>
                <w:rFonts w:hint="eastAsia"/>
                <w:highlight w:val="none"/>
                <w:lang w:val="zh-CN"/>
              </w:rPr>
            </w:pPr>
            <w:r>
              <w:rPr>
                <w:rFonts w:hint="eastAsia"/>
                <w:highlight w:val="none"/>
                <w:lang w:val="zh-CN"/>
              </w:rPr>
              <w:t>≥</w:t>
            </w:r>
            <w:r>
              <w:rPr>
                <w:rFonts w:hint="eastAsia"/>
                <w:highlight w:val="none"/>
              </w:rPr>
              <w:t>90</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6A7458D">
            <w:pPr>
              <w:bidi w:val="0"/>
              <w:jc w:val="center"/>
              <w:rPr>
                <w:rFonts w:hint="eastAsia"/>
                <w:highlight w:val="none"/>
                <w:lang w:val="zh-CN"/>
              </w:rPr>
            </w:pPr>
            <w:r>
              <w:rPr>
                <w:rFonts w:hint="eastAsia"/>
                <w:highlight w:val="none"/>
                <w:lang w:val="zh-CN"/>
              </w:rPr>
              <w:t>≥</w:t>
            </w:r>
            <w:r>
              <w:rPr>
                <w:rFonts w:hint="eastAsia"/>
                <w:highlight w:val="none"/>
              </w:rPr>
              <w:t>80</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D91E3F6">
            <w:pPr>
              <w:bidi w:val="0"/>
              <w:jc w:val="center"/>
              <w:rPr>
                <w:rFonts w:hint="eastAsia"/>
                <w:highlight w:val="none"/>
                <w:lang w:val="zh-CN"/>
              </w:rPr>
            </w:pPr>
            <w:r>
              <w:rPr>
                <w:rFonts w:hint="eastAsia"/>
                <w:highlight w:val="none"/>
                <w:lang w:val="zh-CN"/>
              </w:rPr>
              <w:t>≥</w:t>
            </w:r>
            <w:r>
              <w:rPr>
                <w:rFonts w:hint="eastAsia"/>
                <w:highlight w:val="none"/>
              </w:rPr>
              <w:t>80</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6A2D50E">
            <w:pPr>
              <w:bidi w:val="0"/>
              <w:jc w:val="center"/>
              <w:rPr>
                <w:rFonts w:hint="eastAsia"/>
                <w:highlight w:val="none"/>
                <w:lang w:val="zh-CN"/>
              </w:rPr>
            </w:pPr>
            <w:r>
              <w:rPr>
                <w:rFonts w:hint="eastAsia"/>
                <w:highlight w:val="none"/>
                <w:lang w:val="zh-CN"/>
              </w:rPr>
              <w:t>≥</w:t>
            </w:r>
            <w:r>
              <w:rPr>
                <w:rFonts w:hint="eastAsia"/>
                <w:highlight w:val="none"/>
              </w:rPr>
              <w:t>80</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F1372EC">
            <w:pPr>
              <w:bidi w:val="0"/>
              <w:jc w:val="center"/>
              <w:rPr>
                <w:rFonts w:hint="eastAsia"/>
                <w:highlight w:val="none"/>
                <w:lang w:val="zh-CN"/>
              </w:rPr>
            </w:pPr>
            <w:r>
              <w:rPr>
                <w:rFonts w:hint="eastAsia"/>
                <w:highlight w:val="none"/>
                <w:lang w:val="zh-CN"/>
              </w:rPr>
              <w:t>≥</w:t>
            </w:r>
            <w:r>
              <w:rPr>
                <w:rFonts w:hint="eastAsia"/>
                <w:highlight w:val="none"/>
              </w:rPr>
              <w:t>70</w:t>
            </w:r>
          </w:p>
        </w:tc>
      </w:tr>
      <w:tr w14:paraId="6B849A3B">
        <w:tblPrEx>
          <w:tblCellMar>
            <w:top w:w="0" w:type="dxa"/>
            <w:left w:w="28" w:type="dxa"/>
            <w:bottom w:w="0" w:type="dxa"/>
            <w:right w:w="28" w:type="dxa"/>
          </w:tblCellMar>
        </w:tblPrEx>
        <w:trPr>
          <w:trHeight w:val="397" w:hRule="atLeast"/>
        </w:trPr>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AE882BB">
            <w:pPr>
              <w:bidi w:val="0"/>
              <w:jc w:val="center"/>
              <w:rPr>
                <w:rFonts w:hint="eastAsia"/>
                <w:highlight w:val="none"/>
                <w:lang w:val="zh-CN"/>
              </w:rPr>
            </w:pPr>
            <w:r>
              <w:rPr>
                <w:rFonts w:hint="eastAsia"/>
                <w:highlight w:val="none"/>
                <w:lang w:val="zh-CN"/>
              </w:rPr>
              <w:t>流动值</w:t>
            </w:r>
          </w:p>
        </w:tc>
        <w:tc>
          <w:tcPr>
            <w:tcW w:w="70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757BF19">
            <w:pPr>
              <w:bidi w:val="0"/>
              <w:jc w:val="center"/>
              <w:rPr>
                <w:rFonts w:hint="eastAsia"/>
                <w:highlight w:val="none"/>
                <w:lang w:val="zh-CN"/>
              </w:rPr>
            </w:pPr>
            <w:r>
              <w:rPr>
                <w:rFonts w:hint="eastAsia"/>
                <w:highlight w:val="none"/>
              </w:rPr>
              <w:t>mm</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C25C202">
            <w:pPr>
              <w:bidi w:val="0"/>
              <w:jc w:val="center"/>
              <w:rPr>
                <w:rFonts w:hint="eastAsia"/>
                <w:highlight w:val="none"/>
                <w:lang w:val="zh-CN"/>
              </w:rPr>
            </w:pPr>
            <w:r>
              <w:rPr>
                <w:rFonts w:hint="eastAsia"/>
                <w:highlight w:val="none"/>
                <w:lang w:val="zh-CN"/>
              </w:rPr>
              <w:t>≤</w:t>
            </w:r>
            <w:r>
              <w:rPr>
                <w:rFonts w:hint="eastAsia"/>
                <w:highlight w:val="none"/>
              </w:rPr>
              <w:t>3</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DA01EEF">
            <w:pPr>
              <w:bidi w:val="0"/>
              <w:jc w:val="center"/>
              <w:rPr>
                <w:rFonts w:hint="eastAsia"/>
                <w:highlight w:val="none"/>
                <w:lang w:val="zh-CN"/>
              </w:rPr>
            </w:pPr>
            <w:r>
              <w:rPr>
                <w:rFonts w:hint="eastAsia"/>
                <w:highlight w:val="none"/>
                <w:lang w:val="zh-CN"/>
              </w:rPr>
              <w:t>≤</w:t>
            </w:r>
            <w:r>
              <w:rPr>
                <w:rFonts w:hint="eastAsia"/>
                <w:highlight w:val="none"/>
              </w:rPr>
              <w:t>5</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46C5DC">
            <w:pPr>
              <w:bidi w:val="0"/>
              <w:jc w:val="center"/>
              <w:rPr>
                <w:rFonts w:hint="eastAsia"/>
                <w:highlight w:val="none"/>
                <w:lang w:val="zh-CN"/>
              </w:rPr>
            </w:pPr>
            <w:r>
              <w:rPr>
                <w:rFonts w:hint="eastAsia"/>
                <w:highlight w:val="none"/>
                <w:lang w:val="zh-CN"/>
              </w:rPr>
              <w:t>≤</w:t>
            </w:r>
            <w:r>
              <w:rPr>
                <w:rFonts w:hint="eastAsia"/>
                <w:highlight w:val="none"/>
              </w:rPr>
              <w:t>5</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48CF4AA">
            <w:pPr>
              <w:bidi w:val="0"/>
              <w:jc w:val="center"/>
              <w:rPr>
                <w:rFonts w:hint="eastAsia"/>
                <w:highlight w:val="none"/>
                <w:lang w:val="zh-CN"/>
              </w:rPr>
            </w:pPr>
            <w:r>
              <w:rPr>
                <w:rFonts w:hint="eastAsia"/>
                <w:highlight w:val="none"/>
                <w:lang w:val="zh-CN"/>
              </w:rPr>
              <w:t>≤</w:t>
            </w:r>
            <w:r>
              <w:rPr>
                <w:rFonts w:hint="eastAsia"/>
                <w:highlight w:val="none"/>
              </w:rPr>
              <w:t>5</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276F6BF">
            <w:pPr>
              <w:bidi w:val="0"/>
              <w:jc w:val="center"/>
              <w:rPr>
                <w:rFonts w:hint="eastAsia"/>
                <w:highlight w:val="none"/>
                <w:lang w:val="zh-CN"/>
              </w:rPr>
            </w:pPr>
            <w:r>
              <w:rPr>
                <w:rFonts w:hint="eastAsia"/>
                <w:highlight w:val="none"/>
              </w:rPr>
              <w:t>-</w:t>
            </w:r>
          </w:p>
        </w:tc>
      </w:tr>
      <w:tr w14:paraId="7E4EE23C">
        <w:tblPrEx>
          <w:tblCellMar>
            <w:top w:w="0" w:type="dxa"/>
            <w:left w:w="28" w:type="dxa"/>
            <w:bottom w:w="0" w:type="dxa"/>
            <w:right w:w="28" w:type="dxa"/>
          </w:tblCellMar>
        </w:tblPrEx>
        <w:trPr>
          <w:trHeight w:val="397" w:hRule="atLeast"/>
        </w:trPr>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A8DFC24">
            <w:pPr>
              <w:bidi w:val="0"/>
              <w:jc w:val="center"/>
              <w:rPr>
                <w:rFonts w:hint="eastAsia"/>
                <w:highlight w:val="none"/>
                <w:lang w:val="zh-CN"/>
              </w:rPr>
            </w:pPr>
            <w:r>
              <w:rPr>
                <w:rFonts w:hint="eastAsia"/>
                <w:highlight w:val="none"/>
                <w:lang w:val="zh-CN"/>
              </w:rPr>
              <w:t>弹性恢复率</w:t>
            </w:r>
          </w:p>
        </w:tc>
        <w:tc>
          <w:tcPr>
            <w:tcW w:w="70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916B459">
            <w:pPr>
              <w:bidi w:val="0"/>
              <w:jc w:val="center"/>
              <w:rPr>
                <w:rFonts w:hint="eastAsia"/>
                <w:highlight w:val="none"/>
                <w:lang w:val="zh-CN"/>
              </w:rPr>
            </w:pPr>
            <w:r>
              <w:rPr>
                <w:rFonts w:hint="eastAsia"/>
                <w:highlight w:val="none"/>
              </w:rPr>
              <w:t>%</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F5F2F34">
            <w:pPr>
              <w:bidi w:val="0"/>
              <w:jc w:val="center"/>
              <w:rPr>
                <w:rFonts w:hint="eastAsia"/>
                <w:highlight w:val="none"/>
                <w:lang w:val="zh-CN"/>
              </w:rPr>
            </w:pPr>
            <w:r>
              <w:rPr>
                <w:rFonts w:hint="eastAsia"/>
                <w:highlight w:val="none"/>
              </w:rPr>
              <w:t>30-70</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F91718">
            <w:pPr>
              <w:bidi w:val="0"/>
              <w:jc w:val="center"/>
              <w:rPr>
                <w:rFonts w:hint="eastAsia"/>
                <w:highlight w:val="none"/>
                <w:lang w:val="zh-CN"/>
              </w:rPr>
            </w:pPr>
            <w:r>
              <w:rPr>
                <w:rFonts w:hint="eastAsia"/>
                <w:highlight w:val="none"/>
              </w:rPr>
              <w:t>30-70</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2BFC8CF">
            <w:pPr>
              <w:bidi w:val="0"/>
              <w:jc w:val="center"/>
              <w:rPr>
                <w:rFonts w:hint="eastAsia"/>
                <w:highlight w:val="none"/>
                <w:lang w:val="zh-CN"/>
              </w:rPr>
            </w:pPr>
            <w:r>
              <w:rPr>
                <w:rFonts w:hint="eastAsia"/>
                <w:highlight w:val="none"/>
              </w:rPr>
              <w:t>30-70</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8052B14">
            <w:pPr>
              <w:bidi w:val="0"/>
              <w:jc w:val="center"/>
              <w:rPr>
                <w:rFonts w:hint="eastAsia"/>
                <w:highlight w:val="none"/>
                <w:lang w:val="zh-CN"/>
              </w:rPr>
            </w:pPr>
            <w:r>
              <w:rPr>
                <w:rFonts w:hint="eastAsia"/>
                <w:highlight w:val="none"/>
              </w:rPr>
              <w:t>30-70</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16DC403">
            <w:pPr>
              <w:bidi w:val="0"/>
              <w:jc w:val="center"/>
              <w:rPr>
                <w:rFonts w:hint="eastAsia"/>
                <w:highlight w:val="none"/>
                <w:lang w:val="zh-CN"/>
              </w:rPr>
            </w:pPr>
            <w:r>
              <w:rPr>
                <w:rFonts w:hint="eastAsia"/>
                <w:highlight w:val="none"/>
              </w:rPr>
              <w:t>30-70</w:t>
            </w:r>
          </w:p>
        </w:tc>
      </w:tr>
      <w:tr w14:paraId="353D45ED">
        <w:tblPrEx>
          <w:tblCellMar>
            <w:top w:w="0" w:type="dxa"/>
            <w:left w:w="28" w:type="dxa"/>
            <w:bottom w:w="0" w:type="dxa"/>
            <w:right w:w="28" w:type="dxa"/>
          </w:tblCellMar>
        </w:tblPrEx>
        <w:trPr>
          <w:trHeight w:val="397" w:hRule="atLeast"/>
        </w:trPr>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5DB8C68">
            <w:pPr>
              <w:bidi w:val="0"/>
              <w:jc w:val="center"/>
              <w:rPr>
                <w:rFonts w:hint="eastAsia"/>
                <w:highlight w:val="none"/>
              </w:rPr>
            </w:pPr>
            <w:r>
              <w:rPr>
                <w:rFonts w:hint="eastAsia"/>
                <w:highlight w:val="none"/>
                <w:lang w:val="zh-CN"/>
              </w:rPr>
              <w:t>低温</w:t>
            </w:r>
          </w:p>
          <w:p w14:paraId="44A63474">
            <w:pPr>
              <w:bidi w:val="0"/>
              <w:jc w:val="center"/>
              <w:rPr>
                <w:rFonts w:hint="eastAsia"/>
                <w:highlight w:val="none"/>
                <w:lang w:val="zh-CN"/>
              </w:rPr>
            </w:pPr>
            <w:r>
              <w:rPr>
                <w:rFonts w:hint="eastAsia"/>
                <w:highlight w:val="none"/>
                <w:lang w:val="zh-CN"/>
              </w:rPr>
              <w:t>拉伸</w:t>
            </w:r>
            <w:r>
              <w:rPr>
                <w:rFonts w:hint="eastAsia"/>
                <w:highlight w:val="none"/>
              </w:rPr>
              <w:t>*</w:t>
            </w:r>
          </w:p>
        </w:tc>
        <w:tc>
          <w:tcPr>
            <w:tcW w:w="70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1FCDF4">
            <w:pPr>
              <w:bidi w:val="0"/>
              <w:jc w:val="center"/>
              <w:rPr>
                <w:rFonts w:hint="eastAsia"/>
                <w:highlight w:val="none"/>
                <w:lang w:val="zh-CN"/>
              </w:rPr>
            </w:pP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B361808">
            <w:pPr>
              <w:bidi w:val="0"/>
              <w:jc w:val="center"/>
              <w:rPr>
                <w:rFonts w:hint="eastAsia"/>
                <w:highlight w:val="none"/>
                <w:lang w:val="zh-CN"/>
              </w:rPr>
            </w:pPr>
            <w:r>
              <w:rPr>
                <w:rFonts w:hint="eastAsia"/>
                <w:highlight w:val="none"/>
              </w:rPr>
              <w:t>0</w:t>
            </w:r>
            <w:r>
              <w:rPr>
                <w:rFonts w:hint="eastAsia"/>
                <w:highlight w:val="none"/>
                <w:lang w:val="zh-CN"/>
              </w:rPr>
              <w:t>℃，</w:t>
            </w:r>
            <w:r>
              <w:rPr>
                <w:rFonts w:hint="eastAsia"/>
                <w:highlight w:val="none"/>
              </w:rPr>
              <w:t>25%</w:t>
            </w:r>
            <w:r>
              <w:rPr>
                <w:rFonts w:hint="eastAsia"/>
                <w:highlight w:val="none"/>
                <w:lang w:val="zh-CN"/>
              </w:rPr>
              <w:t>，</w:t>
            </w:r>
            <w:r>
              <w:rPr>
                <w:rFonts w:hint="eastAsia"/>
                <w:highlight w:val="none"/>
              </w:rPr>
              <w:t>3</w:t>
            </w:r>
            <w:r>
              <w:rPr>
                <w:rFonts w:hint="eastAsia"/>
                <w:highlight w:val="none"/>
                <w:lang w:val="zh-CN"/>
              </w:rPr>
              <w:t>次循环，通过</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A50B3C9">
            <w:pPr>
              <w:bidi w:val="0"/>
              <w:jc w:val="center"/>
              <w:rPr>
                <w:rFonts w:hint="eastAsia"/>
                <w:highlight w:val="none"/>
                <w:lang w:val="zh-CN"/>
              </w:rPr>
            </w:pPr>
            <w:r>
              <w:rPr>
                <w:rFonts w:hint="eastAsia"/>
                <w:highlight w:val="none"/>
              </w:rPr>
              <w:t>-10</w:t>
            </w:r>
            <w:r>
              <w:rPr>
                <w:rFonts w:hint="eastAsia"/>
                <w:highlight w:val="none"/>
                <w:lang w:val="zh-CN"/>
              </w:rPr>
              <w:t>℃，</w:t>
            </w:r>
            <w:r>
              <w:rPr>
                <w:rFonts w:hint="eastAsia"/>
                <w:highlight w:val="none"/>
              </w:rPr>
              <w:t>50%</w:t>
            </w:r>
            <w:r>
              <w:rPr>
                <w:rFonts w:hint="eastAsia"/>
                <w:highlight w:val="none"/>
                <w:lang w:val="zh-CN"/>
              </w:rPr>
              <w:t>，</w:t>
            </w:r>
            <w:r>
              <w:rPr>
                <w:rFonts w:hint="eastAsia"/>
                <w:highlight w:val="none"/>
              </w:rPr>
              <w:t>3</w:t>
            </w:r>
            <w:r>
              <w:rPr>
                <w:rFonts w:hint="eastAsia"/>
                <w:highlight w:val="none"/>
                <w:lang w:val="zh-CN"/>
              </w:rPr>
              <w:t>次循环，通过</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A849155">
            <w:pPr>
              <w:bidi w:val="0"/>
              <w:jc w:val="center"/>
              <w:rPr>
                <w:rFonts w:hint="eastAsia"/>
                <w:highlight w:val="none"/>
                <w:lang w:val="zh-CN"/>
              </w:rPr>
            </w:pPr>
            <w:r>
              <w:rPr>
                <w:rFonts w:hint="eastAsia"/>
                <w:highlight w:val="none"/>
              </w:rPr>
              <w:t>-20</w:t>
            </w:r>
            <w:r>
              <w:rPr>
                <w:rFonts w:hint="eastAsia"/>
                <w:highlight w:val="none"/>
                <w:lang w:val="zh-CN"/>
              </w:rPr>
              <w:t>℃，</w:t>
            </w:r>
            <w:r>
              <w:rPr>
                <w:rFonts w:hint="eastAsia"/>
                <w:highlight w:val="none"/>
              </w:rPr>
              <w:t>100%</w:t>
            </w:r>
            <w:r>
              <w:rPr>
                <w:rFonts w:hint="eastAsia"/>
                <w:highlight w:val="none"/>
                <w:lang w:val="zh-CN"/>
              </w:rPr>
              <w:t>，</w:t>
            </w:r>
            <w:r>
              <w:rPr>
                <w:rFonts w:hint="eastAsia"/>
                <w:highlight w:val="none"/>
              </w:rPr>
              <w:t>3</w:t>
            </w:r>
            <w:r>
              <w:rPr>
                <w:rFonts w:hint="eastAsia"/>
                <w:highlight w:val="none"/>
                <w:lang w:val="zh-CN"/>
              </w:rPr>
              <w:t>次循环，通过</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2A59ACE">
            <w:pPr>
              <w:bidi w:val="0"/>
              <w:jc w:val="center"/>
              <w:rPr>
                <w:rFonts w:hint="eastAsia"/>
                <w:highlight w:val="none"/>
                <w:lang w:val="zh-CN"/>
              </w:rPr>
            </w:pPr>
            <w:r>
              <w:rPr>
                <w:rFonts w:hint="eastAsia"/>
                <w:highlight w:val="none"/>
              </w:rPr>
              <w:t>-30</w:t>
            </w:r>
            <w:r>
              <w:rPr>
                <w:rFonts w:hint="eastAsia"/>
                <w:highlight w:val="none"/>
                <w:lang w:val="zh-CN"/>
              </w:rPr>
              <w:t>℃，</w:t>
            </w:r>
            <w:r>
              <w:rPr>
                <w:rFonts w:hint="eastAsia"/>
                <w:highlight w:val="none"/>
              </w:rPr>
              <w:t>150%</w:t>
            </w:r>
            <w:r>
              <w:rPr>
                <w:rFonts w:hint="eastAsia"/>
                <w:highlight w:val="none"/>
                <w:lang w:val="zh-CN"/>
              </w:rPr>
              <w:t>，</w:t>
            </w:r>
            <w:r>
              <w:rPr>
                <w:rFonts w:hint="eastAsia"/>
                <w:highlight w:val="none"/>
              </w:rPr>
              <w:t>3</w:t>
            </w:r>
            <w:r>
              <w:rPr>
                <w:rFonts w:hint="eastAsia"/>
                <w:highlight w:val="none"/>
                <w:lang w:val="zh-CN"/>
              </w:rPr>
              <w:t>次循环，通过</w:t>
            </w:r>
          </w:p>
        </w:tc>
        <w:tc>
          <w:tcPr>
            <w:tcW w:w="9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5C7B567">
            <w:pPr>
              <w:bidi w:val="0"/>
              <w:jc w:val="center"/>
              <w:rPr>
                <w:rFonts w:hint="eastAsia"/>
                <w:highlight w:val="none"/>
                <w:lang w:val="zh-CN"/>
              </w:rPr>
            </w:pPr>
            <w:r>
              <w:rPr>
                <w:rFonts w:hint="eastAsia"/>
                <w:highlight w:val="none"/>
              </w:rPr>
              <w:t>-40</w:t>
            </w:r>
            <w:r>
              <w:rPr>
                <w:rFonts w:hint="eastAsia"/>
                <w:highlight w:val="none"/>
                <w:lang w:val="zh-CN"/>
              </w:rPr>
              <w:t>℃，</w:t>
            </w:r>
            <w:r>
              <w:rPr>
                <w:rFonts w:hint="eastAsia"/>
                <w:highlight w:val="none"/>
              </w:rPr>
              <w:t>200%</w:t>
            </w:r>
            <w:r>
              <w:rPr>
                <w:rFonts w:hint="eastAsia"/>
                <w:highlight w:val="none"/>
                <w:lang w:val="zh-CN"/>
              </w:rPr>
              <w:t>，</w:t>
            </w:r>
            <w:r>
              <w:rPr>
                <w:rFonts w:hint="eastAsia"/>
                <w:highlight w:val="none"/>
              </w:rPr>
              <w:t>3</w:t>
            </w:r>
            <w:r>
              <w:rPr>
                <w:rFonts w:hint="eastAsia"/>
                <w:highlight w:val="none"/>
                <w:lang w:val="zh-CN"/>
              </w:rPr>
              <w:t>次循环，通过</w:t>
            </w:r>
          </w:p>
        </w:tc>
      </w:tr>
      <w:tr w14:paraId="790FB7C7">
        <w:tblPrEx>
          <w:tblCellMar>
            <w:top w:w="0" w:type="dxa"/>
            <w:left w:w="28" w:type="dxa"/>
            <w:bottom w:w="0" w:type="dxa"/>
            <w:right w:w="28" w:type="dxa"/>
          </w:tblCellMar>
        </w:tblPrEx>
        <w:trPr>
          <w:trHeight w:val="397" w:hRule="atLeast"/>
        </w:trPr>
        <w:tc>
          <w:tcPr>
            <w:tcW w:w="907" w:type="dxa"/>
            <w:gridSpan w:val="7"/>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7A4D0B3">
            <w:pPr>
              <w:bidi w:val="0"/>
              <w:jc w:val="center"/>
              <w:rPr>
                <w:rFonts w:hint="eastAsia"/>
                <w:highlight w:val="none"/>
                <w:lang w:val="zh-CN"/>
              </w:rPr>
            </w:pPr>
            <w:r>
              <w:rPr>
                <w:rFonts w:hint="eastAsia"/>
                <w:highlight w:val="none"/>
              </w:rPr>
              <w:t>*25%</w:t>
            </w:r>
            <w:r>
              <w:rPr>
                <w:rFonts w:hint="eastAsia"/>
                <w:highlight w:val="none"/>
                <w:lang w:val="zh-CN"/>
              </w:rPr>
              <w:t>、</w:t>
            </w:r>
            <w:r>
              <w:rPr>
                <w:rFonts w:hint="eastAsia"/>
                <w:highlight w:val="none"/>
              </w:rPr>
              <w:t>50%</w:t>
            </w:r>
            <w:r>
              <w:rPr>
                <w:rFonts w:hint="eastAsia"/>
                <w:highlight w:val="none"/>
                <w:lang w:val="zh-CN"/>
              </w:rPr>
              <w:t>、</w:t>
            </w:r>
            <w:r>
              <w:rPr>
                <w:rFonts w:hint="eastAsia"/>
                <w:highlight w:val="none"/>
              </w:rPr>
              <w:t>100%</w:t>
            </w:r>
            <w:r>
              <w:rPr>
                <w:rFonts w:hint="eastAsia"/>
                <w:highlight w:val="none"/>
                <w:lang w:val="zh-CN"/>
              </w:rPr>
              <w:t>、</w:t>
            </w:r>
            <w:r>
              <w:rPr>
                <w:rFonts w:hint="eastAsia"/>
                <w:highlight w:val="none"/>
              </w:rPr>
              <w:t>150%</w:t>
            </w:r>
            <w:r>
              <w:rPr>
                <w:rFonts w:hint="eastAsia"/>
                <w:highlight w:val="none"/>
                <w:lang w:val="zh-CN"/>
              </w:rPr>
              <w:t>和</w:t>
            </w:r>
            <w:r>
              <w:rPr>
                <w:rFonts w:hint="eastAsia"/>
                <w:highlight w:val="none"/>
              </w:rPr>
              <w:t>200%</w:t>
            </w:r>
            <w:r>
              <w:rPr>
                <w:rFonts w:hint="eastAsia"/>
                <w:highlight w:val="none"/>
                <w:lang w:val="zh-CN"/>
              </w:rPr>
              <w:t>的拉伸量分别为</w:t>
            </w:r>
            <w:r>
              <w:rPr>
                <w:rFonts w:hint="eastAsia"/>
                <w:highlight w:val="none"/>
              </w:rPr>
              <w:t>3.75mm</w:t>
            </w:r>
            <w:r>
              <w:rPr>
                <w:rFonts w:hint="eastAsia"/>
                <w:highlight w:val="none"/>
                <w:lang w:val="zh-CN"/>
              </w:rPr>
              <w:t>、</w:t>
            </w:r>
            <w:r>
              <w:rPr>
                <w:rFonts w:hint="eastAsia"/>
                <w:highlight w:val="none"/>
              </w:rPr>
              <w:t>7.5mm</w:t>
            </w:r>
            <w:r>
              <w:rPr>
                <w:rFonts w:hint="eastAsia"/>
                <w:highlight w:val="none"/>
                <w:lang w:val="zh-CN"/>
              </w:rPr>
              <w:t>、</w:t>
            </w:r>
            <w:r>
              <w:rPr>
                <w:rFonts w:hint="eastAsia"/>
                <w:highlight w:val="none"/>
              </w:rPr>
              <w:t>15mm</w:t>
            </w:r>
            <w:r>
              <w:rPr>
                <w:rFonts w:hint="eastAsia"/>
                <w:highlight w:val="none"/>
                <w:lang w:val="zh-CN"/>
              </w:rPr>
              <w:t>、</w:t>
            </w:r>
            <w:r>
              <w:rPr>
                <w:rFonts w:hint="eastAsia"/>
                <w:highlight w:val="none"/>
              </w:rPr>
              <w:t>22.5mm</w:t>
            </w:r>
            <w:r>
              <w:rPr>
                <w:rFonts w:hint="eastAsia"/>
                <w:highlight w:val="none"/>
                <w:lang w:val="zh-CN"/>
              </w:rPr>
              <w:t>和</w:t>
            </w:r>
            <w:r>
              <w:rPr>
                <w:rFonts w:hint="eastAsia"/>
                <w:highlight w:val="none"/>
              </w:rPr>
              <w:t>30mm</w:t>
            </w:r>
            <w:r>
              <w:rPr>
                <w:rFonts w:hint="eastAsia"/>
                <w:highlight w:val="none"/>
                <w:lang w:val="zh-CN"/>
              </w:rPr>
              <w:t>。</w:t>
            </w:r>
          </w:p>
        </w:tc>
      </w:tr>
    </w:tbl>
    <w:p w14:paraId="6F2D711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zh-CN"/>
        </w:rPr>
        <w:t>）机械设备要求</w:t>
      </w:r>
    </w:p>
    <w:p w14:paraId="2F67E2BD">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根据清缝灌缝施工要求，清缝灌缝设备和机具配置（单个施工班组）如表</w:t>
      </w:r>
      <w:r>
        <w:rPr>
          <w:rFonts w:hint="eastAsia" w:ascii="宋体" w:hAnsi="宋体" w:eastAsia="宋体" w:cs="宋体"/>
          <w:b w:val="0"/>
          <w:bCs w:val="0"/>
          <w:sz w:val="21"/>
          <w:szCs w:val="21"/>
          <w:highlight w:val="none"/>
        </w:rPr>
        <w:t>3.1-2</w:t>
      </w:r>
      <w:r>
        <w:rPr>
          <w:rFonts w:hint="eastAsia" w:ascii="宋体" w:hAnsi="宋体" w:eastAsia="宋体" w:cs="宋体"/>
          <w:b w:val="0"/>
          <w:bCs w:val="0"/>
          <w:sz w:val="21"/>
          <w:szCs w:val="21"/>
          <w:highlight w:val="none"/>
          <w:lang w:val="zh-CN"/>
        </w:rPr>
        <w:t>所示。</w:t>
      </w:r>
    </w:p>
    <w:p w14:paraId="31A1975A">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表</w:t>
      </w:r>
      <w:r>
        <w:rPr>
          <w:rFonts w:hint="eastAsia" w:ascii="宋体" w:hAnsi="宋体" w:eastAsia="宋体" w:cs="宋体"/>
          <w:b w:val="0"/>
          <w:bCs w:val="0"/>
          <w:sz w:val="21"/>
          <w:szCs w:val="21"/>
          <w:highlight w:val="none"/>
        </w:rPr>
        <w:t xml:space="preserve">3.1-2 </w:t>
      </w:r>
      <w:r>
        <w:rPr>
          <w:rFonts w:hint="eastAsia" w:ascii="宋体" w:hAnsi="宋体" w:eastAsia="宋体" w:cs="宋体"/>
          <w:b w:val="0"/>
          <w:bCs w:val="0"/>
          <w:sz w:val="21"/>
          <w:szCs w:val="21"/>
          <w:highlight w:val="none"/>
          <w:lang w:val="zh-CN"/>
        </w:rPr>
        <w:t>清缝灌缝设备、机具要求</w:t>
      </w:r>
    </w:p>
    <w:tbl>
      <w:tblPr>
        <w:tblStyle w:val="62"/>
        <w:tblW w:w="0" w:type="auto"/>
        <w:tblInd w:w="108" w:type="dxa"/>
        <w:tblLayout w:type="fixed"/>
        <w:tblCellMar>
          <w:top w:w="0" w:type="dxa"/>
          <w:left w:w="108" w:type="dxa"/>
          <w:bottom w:w="0" w:type="dxa"/>
          <w:right w:w="108" w:type="dxa"/>
        </w:tblCellMar>
      </w:tblPr>
      <w:tblGrid>
        <w:gridCol w:w="1079"/>
        <w:gridCol w:w="3316"/>
        <w:gridCol w:w="2551"/>
        <w:gridCol w:w="2410"/>
      </w:tblGrid>
      <w:tr w14:paraId="2F536F31">
        <w:tblPrEx>
          <w:tblCellMar>
            <w:top w:w="0" w:type="dxa"/>
            <w:left w:w="108" w:type="dxa"/>
            <w:bottom w:w="0" w:type="dxa"/>
            <w:right w:w="108" w:type="dxa"/>
          </w:tblCellMar>
        </w:tblPrEx>
        <w:trPr>
          <w:trHeight w:val="397"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F92AA34">
            <w:pPr>
              <w:bidi w:val="0"/>
              <w:jc w:val="center"/>
              <w:rPr>
                <w:rFonts w:hint="eastAsia"/>
                <w:highlight w:val="none"/>
                <w:lang w:val="zh-CN"/>
              </w:rPr>
            </w:pPr>
            <w:r>
              <w:rPr>
                <w:rFonts w:hint="eastAsia"/>
                <w:highlight w:val="none"/>
                <w:lang w:val="zh-CN"/>
              </w:rPr>
              <w:t>序号</w:t>
            </w:r>
          </w:p>
        </w:tc>
        <w:tc>
          <w:tcPr>
            <w:tcW w:w="33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A1D7561">
            <w:pPr>
              <w:bidi w:val="0"/>
              <w:jc w:val="center"/>
              <w:rPr>
                <w:rFonts w:hint="eastAsia"/>
                <w:highlight w:val="none"/>
                <w:lang w:val="zh-CN"/>
              </w:rPr>
            </w:pPr>
            <w:r>
              <w:rPr>
                <w:rFonts w:hint="eastAsia"/>
                <w:highlight w:val="none"/>
                <w:lang w:val="zh-CN"/>
              </w:rPr>
              <w:t>设备机具名称</w:t>
            </w:r>
          </w:p>
        </w:tc>
        <w:tc>
          <w:tcPr>
            <w:tcW w:w="255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27730D7">
            <w:pPr>
              <w:bidi w:val="0"/>
              <w:jc w:val="center"/>
              <w:rPr>
                <w:rFonts w:hint="eastAsia"/>
                <w:highlight w:val="none"/>
                <w:lang w:val="zh-CN"/>
              </w:rPr>
            </w:pPr>
            <w:r>
              <w:rPr>
                <w:rFonts w:hint="eastAsia"/>
                <w:highlight w:val="none"/>
                <w:lang w:val="zh-CN"/>
              </w:rPr>
              <w:t>单位</w:t>
            </w:r>
          </w:p>
        </w:tc>
        <w:tc>
          <w:tcPr>
            <w:tcW w:w="24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8FA00E9">
            <w:pPr>
              <w:bidi w:val="0"/>
              <w:jc w:val="center"/>
              <w:rPr>
                <w:rFonts w:hint="eastAsia"/>
                <w:highlight w:val="none"/>
                <w:lang w:val="zh-CN"/>
              </w:rPr>
            </w:pPr>
            <w:r>
              <w:rPr>
                <w:rFonts w:hint="eastAsia"/>
                <w:highlight w:val="none"/>
                <w:lang w:val="zh-CN"/>
              </w:rPr>
              <w:t>数量</w:t>
            </w:r>
          </w:p>
        </w:tc>
      </w:tr>
      <w:tr w14:paraId="2384B565">
        <w:tblPrEx>
          <w:tblCellMar>
            <w:top w:w="0" w:type="dxa"/>
            <w:left w:w="108" w:type="dxa"/>
            <w:bottom w:w="0" w:type="dxa"/>
            <w:right w:w="108" w:type="dxa"/>
          </w:tblCellMar>
        </w:tblPrEx>
        <w:trPr>
          <w:trHeight w:val="397"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5016059">
            <w:pPr>
              <w:bidi w:val="0"/>
              <w:jc w:val="center"/>
              <w:rPr>
                <w:rFonts w:hint="eastAsia"/>
                <w:highlight w:val="none"/>
                <w:lang w:val="zh-CN"/>
              </w:rPr>
            </w:pPr>
            <w:r>
              <w:rPr>
                <w:rFonts w:hint="eastAsia"/>
                <w:highlight w:val="none"/>
                <w:lang w:val="zh-CN"/>
              </w:rPr>
              <w:t>1</w:t>
            </w:r>
          </w:p>
        </w:tc>
        <w:tc>
          <w:tcPr>
            <w:tcW w:w="33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8B0A3DC">
            <w:pPr>
              <w:bidi w:val="0"/>
              <w:jc w:val="center"/>
              <w:rPr>
                <w:rFonts w:hint="eastAsia"/>
                <w:highlight w:val="none"/>
                <w:lang w:val="zh-CN"/>
              </w:rPr>
            </w:pPr>
            <w:r>
              <w:rPr>
                <w:rFonts w:hint="eastAsia"/>
                <w:highlight w:val="none"/>
                <w:lang w:val="zh-CN"/>
              </w:rPr>
              <w:t>灌缝机（灌缝车）</w:t>
            </w:r>
          </w:p>
        </w:tc>
        <w:tc>
          <w:tcPr>
            <w:tcW w:w="255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262390A">
            <w:pPr>
              <w:bidi w:val="0"/>
              <w:jc w:val="center"/>
              <w:rPr>
                <w:rFonts w:hint="eastAsia"/>
                <w:highlight w:val="none"/>
                <w:lang w:val="zh-CN"/>
              </w:rPr>
            </w:pPr>
            <w:r>
              <w:rPr>
                <w:rFonts w:hint="eastAsia"/>
                <w:highlight w:val="none"/>
                <w:lang w:val="zh-CN"/>
              </w:rPr>
              <w:t>台</w:t>
            </w:r>
          </w:p>
        </w:tc>
        <w:tc>
          <w:tcPr>
            <w:tcW w:w="24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AC69FE9">
            <w:pPr>
              <w:bidi w:val="0"/>
              <w:jc w:val="center"/>
              <w:rPr>
                <w:rFonts w:hint="eastAsia"/>
                <w:highlight w:val="none"/>
                <w:lang w:val="zh-CN"/>
              </w:rPr>
            </w:pPr>
            <w:r>
              <w:rPr>
                <w:rFonts w:hint="eastAsia"/>
                <w:highlight w:val="none"/>
                <w:lang w:val="zh-CN"/>
              </w:rPr>
              <w:t>1</w:t>
            </w:r>
          </w:p>
        </w:tc>
      </w:tr>
      <w:tr w14:paraId="59020A70">
        <w:tblPrEx>
          <w:tblCellMar>
            <w:top w:w="0" w:type="dxa"/>
            <w:left w:w="108" w:type="dxa"/>
            <w:bottom w:w="0" w:type="dxa"/>
            <w:right w:w="108" w:type="dxa"/>
          </w:tblCellMar>
        </w:tblPrEx>
        <w:trPr>
          <w:trHeight w:val="397"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C77C92F">
            <w:pPr>
              <w:bidi w:val="0"/>
              <w:jc w:val="center"/>
              <w:rPr>
                <w:rFonts w:hint="eastAsia"/>
                <w:highlight w:val="none"/>
                <w:lang w:val="zh-CN"/>
              </w:rPr>
            </w:pPr>
            <w:r>
              <w:rPr>
                <w:rFonts w:hint="eastAsia"/>
                <w:highlight w:val="none"/>
                <w:lang w:val="zh-CN"/>
              </w:rPr>
              <w:t>2</w:t>
            </w:r>
          </w:p>
        </w:tc>
        <w:tc>
          <w:tcPr>
            <w:tcW w:w="33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AC71C24">
            <w:pPr>
              <w:bidi w:val="0"/>
              <w:jc w:val="center"/>
              <w:rPr>
                <w:rFonts w:hint="eastAsia"/>
                <w:highlight w:val="none"/>
                <w:lang w:val="zh-CN"/>
              </w:rPr>
            </w:pPr>
            <w:r>
              <w:rPr>
                <w:rFonts w:hint="eastAsia"/>
                <w:highlight w:val="none"/>
                <w:lang w:val="zh-CN"/>
              </w:rPr>
              <w:t>空压机或吹风机</w:t>
            </w:r>
          </w:p>
        </w:tc>
        <w:tc>
          <w:tcPr>
            <w:tcW w:w="255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3A3F22A">
            <w:pPr>
              <w:bidi w:val="0"/>
              <w:jc w:val="center"/>
              <w:rPr>
                <w:rFonts w:hint="eastAsia"/>
                <w:highlight w:val="none"/>
                <w:lang w:val="zh-CN"/>
              </w:rPr>
            </w:pPr>
            <w:r>
              <w:rPr>
                <w:rFonts w:hint="eastAsia"/>
                <w:highlight w:val="none"/>
                <w:lang w:val="zh-CN"/>
              </w:rPr>
              <w:t>台</w:t>
            </w:r>
          </w:p>
        </w:tc>
        <w:tc>
          <w:tcPr>
            <w:tcW w:w="24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FCE0873">
            <w:pPr>
              <w:bidi w:val="0"/>
              <w:jc w:val="center"/>
              <w:rPr>
                <w:rFonts w:hint="eastAsia"/>
                <w:highlight w:val="none"/>
                <w:lang w:val="zh-CN"/>
              </w:rPr>
            </w:pPr>
            <w:r>
              <w:rPr>
                <w:rFonts w:hint="eastAsia"/>
                <w:highlight w:val="none"/>
                <w:lang w:val="zh-CN"/>
              </w:rPr>
              <w:t>1</w:t>
            </w:r>
          </w:p>
        </w:tc>
      </w:tr>
      <w:tr w14:paraId="28938BC0">
        <w:tblPrEx>
          <w:tblCellMar>
            <w:top w:w="0" w:type="dxa"/>
            <w:left w:w="108" w:type="dxa"/>
            <w:bottom w:w="0" w:type="dxa"/>
            <w:right w:w="108" w:type="dxa"/>
          </w:tblCellMar>
        </w:tblPrEx>
        <w:trPr>
          <w:trHeight w:val="397"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5F0C177">
            <w:pPr>
              <w:bidi w:val="0"/>
              <w:jc w:val="center"/>
              <w:rPr>
                <w:rFonts w:hint="eastAsia"/>
                <w:highlight w:val="none"/>
                <w:lang w:val="zh-CN"/>
              </w:rPr>
            </w:pPr>
            <w:r>
              <w:rPr>
                <w:rFonts w:hint="eastAsia"/>
                <w:highlight w:val="none"/>
                <w:lang w:val="zh-CN"/>
              </w:rPr>
              <w:t>3</w:t>
            </w:r>
          </w:p>
        </w:tc>
        <w:tc>
          <w:tcPr>
            <w:tcW w:w="33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F0D8241">
            <w:pPr>
              <w:bidi w:val="0"/>
              <w:jc w:val="center"/>
              <w:rPr>
                <w:rFonts w:hint="eastAsia"/>
                <w:highlight w:val="none"/>
                <w:lang w:val="zh-CN"/>
              </w:rPr>
            </w:pPr>
            <w:r>
              <w:rPr>
                <w:rFonts w:hint="eastAsia"/>
                <w:highlight w:val="none"/>
                <w:lang w:val="zh-CN"/>
              </w:rPr>
              <w:t>加热喷枪</w:t>
            </w:r>
          </w:p>
        </w:tc>
        <w:tc>
          <w:tcPr>
            <w:tcW w:w="255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0703BFC">
            <w:pPr>
              <w:bidi w:val="0"/>
              <w:jc w:val="center"/>
              <w:rPr>
                <w:rFonts w:hint="eastAsia"/>
                <w:highlight w:val="none"/>
                <w:lang w:val="zh-CN"/>
              </w:rPr>
            </w:pPr>
            <w:r>
              <w:rPr>
                <w:rFonts w:hint="eastAsia"/>
                <w:highlight w:val="none"/>
                <w:lang w:val="zh-CN"/>
              </w:rPr>
              <w:t>个</w:t>
            </w:r>
          </w:p>
        </w:tc>
        <w:tc>
          <w:tcPr>
            <w:tcW w:w="24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7E7364D">
            <w:pPr>
              <w:bidi w:val="0"/>
              <w:jc w:val="center"/>
              <w:rPr>
                <w:rFonts w:hint="eastAsia"/>
                <w:highlight w:val="none"/>
                <w:lang w:val="zh-CN"/>
              </w:rPr>
            </w:pPr>
            <w:r>
              <w:rPr>
                <w:rFonts w:hint="eastAsia"/>
                <w:highlight w:val="none"/>
                <w:lang w:val="zh-CN"/>
              </w:rPr>
              <w:t>1</w:t>
            </w:r>
          </w:p>
        </w:tc>
      </w:tr>
      <w:tr w14:paraId="6F991AFD">
        <w:tblPrEx>
          <w:tblCellMar>
            <w:top w:w="0" w:type="dxa"/>
            <w:left w:w="108" w:type="dxa"/>
            <w:bottom w:w="0" w:type="dxa"/>
            <w:right w:w="108" w:type="dxa"/>
          </w:tblCellMar>
        </w:tblPrEx>
        <w:trPr>
          <w:trHeight w:val="397"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06945FB">
            <w:pPr>
              <w:bidi w:val="0"/>
              <w:jc w:val="center"/>
              <w:rPr>
                <w:rFonts w:hint="eastAsia"/>
                <w:highlight w:val="none"/>
                <w:lang w:val="zh-CN"/>
              </w:rPr>
            </w:pPr>
            <w:r>
              <w:rPr>
                <w:rFonts w:hint="eastAsia"/>
                <w:highlight w:val="none"/>
                <w:lang w:val="zh-CN"/>
              </w:rPr>
              <w:t>4</w:t>
            </w:r>
          </w:p>
        </w:tc>
        <w:tc>
          <w:tcPr>
            <w:tcW w:w="33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D90587A">
            <w:pPr>
              <w:bidi w:val="0"/>
              <w:jc w:val="center"/>
              <w:rPr>
                <w:rFonts w:hint="eastAsia"/>
                <w:highlight w:val="none"/>
                <w:lang w:val="zh-CN"/>
              </w:rPr>
            </w:pPr>
            <w:r>
              <w:rPr>
                <w:rFonts w:hint="eastAsia"/>
                <w:highlight w:val="none"/>
                <w:lang w:val="zh-CN"/>
              </w:rPr>
              <w:t>钢丝刷</w:t>
            </w:r>
          </w:p>
        </w:tc>
        <w:tc>
          <w:tcPr>
            <w:tcW w:w="255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BEF7DBC">
            <w:pPr>
              <w:bidi w:val="0"/>
              <w:jc w:val="center"/>
              <w:rPr>
                <w:rFonts w:hint="eastAsia"/>
                <w:highlight w:val="none"/>
                <w:lang w:val="zh-CN"/>
              </w:rPr>
            </w:pPr>
            <w:r>
              <w:rPr>
                <w:rFonts w:hint="eastAsia"/>
                <w:highlight w:val="none"/>
                <w:lang w:val="zh-CN"/>
              </w:rPr>
              <w:t>把</w:t>
            </w:r>
          </w:p>
        </w:tc>
        <w:tc>
          <w:tcPr>
            <w:tcW w:w="24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9F9CCF0">
            <w:pPr>
              <w:bidi w:val="0"/>
              <w:jc w:val="center"/>
              <w:rPr>
                <w:rFonts w:hint="eastAsia"/>
                <w:highlight w:val="none"/>
                <w:lang w:val="zh-CN"/>
              </w:rPr>
            </w:pPr>
            <w:r>
              <w:rPr>
                <w:rFonts w:hint="eastAsia"/>
                <w:highlight w:val="none"/>
                <w:lang w:val="zh-CN"/>
              </w:rPr>
              <w:t>若干</w:t>
            </w:r>
          </w:p>
        </w:tc>
      </w:tr>
      <w:tr w14:paraId="3B20FAA7">
        <w:tblPrEx>
          <w:tblCellMar>
            <w:top w:w="0" w:type="dxa"/>
            <w:left w:w="108" w:type="dxa"/>
            <w:bottom w:w="0" w:type="dxa"/>
            <w:right w:w="108" w:type="dxa"/>
          </w:tblCellMar>
        </w:tblPrEx>
        <w:trPr>
          <w:trHeight w:val="397"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6C52BA7">
            <w:pPr>
              <w:bidi w:val="0"/>
              <w:jc w:val="center"/>
              <w:rPr>
                <w:rFonts w:hint="eastAsia"/>
                <w:highlight w:val="none"/>
                <w:lang w:val="zh-CN"/>
              </w:rPr>
            </w:pPr>
            <w:r>
              <w:rPr>
                <w:rFonts w:hint="eastAsia"/>
                <w:highlight w:val="none"/>
                <w:lang w:val="zh-CN"/>
              </w:rPr>
              <w:t>5</w:t>
            </w:r>
          </w:p>
        </w:tc>
        <w:tc>
          <w:tcPr>
            <w:tcW w:w="33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1D88214">
            <w:pPr>
              <w:bidi w:val="0"/>
              <w:jc w:val="center"/>
              <w:rPr>
                <w:rFonts w:hint="eastAsia"/>
                <w:highlight w:val="none"/>
                <w:lang w:val="zh-CN"/>
              </w:rPr>
            </w:pPr>
            <w:r>
              <w:rPr>
                <w:rFonts w:hint="eastAsia"/>
                <w:highlight w:val="none"/>
                <w:lang w:val="zh-CN"/>
              </w:rPr>
              <w:t>扫帚</w:t>
            </w:r>
          </w:p>
        </w:tc>
        <w:tc>
          <w:tcPr>
            <w:tcW w:w="255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7F70ABE">
            <w:pPr>
              <w:bidi w:val="0"/>
              <w:jc w:val="center"/>
              <w:rPr>
                <w:rFonts w:hint="eastAsia"/>
                <w:highlight w:val="none"/>
                <w:lang w:val="zh-CN"/>
              </w:rPr>
            </w:pPr>
            <w:r>
              <w:rPr>
                <w:rFonts w:hint="eastAsia"/>
                <w:highlight w:val="none"/>
                <w:lang w:val="zh-CN"/>
              </w:rPr>
              <w:t>把</w:t>
            </w:r>
          </w:p>
        </w:tc>
        <w:tc>
          <w:tcPr>
            <w:tcW w:w="24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BA1E87A">
            <w:pPr>
              <w:bidi w:val="0"/>
              <w:jc w:val="center"/>
              <w:rPr>
                <w:rFonts w:hint="eastAsia"/>
                <w:highlight w:val="none"/>
                <w:lang w:val="zh-CN"/>
              </w:rPr>
            </w:pPr>
            <w:r>
              <w:rPr>
                <w:rFonts w:hint="eastAsia"/>
                <w:highlight w:val="none"/>
                <w:lang w:val="zh-CN"/>
              </w:rPr>
              <w:t>若干</w:t>
            </w:r>
          </w:p>
        </w:tc>
      </w:tr>
      <w:tr w14:paraId="6E55592E">
        <w:tblPrEx>
          <w:tblCellMar>
            <w:top w:w="0" w:type="dxa"/>
            <w:left w:w="108" w:type="dxa"/>
            <w:bottom w:w="0" w:type="dxa"/>
            <w:right w:w="108" w:type="dxa"/>
          </w:tblCellMar>
        </w:tblPrEx>
        <w:trPr>
          <w:trHeight w:val="397"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60187AC">
            <w:pPr>
              <w:bidi w:val="0"/>
              <w:jc w:val="center"/>
              <w:rPr>
                <w:rFonts w:hint="eastAsia"/>
                <w:highlight w:val="none"/>
                <w:lang w:val="zh-CN"/>
              </w:rPr>
            </w:pPr>
            <w:r>
              <w:rPr>
                <w:rFonts w:hint="eastAsia"/>
                <w:highlight w:val="none"/>
                <w:lang w:val="zh-CN"/>
              </w:rPr>
              <w:t>6</w:t>
            </w:r>
          </w:p>
        </w:tc>
        <w:tc>
          <w:tcPr>
            <w:tcW w:w="33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C290728">
            <w:pPr>
              <w:bidi w:val="0"/>
              <w:jc w:val="center"/>
              <w:rPr>
                <w:rFonts w:hint="eastAsia"/>
                <w:highlight w:val="none"/>
                <w:lang w:val="zh-CN"/>
              </w:rPr>
            </w:pPr>
            <w:r>
              <w:rPr>
                <w:rFonts w:hint="eastAsia"/>
                <w:highlight w:val="none"/>
                <w:lang w:val="zh-CN"/>
              </w:rPr>
              <w:t>清缝机（开槽机）</w:t>
            </w:r>
          </w:p>
        </w:tc>
        <w:tc>
          <w:tcPr>
            <w:tcW w:w="255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BD6D128">
            <w:pPr>
              <w:bidi w:val="0"/>
              <w:jc w:val="center"/>
              <w:rPr>
                <w:rFonts w:hint="eastAsia"/>
                <w:highlight w:val="none"/>
                <w:lang w:val="zh-CN"/>
              </w:rPr>
            </w:pPr>
            <w:r>
              <w:rPr>
                <w:rFonts w:hint="eastAsia"/>
                <w:highlight w:val="none"/>
                <w:lang w:val="zh-CN"/>
              </w:rPr>
              <w:t>台</w:t>
            </w:r>
          </w:p>
        </w:tc>
        <w:tc>
          <w:tcPr>
            <w:tcW w:w="24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9D8FACC">
            <w:pPr>
              <w:bidi w:val="0"/>
              <w:jc w:val="center"/>
              <w:rPr>
                <w:rFonts w:hint="eastAsia"/>
                <w:highlight w:val="none"/>
                <w:lang w:val="zh-CN"/>
              </w:rPr>
            </w:pPr>
            <w:r>
              <w:rPr>
                <w:rFonts w:hint="eastAsia"/>
                <w:highlight w:val="none"/>
                <w:lang w:val="zh-CN"/>
              </w:rPr>
              <w:t>1</w:t>
            </w:r>
          </w:p>
        </w:tc>
      </w:tr>
    </w:tbl>
    <w:p w14:paraId="73CA37F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center"/>
        <w:textAlignment w:val="auto"/>
        <w:rPr>
          <w:rFonts w:hint="eastAsia" w:ascii="宋体" w:hAnsi="宋体" w:eastAsia="宋体" w:cs="宋体"/>
          <w:b w:val="0"/>
          <w:bCs w:val="0"/>
          <w:sz w:val="21"/>
          <w:szCs w:val="21"/>
          <w:highlight w:val="none"/>
        </w:rPr>
      </w:pPr>
    </w:p>
    <w:p w14:paraId="7CAC999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5</w:t>
      </w:r>
      <w:r>
        <w:rPr>
          <w:rFonts w:hint="eastAsia" w:ascii="宋体" w:hAnsi="宋体" w:eastAsia="宋体" w:cs="宋体"/>
          <w:b w:val="0"/>
          <w:bCs w:val="0"/>
          <w:sz w:val="21"/>
          <w:szCs w:val="21"/>
          <w:highlight w:val="none"/>
          <w:lang w:val="zh-CN"/>
        </w:rPr>
        <w:t>）施工工艺</w:t>
      </w:r>
    </w:p>
    <w:p w14:paraId="032EC49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沥青路面清缝灌缝施工工艺流程如图</w:t>
      </w:r>
      <w:r>
        <w:rPr>
          <w:rFonts w:hint="eastAsia" w:ascii="宋体" w:hAnsi="宋体" w:eastAsia="宋体" w:cs="宋体"/>
          <w:b w:val="0"/>
          <w:bCs w:val="0"/>
          <w:sz w:val="21"/>
          <w:szCs w:val="21"/>
          <w:highlight w:val="none"/>
        </w:rPr>
        <w:t>3.1-1</w:t>
      </w:r>
      <w:r>
        <w:rPr>
          <w:rFonts w:hint="eastAsia" w:ascii="宋体" w:hAnsi="宋体" w:eastAsia="宋体" w:cs="宋体"/>
          <w:b w:val="0"/>
          <w:bCs w:val="0"/>
          <w:sz w:val="21"/>
          <w:szCs w:val="21"/>
          <w:highlight w:val="none"/>
          <w:lang w:val="zh-CN"/>
        </w:rPr>
        <w:t>所示。</w:t>
      </w:r>
    </w:p>
    <w:p w14:paraId="3486FBD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zh-CN"/>
        </w:rPr>
        <w:t>）施工准备</w:t>
      </w:r>
    </w:p>
    <w:p w14:paraId="1E340F4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施工前准备充足的、符合要求的道路密封胶，对灌缝设备进行性能检查，确保沥青管路、沥青喷枪畅道，高压热空气吹烤装置空压足够、温度适宜，根据安全作业规程进行交通管制，摆放交通安全标志。</w:t>
      </w:r>
    </w:p>
    <w:p w14:paraId="1A484C63">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zh-CN"/>
        </w:rPr>
        <w:t>）预热道路密封胶</w:t>
      </w:r>
    </w:p>
    <w:p w14:paraId="7ABFE7E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zh-CN"/>
        </w:rPr>
        <w:t>启动密封胶加热设备，当密封胶加热到一定（</w:t>
      </w:r>
      <w:r>
        <w:rPr>
          <w:rFonts w:hint="eastAsia" w:ascii="宋体" w:hAnsi="宋体" w:eastAsia="宋体" w:cs="宋体"/>
          <w:b w:val="0"/>
          <w:bCs w:val="0"/>
          <w:sz w:val="21"/>
          <w:szCs w:val="21"/>
          <w:highlight w:val="none"/>
        </w:rPr>
        <w:t>80-100</w:t>
      </w:r>
      <w:r>
        <w:rPr>
          <w:rFonts w:hint="eastAsia" w:ascii="宋体" w:hAnsi="宋体" w:eastAsia="宋体" w:cs="宋体"/>
          <w:b w:val="0"/>
          <w:bCs w:val="0"/>
          <w:sz w:val="21"/>
          <w:szCs w:val="21"/>
          <w:highlight w:val="none"/>
          <w:lang w:val="zh-CN"/>
        </w:rPr>
        <w:t>℃）温度后，启动沥青搅拌器对密封胶进行搅拌，以保证密封胶均匀受热。当密封胶被加热到</w:t>
      </w:r>
      <w:r>
        <w:rPr>
          <w:rFonts w:hint="eastAsia" w:ascii="宋体" w:hAnsi="宋体" w:eastAsia="宋体" w:cs="宋体"/>
          <w:b w:val="0"/>
          <w:bCs w:val="0"/>
          <w:sz w:val="21"/>
          <w:szCs w:val="21"/>
          <w:highlight w:val="none"/>
        </w:rPr>
        <w:t>160-180</w:t>
      </w:r>
      <w:r>
        <w:rPr>
          <w:rFonts w:hint="eastAsia" w:ascii="宋体" w:hAnsi="宋体" w:eastAsia="宋体" w:cs="宋体"/>
          <w:b w:val="0"/>
          <w:bCs w:val="0"/>
          <w:sz w:val="21"/>
          <w:szCs w:val="21"/>
          <w:highlight w:val="none"/>
          <w:lang w:val="zh-CN"/>
        </w:rPr>
        <w:t>℃时，采取保温措施，即可灌治裂缝。</w:t>
      </w:r>
    </w:p>
    <w:p w14:paraId="7FC7F18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zh-CN"/>
        </w:rPr>
        <w:t>）清理裂缝</w:t>
      </w:r>
    </w:p>
    <w:p w14:paraId="7053D34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用扫帚进行清理，必要时采用钢丝刷清刷裂缝边缘灰尘，空压机吹净裂缝周围及裂缝内的杂物及灰尘。若气温较低（＜</w:t>
      </w:r>
      <w:r>
        <w:rPr>
          <w:rFonts w:hint="eastAsia" w:ascii="宋体" w:hAnsi="宋体" w:eastAsia="宋体" w:cs="宋体"/>
          <w:b w:val="0"/>
          <w:bCs w:val="0"/>
          <w:sz w:val="21"/>
          <w:szCs w:val="21"/>
          <w:highlight w:val="none"/>
        </w:rPr>
        <w:t>10</w:t>
      </w:r>
      <w:r>
        <w:rPr>
          <w:rFonts w:hint="eastAsia" w:ascii="宋体" w:hAnsi="宋体" w:eastAsia="宋体" w:cs="宋体"/>
          <w:b w:val="0"/>
          <w:bCs w:val="0"/>
          <w:sz w:val="21"/>
          <w:szCs w:val="21"/>
          <w:highlight w:val="none"/>
          <w:lang w:val="zh-CN"/>
        </w:rPr>
        <w:t>℃）或裂缝内壁潮湿时，需对裂缝位置进行加热烘干，采用加热喷枪预热裂缝边缘。</w:t>
      </w:r>
    </w:p>
    <w:p w14:paraId="47582A7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zh-CN"/>
        </w:rPr>
        <w:t>）灌缝处治</w:t>
      </w:r>
    </w:p>
    <w:p w14:paraId="7F80E342">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利用灌缝机将加热到要求温度的密封胶灌入裂缝，灌缝方向由低的一段向高的一端灌注，灌缝应均匀一致，</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zh-CN"/>
        </w:rPr>
        <w:t>避免漏灌和填缝料外溢现象。如有漏灌现象则人工及时补齐。填缝料外溢流淌到接缝两侧面板，影响路面平整度与路容时应予以清除。</w:t>
      </w:r>
    </w:p>
    <w:p w14:paraId="1803090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eastAsia="宋体" w:cs="宋体"/>
          <w:b w:val="0"/>
          <w:bCs w:val="0"/>
          <w:sz w:val="21"/>
          <w:szCs w:val="21"/>
          <w:highlight w:val="none"/>
          <w:lang w:val="zh-CN"/>
        </w:rPr>
        <w:t>）开放交通</w:t>
      </w:r>
    </w:p>
    <w:p w14:paraId="3FB78A9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灌缝结束后，待灌封胶完全冷却</w:t>
      </w:r>
      <w:r>
        <w:rPr>
          <w:rFonts w:hint="eastAsia" w:ascii="宋体" w:hAnsi="宋体" w:eastAsia="宋体" w:cs="宋体"/>
          <w:b w:val="0"/>
          <w:bCs w:val="0"/>
          <w:sz w:val="21"/>
          <w:szCs w:val="21"/>
          <w:highlight w:val="none"/>
        </w:rPr>
        <w:t>15~30min</w:t>
      </w:r>
      <w:r>
        <w:rPr>
          <w:rFonts w:hint="eastAsia" w:ascii="宋体" w:hAnsi="宋体" w:eastAsia="宋体" w:cs="宋体"/>
          <w:b w:val="0"/>
          <w:bCs w:val="0"/>
          <w:sz w:val="21"/>
          <w:szCs w:val="21"/>
          <w:highlight w:val="none"/>
          <w:lang w:val="zh-CN"/>
        </w:rPr>
        <w:t>后开放交通。</w:t>
      </w:r>
    </w:p>
    <w:p w14:paraId="40FD32F3">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6</w:t>
      </w:r>
      <w:r>
        <w:rPr>
          <w:rFonts w:hint="eastAsia" w:ascii="宋体" w:hAnsi="宋体" w:eastAsia="宋体" w:cs="宋体"/>
          <w:b w:val="0"/>
          <w:bCs w:val="0"/>
          <w:sz w:val="21"/>
          <w:szCs w:val="21"/>
          <w:highlight w:val="none"/>
          <w:lang w:val="zh-CN"/>
        </w:rPr>
        <w:t>）质量控制</w:t>
      </w:r>
    </w:p>
    <w:p w14:paraId="4CC2111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板块平整度要求小于</w:t>
      </w:r>
      <w:r>
        <w:rPr>
          <w:rFonts w:hint="eastAsia" w:ascii="宋体" w:hAnsi="宋体" w:eastAsia="宋体" w:cs="宋体"/>
          <w:b w:val="0"/>
          <w:bCs w:val="0"/>
          <w:sz w:val="21"/>
          <w:szCs w:val="21"/>
          <w:highlight w:val="none"/>
        </w:rPr>
        <w:t>3mm</w:t>
      </w:r>
      <w:r>
        <w:rPr>
          <w:rFonts w:hint="eastAsia" w:ascii="宋体" w:hAnsi="宋体" w:eastAsia="宋体" w:cs="宋体"/>
          <w:b w:val="0"/>
          <w:bCs w:val="0"/>
          <w:sz w:val="21"/>
          <w:szCs w:val="21"/>
          <w:highlight w:val="none"/>
          <w:lang w:val="zh-CN"/>
        </w:rPr>
        <w:t>，相邻板块高差要求小于</w:t>
      </w:r>
      <w:r>
        <w:rPr>
          <w:rFonts w:hint="eastAsia" w:ascii="宋体" w:hAnsi="宋体" w:eastAsia="宋体" w:cs="宋体"/>
          <w:b w:val="0"/>
          <w:bCs w:val="0"/>
          <w:sz w:val="21"/>
          <w:szCs w:val="21"/>
          <w:highlight w:val="none"/>
        </w:rPr>
        <w:t>2mm</w:t>
      </w:r>
      <w:r>
        <w:rPr>
          <w:rFonts w:hint="eastAsia" w:ascii="宋体" w:hAnsi="宋体" w:eastAsia="宋体" w:cs="宋体"/>
          <w:b w:val="0"/>
          <w:bCs w:val="0"/>
          <w:sz w:val="21"/>
          <w:szCs w:val="21"/>
          <w:highlight w:val="none"/>
          <w:lang w:val="zh-CN"/>
        </w:rPr>
        <w:t>。</w:t>
      </w:r>
    </w:p>
    <w:p w14:paraId="3809BA9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二、沥青路面</w:t>
      </w:r>
    </w:p>
    <w:p w14:paraId="1921D048">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总则</w:t>
      </w:r>
    </w:p>
    <w:p w14:paraId="26CE641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沥青路面是以道路石油沥青、煤沥青、液体石油沥青、乳化石油沥青、各种改性沥青等为结合料，粘结各种矿料修筑的路面结构。</w:t>
      </w:r>
    </w:p>
    <w:p w14:paraId="560C152C">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1.1 </w:t>
      </w:r>
      <w:r>
        <w:rPr>
          <w:rFonts w:hint="eastAsia" w:ascii="宋体" w:hAnsi="宋体" w:eastAsia="宋体" w:cs="宋体"/>
          <w:b w:val="0"/>
          <w:bCs w:val="0"/>
          <w:sz w:val="21"/>
          <w:szCs w:val="21"/>
          <w:highlight w:val="none"/>
          <w:lang w:val="zh-CN"/>
        </w:rPr>
        <w:t>沥青路面小修保养内容</w:t>
      </w:r>
    </w:p>
    <w:p w14:paraId="10DC818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针对沥青路面常见病害类型，小修保养主要内容包括：</w:t>
      </w:r>
    </w:p>
    <w:p w14:paraId="3AC4734D">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zh-CN"/>
        </w:rPr>
        <w:t>）清扫路面泥土、杂物；</w:t>
      </w:r>
    </w:p>
    <w:p w14:paraId="5BD3D1AB">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zh-CN"/>
        </w:rPr>
        <w:t>）清除路面积水、积雪、积冰、积砂、油污、铺防滑料等；</w:t>
      </w:r>
    </w:p>
    <w:p w14:paraId="3B869B9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zh-CN"/>
        </w:rPr>
        <w:t>）修补路面泛油、拥包、纵横向裂缝、坑槽、沉陷、波浪、车辙、局部网裂、啃边等病害；</w:t>
      </w:r>
    </w:p>
    <w:p w14:paraId="7F19AEF2">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zh-CN"/>
        </w:rPr>
        <w:t>）清理边沟、路肩培土等；</w:t>
      </w:r>
    </w:p>
    <w:p w14:paraId="5BEEF03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5</w:t>
      </w:r>
      <w:r>
        <w:rPr>
          <w:rFonts w:hint="eastAsia" w:ascii="宋体" w:hAnsi="宋体" w:eastAsia="宋体" w:cs="宋体"/>
          <w:b w:val="0"/>
          <w:bCs w:val="0"/>
          <w:sz w:val="21"/>
          <w:szCs w:val="21"/>
          <w:highlight w:val="none"/>
          <w:lang w:val="zh-CN"/>
        </w:rPr>
        <w:t>）局部路段封面（稀浆封层）、罩面等。</w:t>
      </w:r>
    </w:p>
    <w:p w14:paraId="290A031C">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1.2 </w:t>
      </w:r>
      <w:r>
        <w:rPr>
          <w:rFonts w:hint="eastAsia" w:ascii="宋体" w:hAnsi="宋体" w:eastAsia="宋体" w:cs="宋体"/>
          <w:b w:val="0"/>
          <w:bCs w:val="0"/>
          <w:sz w:val="21"/>
          <w:szCs w:val="21"/>
          <w:highlight w:val="none"/>
          <w:lang w:val="zh-CN"/>
        </w:rPr>
        <w:t>沥青路面小修保养要求</w:t>
      </w:r>
    </w:p>
    <w:p w14:paraId="493CF12A">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zh-CN"/>
        </w:rPr>
        <w:t>）保证路面平整、横坡适度、线型顺直、整洁有序、排水畅通。</w:t>
      </w:r>
    </w:p>
    <w:p w14:paraId="10BBFB4B">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zh-CN"/>
        </w:rPr>
        <w:t>）加强巡路检查，掌握路面情况，及时排除有损路面的各种不良因素，发现路面初期病害应及时维修，有病害在规定时限要求内维修到位。</w:t>
      </w:r>
    </w:p>
    <w:p w14:paraId="7F2086E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zh-CN"/>
        </w:rPr>
        <w:t>）沥青路面病害维修中所采用的材料需满足规范要求。</w:t>
      </w:r>
    </w:p>
    <w:p w14:paraId="0E88ABB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zh-CN"/>
        </w:rPr>
        <w:t>）施工过程中注意交通安全，按照《公路养护安全作业规程》要求设置安全标志。施工过程中，采取安全防护措施，严格按照作业要求文明施工，确保养护工作人员人身安全。</w:t>
      </w:r>
    </w:p>
    <w:p w14:paraId="6358FCB3">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1.3 </w:t>
      </w:r>
      <w:r>
        <w:rPr>
          <w:rFonts w:hint="eastAsia" w:ascii="宋体" w:hAnsi="宋体" w:eastAsia="宋体" w:cs="宋体"/>
          <w:b w:val="0"/>
          <w:bCs w:val="0"/>
          <w:sz w:val="21"/>
          <w:szCs w:val="21"/>
          <w:highlight w:val="none"/>
          <w:lang w:val="zh-CN"/>
        </w:rPr>
        <w:t>规范性引用文件</w:t>
      </w:r>
    </w:p>
    <w:p w14:paraId="5F6C3CD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JTG F40-2004         </w:t>
      </w:r>
      <w:r>
        <w:rPr>
          <w:rFonts w:hint="eastAsia" w:ascii="宋体" w:hAnsi="宋体" w:eastAsia="宋体" w:cs="宋体"/>
          <w:b w:val="0"/>
          <w:bCs w:val="0"/>
          <w:sz w:val="21"/>
          <w:szCs w:val="21"/>
          <w:highlight w:val="none"/>
          <w:lang w:val="zh-CN"/>
        </w:rPr>
        <w:t>公路沥青路面施工技术规范</w:t>
      </w:r>
    </w:p>
    <w:p w14:paraId="754D150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JTG F80/1-2004      </w:t>
      </w:r>
      <w:r>
        <w:rPr>
          <w:rFonts w:hint="eastAsia" w:ascii="宋体" w:hAnsi="宋体" w:eastAsia="宋体" w:cs="宋体"/>
          <w:b w:val="0"/>
          <w:bCs w:val="0"/>
          <w:sz w:val="21"/>
          <w:szCs w:val="21"/>
          <w:highlight w:val="none"/>
          <w:lang w:val="zh-CN"/>
        </w:rPr>
        <w:t>公路工程质量检验评定标准</w:t>
      </w:r>
    </w:p>
    <w:p w14:paraId="7BFC5CF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JTG H10-20</w:t>
      </w:r>
      <w:r>
        <w:rPr>
          <w:rFonts w:hint="eastAsia" w:ascii="宋体" w:hAnsi="宋体" w:cs="宋体"/>
          <w:b w:val="0"/>
          <w:bCs w:val="0"/>
          <w:sz w:val="21"/>
          <w:szCs w:val="21"/>
          <w:highlight w:val="none"/>
          <w:lang w:val="en-US" w:eastAsia="zh-CN"/>
        </w:rPr>
        <w:t>23</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zh-CN"/>
        </w:rPr>
        <w:t>公路养护技术规范</w:t>
      </w:r>
    </w:p>
    <w:p w14:paraId="40C3874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JTJ 073.2-20</w:t>
      </w:r>
      <w:r>
        <w:rPr>
          <w:rFonts w:hint="eastAsia" w:ascii="宋体" w:hAnsi="宋体" w:cs="宋体"/>
          <w:b w:val="0"/>
          <w:bCs w:val="0"/>
          <w:sz w:val="21"/>
          <w:szCs w:val="21"/>
          <w:highlight w:val="none"/>
          <w:lang w:val="en-US" w:eastAsia="zh-CN"/>
        </w:rPr>
        <w:t>19</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zh-CN"/>
        </w:rPr>
        <w:t>公路沥青路面养护技术规范</w:t>
      </w:r>
    </w:p>
    <w:p w14:paraId="3E5CCF0B">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JTG H30-2015        </w:t>
      </w:r>
      <w:r>
        <w:rPr>
          <w:rFonts w:hint="eastAsia" w:ascii="宋体" w:hAnsi="宋体" w:eastAsia="宋体" w:cs="宋体"/>
          <w:b w:val="0"/>
          <w:bCs w:val="0"/>
          <w:sz w:val="21"/>
          <w:szCs w:val="21"/>
          <w:highlight w:val="none"/>
          <w:lang w:val="zh-CN"/>
        </w:rPr>
        <w:t>公路养护安全作业规程</w:t>
      </w:r>
    </w:p>
    <w:p w14:paraId="48D0E2B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JTG E60-2008        </w:t>
      </w:r>
      <w:r>
        <w:rPr>
          <w:rFonts w:hint="eastAsia" w:ascii="宋体" w:hAnsi="宋体" w:eastAsia="宋体" w:cs="宋体"/>
          <w:b w:val="0"/>
          <w:bCs w:val="0"/>
          <w:sz w:val="21"/>
          <w:szCs w:val="21"/>
          <w:highlight w:val="none"/>
          <w:lang w:val="zh-CN"/>
        </w:rPr>
        <w:t>公路路基路面现场测试规程</w:t>
      </w:r>
    </w:p>
    <w:p w14:paraId="70561196">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2．</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zh-CN"/>
        </w:rPr>
        <w:t>裂缝类病害</w:t>
      </w:r>
    </w:p>
    <w:p w14:paraId="78E9C87C">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2.1 </w:t>
      </w:r>
      <w:r>
        <w:rPr>
          <w:rFonts w:hint="eastAsia" w:ascii="宋体" w:hAnsi="宋体" w:eastAsia="宋体" w:cs="宋体"/>
          <w:b w:val="0"/>
          <w:bCs w:val="0"/>
          <w:sz w:val="21"/>
          <w:szCs w:val="21"/>
          <w:highlight w:val="none"/>
          <w:lang w:val="zh-CN"/>
        </w:rPr>
        <w:t>清缝灌缝</w:t>
      </w:r>
    </w:p>
    <w:p w14:paraId="7503E0F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zh-CN"/>
        </w:rPr>
        <w:t>）适用范围</w:t>
      </w:r>
    </w:p>
    <w:p w14:paraId="47EB6004">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沥青路面纵横向裂缝程度为轻的病害，且无支缝或较少支缝，为避免开槽带来的次生病害，可采用清缝灌缝。</w:t>
      </w:r>
    </w:p>
    <w:p w14:paraId="1FFAC575">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zh-CN"/>
        </w:rPr>
        <w:t>）养护时间</w:t>
      </w:r>
    </w:p>
    <w:p w14:paraId="1762653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为避免雨水对路面的损害，要求每年雨季前封填一次。一般在每年的</w:t>
      </w:r>
      <w:r>
        <w:rPr>
          <w:rFonts w:hint="eastAsia" w:ascii="宋体" w:hAnsi="宋体" w:eastAsia="宋体" w:cs="宋体"/>
          <w:b w:val="0"/>
          <w:bCs w:val="0"/>
          <w:sz w:val="21"/>
          <w:szCs w:val="21"/>
          <w:highlight w:val="none"/>
        </w:rPr>
        <w:t>3-5</w:t>
      </w:r>
      <w:r>
        <w:rPr>
          <w:rFonts w:hint="eastAsia" w:ascii="宋体" w:hAnsi="宋体" w:eastAsia="宋体" w:cs="宋体"/>
          <w:b w:val="0"/>
          <w:bCs w:val="0"/>
          <w:sz w:val="21"/>
          <w:szCs w:val="21"/>
          <w:highlight w:val="none"/>
          <w:lang w:val="zh-CN"/>
        </w:rPr>
        <w:t>月份和</w:t>
      </w:r>
      <w:r>
        <w:rPr>
          <w:rFonts w:hint="eastAsia" w:ascii="宋体" w:hAnsi="宋体" w:eastAsia="宋体" w:cs="宋体"/>
          <w:b w:val="0"/>
          <w:bCs w:val="0"/>
          <w:sz w:val="21"/>
          <w:szCs w:val="21"/>
          <w:highlight w:val="none"/>
        </w:rPr>
        <w:t>9-10</w:t>
      </w:r>
      <w:r>
        <w:rPr>
          <w:rFonts w:hint="eastAsia" w:ascii="宋体" w:hAnsi="宋体" w:eastAsia="宋体" w:cs="宋体"/>
          <w:b w:val="0"/>
          <w:bCs w:val="0"/>
          <w:sz w:val="21"/>
          <w:szCs w:val="21"/>
          <w:highlight w:val="none"/>
          <w:lang w:val="zh-CN"/>
        </w:rPr>
        <w:t>月份进行集中处治，同时，根据巡查情况对裂缝较密集路段进行及时灌缝处理。</w:t>
      </w:r>
    </w:p>
    <w:p w14:paraId="7492795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zh-CN"/>
        </w:rPr>
        <w:t>）原材料要求</w:t>
      </w:r>
    </w:p>
    <w:p w14:paraId="345D141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灌缝材料主要包括道路密封胶、洁净的细砂。为了保证灌缝质量，灌缝材料必须满足《路面加热型密封胶》（</w:t>
      </w:r>
      <w:r>
        <w:rPr>
          <w:rFonts w:hint="eastAsia" w:ascii="宋体" w:hAnsi="宋体" w:eastAsia="宋体" w:cs="宋体"/>
          <w:b w:val="0"/>
          <w:bCs w:val="0"/>
          <w:sz w:val="21"/>
          <w:szCs w:val="21"/>
          <w:highlight w:val="none"/>
        </w:rPr>
        <w:t>JT/T 740-2015</w:t>
      </w:r>
      <w:r>
        <w:rPr>
          <w:rFonts w:hint="eastAsia" w:ascii="宋体" w:hAnsi="宋体" w:eastAsia="宋体" w:cs="宋体"/>
          <w:b w:val="0"/>
          <w:bCs w:val="0"/>
          <w:sz w:val="21"/>
          <w:szCs w:val="21"/>
          <w:highlight w:val="none"/>
          <w:lang w:val="zh-CN"/>
        </w:rPr>
        <w:t>）要求，采用低温型（-10℃）。根据浙江的气候特点，其灌缝材料应满足普通型密封胶技术要求。</w:t>
      </w:r>
    </w:p>
    <w:p w14:paraId="52A285F1">
      <w:pPr>
        <w:keepNext w:val="0"/>
        <w:keepLines w:val="0"/>
        <w:pageBreakBefore w:val="0"/>
        <w:widowControl w:val="0"/>
        <w:kinsoku/>
        <w:wordWrap/>
        <w:overflowPunct/>
        <w:topLinePunct w:val="0"/>
        <w:bidi w:val="0"/>
        <w:adjustRightInd w:val="0"/>
        <w:snapToGrid w:val="0"/>
        <w:spacing w:line="360" w:lineRule="auto"/>
        <w:ind w:left="0" w:firstLine="420" w:firstLineChars="200"/>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表</w:t>
      </w:r>
      <w:r>
        <w:rPr>
          <w:rFonts w:hint="eastAsia" w:ascii="宋体" w:hAnsi="宋体" w:eastAsia="宋体" w:cs="宋体"/>
          <w:b w:val="0"/>
          <w:bCs w:val="0"/>
          <w:sz w:val="21"/>
          <w:szCs w:val="21"/>
          <w:highlight w:val="none"/>
        </w:rPr>
        <w:t xml:space="preserve"> 2.1-1</w:t>
      </w:r>
      <w:r>
        <w:rPr>
          <w:rFonts w:hint="eastAsia" w:ascii="宋体" w:hAnsi="宋体" w:eastAsia="宋体" w:cs="宋体"/>
          <w:b w:val="0"/>
          <w:bCs w:val="0"/>
          <w:sz w:val="21"/>
          <w:szCs w:val="21"/>
          <w:highlight w:val="none"/>
          <w:lang w:val="zh-CN"/>
        </w:rPr>
        <w:t>道路密封胶技术要求</w:t>
      </w:r>
    </w:p>
    <w:tbl>
      <w:tblPr>
        <w:tblStyle w:val="62"/>
        <w:tblW w:w="0" w:type="auto"/>
        <w:tblInd w:w="28" w:type="dxa"/>
        <w:tblLayout w:type="fixed"/>
        <w:tblCellMar>
          <w:top w:w="0" w:type="dxa"/>
          <w:left w:w="28" w:type="dxa"/>
          <w:bottom w:w="0" w:type="dxa"/>
          <w:right w:w="28" w:type="dxa"/>
        </w:tblCellMar>
      </w:tblPr>
      <w:tblGrid>
        <w:gridCol w:w="1304"/>
        <w:gridCol w:w="1106"/>
        <w:gridCol w:w="1418"/>
        <w:gridCol w:w="1418"/>
        <w:gridCol w:w="1418"/>
        <w:gridCol w:w="1418"/>
        <w:gridCol w:w="1418"/>
      </w:tblGrid>
      <w:tr w14:paraId="15ABAC09">
        <w:tblPrEx>
          <w:tblCellMar>
            <w:top w:w="0" w:type="dxa"/>
            <w:left w:w="28" w:type="dxa"/>
            <w:bottom w:w="0" w:type="dxa"/>
            <w:right w:w="28" w:type="dxa"/>
          </w:tblCellMar>
        </w:tblPrEx>
        <w:trPr>
          <w:trHeight w:val="1" w:hRule="atLeast"/>
        </w:trPr>
        <w:tc>
          <w:tcPr>
            <w:tcW w:w="130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740C392">
            <w:pPr>
              <w:bidi w:val="0"/>
              <w:jc w:val="center"/>
              <w:rPr>
                <w:rFonts w:hint="eastAsia"/>
                <w:highlight w:val="none"/>
                <w:lang w:val="zh-CN"/>
              </w:rPr>
            </w:pPr>
            <w:r>
              <w:rPr>
                <w:rFonts w:hint="eastAsia"/>
                <w:highlight w:val="none"/>
                <w:lang w:val="zh-CN"/>
              </w:rPr>
              <w:t>试验项目</w:t>
            </w:r>
          </w:p>
        </w:tc>
        <w:tc>
          <w:tcPr>
            <w:tcW w:w="1106"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CEE5BCD">
            <w:pPr>
              <w:bidi w:val="0"/>
              <w:jc w:val="center"/>
              <w:rPr>
                <w:rFonts w:hint="eastAsia"/>
                <w:highlight w:val="none"/>
                <w:lang w:val="zh-CN"/>
              </w:rPr>
            </w:pPr>
            <w:r>
              <w:rPr>
                <w:rFonts w:hint="eastAsia"/>
                <w:highlight w:val="none"/>
                <w:lang w:val="zh-CN"/>
              </w:rPr>
              <w:t>单位</w:t>
            </w:r>
          </w:p>
        </w:tc>
        <w:tc>
          <w:tcPr>
            <w:tcW w:w="1418" w:type="dxa"/>
            <w:gridSpan w:val="5"/>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D1EB6D9">
            <w:pPr>
              <w:bidi w:val="0"/>
              <w:jc w:val="center"/>
              <w:rPr>
                <w:rFonts w:hint="eastAsia"/>
                <w:highlight w:val="none"/>
                <w:lang w:val="zh-CN"/>
              </w:rPr>
            </w:pPr>
            <w:r>
              <w:rPr>
                <w:rFonts w:hint="eastAsia"/>
                <w:highlight w:val="none"/>
                <w:lang w:val="zh-CN"/>
              </w:rPr>
              <w:t>技术要求</w:t>
            </w:r>
          </w:p>
        </w:tc>
      </w:tr>
      <w:tr w14:paraId="1027DF32">
        <w:tblPrEx>
          <w:tblCellMar>
            <w:top w:w="0" w:type="dxa"/>
            <w:left w:w="28" w:type="dxa"/>
            <w:bottom w:w="0" w:type="dxa"/>
            <w:right w:w="28" w:type="dxa"/>
          </w:tblCellMar>
        </w:tblPrEx>
        <w:trPr>
          <w:trHeight w:val="1" w:hRule="atLeast"/>
        </w:trPr>
        <w:tc>
          <w:tcPr>
            <w:tcW w:w="130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5669A1F">
            <w:pPr>
              <w:bidi w:val="0"/>
              <w:jc w:val="center"/>
              <w:rPr>
                <w:rFonts w:hint="eastAsia"/>
                <w:highlight w:val="none"/>
                <w:lang w:val="zh-CN"/>
              </w:rPr>
            </w:pPr>
          </w:p>
        </w:tc>
        <w:tc>
          <w:tcPr>
            <w:tcW w:w="1106"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38F4B81">
            <w:pPr>
              <w:bidi w:val="0"/>
              <w:jc w:val="center"/>
              <w:rPr>
                <w:rFonts w:hint="eastAsia"/>
                <w:highlight w:val="none"/>
                <w:lang w:val="zh-CN"/>
              </w:rPr>
            </w:pP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3E22448">
            <w:pPr>
              <w:bidi w:val="0"/>
              <w:jc w:val="center"/>
              <w:rPr>
                <w:rFonts w:hint="eastAsia"/>
                <w:highlight w:val="none"/>
                <w:lang w:val="zh-CN"/>
              </w:rPr>
            </w:pPr>
            <w:r>
              <w:rPr>
                <w:rFonts w:hint="eastAsia"/>
                <w:highlight w:val="none"/>
                <w:lang w:val="zh-CN"/>
              </w:rPr>
              <w:t>高温型</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9AA6E22">
            <w:pPr>
              <w:bidi w:val="0"/>
              <w:jc w:val="center"/>
              <w:rPr>
                <w:rFonts w:hint="eastAsia"/>
                <w:highlight w:val="none"/>
                <w:lang w:val="zh-CN"/>
              </w:rPr>
            </w:pPr>
            <w:r>
              <w:rPr>
                <w:rFonts w:hint="eastAsia"/>
                <w:highlight w:val="none"/>
                <w:lang w:val="zh-CN"/>
              </w:rPr>
              <w:t>普通型</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DF6E0AF">
            <w:pPr>
              <w:bidi w:val="0"/>
              <w:jc w:val="center"/>
              <w:rPr>
                <w:rFonts w:hint="eastAsia"/>
                <w:highlight w:val="none"/>
                <w:lang w:val="zh-CN"/>
              </w:rPr>
            </w:pPr>
            <w:r>
              <w:rPr>
                <w:rFonts w:hint="eastAsia"/>
                <w:highlight w:val="none"/>
                <w:lang w:val="zh-CN"/>
              </w:rPr>
              <w:t>低温型</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D9F1E9C">
            <w:pPr>
              <w:bidi w:val="0"/>
              <w:jc w:val="center"/>
              <w:rPr>
                <w:rFonts w:hint="eastAsia"/>
                <w:highlight w:val="none"/>
                <w:lang w:val="zh-CN"/>
              </w:rPr>
            </w:pPr>
            <w:r>
              <w:rPr>
                <w:rFonts w:hint="eastAsia"/>
                <w:highlight w:val="none"/>
                <w:lang w:val="zh-CN"/>
              </w:rPr>
              <w:t>寒冷型</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74BCB5D">
            <w:pPr>
              <w:bidi w:val="0"/>
              <w:jc w:val="center"/>
              <w:rPr>
                <w:rFonts w:hint="eastAsia"/>
                <w:highlight w:val="none"/>
                <w:lang w:val="zh-CN"/>
              </w:rPr>
            </w:pPr>
            <w:r>
              <w:rPr>
                <w:rFonts w:hint="eastAsia"/>
                <w:highlight w:val="none"/>
                <w:lang w:val="zh-CN"/>
              </w:rPr>
              <w:t>严寒型</w:t>
            </w:r>
          </w:p>
        </w:tc>
      </w:tr>
      <w:tr w14:paraId="29C8CDB9">
        <w:tblPrEx>
          <w:tblCellMar>
            <w:top w:w="0" w:type="dxa"/>
            <w:left w:w="28" w:type="dxa"/>
            <w:bottom w:w="0" w:type="dxa"/>
            <w:right w:w="28" w:type="dxa"/>
          </w:tblCellMar>
        </w:tblPrEx>
        <w:trPr>
          <w:trHeight w:val="1" w:hRule="atLeast"/>
        </w:trPr>
        <w:tc>
          <w:tcPr>
            <w:tcW w:w="130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E7015CC">
            <w:pPr>
              <w:bidi w:val="0"/>
              <w:jc w:val="center"/>
              <w:rPr>
                <w:rFonts w:hint="eastAsia"/>
                <w:highlight w:val="none"/>
                <w:lang w:val="zh-CN"/>
              </w:rPr>
            </w:pPr>
            <w:r>
              <w:rPr>
                <w:rFonts w:hint="eastAsia"/>
                <w:highlight w:val="none"/>
                <w:lang w:val="zh-CN"/>
              </w:rPr>
              <w:t>锥入度</w:t>
            </w:r>
          </w:p>
        </w:tc>
        <w:tc>
          <w:tcPr>
            <w:tcW w:w="110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C5AB05D">
            <w:pPr>
              <w:bidi w:val="0"/>
              <w:jc w:val="center"/>
              <w:rPr>
                <w:rFonts w:hint="eastAsia"/>
                <w:highlight w:val="none"/>
                <w:lang w:val="zh-CN"/>
              </w:rPr>
            </w:pPr>
            <w:r>
              <w:rPr>
                <w:rFonts w:hint="eastAsia"/>
                <w:highlight w:val="none"/>
                <w:lang w:val="zh-CN"/>
              </w:rPr>
              <w:t>0.1mm</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AB96E05">
            <w:pPr>
              <w:bidi w:val="0"/>
              <w:jc w:val="center"/>
              <w:rPr>
                <w:rFonts w:hint="eastAsia"/>
                <w:highlight w:val="none"/>
                <w:lang w:val="zh-CN"/>
              </w:rPr>
            </w:pPr>
            <w:r>
              <w:rPr>
                <w:rFonts w:hint="eastAsia"/>
                <w:highlight w:val="none"/>
                <w:lang w:val="zh-CN"/>
              </w:rPr>
              <w:t>≤70</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B0F9053">
            <w:pPr>
              <w:bidi w:val="0"/>
              <w:jc w:val="center"/>
              <w:rPr>
                <w:rFonts w:hint="eastAsia"/>
                <w:highlight w:val="none"/>
                <w:lang w:val="zh-CN"/>
              </w:rPr>
            </w:pPr>
            <w:r>
              <w:rPr>
                <w:rFonts w:hint="eastAsia"/>
                <w:highlight w:val="none"/>
                <w:lang w:val="zh-CN"/>
              </w:rPr>
              <w:t>50-90</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785213D">
            <w:pPr>
              <w:bidi w:val="0"/>
              <w:jc w:val="center"/>
              <w:rPr>
                <w:rFonts w:hint="eastAsia"/>
                <w:highlight w:val="none"/>
                <w:lang w:val="zh-CN"/>
              </w:rPr>
            </w:pPr>
            <w:r>
              <w:rPr>
                <w:rFonts w:hint="eastAsia"/>
                <w:highlight w:val="none"/>
                <w:lang w:val="zh-CN"/>
              </w:rPr>
              <w:t>70-110</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E52F4A0">
            <w:pPr>
              <w:bidi w:val="0"/>
              <w:jc w:val="center"/>
              <w:rPr>
                <w:rFonts w:hint="eastAsia"/>
                <w:highlight w:val="none"/>
                <w:lang w:val="zh-CN"/>
              </w:rPr>
            </w:pPr>
            <w:r>
              <w:rPr>
                <w:rFonts w:hint="eastAsia"/>
                <w:highlight w:val="none"/>
                <w:lang w:val="zh-CN"/>
              </w:rPr>
              <w:t>90-150</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39B4066">
            <w:pPr>
              <w:bidi w:val="0"/>
              <w:jc w:val="center"/>
              <w:rPr>
                <w:rFonts w:hint="eastAsia"/>
                <w:highlight w:val="none"/>
                <w:lang w:val="zh-CN"/>
              </w:rPr>
            </w:pPr>
            <w:r>
              <w:rPr>
                <w:rFonts w:hint="eastAsia"/>
                <w:highlight w:val="none"/>
                <w:lang w:val="zh-CN"/>
              </w:rPr>
              <w:t>120-180</w:t>
            </w:r>
          </w:p>
        </w:tc>
      </w:tr>
      <w:tr w14:paraId="4A37BCE6">
        <w:tblPrEx>
          <w:tblCellMar>
            <w:top w:w="0" w:type="dxa"/>
            <w:left w:w="28" w:type="dxa"/>
            <w:bottom w:w="0" w:type="dxa"/>
            <w:right w:w="28" w:type="dxa"/>
          </w:tblCellMar>
        </w:tblPrEx>
        <w:trPr>
          <w:trHeight w:val="1" w:hRule="atLeast"/>
        </w:trPr>
        <w:tc>
          <w:tcPr>
            <w:tcW w:w="130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BC750B8">
            <w:pPr>
              <w:bidi w:val="0"/>
              <w:jc w:val="center"/>
              <w:rPr>
                <w:rFonts w:hint="eastAsia"/>
                <w:highlight w:val="none"/>
                <w:lang w:val="zh-CN"/>
              </w:rPr>
            </w:pPr>
            <w:r>
              <w:rPr>
                <w:rFonts w:hint="eastAsia"/>
                <w:highlight w:val="none"/>
                <w:lang w:val="zh-CN"/>
              </w:rPr>
              <w:t>软化点</w:t>
            </w:r>
          </w:p>
        </w:tc>
        <w:tc>
          <w:tcPr>
            <w:tcW w:w="110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4CBB510">
            <w:pPr>
              <w:bidi w:val="0"/>
              <w:jc w:val="center"/>
              <w:rPr>
                <w:rFonts w:hint="eastAsia"/>
                <w:highlight w:val="none"/>
                <w:lang w:val="zh-CN"/>
              </w:rPr>
            </w:pPr>
            <w:r>
              <w:rPr>
                <w:rFonts w:hint="eastAsia"/>
                <w:highlight w:val="none"/>
                <w:lang w:val="zh-CN"/>
              </w:rPr>
              <w:t>℃</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6BCAB82">
            <w:pPr>
              <w:bidi w:val="0"/>
              <w:jc w:val="center"/>
              <w:rPr>
                <w:rFonts w:hint="eastAsia"/>
                <w:highlight w:val="none"/>
                <w:lang w:val="zh-CN"/>
              </w:rPr>
            </w:pPr>
            <w:r>
              <w:rPr>
                <w:rFonts w:hint="eastAsia"/>
                <w:highlight w:val="none"/>
                <w:lang w:val="zh-CN"/>
              </w:rPr>
              <w:t>≥90</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0401465">
            <w:pPr>
              <w:bidi w:val="0"/>
              <w:jc w:val="center"/>
              <w:rPr>
                <w:rFonts w:hint="eastAsia"/>
                <w:highlight w:val="none"/>
                <w:lang w:val="zh-CN"/>
              </w:rPr>
            </w:pPr>
            <w:r>
              <w:rPr>
                <w:rFonts w:hint="eastAsia"/>
                <w:highlight w:val="none"/>
                <w:lang w:val="zh-CN"/>
              </w:rPr>
              <w:t>≥80</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6944834">
            <w:pPr>
              <w:bidi w:val="0"/>
              <w:jc w:val="center"/>
              <w:rPr>
                <w:rFonts w:hint="eastAsia"/>
                <w:highlight w:val="none"/>
                <w:lang w:val="zh-CN"/>
              </w:rPr>
            </w:pPr>
            <w:r>
              <w:rPr>
                <w:rFonts w:hint="eastAsia"/>
                <w:highlight w:val="none"/>
                <w:lang w:val="zh-CN"/>
              </w:rPr>
              <w:t>≥80</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4036E97">
            <w:pPr>
              <w:bidi w:val="0"/>
              <w:jc w:val="center"/>
              <w:rPr>
                <w:rFonts w:hint="eastAsia"/>
                <w:highlight w:val="none"/>
                <w:lang w:val="zh-CN"/>
              </w:rPr>
            </w:pPr>
            <w:r>
              <w:rPr>
                <w:rFonts w:hint="eastAsia"/>
                <w:highlight w:val="none"/>
                <w:lang w:val="zh-CN"/>
              </w:rPr>
              <w:t>≥80</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D031061">
            <w:pPr>
              <w:bidi w:val="0"/>
              <w:jc w:val="center"/>
              <w:rPr>
                <w:rFonts w:hint="eastAsia"/>
                <w:highlight w:val="none"/>
                <w:lang w:val="zh-CN"/>
              </w:rPr>
            </w:pPr>
            <w:r>
              <w:rPr>
                <w:rFonts w:hint="eastAsia"/>
                <w:highlight w:val="none"/>
                <w:lang w:val="zh-CN"/>
              </w:rPr>
              <w:t>≥70</w:t>
            </w:r>
          </w:p>
        </w:tc>
      </w:tr>
      <w:tr w14:paraId="6D831294">
        <w:tblPrEx>
          <w:tblCellMar>
            <w:top w:w="0" w:type="dxa"/>
            <w:left w:w="28" w:type="dxa"/>
            <w:bottom w:w="0" w:type="dxa"/>
            <w:right w:w="28" w:type="dxa"/>
          </w:tblCellMar>
        </w:tblPrEx>
        <w:trPr>
          <w:trHeight w:val="1" w:hRule="atLeast"/>
        </w:trPr>
        <w:tc>
          <w:tcPr>
            <w:tcW w:w="130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1D83AFB">
            <w:pPr>
              <w:bidi w:val="0"/>
              <w:jc w:val="center"/>
              <w:rPr>
                <w:rFonts w:hint="eastAsia"/>
                <w:highlight w:val="none"/>
                <w:lang w:val="zh-CN"/>
              </w:rPr>
            </w:pPr>
            <w:r>
              <w:rPr>
                <w:rFonts w:hint="eastAsia"/>
                <w:highlight w:val="none"/>
                <w:lang w:val="zh-CN"/>
              </w:rPr>
              <w:t>流动值</w:t>
            </w:r>
          </w:p>
        </w:tc>
        <w:tc>
          <w:tcPr>
            <w:tcW w:w="110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B997F05">
            <w:pPr>
              <w:bidi w:val="0"/>
              <w:jc w:val="center"/>
              <w:rPr>
                <w:rFonts w:hint="eastAsia"/>
                <w:highlight w:val="none"/>
                <w:lang w:val="zh-CN"/>
              </w:rPr>
            </w:pPr>
            <w:r>
              <w:rPr>
                <w:rFonts w:hint="eastAsia"/>
                <w:highlight w:val="none"/>
                <w:lang w:val="zh-CN"/>
              </w:rPr>
              <w:t>mm</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D15CD25">
            <w:pPr>
              <w:bidi w:val="0"/>
              <w:jc w:val="center"/>
              <w:rPr>
                <w:rFonts w:hint="eastAsia"/>
                <w:highlight w:val="none"/>
                <w:lang w:val="zh-CN"/>
              </w:rPr>
            </w:pPr>
            <w:r>
              <w:rPr>
                <w:rFonts w:hint="eastAsia"/>
                <w:highlight w:val="none"/>
                <w:lang w:val="zh-CN"/>
              </w:rPr>
              <w:t>≤3</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895B1D4">
            <w:pPr>
              <w:bidi w:val="0"/>
              <w:jc w:val="center"/>
              <w:rPr>
                <w:rFonts w:hint="eastAsia"/>
                <w:highlight w:val="none"/>
                <w:lang w:val="zh-CN"/>
              </w:rPr>
            </w:pPr>
            <w:r>
              <w:rPr>
                <w:rFonts w:hint="eastAsia"/>
                <w:highlight w:val="none"/>
                <w:lang w:val="zh-CN"/>
              </w:rPr>
              <w:t>≤5</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08AD1DF">
            <w:pPr>
              <w:bidi w:val="0"/>
              <w:jc w:val="center"/>
              <w:rPr>
                <w:rFonts w:hint="eastAsia"/>
                <w:highlight w:val="none"/>
                <w:lang w:val="zh-CN"/>
              </w:rPr>
            </w:pPr>
            <w:r>
              <w:rPr>
                <w:rFonts w:hint="eastAsia"/>
                <w:highlight w:val="none"/>
                <w:lang w:val="zh-CN"/>
              </w:rPr>
              <w:t>≤5</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E3915F1">
            <w:pPr>
              <w:bidi w:val="0"/>
              <w:jc w:val="center"/>
              <w:rPr>
                <w:rFonts w:hint="eastAsia"/>
                <w:highlight w:val="none"/>
                <w:lang w:val="zh-CN"/>
              </w:rPr>
            </w:pPr>
            <w:r>
              <w:rPr>
                <w:rFonts w:hint="eastAsia"/>
                <w:highlight w:val="none"/>
                <w:lang w:val="zh-CN"/>
              </w:rPr>
              <w:t>≤5</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8CEC61C">
            <w:pPr>
              <w:bidi w:val="0"/>
              <w:jc w:val="center"/>
              <w:rPr>
                <w:rFonts w:hint="eastAsia"/>
                <w:highlight w:val="none"/>
                <w:lang w:val="zh-CN"/>
              </w:rPr>
            </w:pPr>
            <w:r>
              <w:rPr>
                <w:rFonts w:hint="eastAsia"/>
                <w:highlight w:val="none"/>
                <w:lang w:val="zh-CN"/>
              </w:rPr>
              <w:t>-</w:t>
            </w:r>
          </w:p>
        </w:tc>
      </w:tr>
      <w:tr w14:paraId="20C1CEE3">
        <w:tblPrEx>
          <w:tblCellMar>
            <w:top w:w="0" w:type="dxa"/>
            <w:left w:w="28" w:type="dxa"/>
            <w:bottom w:w="0" w:type="dxa"/>
            <w:right w:w="28" w:type="dxa"/>
          </w:tblCellMar>
        </w:tblPrEx>
        <w:trPr>
          <w:trHeight w:val="1" w:hRule="atLeast"/>
        </w:trPr>
        <w:tc>
          <w:tcPr>
            <w:tcW w:w="130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99B3518">
            <w:pPr>
              <w:bidi w:val="0"/>
              <w:jc w:val="center"/>
              <w:rPr>
                <w:rFonts w:hint="eastAsia"/>
                <w:highlight w:val="none"/>
                <w:lang w:val="zh-CN"/>
              </w:rPr>
            </w:pPr>
            <w:r>
              <w:rPr>
                <w:rFonts w:hint="eastAsia"/>
                <w:highlight w:val="none"/>
                <w:lang w:val="zh-CN"/>
              </w:rPr>
              <w:t>弹性恢复率</w:t>
            </w:r>
          </w:p>
        </w:tc>
        <w:tc>
          <w:tcPr>
            <w:tcW w:w="110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5CD6218">
            <w:pPr>
              <w:bidi w:val="0"/>
              <w:jc w:val="center"/>
              <w:rPr>
                <w:rFonts w:hint="eastAsia"/>
                <w:highlight w:val="none"/>
                <w:lang w:val="zh-CN"/>
              </w:rPr>
            </w:pPr>
            <w:r>
              <w:rPr>
                <w:rFonts w:hint="eastAsia"/>
                <w:highlight w:val="none"/>
                <w:lang w:val="zh-CN"/>
              </w:rPr>
              <w:t>%</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5A298D2">
            <w:pPr>
              <w:bidi w:val="0"/>
              <w:jc w:val="center"/>
              <w:rPr>
                <w:rFonts w:hint="eastAsia"/>
                <w:highlight w:val="none"/>
                <w:lang w:val="zh-CN"/>
              </w:rPr>
            </w:pPr>
            <w:r>
              <w:rPr>
                <w:rFonts w:hint="eastAsia"/>
                <w:highlight w:val="none"/>
                <w:lang w:val="zh-CN"/>
              </w:rPr>
              <w:t>30-70</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6A4F017">
            <w:pPr>
              <w:bidi w:val="0"/>
              <w:jc w:val="center"/>
              <w:rPr>
                <w:rFonts w:hint="eastAsia"/>
                <w:highlight w:val="none"/>
                <w:lang w:val="zh-CN"/>
              </w:rPr>
            </w:pPr>
            <w:r>
              <w:rPr>
                <w:rFonts w:hint="eastAsia"/>
                <w:highlight w:val="none"/>
                <w:lang w:val="zh-CN"/>
              </w:rPr>
              <w:t>30-70</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EA292A8">
            <w:pPr>
              <w:bidi w:val="0"/>
              <w:jc w:val="center"/>
              <w:rPr>
                <w:rFonts w:hint="eastAsia"/>
                <w:highlight w:val="none"/>
                <w:lang w:val="zh-CN"/>
              </w:rPr>
            </w:pPr>
            <w:r>
              <w:rPr>
                <w:rFonts w:hint="eastAsia"/>
                <w:highlight w:val="none"/>
                <w:lang w:val="zh-CN"/>
              </w:rPr>
              <w:t>30-70</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2BA235C">
            <w:pPr>
              <w:bidi w:val="0"/>
              <w:jc w:val="center"/>
              <w:rPr>
                <w:rFonts w:hint="eastAsia"/>
                <w:highlight w:val="none"/>
                <w:lang w:val="zh-CN"/>
              </w:rPr>
            </w:pPr>
            <w:r>
              <w:rPr>
                <w:rFonts w:hint="eastAsia"/>
                <w:highlight w:val="none"/>
                <w:lang w:val="zh-CN"/>
              </w:rPr>
              <w:t>30-70</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C259062">
            <w:pPr>
              <w:bidi w:val="0"/>
              <w:jc w:val="center"/>
              <w:rPr>
                <w:rFonts w:hint="eastAsia"/>
                <w:highlight w:val="none"/>
                <w:lang w:val="zh-CN"/>
              </w:rPr>
            </w:pPr>
            <w:r>
              <w:rPr>
                <w:rFonts w:hint="eastAsia"/>
                <w:highlight w:val="none"/>
                <w:lang w:val="zh-CN"/>
              </w:rPr>
              <w:t>30-70</w:t>
            </w:r>
          </w:p>
        </w:tc>
      </w:tr>
      <w:tr w14:paraId="319EB328">
        <w:tblPrEx>
          <w:tblCellMar>
            <w:top w:w="0" w:type="dxa"/>
            <w:left w:w="28" w:type="dxa"/>
            <w:bottom w:w="0" w:type="dxa"/>
            <w:right w:w="28" w:type="dxa"/>
          </w:tblCellMar>
        </w:tblPrEx>
        <w:trPr>
          <w:trHeight w:val="1" w:hRule="atLeast"/>
        </w:trPr>
        <w:tc>
          <w:tcPr>
            <w:tcW w:w="130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9206BCC">
            <w:pPr>
              <w:bidi w:val="0"/>
              <w:jc w:val="center"/>
              <w:rPr>
                <w:rFonts w:hint="eastAsia"/>
                <w:highlight w:val="none"/>
                <w:lang w:val="zh-CN"/>
              </w:rPr>
            </w:pPr>
            <w:r>
              <w:rPr>
                <w:rFonts w:hint="eastAsia"/>
                <w:highlight w:val="none"/>
                <w:lang w:val="zh-CN"/>
              </w:rPr>
              <w:t>低温拉伸*</w:t>
            </w:r>
          </w:p>
        </w:tc>
        <w:tc>
          <w:tcPr>
            <w:tcW w:w="110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A113ED4">
            <w:pPr>
              <w:bidi w:val="0"/>
              <w:jc w:val="center"/>
              <w:rPr>
                <w:rFonts w:hint="eastAsia"/>
                <w:highlight w:val="none"/>
                <w:lang w:val="zh-CN"/>
              </w:rPr>
            </w:pP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C2766D8">
            <w:pPr>
              <w:bidi w:val="0"/>
              <w:jc w:val="center"/>
              <w:rPr>
                <w:rFonts w:hint="eastAsia"/>
                <w:highlight w:val="none"/>
                <w:lang w:val="zh-CN"/>
              </w:rPr>
            </w:pPr>
            <w:r>
              <w:rPr>
                <w:rFonts w:hint="eastAsia"/>
                <w:highlight w:val="none"/>
                <w:lang w:val="zh-CN"/>
              </w:rPr>
              <w:t>0℃，25%，3次循环，通过</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769D736">
            <w:pPr>
              <w:bidi w:val="0"/>
              <w:jc w:val="center"/>
              <w:rPr>
                <w:rFonts w:hint="eastAsia"/>
                <w:highlight w:val="none"/>
                <w:lang w:val="zh-CN"/>
              </w:rPr>
            </w:pPr>
            <w:r>
              <w:rPr>
                <w:rFonts w:hint="eastAsia"/>
                <w:highlight w:val="none"/>
                <w:lang w:val="zh-CN"/>
              </w:rPr>
              <w:t>-10℃，50%，3次循环，通过</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CB60B16">
            <w:pPr>
              <w:bidi w:val="0"/>
              <w:jc w:val="center"/>
              <w:rPr>
                <w:rFonts w:hint="eastAsia"/>
                <w:highlight w:val="none"/>
                <w:lang w:val="zh-CN"/>
              </w:rPr>
            </w:pPr>
            <w:r>
              <w:rPr>
                <w:rFonts w:hint="eastAsia"/>
                <w:highlight w:val="none"/>
                <w:lang w:val="zh-CN"/>
              </w:rPr>
              <w:t>-20℃，100%，3次循环，通过</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87A9B1B">
            <w:pPr>
              <w:bidi w:val="0"/>
              <w:jc w:val="center"/>
              <w:rPr>
                <w:rFonts w:hint="eastAsia"/>
                <w:highlight w:val="none"/>
                <w:lang w:val="zh-CN"/>
              </w:rPr>
            </w:pPr>
            <w:r>
              <w:rPr>
                <w:rFonts w:hint="eastAsia"/>
                <w:highlight w:val="none"/>
                <w:lang w:val="zh-CN"/>
              </w:rPr>
              <w:t>-30℃，150%，3次循环，通过</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5CB4D93">
            <w:pPr>
              <w:bidi w:val="0"/>
              <w:jc w:val="center"/>
              <w:rPr>
                <w:rFonts w:hint="eastAsia"/>
                <w:highlight w:val="none"/>
                <w:lang w:val="zh-CN"/>
              </w:rPr>
            </w:pPr>
            <w:r>
              <w:rPr>
                <w:rFonts w:hint="eastAsia"/>
                <w:highlight w:val="none"/>
                <w:lang w:val="zh-CN"/>
              </w:rPr>
              <w:t>-40℃，200%，3次循环，通过</w:t>
            </w:r>
          </w:p>
        </w:tc>
      </w:tr>
      <w:tr w14:paraId="4D9E7074">
        <w:tblPrEx>
          <w:tblCellMar>
            <w:top w:w="0" w:type="dxa"/>
            <w:left w:w="28" w:type="dxa"/>
            <w:bottom w:w="0" w:type="dxa"/>
            <w:right w:w="28" w:type="dxa"/>
          </w:tblCellMar>
        </w:tblPrEx>
        <w:trPr>
          <w:trHeight w:val="1" w:hRule="atLeast"/>
        </w:trPr>
        <w:tc>
          <w:tcPr>
            <w:tcW w:w="1418" w:type="dxa"/>
            <w:gridSpan w:val="7"/>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48990DE">
            <w:pPr>
              <w:bidi w:val="0"/>
              <w:jc w:val="center"/>
              <w:rPr>
                <w:rFonts w:hint="eastAsia"/>
                <w:highlight w:val="none"/>
                <w:lang w:val="zh-CN"/>
              </w:rPr>
            </w:pPr>
            <w:r>
              <w:rPr>
                <w:rFonts w:hint="eastAsia"/>
                <w:highlight w:val="none"/>
                <w:lang w:val="zh-CN"/>
              </w:rPr>
              <w:t>*25%、50%、100%、150%和200%的拉伸量分别为3.75mm、7.5mm、15mm、22.5mm和30mm。</w:t>
            </w:r>
          </w:p>
        </w:tc>
      </w:tr>
    </w:tbl>
    <w:p w14:paraId="31E14B4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zh-CN"/>
        </w:rPr>
        <w:t>）机械设备要求</w:t>
      </w:r>
    </w:p>
    <w:p w14:paraId="015571F2">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根据清缝灌缝施工要求，清缝灌缝设备和机具配置（单个施工班组）如表</w:t>
      </w:r>
      <w:r>
        <w:rPr>
          <w:rFonts w:hint="eastAsia" w:ascii="宋体" w:hAnsi="宋体" w:eastAsia="宋体" w:cs="宋体"/>
          <w:b w:val="0"/>
          <w:bCs w:val="0"/>
          <w:sz w:val="21"/>
          <w:szCs w:val="21"/>
          <w:highlight w:val="none"/>
        </w:rPr>
        <w:t>2.1-2</w:t>
      </w:r>
      <w:r>
        <w:rPr>
          <w:rFonts w:hint="eastAsia" w:ascii="宋体" w:hAnsi="宋体" w:eastAsia="宋体" w:cs="宋体"/>
          <w:b w:val="0"/>
          <w:bCs w:val="0"/>
          <w:sz w:val="21"/>
          <w:szCs w:val="21"/>
          <w:highlight w:val="none"/>
          <w:lang w:val="zh-CN"/>
        </w:rPr>
        <w:t>所示。</w:t>
      </w:r>
    </w:p>
    <w:p w14:paraId="7C9B82AA">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表</w:t>
      </w:r>
      <w:r>
        <w:rPr>
          <w:rFonts w:hint="eastAsia" w:ascii="宋体" w:hAnsi="宋体" w:eastAsia="宋体" w:cs="宋体"/>
          <w:b w:val="0"/>
          <w:bCs w:val="0"/>
          <w:sz w:val="21"/>
          <w:szCs w:val="21"/>
          <w:highlight w:val="none"/>
        </w:rPr>
        <w:t xml:space="preserve">2.1-2 </w:t>
      </w:r>
      <w:r>
        <w:rPr>
          <w:rFonts w:hint="eastAsia" w:ascii="宋体" w:hAnsi="宋体" w:eastAsia="宋体" w:cs="宋体"/>
          <w:b w:val="0"/>
          <w:bCs w:val="0"/>
          <w:sz w:val="21"/>
          <w:szCs w:val="21"/>
          <w:highlight w:val="none"/>
          <w:lang w:val="zh-CN"/>
        </w:rPr>
        <w:t>清缝灌缝设备、机具要求</w:t>
      </w:r>
    </w:p>
    <w:tbl>
      <w:tblPr>
        <w:tblStyle w:val="62"/>
        <w:tblW w:w="0" w:type="auto"/>
        <w:tblInd w:w="108" w:type="dxa"/>
        <w:tblLayout w:type="fixed"/>
        <w:tblCellMar>
          <w:top w:w="0" w:type="dxa"/>
          <w:left w:w="108" w:type="dxa"/>
          <w:bottom w:w="0" w:type="dxa"/>
          <w:right w:w="108" w:type="dxa"/>
        </w:tblCellMar>
      </w:tblPr>
      <w:tblGrid>
        <w:gridCol w:w="1079"/>
        <w:gridCol w:w="3217"/>
        <w:gridCol w:w="2367"/>
        <w:gridCol w:w="2835"/>
      </w:tblGrid>
      <w:tr w14:paraId="4E668CED">
        <w:tblPrEx>
          <w:tblCellMar>
            <w:top w:w="0" w:type="dxa"/>
            <w:left w:w="108" w:type="dxa"/>
            <w:bottom w:w="0" w:type="dxa"/>
            <w:right w:w="108" w:type="dxa"/>
          </w:tblCellMar>
        </w:tblPrEx>
        <w:trPr>
          <w:trHeight w:val="1"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7226851">
            <w:pPr>
              <w:bidi w:val="0"/>
              <w:jc w:val="center"/>
              <w:rPr>
                <w:rFonts w:hint="eastAsia"/>
                <w:highlight w:val="none"/>
                <w:lang w:val="zh-CN"/>
              </w:rPr>
            </w:pPr>
            <w:r>
              <w:rPr>
                <w:rFonts w:hint="eastAsia"/>
                <w:highlight w:val="none"/>
                <w:lang w:val="zh-CN"/>
              </w:rPr>
              <w:t>序号</w:t>
            </w:r>
          </w:p>
        </w:tc>
        <w:tc>
          <w:tcPr>
            <w:tcW w:w="32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FF4F6A2">
            <w:pPr>
              <w:bidi w:val="0"/>
              <w:jc w:val="center"/>
              <w:rPr>
                <w:rFonts w:hint="eastAsia"/>
                <w:highlight w:val="none"/>
                <w:lang w:val="zh-CN"/>
              </w:rPr>
            </w:pPr>
            <w:r>
              <w:rPr>
                <w:rFonts w:hint="eastAsia"/>
                <w:highlight w:val="none"/>
                <w:lang w:val="zh-CN"/>
              </w:rPr>
              <w:t>设备机具名称</w:t>
            </w:r>
          </w:p>
        </w:tc>
        <w:tc>
          <w:tcPr>
            <w:tcW w:w="23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8CCB11B">
            <w:pPr>
              <w:bidi w:val="0"/>
              <w:jc w:val="center"/>
              <w:rPr>
                <w:rFonts w:hint="eastAsia"/>
                <w:highlight w:val="none"/>
                <w:lang w:val="zh-CN"/>
              </w:rPr>
            </w:pPr>
            <w:r>
              <w:rPr>
                <w:rFonts w:hint="eastAsia"/>
                <w:highlight w:val="none"/>
                <w:lang w:val="zh-CN"/>
              </w:rPr>
              <w:t>单位</w:t>
            </w:r>
          </w:p>
        </w:tc>
        <w:tc>
          <w:tcPr>
            <w:tcW w:w="28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237B0C1">
            <w:pPr>
              <w:bidi w:val="0"/>
              <w:jc w:val="center"/>
              <w:rPr>
                <w:rFonts w:hint="eastAsia"/>
                <w:highlight w:val="none"/>
                <w:lang w:val="zh-CN"/>
              </w:rPr>
            </w:pPr>
            <w:r>
              <w:rPr>
                <w:rFonts w:hint="eastAsia"/>
                <w:highlight w:val="none"/>
                <w:lang w:val="zh-CN"/>
              </w:rPr>
              <w:t>数量</w:t>
            </w:r>
          </w:p>
        </w:tc>
      </w:tr>
      <w:tr w14:paraId="25A72FB3">
        <w:tblPrEx>
          <w:tblCellMar>
            <w:top w:w="0" w:type="dxa"/>
            <w:left w:w="108" w:type="dxa"/>
            <w:bottom w:w="0" w:type="dxa"/>
            <w:right w:w="108" w:type="dxa"/>
          </w:tblCellMar>
        </w:tblPrEx>
        <w:trPr>
          <w:trHeight w:val="1"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0727D4E">
            <w:pPr>
              <w:bidi w:val="0"/>
              <w:jc w:val="center"/>
              <w:rPr>
                <w:rFonts w:hint="eastAsia"/>
                <w:highlight w:val="none"/>
                <w:lang w:val="zh-CN"/>
              </w:rPr>
            </w:pPr>
            <w:r>
              <w:rPr>
                <w:rFonts w:hint="eastAsia"/>
                <w:highlight w:val="none"/>
                <w:lang w:val="zh-CN"/>
              </w:rPr>
              <w:t>1</w:t>
            </w:r>
          </w:p>
        </w:tc>
        <w:tc>
          <w:tcPr>
            <w:tcW w:w="32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8075C07">
            <w:pPr>
              <w:bidi w:val="0"/>
              <w:jc w:val="center"/>
              <w:rPr>
                <w:rFonts w:hint="eastAsia"/>
                <w:highlight w:val="none"/>
                <w:lang w:val="zh-CN"/>
              </w:rPr>
            </w:pPr>
            <w:r>
              <w:rPr>
                <w:rFonts w:hint="eastAsia"/>
                <w:highlight w:val="none"/>
                <w:lang w:val="zh-CN"/>
              </w:rPr>
              <w:t>灌缝机（灌缝车）</w:t>
            </w:r>
          </w:p>
        </w:tc>
        <w:tc>
          <w:tcPr>
            <w:tcW w:w="23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1ACAAF7">
            <w:pPr>
              <w:bidi w:val="0"/>
              <w:jc w:val="center"/>
              <w:rPr>
                <w:rFonts w:hint="eastAsia"/>
                <w:highlight w:val="none"/>
                <w:lang w:val="zh-CN"/>
              </w:rPr>
            </w:pPr>
            <w:r>
              <w:rPr>
                <w:rFonts w:hint="eastAsia"/>
                <w:highlight w:val="none"/>
                <w:lang w:val="zh-CN"/>
              </w:rPr>
              <w:t>台</w:t>
            </w:r>
          </w:p>
        </w:tc>
        <w:tc>
          <w:tcPr>
            <w:tcW w:w="28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52ECED2">
            <w:pPr>
              <w:bidi w:val="0"/>
              <w:jc w:val="center"/>
              <w:rPr>
                <w:rFonts w:hint="eastAsia"/>
                <w:highlight w:val="none"/>
                <w:lang w:val="zh-CN"/>
              </w:rPr>
            </w:pPr>
            <w:r>
              <w:rPr>
                <w:rFonts w:hint="eastAsia"/>
                <w:highlight w:val="none"/>
                <w:lang w:val="zh-CN"/>
              </w:rPr>
              <w:t>1</w:t>
            </w:r>
          </w:p>
        </w:tc>
      </w:tr>
      <w:tr w14:paraId="720D4EDE">
        <w:tblPrEx>
          <w:tblCellMar>
            <w:top w:w="0" w:type="dxa"/>
            <w:left w:w="108" w:type="dxa"/>
            <w:bottom w:w="0" w:type="dxa"/>
            <w:right w:w="108" w:type="dxa"/>
          </w:tblCellMar>
        </w:tblPrEx>
        <w:trPr>
          <w:trHeight w:val="1"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92A9DB0">
            <w:pPr>
              <w:bidi w:val="0"/>
              <w:jc w:val="center"/>
              <w:rPr>
                <w:rFonts w:hint="eastAsia"/>
                <w:highlight w:val="none"/>
                <w:lang w:val="zh-CN"/>
              </w:rPr>
            </w:pPr>
            <w:r>
              <w:rPr>
                <w:rFonts w:hint="eastAsia"/>
                <w:highlight w:val="none"/>
                <w:lang w:val="zh-CN"/>
              </w:rPr>
              <w:t>2</w:t>
            </w:r>
          </w:p>
        </w:tc>
        <w:tc>
          <w:tcPr>
            <w:tcW w:w="32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0158764">
            <w:pPr>
              <w:bidi w:val="0"/>
              <w:jc w:val="center"/>
              <w:rPr>
                <w:rFonts w:hint="eastAsia"/>
                <w:highlight w:val="none"/>
                <w:lang w:val="zh-CN"/>
              </w:rPr>
            </w:pPr>
            <w:r>
              <w:rPr>
                <w:rFonts w:hint="eastAsia"/>
                <w:highlight w:val="none"/>
                <w:lang w:val="zh-CN"/>
              </w:rPr>
              <w:t>空压机或吹风机</w:t>
            </w:r>
          </w:p>
        </w:tc>
        <w:tc>
          <w:tcPr>
            <w:tcW w:w="23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954B4BA">
            <w:pPr>
              <w:bidi w:val="0"/>
              <w:jc w:val="center"/>
              <w:rPr>
                <w:rFonts w:hint="eastAsia"/>
                <w:highlight w:val="none"/>
                <w:lang w:val="zh-CN"/>
              </w:rPr>
            </w:pPr>
            <w:r>
              <w:rPr>
                <w:rFonts w:hint="eastAsia"/>
                <w:highlight w:val="none"/>
                <w:lang w:val="zh-CN"/>
              </w:rPr>
              <w:t>台</w:t>
            </w:r>
          </w:p>
        </w:tc>
        <w:tc>
          <w:tcPr>
            <w:tcW w:w="28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82BCA5B">
            <w:pPr>
              <w:bidi w:val="0"/>
              <w:jc w:val="center"/>
              <w:rPr>
                <w:rFonts w:hint="eastAsia"/>
                <w:highlight w:val="none"/>
                <w:lang w:val="zh-CN"/>
              </w:rPr>
            </w:pPr>
            <w:r>
              <w:rPr>
                <w:rFonts w:hint="eastAsia"/>
                <w:highlight w:val="none"/>
                <w:lang w:val="zh-CN"/>
              </w:rPr>
              <w:t>1</w:t>
            </w:r>
          </w:p>
        </w:tc>
      </w:tr>
      <w:tr w14:paraId="295FEECA">
        <w:tblPrEx>
          <w:tblCellMar>
            <w:top w:w="0" w:type="dxa"/>
            <w:left w:w="108" w:type="dxa"/>
            <w:bottom w:w="0" w:type="dxa"/>
            <w:right w:w="108" w:type="dxa"/>
          </w:tblCellMar>
        </w:tblPrEx>
        <w:trPr>
          <w:trHeight w:val="1"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10FF2E9">
            <w:pPr>
              <w:bidi w:val="0"/>
              <w:jc w:val="center"/>
              <w:rPr>
                <w:rFonts w:hint="eastAsia"/>
                <w:highlight w:val="none"/>
                <w:lang w:val="zh-CN"/>
              </w:rPr>
            </w:pPr>
            <w:r>
              <w:rPr>
                <w:rFonts w:hint="eastAsia"/>
                <w:highlight w:val="none"/>
                <w:lang w:val="zh-CN"/>
              </w:rPr>
              <w:t>3</w:t>
            </w:r>
          </w:p>
        </w:tc>
        <w:tc>
          <w:tcPr>
            <w:tcW w:w="32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73FC39E">
            <w:pPr>
              <w:bidi w:val="0"/>
              <w:jc w:val="center"/>
              <w:rPr>
                <w:rFonts w:hint="eastAsia"/>
                <w:highlight w:val="none"/>
                <w:lang w:val="zh-CN"/>
              </w:rPr>
            </w:pPr>
            <w:r>
              <w:rPr>
                <w:rFonts w:hint="eastAsia"/>
                <w:highlight w:val="none"/>
                <w:lang w:val="zh-CN"/>
              </w:rPr>
              <w:t>加热喷枪</w:t>
            </w:r>
          </w:p>
        </w:tc>
        <w:tc>
          <w:tcPr>
            <w:tcW w:w="23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F755D73">
            <w:pPr>
              <w:bidi w:val="0"/>
              <w:jc w:val="center"/>
              <w:rPr>
                <w:rFonts w:hint="eastAsia"/>
                <w:highlight w:val="none"/>
                <w:lang w:val="zh-CN"/>
              </w:rPr>
            </w:pPr>
            <w:r>
              <w:rPr>
                <w:rFonts w:hint="eastAsia"/>
                <w:highlight w:val="none"/>
                <w:lang w:val="zh-CN"/>
              </w:rPr>
              <w:t>个</w:t>
            </w:r>
          </w:p>
        </w:tc>
        <w:tc>
          <w:tcPr>
            <w:tcW w:w="28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7D9EF1A">
            <w:pPr>
              <w:bidi w:val="0"/>
              <w:jc w:val="center"/>
              <w:rPr>
                <w:rFonts w:hint="eastAsia"/>
                <w:highlight w:val="none"/>
                <w:lang w:val="zh-CN"/>
              </w:rPr>
            </w:pPr>
            <w:r>
              <w:rPr>
                <w:rFonts w:hint="eastAsia"/>
                <w:highlight w:val="none"/>
                <w:lang w:val="zh-CN"/>
              </w:rPr>
              <w:t>1</w:t>
            </w:r>
          </w:p>
        </w:tc>
      </w:tr>
      <w:tr w14:paraId="6043F8A4">
        <w:tblPrEx>
          <w:tblCellMar>
            <w:top w:w="0" w:type="dxa"/>
            <w:left w:w="108" w:type="dxa"/>
            <w:bottom w:w="0" w:type="dxa"/>
            <w:right w:w="108" w:type="dxa"/>
          </w:tblCellMar>
        </w:tblPrEx>
        <w:trPr>
          <w:trHeight w:val="1"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4BB5CE6">
            <w:pPr>
              <w:bidi w:val="0"/>
              <w:jc w:val="center"/>
              <w:rPr>
                <w:rFonts w:hint="eastAsia"/>
                <w:highlight w:val="none"/>
                <w:lang w:val="zh-CN"/>
              </w:rPr>
            </w:pPr>
            <w:r>
              <w:rPr>
                <w:rFonts w:hint="eastAsia"/>
                <w:highlight w:val="none"/>
                <w:lang w:val="zh-CN"/>
              </w:rPr>
              <w:t>4</w:t>
            </w:r>
          </w:p>
        </w:tc>
        <w:tc>
          <w:tcPr>
            <w:tcW w:w="32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A4A9660">
            <w:pPr>
              <w:bidi w:val="0"/>
              <w:jc w:val="center"/>
              <w:rPr>
                <w:rFonts w:hint="eastAsia"/>
                <w:highlight w:val="none"/>
                <w:lang w:val="zh-CN"/>
              </w:rPr>
            </w:pPr>
            <w:r>
              <w:rPr>
                <w:rFonts w:hint="eastAsia"/>
                <w:highlight w:val="none"/>
                <w:lang w:val="zh-CN"/>
              </w:rPr>
              <w:t>钢丝刷</w:t>
            </w:r>
          </w:p>
        </w:tc>
        <w:tc>
          <w:tcPr>
            <w:tcW w:w="23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2582381">
            <w:pPr>
              <w:bidi w:val="0"/>
              <w:jc w:val="center"/>
              <w:rPr>
                <w:rFonts w:hint="eastAsia"/>
                <w:highlight w:val="none"/>
                <w:lang w:val="zh-CN"/>
              </w:rPr>
            </w:pPr>
            <w:r>
              <w:rPr>
                <w:rFonts w:hint="eastAsia"/>
                <w:highlight w:val="none"/>
                <w:lang w:val="zh-CN"/>
              </w:rPr>
              <w:t>把</w:t>
            </w:r>
          </w:p>
        </w:tc>
        <w:tc>
          <w:tcPr>
            <w:tcW w:w="28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C1BE301">
            <w:pPr>
              <w:bidi w:val="0"/>
              <w:jc w:val="center"/>
              <w:rPr>
                <w:rFonts w:hint="eastAsia"/>
                <w:highlight w:val="none"/>
                <w:lang w:val="zh-CN"/>
              </w:rPr>
            </w:pPr>
            <w:r>
              <w:rPr>
                <w:rFonts w:hint="eastAsia"/>
                <w:highlight w:val="none"/>
                <w:lang w:val="zh-CN"/>
              </w:rPr>
              <w:t>若干</w:t>
            </w:r>
          </w:p>
        </w:tc>
      </w:tr>
      <w:tr w14:paraId="2B53F28B">
        <w:tblPrEx>
          <w:tblCellMar>
            <w:top w:w="0" w:type="dxa"/>
            <w:left w:w="108" w:type="dxa"/>
            <w:bottom w:w="0" w:type="dxa"/>
            <w:right w:w="108" w:type="dxa"/>
          </w:tblCellMar>
        </w:tblPrEx>
        <w:trPr>
          <w:trHeight w:val="1"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E550B54">
            <w:pPr>
              <w:bidi w:val="0"/>
              <w:jc w:val="center"/>
              <w:rPr>
                <w:rFonts w:hint="eastAsia"/>
                <w:highlight w:val="none"/>
                <w:lang w:val="zh-CN"/>
              </w:rPr>
            </w:pPr>
            <w:r>
              <w:rPr>
                <w:rFonts w:hint="eastAsia"/>
                <w:highlight w:val="none"/>
                <w:lang w:val="zh-CN"/>
              </w:rPr>
              <w:t>5</w:t>
            </w:r>
          </w:p>
        </w:tc>
        <w:tc>
          <w:tcPr>
            <w:tcW w:w="32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D485E42">
            <w:pPr>
              <w:bidi w:val="0"/>
              <w:jc w:val="center"/>
              <w:rPr>
                <w:rFonts w:hint="eastAsia"/>
                <w:highlight w:val="none"/>
                <w:lang w:val="zh-CN"/>
              </w:rPr>
            </w:pPr>
            <w:r>
              <w:rPr>
                <w:rFonts w:hint="eastAsia"/>
                <w:highlight w:val="none"/>
                <w:lang w:val="zh-CN"/>
              </w:rPr>
              <w:t>扫帚</w:t>
            </w:r>
          </w:p>
        </w:tc>
        <w:tc>
          <w:tcPr>
            <w:tcW w:w="23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B821DF7">
            <w:pPr>
              <w:bidi w:val="0"/>
              <w:jc w:val="center"/>
              <w:rPr>
                <w:rFonts w:hint="eastAsia"/>
                <w:highlight w:val="none"/>
                <w:lang w:val="zh-CN"/>
              </w:rPr>
            </w:pPr>
            <w:r>
              <w:rPr>
                <w:rFonts w:hint="eastAsia"/>
                <w:highlight w:val="none"/>
                <w:lang w:val="zh-CN"/>
              </w:rPr>
              <w:t>把</w:t>
            </w:r>
          </w:p>
        </w:tc>
        <w:tc>
          <w:tcPr>
            <w:tcW w:w="28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CB964AC">
            <w:pPr>
              <w:bidi w:val="0"/>
              <w:jc w:val="center"/>
              <w:rPr>
                <w:rFonts w:hint="eastAsia"/>
                <w:highlight w:val="none"/>
                <w:lang w:val="zh-CN"/>
              </w:rPr>
            </w:pPr>
            <w:r>
              <w:rPr>
                <w:rFonts w:hint="eastAsia"/>
                <w:highlight w:val="none"/>
                <w:lang w:val="zh-CN"/>
              </w:rPr>
              <w:t>若干</w:t>
            </w:r>
          </w:p>
        </w:tc>
      </w:tr>
    </w:tbl>
    <w:p w14:paraId="1CB96222">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rPr>
        <w:t xml:space="preserve"> </w:t>
      </w:r>
    </w:p>
    <w:p w14:paraId="6BD3914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5</w:t>
      </w:r>
      <w:r>
        <w:rPr>
          <w:rFonts w:hint="eastAsia" w:ascii="宋体" w:hAnsi="宋体" w:eastAsia="宋体" w:cs="宋体"/>
          <w:b w:val="0"/>
          <w:bCs w:val="0"/>
          <w:sz w:val="21"/>
          <w:szCs w:val="21"/>
          <w:highlight w:val="none"/>
          <w:lang w:val="zh-CN"/>
        </w:rPr>
        <w:t>）施工工艺</w:t>
      </w:r>
    </w:p>
    <w:p w14:paraId="15640D7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zh-CN"/>
        </w:rPr>
        <w:t>）施工准备</w:t>
      </w:r>
    </w:p>
    <w:p w14:paraId="55C7BFD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施工前准备充足的、符合要求的道路密封胶，对灌缝设备进行性能检查，确保沥青管路、沥青喷枪畅道，高压热空气吹烤装置空压足够、温度适宜，根据安全作业规程进行交通管制，摆放交通安全标志。</w:t>
      </w:r>
    </w:p>
    <w:p w14:paraId="2AB63C3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zh-CN"/>
        </w:rPr>
        <w:t>）预热道路密封胶</w:t>
      </w:r>
    </w:p>
    <w:p w14:paraId="6B3AC4A2">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启动密封胶加热设备，当密封胶加热到一定（</w:t>
      </w:r>
      <w:r>
        <w:rPr>
          <w:rFonts w:hint="eastAsia" w:ascii="宋体" w:hAnsi="宋体" w:eastAsia="宋体" w:cs="宋体"/>
          <w:b w:val="0"/>
          <w:bCs w:val="0"/>
          <w:sz w:val="21"/>
          <w:szCs w:val="21"/>
          <w:highlight w:val="none"/>
        </w:rPr>
        <w:t>80-100</w:t>
      </w:r>
      <w:r>
        <w:rPr>
          <w:rFonts w:hint="eastAsia" w:ascii="宋体" w:hAnsi="宋体" w:eastAsia="宋体" w:cs="宋体"/>
          <w:b w:val="0"/>
          <w:bCs w:val="0"/>
          <w:sz w:val="21"/>
          <w:szCs w:val="21"/>
          <w:highlight w:val="none"/>
          <w:lang w:val="zh-CN"/>
        </w:rPr>
        <w:t>℃）温度后，启动沥青搅拌器对密封胶进行搅拌，以保证密封胶均匀受热。当密封胶被加热到</w:t>
      </w:r>
      <w:r>
        <w:rPr>
          <w:rFonts w:hint="eastAsia" w:ascii="宋体" w:hAnsi="宋体" w:eastAsia="宋体" w:cs="宋体"/>
          <w:b w:val="0"/>
          <w:bCs w:val="0"/>
          <w:sz w:val="21"/>
          <w:szCs w:val="21"/>
          <w:highlight w:val="none"/>
        </w:rPr>
        <w:t>160-180</w:t>
      </w:r>
      <w:r>
        <w:rPr>
          <w:rFonts w:hint="eastAsia" w:ascii="宋体" w:hAnsi="宋体" w:eastAsia="宋体" w:cs="宋体"/>
          <w:b w:val="0"/>
          <w:bCs w:val="0"/>
          <w:sz w:val="21"/>
          <w:szCs w:val="21"/>
          <w:highlight w:val="none"/>
          <w:lang w:val="zh-CN"/>
        </w:rPr>
        <w:t>℃时，采取保温措施，即可灌治裂缝。</w:t>
      </w:r>
    </w:p>
    <w:p w14:paraId="09AC37B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zh-CN"/>
        </w:rPr>
        <w:t>）清扫裂缝</w:t>
      </w:r>
    </w:p>
    <w:p w14:paraId="6742502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用扫帚进行清扫，必要时采用钢丝刷清刷裂缝边缘灰尘，空压机吹净裂缝周围及裂缝内的杂物及灰尘。若气温较低（＜</w:t>
      </w:r>
      <w:r>
        <w:rPr>
          <w:rFonts w:hint="eastAsia" w:ascii="宋体" w:hAnsi="宋体" w:eastAsia="宋体" w:cs="宋体"/>
          <w:b w:val="0"/>
          <w:bCs w:val="0"/>
          <w:sz w:val="21"/>
          <w:szCs w:val="21"/>
          <w:highlight w:val="none"/>
        </w:rPr>
        <w:t>10</w:t>
      </w:r>
      <w:r>
        <w:rPr>
          <w:rFonts w:hint="eastAsia" w:ascii="宋体" w:hAnsi="宋体" w:eastAsia="宋体" w:cs="宋体"/>
          <w:b w:val="0"/>
          <w:bCs w:val="0"/>
          <w:sz w:val="21"/>
          <w:szCs w:val="21"/>
          <w:highlight w:val="none"/>
          <w:lang w:val="zh-CN"/>
        </w:rPr>
        <w:t>℃）或裂缝内壁潮湿时，需对裂缝位置进行加热烘干，采用加热喷枪预热裂缝边缘。</w:t>
      </w:r>
    </w:p>
    <w:p w14:paraId="04270CB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zh-CN"/>
        </w:rPr>
        <w:t>）灌缝处治</w:t>
      </w:r>
    </w:p>
    <w:p w14:paraId="0616B37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利用灌缝机将加热到要求温度的密封胶灌入裂缝，灌缝方向由低的一段向高的一端灌注，灌缝应均匀一致，</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zh-CN"/>
        </w:rPr>
        <w:t>避免漏灌和填缝料外溢现象。如有漏灌现象则人工及时补齐。填缝料外溢流淌到接缝两侧面板，影响路面平整度与路容时应予以清除。</w:t>
      </w:r>
    </w:p>
    <w:p w14:paraId="310027F3">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eastAsia="宋体" w:cs="宋体"/>
          <w:b w:val="0"/>
          <w:bCs w:val="0"/>
          <w:sz w:val="21"/>
          <w:szCs w:val="21"/>
          <w:highlight w:val="none"/>
          <w:lang w:val="zh-CN"/>
        </w:rPr>
        <w:t>）开放交通</w:t>
      </w:r>
    </w:p>
    <w:p w14:paraId="7EC695B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灌缝结束后，待灌封胶完全冷却</w:t>
      </w:r>
      <w:r>
        <w:rPr>
          <w:rFonts w:hint="eastAsia" w:ascii="宋体" w:hAnsi="宋体" w:eastAsia="宋体" w:cs="宋体"/>
          <w:b w:val="0"/>
          <w:bCs w:val="0"/>
          <w:sz w:val="21"/>
          <w:szCs w:val="21"/>
          <w:highlight w:val="none"/>
        </w:rPr>
        <w:t>15~30min</w:t>
      </w:r>
      <w:r>
        <w:rPr>
          <w:rFonts w:hint="eastAsia" w:ascii="宋体" w:hAnsi="宋体" w:eastAsia="宋体" w:cs="宋体"/>
          <w:b w:val="0"/>
          <w:bCs w:val="0"/>
          <w:sz w:val="21"/>
          <w:szCs w:val="21"/>
          <w:highlight w:val="none"/>
          <w:lang w:val="zh-CN"/>
        </w:rPr>
        <w:t>后开放交通。</w:t>
      </w:r>
    </w:p>
    <w:p w14:paraId="7CD7988D">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6</w:t>
      </w:r>
      <w:r>
        <w:rPr>
          <w:rFonts w:hint="eastAsia" w:ascii="宋体" w:hAnsi="宋体" w:eastAsia="宋体" w:cs="宋体"/>
          <w:b w:val="0"/>
          <w:bCs w:val="0"/>
          <w:sz w:val="21"/>
          <w:szCs w:val="21"/>
          <w:highlight w:val="none"/>
          <w:lang w:val="zh-CN"/>
        </w:rPr>
        <w:t>）质量控制</w:t>
      </w:r>
    </w:p>
    <w:p w14:paraId="44EC70C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灌缝施工结束后，养护单位应对清缝灌缝路段进行自检，并提交自检报告。质量控制要求见表</w:t>
      </w:r>
      <w:r>
        <w:rPr>
          <w:rFonts w:hint="eastAsia" w:ascii="宋体" w:hAnsi="宋体" w:eastAsia="宋体" w:cs="宋体"/>
          <w:b w:val="0"/>
          <w:bCs w:val="0"/>
          <w:sz w:val="21"/>
          <w:szCs w:val="21"/>
          <w:highlight w:val="none"/>
        </w:rPr>
        <w:t>2.1-3</w:t>
      </w:r>
      <w:r>
        <w:rPr>
          <w:rFonts w:hint="eastAsia" w:ascii="宋体" w:hAnsi="宋体" w:eastAsia="宋体" w:cs="宋体"/>
          <w:b w:val="0"/>
          <w:bCs w:val="0"/>
          <w:sz w:val="21"/>
          <w:szCs w:val="21"/>
          <w:highlight w:val="none"/>
          <w:lang w:val="zh-CN"/>
        </w:rPr>
        <w:t>。</w:t>
      </w:r>
    </w:p>
    <w:p w14:paraId="3A1A17F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表</w:t>
      </w:r>
      <w:r>
        <w:rPr>
          <w:rFonts w:hint="eastAsia" w:ascii="宋体" w:hAnsi="宋体" w:eastAsia="宋体" w:cs="宋体"/>
          <w:b w:val="0"/>
          <w:bCs w:val="0"/>
          <w:sz w:val="21"/>
          <w:szCs w:val="21"/>
          <w:highlight w:val="none"/>
        </w:rPr>
        <w:t xml:space="preserve">2.1-3 </w:t>
      </w:r>
      <w:r>
        <w:rPr>
          <w:rFonts w:hint="eastAsia" w:ascii="宋体" w:hAnsi="宋体" w:eastAsia="宋体" w:cs="宋体"/>
          <w:b w:val="0"/>
          <w:bCs w:val="0"/>
          <w:sz w:val="21"/>
          <w:szCs w:val="21"/>
          <w:highlight w:val="none"/>
          <w:lang w:val="zh-CN"/>
        </w:rPr>
        <w:t>清缝灌缝质量控制</w:t>
      </w:r>
    </w:p>
    <w:tbl>
      <w:tblPr>
        <w:tblStyle w:val="62"/>
        <w:tblW w:w="0" w:type="auto"/>
        <w:tblInd w:w="108" w:type="dxa"/>
        <w:tblLayout w:type="fixed"/>
        <w:tblCellMar>
          <w:top w:w="0" w:type="dxa"/>
          <w:left w:w="108" w:type="dxa"/>
          <w:bottom w:w="0" w:type="dxa"/>
          <w:right w:w="108" w:type="dxa"/>
        </w:tblCellMar>
      </w:tblPr>
      <w:tblGrid>
        <w:gridCol w:w="510"/>
        <w:gridCol w:w="1475"/>
        <w:gridCol w:w="3118"/>
        <w:gridCol w:w="2410"/>
        <w:gridCol w:w="1843"/>
      </w:tblGrid>
      <w:tr w14:paraId="5D1278C7">
        <w:tblPrEx>
          <w:tblCellMar>
            <w:top w:w="0" w:type="dxa"/>
            <w:left w:w="108" w:type="dxa"/>
            <w:bottom w:w="0" w:type="dxa"/>
            <w:right w:w="108" w:type="dxa"/>
          </w:tblCellMar>
        </w:tblPrEx>
        <w:trPr>
          <w:trHeight w:val="1" w:hRule="atLeast"/>
        </w:trPr>
        <w:tc>
          <w:tcPr>
            <w:tcW w:w="198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C62D1EE">
            <w:pPr>
              <w:bidi w:val="0"/>
              <w:jc w:val="center"/>
              <w:rPr>
                <w:rFonts w:hint="eastAsia"/>
                <w:highlight w:val="none"/>
                <w:lang w:val="zh-CN"/>
              </w:rPr>
            </w:pPr>
            <w:r>
              <w:rPr>
                <w:rFonts w:hint="eastAsia"/>
                <w:highlight w:val="none"/>
                <w:lang w:val="zh-CN"/>
              </w:rPr>
              <w:t>项目</w:t>
            </w:r>
          </w:p>
        </w:tc>
        <w:tc>
          <w:tcPr>
            <w:tcW w:w="31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B845D1B">
            <w:pPr>
              <w:bidi w:val="0"/>
              <w:jc w:val="center"/>
              <w:rPr>
                <w:rFonts w:hint="eastAsia"/>
                <w:highlight w:val="none"/>
                <w:lang w:val="zh-CN"/>
              </w:rPr>
            </w:pPr>
            <w:r>
              <w:rPr>
                <w:rFonts w:hint="eastAsia"/>
                <w:highlight w:val="none"/>
                <w:lang w:val="zh-CN"/>
              </w:rPr>
              <w:t>质量要求</w:t>
            </w:r>
          </w:p>
        </w:tc>
        <w:tc>
          <w:tcPr>
            <w:tcW w:w="24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E142F54">
            <w:pPr>
              <w:bidi w:val="0"/>
              <w:jc w:val="center"/>
              <w:rPr>
                <w:rFonts w:hint="eastAsia"/>
                <w:highlight w:val="none"/>
                <w:lang w:val="zh-CN"/>
              </w:rPr>
            </w:pPr>
            <w:r>
              <w:rPr>
                <w:rFonts w:hint="eastAsia"/>
                <w:highlight w:val="none"/>
                <w:lang w:val="zh-CN"/>
              </w:rPr>
              <w:t>检验频率</w:t>
            </w:r>
          </w:p>
        </w:tc>
        <w:tc>
          <w:tcPr>
            <w:tcW w:w="184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E1B5E2B">
            <w:pPr>
              <w:bidi w:val="0"/>
              <w:jc w:val="center"/>
              <w:rPr>
                <w:rFonts w:hint="eastAsia"/>
                <w:highlight w:val="none"/>
                <w:lang w:val="zh-CN"/>
              </w:rPr>
            </w:pPr>
            <w:r>
              <w:rPr>
                <w:rFonts w:hint="eastAsia"/>
                <w:highlight w:val="none"/>
                <w:lang w:val="zh-CN"/>
              </w:rPr>
              <w:t>检验方法</w:t>
            </w:r>
          </w:p>
        </w:tc>
      </w:tr>
      <w:tr w14:paraId="19C1CCC1">
        <w:tblPrEx>
          <w:tblCellMar>
            <w:top w:w="0" w:type="dxa"/>
            <w:left w:w="108" w:type="dxa"/>
            <w:bottom w:w="0" w:type="dxa"/>
            <w:right w:w="108" w:type="dxa"/>
          </w:tblCellMar>
        </w:tblPrEx>
        <w:trPr>
          <w:trHeight w:val="796" w:hRule="atLeast"/>
        </w:trPr>
        <w:tc>
          <w:tcPr>
            <w:tcW w:w="510"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8FB7BB">
            <w:pPr>
              <w:bidi w:val="0"/>
              <w:jc w:val="center"/>
              <w:rPr>
                <w:rFonts w:hint="eastAsia"/>
                <w:highlight w:val="none"/>
                <w:lang w:val="zh-CN"/>
              </w:rPr>
            </w:pPr>
            <w:r>
              <w:rPr>
                <w:rFonts w:hint="eastAsia"/>
                <w:highlight w:val="none"/>
                <w:lang w:val="zh-CN"/>
              </w:rPr>
              <w:t>表面质量</w:t>
            </w:r>
          </w:p>
        </w:tc>
        <w:tc>
          <w:tcPr>
            <w:tcW w:w="14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2983572">
            <w:pPr>
              <w:bidi w:val="0"/>
              <w:jc w:val="center"/>
              <w:rPr>
                <w:rFonts w:hint="eastAsia"/>
                <w:highlight w:val="none"/>
                <w:lang w:val="zh-CN"/>
              </w:rPr>
            </w:pPr>
            <w:r>
              <w:rPr>
                <w:rFonts w:hint="eastAsia"/>
                <w:highlight w:val="none"/>
                <w:lang w:val="zh-CN"/>
              </w:rPr>
              <w:t>外观</w:t>
            </w:r>
          </w:p>
        </w:tc>
        <w:tc>
          <w:tcPr>
            <w:tcW w:w="31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1715423">
            <w:pPr>
              <w:bidi w:val="0"/>
              <w:jc w:val="center"/>
              <w:rPr>
                <w:rFonts w:hint="eastAsia"/>
                <w:highlight w:val="none"/>
                <w:lang w:val="zh-CN"/>
              </w:rPr>
            </w:pPr>
            <w:r>
              <w:rPr>
                <w:rFonts w:hint="eastAsia"/>
                <w:highlight w:val="none"/>
                <w:lang w:val="zh-CN"/>
              </w:rPr>
              <w:t>表面平整、密实、均匀；填缝料表面光滑，无颗粒状胶粒、无轮迹、无划痕</w:t>
            </w:r>
          </w:p>
        </w:tc>
        <w:tc>
          <w:tcPr>
            <w:tcW w:w="24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F00A26A">
            <w:pPr>
              <w:bidi w:val="0"/>
              <w:jc w:val="center"/>
              <w:rPr>
                <w:rFonts w:hint="eastAsia"/>
                <w:highlight w:val="none"/>
                <w:lang w:val="zh-CN"/>
              </w:rPr>
            </w:pPr>
            <w:r>
              <w:rPr>
                <w:rFonts w:hint="eastAsia"/>
                <w:highlight w:val="none"/>
                <w:lang w:val="zh-CN"/>
              </w:rPr>
              <w:t>处理路段连续</w:t>
            </w:r>
          </w:p>
        </w:tc>
        <w:tc>
          <w:tcPr>
            <w:tcW w:w="184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699CD3A">
            <w:pPr>
              <w:bidi w:val="0"/>
              <w:jc w:val="center"/>
              <w:rPr>
                <w:rFonts w:hint="eastAsia"/>
                <w:highlight w:val="none"/>
                <w:lang w:val="zh-CN"/>
              </w:rPr>
            </w:pPr>
            <w:r>
              <w:rPr>
                <w:rFonts w:hint="eastAsia"/>
                <w:highlight w:val="none"/>
                <w:lang w:val="zh-CN"/>
              </w:rPr>
              <w:t>目测</w:t>
            </w:r>
          </w:p>
        </w:tc>
      </w:tr>
      <w:tr w14:paraId="0AE7B29B">
        <w:tblPrEx>
          <w:tblCellMar>
            <w:top w:w="0" w:type="dxa"/>
            <w:left w:w="108" w:type="dxa"/>
            <w:bottom w:w="0" w:type="dxa"/>
            <w:right w:w="108" w:type="dxa"/>
          </w:tblCellMar>
        </w:tblPrEx>
        <w:trPr>
          <w:trHeight w:val="545" w:hRule="atLeast"/>
        </w:trPr>
        <w:tc>
          <w:tcPr>
            <w:tcW w:w="510"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D52A5C0">
            <w:pPr>
              <w:bidi w:val="0"/>
              <w:jc w:val="center"/>
              <w:rPr>
                <w:rFonts w:hint="eastAsia"/>
                <w:highlight w:val="none"/>
                <w:lang w:val="zh-CN"/>
              </w:rPr>
            </w:pPr>
          </w:p>
        </w:tc>
        <w:tc>
          <w:tcPr>
            <w:tcW w:w="14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CDC8790">
            <w:pPr>
              <w:bidi w:val="0"/>
              <w:jc w:val="center"/>
              <w:rPr>
                <w:rFonts w:hint="eastAsia"/>
                <w:highlight w:val="none"/>
                <w:lang w:val="zh-CN"/>
              </w:rPr>
            </w:pPr>
            <w:r>
              <w:rPr>
                <w:rFonts w:hint="eastAsia"/>
                <w:highlight w:val="none"/>
                <w:lang w:val="zh-CN"/>
              </w:rPr>
              <w:t>填缝料宽度</w:t>
            </w:r>
          </w:p>
        </w:tc>
        <w:tc>
          <w:tcPr>
            <w:tcW w:w="31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1CED36D">
            <w:pPr>
              <w:bidi w:val="0"/>
              <w:jc w:val="center"/>
              <w:rPr>
                <w:rFonts w:hint="eastAsia"/>
                <w:highlight w:val="none"/>
                <w:lang w:val="zh-CN"/>
              </w:rPr>
            </w:pPr>
            <w:r>
              <w:rPr>
                <w:rFonts w:hint="eastAsia"/>
                <w:highlight w:val="none"/>
                <w:lang w:val="zh-CN"/>
              </w:rPr>
              <w:t>≤50mm，封条应突出凹槽边缘5-10mm</w:t>
            </w:r>
          </w:p>
        </w:tc>
        <w:tc>
          <w:tcPr>
            <w:tcW w:w="2410"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A825F26">
            <w:pPr>
              <w:bidi w:val="0"/>
              <w:jc w:val="center"/>
              <w:rPr>
                <w:rFonts w:hint="eastAsia"/>
                <w:highlight w:val="none"/>
                <w:lang w:val="zh-CN"/>
              </w:rPr>
            </w:pPr>
            <w:r>
              <w:rPr>
                <w:rFonts w:hint="eastAsia"/>
                <w:highlight w:val="none"/>
                <w:lang w:val="zh-CN"/>
              </w:rPr>
              <w:t>处理路段随机抽样</w:t>
            </w:r>
          </w:p>
        </w:tc>
        <w:tc>
          <w:tcPr>
            <w:tcW w:w="1843"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B30C18">
            <w:pPr>
              <w:bidi w:val="0"/>
              <w:jc w:val="center"/>
              <w:rPr>
                <w:rFonts w:hint="eastAsia"/>
                <w:highlight w:val="none"/>
                <w:lang w:val="zh-CN"/>
              </w:rPr>
            </w:pPr>
            <w:r>
              <w:rPr>
                <w:rFonts w:hint="eastAsia"/>
                <w:highlight w:val="none"/>
                <w:lang w:val="zh-CN"/>
              </w:rPr>
              <w:t>游标卡尺</w:t>
            </w:r>
          </w:p>
        </w:tc>
      </w:tr>
      <w:tr w14:paraId="483F9443">
        <w:tblPrEx>
          <w:tblCellMar>
            <w:top w:w="0" w:type="dxa"/>
            <w:left w:w="108" w:type="dxa"/>
            <w:bottom w:w="0" w:type="dxa"/>
            <w:right w:w="108" w:type="dxa"/>
          </w:tblCellMar>
        </w:tblPrEx>
        <w:trPr>
          <w:trHeight w:val="1" w:hRule="atLeast"/>
        </w:trPr>
        <w:tc>
          <w:tcPr>
            <w:tcW w:w="510"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39E0B22">
            <w:pPr>
              <w:bidi w:val="0"/>
              <w:jc w:val="center"/>
              <w:rPr>
                <w:rFonts w:hint="eastAsia"/>
                <w:highlight w:val="none"/>
                <w:lang w:val="zh-CN"/>
              </w:rPr>
            </w:pPr>
          </w:p>
        </w:tc>
        <w:tc>
          <w:tcPr>
            <w:tcW w:w="14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D4E9606">
            <w:pPr>
              <w:bidi w:val="0"/>
              <w:jc w:val="center"/>
              <w:rPr>
                <w:rFonts w:hint="eastAsia"/>
                <w:highlight w:val="none"/>
                <w:lang w:val="zh-CN"/>
              </w:rPr>
            </w:pPr>
            <w:r>
              <w:rPr>
                <w:rFonts w:hint="eastAsia"/>
                <w:highlight w:val="none"/>
                <w:lang w:val="zh-CN"/>
              </w:rPr>
              <w:t>填缝料高度</w:t>
            </w:r>
          </w:p>
        </w:tc>
        <w:tc>
          <w:tcPr>
            <w:tcW w:w="31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8D3EAA7">
            <w:pPr>
              <w:bidi w:val="0"/>
              <w:jc w:val="center"/>
              <w:rPr>
                <w:rFonts w:hint="eastAsia"/>
                <w:highlight w:val="none"/>
                <w:lang w:val="zh-CN"/>
              </w:rPr>
            </w:pPr>
            <w:r>
              <w:rPr>
                <w:rFonts w:hint="eastAsia"/>
                <w:highlight w:val="none"/>
                <w:lang w:val="zh-CN"/>
              </w:rPr>
              <w:t>灌缝料高于路面1.5-2.5mm</w:t>
            </w:r>
          </w:p>
        </w:tc>
        <w:tc>
          <w:tcPr>
            <w:tcW w:w="2410"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E96E990">
            <w:pPr>
              <w:bidi w:val="0"/>
              <w:jc w:val="center"/>
              <w:rPr>
                <w:rFonts w:hint="eastAsia"/>
                <w:highlight w:val="none"/>
                <w:lang w:val="zh-CN"/>
              </w:rPr>
            </w:pPr>
          </w:p>
        </w:tc>
        <w:tc>
          <w:tcPr>
            <w:tcW w:w="184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92D2F35">
            <w:pPr>
              <w:bidi w:val="0"/>
              <w:jc w:val="center"/>
              <w:rPr>
                <w:rFonts w:hint="eastAsia"/>
                <w:highlight w:val="none"/>
                <w:lang w:val="zh-CN"/>
              </w:rPr>
            </w:pPr>
          </w:p>
        </w:tc>
      </w:tr>
      <w:tr w14:paraId="092284B8">
        <w:tblPrEx>
          <w:tblCellMar>
            <w:top w:w="0" w:type="dxa"/>
            <w:left w:w="108" w:type="dxa"/>
            <w:bottom w:w="0" w:type="dxa"/>
            <w:right w:w="108" w:type="dxa"/>
          </w:tblCellMar>
        </w:tblPrEx>
        <w:trPr>
          <w:trHeight w:val="1" w:hRule="atLeast"/>
        </w:trPr>
        <w:tc>
          <w:tcPr>
            <w:tcW w:w="198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DC0E3F4">
            <w:pPr>
              <w:bidi w:val="0"/>
              <w:jc w:val="center"/>
              <w:rPr>
                <w:rFonts w:hint="eastAsia"/>
                <w:highlight w:val="none"/>
                <w:lang w:val="zh-CN"/>
              </w:rPr>
            </w:pPr>
            <w:r>
              <w:rPr>
                <w:rFonts w:hint="eastAsia"/>
                <w:highlight w:val="none"/>
                <w:lang w:val="zh-CN"/>
              </w:rPr>
              <w:t>路表渗水系数</w:t>
            </w:r>
          </w:p>
        </w:tc>
        <w:tc>
          <w:tcPr>
            <w:tcW w:w="31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0FF6786">
            <w:pPr>
              <w:bidi w:val="0"/>
              <w:jc w:val="center"/>
              <w:rPr>
                <w:rFonts w:hint="eastAsia"/>
                <w:highlight w:val="none"/>
                <w:lang w:val="zh-CN"/>
              </w:rPr>
            </w:pPr>
            <w:r>
              <w:rPr>
                <w:rFonts w:hint="eastAsia"/>
                <w:highlight w:val="none"/>
                <w:lang w:val="zh-CN"/>
              </w:rPr>
              <w:t>封缝处不渗水</w:t>
            </w:r>
          </w:p>
        </w:tc>
        <w:tc>
          <w:tcPr>
            <w:tcW w:w="24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F6C8856">
            <w:pPr>
              <w:bidi w:val="0"/>
              <w:jc w:val="center"/>
              <w:rPr>
                <w:rFonts w:hint="eastAsia"/>
                <w:highlight w:val="none"/>
                <w:lang w:val="zh-CN"/>
              </w:rPr>
            </w:pPr>
            <w:r>
              <w:rPr>
                <w:rFonts w:hint="eastAsia"/>
                <w:highlight w:val="none"/>
                <w:lang w:val="zh-CN"/>
              </w:rPr>
              <w:t>处理路段随机抽样</w:t>
            </w:r>
          </w:p>
        </w:tc>
        <w:tc>
          <w:tcPr>
            <w:tcW w:w="184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91EB7A8">
            <w:pPr>
              <w:bidi w:val="0"/>
              <w:jc w:val="center"/>
              <w:rPr>
                <w:rFonts w:hint="eastAsia"/>
                <w:highlight w:val="none"/>
                <w:lang w:val="zh-CN"/>
              </w:rPr>
            </w:pPr>
            <w:r>
              <w:rPr>
                <w:rFonts w:hint="eastAsia"/>
                <w:highlight w:val="none"/>
                <w:lang w:val="zh-CN"/>
              </w:rPr>
              <w:t>T0971</w:t>
            </w:r>
          </w:p>
        </w:tc>
      </w:tr>
    </w:tbl>
    <w:p w14:paraId="4748A7C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7</w:t>
      </w:r>
      <w:r>
        <w:rPr>
          <w:rFonts w:hint="eastAsia" w:ascii="宋体" w:hAnsi="宋体" w:eastAsia="宋体" w:cs="宋体"/>
          <w:b w:val="0"/>
          <w:bCs w:val="0"/>
          <w:sz w:val="21"/>
          <w:szCs w:val="21"/>
          <w:highlight w:val="none"/>
          <w:lang w:val="zh-CN"/>
        </w:rPr>
        <w:t>）注意事项</w:t>
      </w:r>
    </w:p>
    <w:p w14:paraId="311ED45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zh-CN"/>
        </w:rPr>
        <w:t>）施工时环境温度应超过</w:t>
      </w:r>
      <w:r>
        <w:rPr>
          <w:rFonts w:hint="eastAsia" w:ascii="宋体" w:hAnsi="宋体" w:eastAsia="宋体" w:cs="宋体"/>
          <w:b w:val="0"/>
          <w:bCs w:val="0"/>
          <w:sz w:val="21"/>
          <w:szCs w:val="21"/>
          <w:highlight w:val="none"/>
        </w:rPr>
        <w:t>5</w:t>
      </w:r>
      <w:r>
        <w:rPr>
          <w:rFonts w:hint="eastAsia" w:ascii="宋体" w:hAnsi="宋体" w:eastAsia="宋体" w:cs="宋体"/>
          <w:b w:val="0"/>
          <w:bCs w:val="0"/>
          <w:sz w:val="21"/>
          <w:szCs w:val="21"/>
          <w:highlight w:val="none"/>
          <w:lang w:val="zh-CN"/>
        </w:rPr>
        <w:t>℃；</w:t>
      </w:r>
    </w:p>
    <w:p w14:paraId="026FC4C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zh-CN"/>
        </w:rPr>
        <w:t>）密封胶加热温度必须严格控制，不得超过规定的加热标准；</w:t>
      </w:r>
    </w:p>
    <w:p w14:paraId="501C06B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zh-CN"/>
        </w:rPr>
        <w:t>）清缝后，应确认</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zh-CN"/>
        </w:rPr>
        <w:t>裂缝边缘无明显的杂物灰尘，裂缝内干燥；</w:t>
      </w:r>
    </w:p>
    <w:p w14:paraId="4D91C91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zh-CN"/>
        </w:rPr>
        <w:t>）灌缝过程中，应控制沥青喷枪拖动速度，裂缝内灌满密封胶；</w:t>
      </w:r>
    </w:p>
    <w:p w14:paraId="00DC162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eastAsia="宋体" w:cs="宋体"/>
          <w:b w:val="0"/>
          <w:bCs w:val="0"/>
          <w:sz w:val="21"/>
          <w:szCs w:val="21"/>
          <w:highlight w:val="none"/>
          <w:lang w:val="zh-CN"/>
        </w:rPr>
        <w:t>）在密封胶固化前，不允许车辆通行。</w:t>
      </w:r>
    </w:p>
    <w:p w14:paraId="721D6357">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2.3 </w:t>
      </w:r>
      <w:r>
        <w:rPr>
          <w:rFonts w:hint="eastAsia" w:ascii="宋体" w:hAnsi="宋体" w:eastAsia="宋体" w:cs="宋体"/>
          <w:b w:val="0"/>
          <w:bCs w:val="0"/>
          <w:sz w:val="21"/>
          <w:szCs w:val="21"/>
          <w:highlight w:val="none"/>
          <w:lang w:val="zh-CN"/>
        </w:rPr>
        <w:t>开槽灌缝</w:t>
      </w:r>
    </w:p>
    <w:p w14:paraId="73CE77A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zh-CN"/>
        </w:rPr>
        <w:t>）适用范围</w:t>
      </w:r>
    </w:p>
    <w:p w14:paraId="03E5DB1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适用于沥青路面纵横向裂缝的处治，尤其适用于严重程度为重的裂缝处治。</w:t>
      </w:r>
    </w:p>
    <w:p w14:paraId="4EB20AF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zh-CN"/>
        </w:rPr>
        <w:t>）灌缝作业的时间</w:t>
      </w:r>
    </w:p>
    <w:p w14:paraId="0B1EE47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为了避免雨水通过裂缝进入路面结构，建议在</w:t>
      </w: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5</w:t>
      </w:r>
      <w:r>
        <w:rPr>
          <w:rFonts w:hint="eastAsia" w:ascii="宋体" w:hAnsi="宋体" w:eastAsia="宋体" w:cs="宋体"/>
          <w:b w:val="0"/>
          <w:bCs w:val="0"/>
          <w:sz w:val="21"/>
          <w:szCs w:val="21"/>
          <w:highlight w:val="none"/>
          <w:lang w:val="zh-CN"/>
        </w:rPr>
        <w:t>月及</w:t>
      </w:r>
      <w:r>
        <w:rPr>
          <w:rFonts w:hint="eastAsia" w:ascii="宋体" w:hAnsi="宋体" w:eastAsia="宋体" w:cs="宋体"/>
          <w:b w:val="0"/>
          <w:bCs w:val="0"/>
          <w:sz w:val="21"/>
          <w:szCs w:val="21"/>
          <w:highlight w:val="none"/>
        </w:rPr>
        <w:t>9~10</w:t>
      </w:r>
      <w:r>
        <w:rPr>
          <w:rFonts w:hint="eastAsia" w:ascii="宋体" w:hAnsi="宋体" w:eastAsia="宋体" w:cs="宋体"/>
          <w:b w:val="0"/>
          <w:bCs w:val="0"/>
          <w:sz w:val="21"/>
          <w:szCs w:val="21"/>
          <w:highlight w:val="none"/>
          <w:lang w:val="zh-CN"/>
        </w:rPr>
        <w:t>月对裂缝进行集中灌缝，并在日常养护中根据巡查结果对裂缝较密集段落进行适时灌缝。</w:t>
      </w:r>
    </w:p>
    <w:p w14:paraId="0099EB1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zh-CN"/>
        </w:rPr>
        <w:t>）原材料要求</w:t>
      </w:r>
    </w:p>
    <w:p w14:paraId="7081895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开槽灌缝所用的材料包括道路密封胶和洁净的细砂。</w:t>
      </w:r>
    </w:p>
    <w:p w14:paraId="4E9D2A5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zh-CN"/>
        </w:rPr>
        <w:t>）细砂：采用筛分过、具有较高强度、较好清洁度的</w:t>
      </w:r>
      <w:r>
        <w:rPr>
          <w:rFonts w:hint="eastAsia" w:ascii="宋体" w:hAnsi="宋体" w:eastAsia="宋体" w:cs="宋体"/>
          <w:b w:val="0"/>
          <w:bCs w:val="0"/>
          <w:sz w:val="21"/>
          <w:szCs w:val="21"/>
          <w:highlight w:val="none"/>
        </w:rPr>
        <w:t>0.5cm</w:t>
      </w:r>
      <w:r>
        <w:rPr>
          <w:rFonts w:hint="eastAsia" w:ascii="宋体" w:hAnsi="宋体" w:eastAsia="宋体" w:cs="宋体"/>
          <w:b w:val="0"/>
          <w:bCs w:val="0"/>
          <w:sz w:val="21"/>
          <w:szCs w:val="21"/>
          <w:highlight w:val="none"/>
          <w:lang w:val="zh-CN"/>
        </w:rPr>
        <w:t>细碎石、石屑和细砂。</w:t>
      </w:r>
    </w:p>
    <w:p w14:paraId="7765DC4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zh-CN"/>
        </w:rPr>
        <w:t>）密封胶：密封胶的技术要求。</w:t>
      </w:r>
    </w:p>
    <w:p w14:paraId="7EB9A5A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zh-CN"/>
        </w:rPr>
        <w:t>）机械设备</w:t>
      </w:r>
    </w:p>
    <w:p w14:paraId="6E7B8583">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根据开槽灌缝施工要求，开槽灌缝设备和机具配置（单个施工班组）如表</w:t>
      </w:r>
      <w:r>
        <w:rPr>
          <w:rFonts w:hint="eastAsia" w:ascii="宋体" w:hAnsi="宋体" w:eastAsia="宋体" w:cs="宋体"/>
          <w:b w:val="0"/>
          <w:bCs w:val="0"/>
          <w:sz w:val="21"/>
          <w:szCs w:val="21"/>
          <w:highlight w:val="none"/>
        </w:rPr>
        <w:t>2.3-1</w:t>
      </w:r>
      <w:r>
        <w:rPr>
          <w:rFonts w:hint="eastAsia" w:ascii="宋体" w:hAnsi="宋体" w:eastAsia="宋体" w:cs="宋体"/>
          <w:b w:val="0"/>
          <w:bCs w:val="0"/>
          <w:sz w:val="21"/>
          <w:szCs w:val="21"/>
          <w:highlight w:val="none"/>
          <w:lang w:val="zh-CN"/>
        </w:rPr>
        <w:t>所示。</w:t>
      </w:r>
    </w:p>
    <w:p w14:paraId="31973B4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表</w:t>
      </w:r>
      <w:r>
        <w:rPr>
          <w:rFonts w:hint="eastAsia" w:ascii="宋体" w:hAnsi="宋体" w:eastAsia="宋体" w:cs="宋体"/>
          <w:b w:val="0"/>
          <w:bCs w:val="0"/>
          <w:sz w:val="21"/>
          <w:szCs w:val="21"/>
          <w:highlight w:val="none"/>
        </w:rPr>
        <w:t xml:space="preserve">2.3-1 </w:t>
      </w:r>
      <w:r>
        <w:rPr>
          <w:rFonts w:hint="eastAsia" w:ascii="宋体" w:hAnsi="宋体" w:eastAsia="宋体" w:cs="宋体"/>
          <w:b w:val="0"/>
          <w:bCs w:val="0"/>
          <w:sz w:val="21"/>
          <w:szCs w:val="21"/>
          <w:highlight w:val="none"/>
          <w:lang w:val="zh-CN"/>
        </w:rPr>
        <w:t>开槽灌缝设备、机具要求</w:t>
      </w:r>
    </w:p>
    <w:tbl>
      <w:tblPr>
        <w:tblStyle w:val="62"/>
        <w:tblW w:w="0" w:type="auto"/>
        <w:tblInd w:w="108" w:type="dxa"/>
        <w:tblLayout w:type="fixed"/>
        <w:tblCellMar>
          <w:top w:w="0" w:type="dxa"/>
          <w:left w:w="108" w:type="dxa"/>
          <w:bottom w:w="0" w:type="dxa"/>
          <w:right w:w="108" w:type="dxa"/>
        </w:tblCellMar>
      </w:tblPr>
      <w:tblGrid>
        <w:gridCol w:w="1079"/>
        <w:gridCol w:w="3217"/>
        <w:gridCol w:w="2367"/>
        <w:gridCol w:w="2693"/>
      </w:tblGrid>
      <w:tr w14:paraId="732DE577">
        <w:tblPrEx>
          <w:tblCellMar>
            <w:top w:w="0" w:type="dxa"/>
            <w:left w:w="108" w:type="dxa"/>
            <w:bottom w:w="0" w:type="dxa"/>
            <w:right w:w="108" w:type="dxa"/>
          </w:tblCellMar>
        </w:tblPrEx>
        <w:trPr>
          <w:trHeight w:val="1"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B9AE545">
            <w:pPr>
              <w:bidi w:val="0"/>
              <w:jc w:val="center"/>
              <w:rPr>
                <w:rFonts w:hint="eastAsia"/>
                <w:highlight w:val="none"/>
                <w:lang w:val="zh-CN"/>
              </w:rPr>
            </w:pPr>
            <w:r>
              <w:rPr>
                <w:rFonts w:hint="eastAsia"/>
                <w:highlight w:val="none"/>
                <w:lang w:val="zh-CN"/>
              </w:rPr>
              <w:t>序号</w:t>
            </w:r>
          </w:p>
        </w:tc>
        <w:tc>
          <w:tcPr>
            <w:tcW w:w="32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64962B1">
            <w:pPr>
              <w:bidi w:val="0"/>
              <w:jc w:val="center"/>
              <w:rPr>
                <w:rFonts w:hint="eastAsia"/>
                <w:highlight w:val="none"/>
                <w:lang w:val="zh-CN"/>
              </w:rPr>
            </w:pPr>
            <w:r>
              <w:rPr>
                <w:rFonts w:hint="eastAsia"/>
                <w:highlight w:val="none"/>
                <w:lang w:val="zh-CN"/>
              </w:rPr>
              <w:t>设备机具名称</w:t>
            </w:r>
          </w:p>
        </w:tc>
        <w:tc>
          <w:tcPr>
            <w:tcW w:w="23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CC3B2DF">
            <w:pPr>
              <w:bidi w:val="0"/>
              <w:jc w:val="center"/>
              <w:rPr>
                <w:rFonts w:hint="eastAsia"/>
                <w:highlight w:val="none"/>
                <w:lang w:val="zh-CN"/>
              </w:rPr>
            </w:pPr>
            <w:r>
              <w:rPr>
                <w:rFonts w:hint="eastAsia"/>
                <w:highlight w:val="none"/>
                <w:lang w:val="zh-CN"/>
              </w:rPr>
              <w:t>单位</w:t>
            </w:r>
          </w:p>
        </w:tc>
        <w:tc>
          <w:tcPr>
            <w:tcW w:w="269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6554E16">
            <w:pPr>
              <w:bidi w:val="0"/>
              <w:jc w:val="center"/>
              <w:rPr>
                <w:rFonts w:hint="eastAsia"/>
                <w:highlight w:val="none"/>
                <w:lang w:val="zh-CN"/>
              </w:rPr>
            </w:pPr>
            <w:r>
              <w:rPr>
                <w:rFonts w:hint="eastAsia"/>
                <w:highlight w:val="none"/>
                <w:lang w:val="zh-CN"/>
              </w:rPr>
              <w:t>数量</w:t>
            </w:r>
          </w:p>
        </w:tc>
      </w:tr>
      <w:tr w14:paraId="1132F478">
        <w:tblPrEx>
          <w:tblCellMar>
            <w:top w:w="0" w:type="dxa"/>
            <w:left w:w="108" w:type="dxa"/>
            <w:bottom w:w="0" w:type="dxa"/>
            <w:right w:w="108" w:type="dxa"/>
          </w:tblCellMar>
        </w:tblPrEx>
        <w:trPr>
          <w:trHeight w:val="1"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21E2005">
            <w:pPr>
              <w:bidi w:val="0"/>
              <w:jc w:val="center"/>
              <w:rPr>
                <w:rFonts w:hint="eastAsia"/>
                <w:highlight w:val="none"/>
                <w:lang w:val="zh-CN"/>
              </w:rPr>
            </w:pPr>
            <w:r>
              <w:rPr>
                <w:rFonts w:hint="eastAsia"/>
                <w:highlight w:val="none"/>
                <w:lang w:val="zh-CN"/>
              </w:rPr>
              <w:t>1</w:t>
            </w:r>
          </w:p>
        </w:tc>
        <w:tc>
          <w:tcPr>
            <w:tcW w:w="32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827655">
            <w:pPr>
              <w:bidi w:val="0"/>
              <w:jc w:val="center"/>
              <w:rPr>
                <w:rFonts w:hint="eastAsia"/>
                <w:highlight w:val="none"/>
                <w:lang w:val="zh-CN"/>
              </w:rPr>
            </w:pPr>
            <w:r>
              <w:rPr>
                <w:rFonts w:hint="eastAsia"/>
                <w:highlight w:val="none"/>
                <w:lang w:val="zh-CN"/>
              </w:rPr>
              <w:t>灌缝机（灌缝车）</w:t>
            </w:r>
          </w:p>
        </w:tc>
        <w:tc>
          <w:tcPr>
            <w:tcW w:w="23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A944AFB">
            <w:pPr>
              <w:bidi w:val="0"/>
              <w:jc w:val="center"/>
              <w:rPr>
                <w:rFonts w:hint="eastAsia"/>
                <w:highlight w:val="none"/>
                <w:lang w:val="zh-CN"/>
              </w:rPr>
            </w:pPr>
            <w:r>
              <w:rPr>
                <w:rFonts w:hint="eastAsia"/>
                <w:highlight w:val="none"/>
                <w:lang w:val="zh-CN"/>
              </w:rPr>
              <w:t>台</w:t>
            </w:r>
          </w:p>
        </w:tc>
        <w:tc>
          <w:tcPr>
            <w:tcW w:w="269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1685D47">
            <w:pPr>
              <w:bidi w:val="0"/>
              <w:jc w:val="center"/>
              <w:rPr>
                <w:rFonts w:hint="eastAsia"/>
                <w:highlight w:val="none"/>
                <w:lang w:val="zh-CN"/>
              </w:rPr>
            </w:pPr>
            <w:r>
              <w:rPr>
                <w:rFonts w:hint="eastAsia"/>
                <w:highlight w:val="none"/>
                <w:lang w:val="zh-CN"/>
              </w:rPr>
              <w:t>1</w:t>
            </w:r>
          </w:p>
        </w:tc>
      </w:tr>
      <w:tr w14:paraId="5AA6BEF4">
        <w:tblPrEx>
          <w:tblCellMar>
            <w:top w:w="0" w:type="dxa"/>
            <w:left w:w="108" w:type="dxa"/>
            <w:bottom w:w="0" w:type="dxa"/>
            <w:right w:w="108" w:type="dxa"/>
          </w:tblCellMar>
        </w:tblPrEx>
        <w:trPr>
          <w:trHeight w:val="1"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C895552">
            <w:pPr>
              <w:bidi w:val="0"/>
              <w:jc w:val="center"/>
              <w:rPr>
                <w:rFonts w:hint="eastAsia"/>
                <w:highlight w:val="none"/>
                <w:lang w:val="zh-CN"/>
              </w:rPr>
            </w:pPr>
            <w:r>
              <w:rPr>
                <w:rFonts w:hint="eastAsia"/>
                <w:highlight w:val="none"/>
                <w:lang w:val="zh-CN"/>
              </w:rPr>
              <w:t>2</w:t>
            </w:r>
          </w:p>
        </w:tc>
        <w:tc>
          <w:tcPr>
            <w:tcW w:w="32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5532BBB">
            <w:pPr>
              <w:bidi w:val="0"/>
              <w:jc w:val="center"/>
              <w:rPr>
                <w:rFonts w:hint="eastAsia"/>
                <w:highlight w:val="none"/>
                <w:lang w:val="zh-CN"/>
              </w:rPr>
            </w:pPr>
            <w:r>
              <w:rPr>
                <w:rFonts w:hint="eastAsia"/>
                <w:highlight w:val="none"/>
                <w:lang w:val="zh-CN"/>
              </w:rPr>
              <w:t>开槽机</w:t>
            </w:r>
          </w:p>
        </w:tc>
        <w:tc>
          <w:tcPr>
            <w:tcW w:w="23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A8FFFB9">
            <w:pPr>
              <w:bidi w:val="0"/>
              <w:jc w:val="center"/>
              <w:rPr>
                <w:rFonts w:hint="eastAsia"/>
                <w:highlight w:val="none"/>
                <w:lang w:val="zh-CN"/>
              </w:rPr>
            </w:pPr>
            <w:r>
              <w:rPr>
                <w:rFonts w:hint="eastAsia"/>
                <w:highlight w:val="none"/>
                <w:lang w:val="zh-CN"/>
              </w:rPr>
              <w:t>台</w:t>
            </w:r>
          </w:p>
        </w:tc>
        <w:tc>
          <w:tcPr>
            <w:tcW w:w="269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25979DD">
            <w:pPr>
              <w:bidi w:val="0"/>
              <w:jc w:val="center"/>
              <w:rPr>
                <w:rFonts w:hint="eastAsia"/>
                <w:highlight w:val="none"/>
                <w:lang w:val="zh-CN"/>
              </w:rPr>
            </w:pPr>
            <w:r>
              <w:rPr>
                <w:rFonts w:hint="eastAsia"/>
                <w:highlight w:val="none"/>
                <w:lang w:val="zh-CN"/>
              </w:rPr>
              <w:t>1</w:t>
            </w:r>
          </w:p>
        </w:tc>
      </w:tr>
      <w:tr w14:paraId="283456D7">
        <w:tblPrEx>
          <w:tblCellMar>
            <w:top w:w="0" w:type="dxa"/>
            <w:left w:w="108" w:type="dxa"/>
            <w:bottom w:w="0" w:type="dxa"/>
            <w:right w:w="108" w:type="dxa"/>
          </w:tblCellMar>
        </w:tblPrEx>
        <w:trPr>
          <w:trHeight w:val="1"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57B79C9">
            <w:pPr>
              <w:bidi w:val="0"/>
              <w:jc w:val="center"/>
              <w:rPr>
                <w:rFonts w:hint="eastAsia"/>
                <w:highlight w:val="none"/>
                <w:lang w:val="zh-CN"/>
              </w:rPr>
            </w:pPr>
            <w:r>
              <w:rPr>
                <w:rFonts w:hint="eastAsia"/>
                <w:highlight w:val="none"/>
                <w:lang w:val="zh-CN"/>
              </w:rPr>
              <w:t>3</w:t>
            </w:r>
          </w:p>
        </w:tc>
        <w:tc>
          <w:tcPr>
            <w:tcW w:w="32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4815F3B">
            <w:pPr>
              <w:bidi w:val="0"/>
              <w:jc w:val="center"/>
              <w:rPr>
                <w:rFonts w:hint="eastAsia"/>
                <w:highlight w:val="none"/>
                <w:lang w:val="zh-CN"/>
              </w:rPr>
            </w:pPr>
            <w:r>
              <w:rPr>
                <w:rFonts w:hint="eastAsia"/>
                <w:highlight w:val="none"/>
                <w:lang w:val="zh-CN"/>
              </w:rPr>
              <w:t>空压机或吹风机</w:t>
            </w:r>
          </w:p>
        </w:tc>
        <w:tc>
          <w:tcPr>
            <w:tcW w:w="23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BD830CD">
            <w:pPr>
              <w:bidi w:val="0"/>
              <w:jc w:val="center"/>
              <w:rPr>
                <w:rFonts w:hint="eastAsia"/>
                <w:highlight w:val="none"/>
                <w:lang w:val="zh-CN"/>
              </w:rPr>
            </w:pPr>
            <w:r>
              <w:rPr>
                <w:rFonts w:hint="eastAsia"/>
                <w:highlight w:val="none"/>
                <w:lang w:val="zh-CN"/>
              </w:rPr>
              <w:t>台</w:t>
            </w:r>
          </w:p>
        </w:tc>
        <w:tc>
          <w:tcPr>
            <w:tcW w:w="269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98016FB">
            <w:pPr>
              <w:bidi w:val="0"/>
              <w:jc w:val="center"/>
              <w:rPr>
                <w:rFonts w:hint="eastAsia"/>
                <w:highlight w:val="none"/>
                <w:lang w:val="zh-CN"/>
              </w:rPr>
            </w:pPr>
            <w:r>
              <w:rPr>
                <w:rFonts w:hint="eastAsia"/>
                <w:highlight w:val="none"/>
                <w:lang w:val="zh-CN"/>
              </w:rPr>
              <w:t>1</w:t>
            </w:r>
          </w:p>
        </w:tc>
      </w:tr>
      <w:tr w14:paraId="004A27EA">
        <w:tblPrEx>
          <w:tblCellMar>
            <w:top w:w="0" w:type="dxa"/>
            <w:left w:w="108" w:type="dxa"/>
            <w:bottom w:w="0" w:type="dxa"/>
            <w:right w:w="108" w:type="dxa"/>
          </w:tblCellMar>
        </w:tblPrEx>
        <w:trPr>
          <w:trHeight w:val="1"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F8CE926">
            <w:pPr>
              <w:bidi w:val="0"/>
              <w:jc w:val="center"/>
              <w:rPr>
                <w:rFonts w:hint="eastAsia"/>
                <w:highlight w:val="none"/>
                <w:lang w:val="zh-CN"/>
              </w:rPr>
            </w:pPr>
            <w:r>
              <w:rPr>
                <w:rFonts w:hint="eastAsia"/>
                <w:highlight w:val="none"/>
                <w:lang w:val="zh-CN"/>
              </w:rPr>
              <w:t>4</w:t>
            </w:r>
          </w:p>
        </w:tc>
        <w:tc>
          <w:tcPr>
            <w:tcW w:w="32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8540307">
            <w:pPr>
              <w:bidi w:val="0"/>
              <w:jc w:val="center"/>
              <w:rPr>
                <w:rFonts w:hint="eastAsia"/>
                <w:highlight w:val="none"/>
                <w:lang w:val="zh-CN"/>
              </w:rPr>
            </w:pPr>
            <w:r>
              <w:rPr>
                <w:rFonts w:hint="eastAsia"/>
                <w:highlight w:val="none"/>
                <w:lang w:val="zh-CN"/>
              </w:rPr>
              <w:t>加热喷枪</w:t>
            </w:r>
          </w:p>
        </w:tc>
        <w:tc>
          <w:tcPr>
            <w:tcW w:w="23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0D17150">
            <w:pPr>
              <w:bidi w:val="0"/>
              <w:jc w:val="center"/>
              <w:rPr>
                <w:rFonts w:hint="eastAsia"/>
                <w:highlight w:val="none"/>
                <w:lang w:val="zh-CN"/>
              </w:rPr>
            </w:pPr>
            <w:r>
              <w:rPr>
                <w:rFonts w:hint="eastAsia"/>
                <w:highlight w:val="none"/>
                <w:lang w:val="zh-CN"/>
              </w:rPr>
              <w:t>个</w:t>
            </w:r>
          </w:p>
        </w:tc>
        <w:tc>
          <w:tcPr>
            <w:tcW w:w="269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E31B7BD">
            <w:pPr>
              <w:bidi w:val="0"/>
              <w:jc w:val="center"/>
              <w:rPr>
                <w:rFonts w:hint="eastAsia"/>
                <w:highlight w:val="none"/>
                <w:lang w:val="zh-CN"/>
              </w:rPr>
            </w:pPr>
            <w:r>
              <w:rPr>
                <w:rFonts w:hint="eastAsia"/>
                <w:highlight w:val="none"/>
                <w:lang w:val="zh-CN"/>
              </w:rPr>
              <w:t>1</w:t>
            </w:r>
          </w:p>
        </w:tc>
      </w:tr>
      <w:tr w14:paraId="27A12E87">
        <w:tblPrEx>
          <w:tblCellMar>
            <w:top w:w="0" w:type="dxa"/>
            <w:left w:w="108" w:type="dxa"/>
            <w:bottom w:w="0" w:type="dxa"/>
            <w:right w:w="108" w:type="dxa"/>
          </w:tblCellMar>
        </w:tblPrEx>
        <w:trPr>
          <w:trHeight w:val="1"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3A8D3C2">
            <w:pPr>
              <w:bidi w:val="0"/>
              <w:jc w:val="center"/>
              <w:rPr>
                <w:rFonts w:hint="eastAsia"/>
                <w:highlight w:val="none"/>
                <w:lang w:val="zh-CN"/>
              </w:rPr>
            </w:pPr>
            <w:r>
              <w:rPr>
                <w:rFonts w:hint="eastAsia"/>
                <w:highlight w:val="none"/>
                <w:lang w:val="zh-CN"/>
              </w:rPr>
              <w:t>5</w:t>
            </w:r>
          </w:p>
        </w:tc>
        <w:tc>
          <w:tcPr>
            <w:tcW w:w="32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E691609">
            <w:pPr>
              <w:bidi w:val="0"/>
              <w:jc w:val="center"/>
              <w:rPr>
                <w:rFonts w:hint="eastAsia"/>
                <w:highlight w:val="none"/>
                <w:lang w:val="zh-CN"/>
              </w:rPr>
            </w:pPr>
            <w:r>
              <w:rPr>
                <w:rFonts w:hint="eastAsia"/>
                <w:highlight w:val="none"/>
                <w:lang w:val="zh-CN"/>
              </w:rPr>
              <w:t>钢丝刷</w:t>
            </w:r>
          </w:p>
        </w:tc>
        <w:tc>
          <w:tcPr>
            <w:tcW w:w="23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9359466">
            <w:pPr>
              <w:bidi w:val="0"/>
              <w:jc w:val="center"/>
              <w:rPr>
                <w:rFonts w:hint="eastAsia"/>
                <w:highlight w:val="none"/>
                <w:lang w:val="zh-CN"/>
              </w:rPr>
            </w:pPr>
            <w:r>
              <w:rPr>
                <w:rFonts w:hint="eastAsia"/>
                <w:highlight w:val="none"/>
                <w:lang w:val="zh-CN"/>
              </w:rPr>
              <w:t>把</w:t>
            </w:r>
          </w:p>
        </w:tc>
        <w:tc>
          <w:tcPr>
            <w:tcW w:w="269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06F11B0">
            <w:pPr>
              <w:bidi w:val="0"/>
              <w:jc w:val="center"/>
              <w:rPr>
                <w:rFonts w:hint="eastAsia"/>
                <w:highlight w:val="none"/>
                <w:lang w:val="zh-CN"/>
              </w:rPr>
            </w:pPr>
            <w:r>
              <w:rPr>
                <w:rFonts w:hint="eastAsia"/>
                <w:highlight w:val="none"/>
                <w:lang w:val="zh-CN"/>
              </w:rPr>
              <w:t>若干</w:t>
            </w:r>
          </w:p>
        </w:tc>
      </w:tr>
      <w:tr w14:paraId="1CE09760">
        <w:tblPrEx>
          <w:tblCellMar>
            <w:top w:w="0" w:type="dxa"/>
            <w:left w:w="108" w:type="dxa"/>
            <w:bottom w:w="0" w:type="dxa"/>
            <w:right w:w="108" w:type="dxa"/>
          </w:tblCellMar>
        </w:tblPrEx>
        <w:trPr>
          <w:trHeight w:val="1" w:hRule="atLeast"/>
        </w:trPr>
        <w:tc>
          <w:tcPr>
            <w:tcW w:w="10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6129362">
            <w:pPr>
              <w:bidi w:val="0"/>
              <w:jc w:val="center"/>
              <w:rPr>
                <w:rFonts w:hint="eastAsia"/>
                <w:highlight w:val="none"/>
                <w:lang w:val="zh-CN"/>
              </w:rPr>
            </w:pPr>
            <w:r>
              <w:rPr>
                <w:rFonts w:hint="eastAsia"/>
                <w:highlight w:val="none"/>
                <w:lang w:val="zh-CN"/>
              </w:rPr>
              <w:t>6</w:t>
            </w:r>
          </w:p>
        </w:tc>
        <w:tc>
          <w:tcPr>
            <w:tcW w:w="32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7AA67A6">
            <w:pPr>
              <w:bidi w:val="0"/>
              <w:jc w:val="center"/>
              <w:rPr>
                <w:rFonts w:hint="eastAsia"/>
                <w:highlight w:val="none"/>
                <w:lang w:val="zh-CN"/>
              </w:rPr>
            </w:pPr>
            <w:r>
              <w:rPr>
                <w:rFonts w:hint="eastAsia"/>
                <w:highlight w:val="none"/>
                <w:lang w:val="zh-CN"/>
              </w:rPr>
              <w:t>扫帚</w:t>
            </w:r>
          </w:p>
        </w:tc>
        <w:tc>
          <w:tcPr>
            <w:tcW w:w="23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6ACD450">
            <w:pPr>
              <w:bidi w:val="0"/>
              <w:jc w:val="center"/>
              <w:rPr>
                <w:rFonts w:hint="eastAsia"/>
                <w:highlight w:val="none"/>
                <w:lang w:val="zh-CN"/>
              </w:rPr>
            </w:pPr>
            <w:r>
              <w:rPr>
                <w:rFonts w:hint="eastAsia"/>
                <w:highlight w:val="none"/>
                <w:lang w:val="zh-CN"/>
              </w:rPr>
              <w:t>把</w:t>
            </w:r>
          </w:p>
        </w:tc>
        <w:tc>
          <w:tcPr>
            <w:tcW w:w="269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E33AAD2">
            <w:pPr>
              <w:bidi w:val="0"/>
              <w:jc w:val="center"/>
              <w:rPr>
                <w:rFonts w:hint="eastAsia"/>
                <w:highlight w:val="none"/>
                <w:lang w:val="zh-CN"/>
              </w:rPr>
            </w:pPr>
            <w:r>
              <w:rPr>
                <w:rFonts w:hint="eastAsia"/>
                <w:highlight w:val="none"/>
                <w:lang w:val="zh-CN"/>
              </w:rPr>
              <w:t>若干</w:t>
            </w:r>
          </w:p>
        </w:tc>
      </w:tr>
    </w:tbl>
    <w:p w14:paraId="5819DCE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p>
    <w:p w14:paraId="64D949E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5</w:t>
      </w:r>
      <w:r>
        <w:rPr>
          <w:rFonts w:hint="eastAsia" w:ascii="宋体" w:hAnsi="宋体" w:eastAsia="宋体" w:cs="宋体"/>
          <w:b w:val="0"/>
          <w:bCs w:val="0"/>
          <w:sz w:val="21"/>
          <w:szCs w:val="21"/>
          <w:highlight w:val="none"/>
          <w:lang w:val="zh-CN"/>
        </w:rPr>
        <w:t>）施工工艺</w:t>
      </w:r>
    </w:p>
    <w:p w14:paraId="63D50BEB">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zh-CN"/>
        </w:rPr>
        <w:t>）施工准备</w:t>
      </w:r>
    </w:p>
    <w:p w14:paraId="153DBD2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施工前准备充足的、符合要求的道路密封胶，对灌缝设备进行性能检查，确保沥青管路、沥青喷枪畅道，高压热空气吹烤装置空压足够、温度适宜，根据安全作业规程进行交通管制，摆放交通安全标志。</w:t>
      </w:r>
    </w:p>
    <w:p w14:paraId="0BAEBAF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zh-CN"/>
        </w:rPr>
        <w:t>）预热道路密封胶</w:t>
      </w:r>
    </w:p>
    <w:p w14:paraId="4A17C686">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启动密封胶加热设备，当密封胶加热到一定（</w:t>
      </w:r>
      <w:r>
        <w:rPr>
          <w:rFonts w:hint="eastAsia" w:ascii="宋体" w:hAnsi="宋体" w:eastAsia="宋体" w:cs="宋体"/>
          <w:b w:val="0"/>
          <w:bCs w:val="0"/>
          <w:sz w:val="21"/>
          <w:szCs w:val="21"/>
          <w:highlight w:val="none"/>
        </w:rPr>
        <w:t>80-100</w:t>
      </w:r>
      <w:r>
        <w:rPr>
          <w:rFonts w:hint="eastAsia" w:ascii="宋体" w:hAnsi="宋体" w:eastAsia="宋体" w:cs="宋体"/>
          <w:b w:val="0"/>
          <w:bCs w:val="0"/>
          <w:sz w:val="21"/>
          <w:szCs w:val="21"/>
          <w:highlight w:val="none"/>
          <w:lang w:val="zh-CN"/>
        </w:rPr>
        <w:t>℃）温度后，启动沥青搅拌器对密封胶进行搅拌，以保证密封胶均匀受热。当密封胶被加热到</w:t>
      </w:r>
      <w:r>
        <w:rPr>
          <w:rFonts w:hint="eastAsia" w:ascii="宋体" w:hAnsi="宋体" w:eastAsia="宋体" w:cs="宋体"/>
          <w:b w:val="0"/>
          <w:bCs w:val="0"/>
          <w:sz w:val="21"/>
          <w:szCs w:val="21"/>
          <w:highlight w:val="none"/>
        </w:rPr>
        <w:t>160-180</w:t>
      </w:r>
      <w:r>
        <w:rPr>
          <w:rFonts w:hint="eastAsia" w:ascii="宋体" w:hAnsi="宋体" w:eastAsia="宋体" w:cs="宋体"/>
          <w:b w:val="0"/>
          <w:bCs w:val="0"/>
          <w:sz w:val="21"/>
          <w:szCs w:val="21"/>
          <w:highlight w:val="none"/>
          <w:lang w:val="zh-CN"/>
        </w:rPr>
        <w:t>℃时，采取保温措施，即可灌治裂缝。</w:t>
      </w:r>
    </w:p>
    <w:p w14:paraId="3F90F27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zh-CN"/>
        </w:rPr>
        <w:t>）开槽扩缝</w:t>
      </w:r>
    </w:p>
    <w:p w14:paraId="316A0DE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采用开槽机沿着裂缝位置对裂缝进行开槽处理，开槽宽度不少于</w:t>
      </w:r>
      <w:r>
        <w:rPr>
          <w:rFonts w:hint="eastAsia" w:ascii="宋体" w:hAnsi="宋体" w:eastAsia="宋体" w:cs="宋体"/>
          <w:b w:val="0"/>
          <w:bCs w:val="0"/>
          <w:sz w:val="21"/>
          <w:szCs w:val="21"/>
          <w:highlight w:val="none"/>
        </w:rPr>
        <w:t>10mm</w:t>
      </w:r>
      <w:r>
        <w:rPr>
          <w:rFonts w:hint="eastAsia" w:ascii="宋体" w:hAnsi="宋体" w:eastAsia="宋体" w:cs="宋体"/>
          <w:b w:val="0"/>
          <w:bCs w:val="0"/>
          <w:sz w:val="21"/>
          <w:szCs w:val="21"/>
          <w:highlight w:val="none"/>
          <w:lang w:val="zh-CN"/>
        </w:rPr>
        <w:t>，宜</w:t>
      </w:r>
      <w:r>
        <w:rPr>
          <w:rFonts w:hint="eastAsia" w:ascii="宋体" w:hAnsi="宋体" w:eastAsia="宋体" w:cs="宋体"/>
          <w:b w:val="0"/>
          <w:bCs w:val="0"/>
          <w:sz w:val="21"/>
          <w:szCs w:val="21"/>
          <w:highlight w:val="none"/>
        </w:rPr>
        <w:t>10mm</w:t>
      </w:r>
      <w:r>
        <w:rPr>
          <w:rFonts w:hint="eastAsia" w:ascii="宋体" w:hAnsi="宋体" w:eastAsia="宋体" w:cs="宋体"/>
          <w:b w:val="0"/>
          <w:bCs w:val="0"/>
          <w:sz w:val="21"/>
          <w:szCs w:val="21"/>
          <w:highlight w:val="none"/>
          <w:lang w:val="zh-CN"/>
        </w:rPr>
        <w:t>，深度范围为</w:t>
      </w:r>
      <w:r>
        <w:rPr>
          <w:rFonts w:hint="eastAsia" w:ascii="宋体" w:hAnsi="宋体" w:eastAsia="宋体" w:cs="宋体"/>
          <w:b w:val="0"/>
          <w:bCs w:val="0"/>
          <w:sz w:val="21"/>
          <w:szCs w:val="21"/>
          <w:highlight w:val="none"/>
        </w:rPr>
        <w:t>12~25mm</w:t>
      </w:r>
      <w:r>
        <w:rPr>
          <w:rFonts w:hint="eastAsia" w:ascii="宋体" w:hAnsi="宋体" w:eastAsia="宋体" w:cs="宋体"/>
          <w:b w:val="0"/>
          <w:bCs w:val="0"/>
          <w:sz w:val="21"/>
          <w:szCs w:val="21"/>
          <w:highlight w:val="none"/>
          <w:lang w:val="zh-CN"/>
        </w:rPr>
        <w:t>，宜</w:t>
      </w:r>
      <w:r>
        <w:rPr>
          <w:rFonts w:hint="eastAsia" w:ascii="宋体" w:hAnsi="宋体" w:eastAsia="宋体" w:cs="宋体"/>
          <w:b w:val="0"/>
          <w:bCs w:val="0"/>
          <w:sz w:val="21"/>
          <w:szCs w:val="21"/>
          <w:highlight w:val="none"/>
        </w:rPr>
        <w:t>15mm</w:t>
      </w:r>
      <w:r>
        <w:rPr>
          <w:rFonts w:hint="eastAsia" w:ascii="宋体" w:hAnsi="宋体" w:eastAsia="宋体" w:cs="宋体"/>
          <w:b w:val="0"/>
          <w:bCs w:val="0"/>
          <w:sz w:val="21"/>
          <w:szCs w:val="21"/>
          <w:highlight w:val="none"/>
          <w:lang w:val="zh-CN"/>
        </w:rPr>
        <w:t>，深宽比控制在</w:t>
      </w:r>
      <w:r>
        <w:rPr>
          <w:rFonts w:hint="eastAsia" w:ascii="宋体" w:hAnsi="宋体" w:eastAsia="宋体" w:cs="宋体"/>
          <w:b w:val="0"/>
          <w:bCs w:val="0"/>
          <w:sz w:val="21"/>
          <w:szCs w:val="21"/>
          <w:highlight w:val="none"/>
        </w:rPr>
        <w:t>1.3~2</w:t>
      </w:r>
      <w:r>
        <w:rPr>
          <w:rFonts w:hint="eastAsia" w:ascii="宋体" w:hAnsi="宋体" w:eastAsia="宋体" w:cs="宋体"/>
          <w:b w:val="0"/>
          <w:bCs w:val="0"/>
          <w:sz w:val="21"/>
          <w:szCs w:val="21"/>
          <w:highlight w:val="none"/>
          <w:lang w:val="zh-CN"/>
        </w:rPr>
        <w:t>之间。</w:t>
      </w:r>
    </w:p>
    <w:p w14:paraId="00146F2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zh-CN"/>
        </w:rPr>
        <w:t>）清扫裂缝</w:t>
      </w:r>
    </w:p>
    <w:p w14:paraId="45C72C3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用扫帚进行清扫，必要时采用钢丝刷清刷裂缝边缘灰尘，空压机吹净裂缝周围及裂缝内的杂物和灰尘以及槽边缘已松动的部分。若气温较低（＜</w:t>
      </w:r>
      <w:r>
        <w:rPr>
          <w:rFonts w:hint="eastAsia" w:ascii="宋体" w:hAnsi="宋体" w:eastAsia="宋体" w:cs="宋体"/>
          <w:b w:val="0"/>
          <w:bCs w:val="0"/>
          <w:sz w:val="21"/>
          <w:szCs w:val="21"/>
          <w:highlight w:val="none"/>
        </w:rPr>
        <w:t>10</w:t>
      </w:r>
      <w:r>
        <w:rPr>
          <w:rFonts w:hint="eastAsia" w:ascii="宋体" w:hAnsi="宋体" w:eastAsia="宋体" w:cs="宋体"/>
          <w:b w:val="0"/>
          <w:bCs w:val="0"/>
          <w:sz w:val="21"/>
          <w:szCs w:val="21"/>
          <w:highlight w:val="none"/>
          <w:lang w:val="zh-CN"/>
        </w:rPr>
        <w:t>℃）或裂缝内壁潮湿时，需对裂缝开槽位置进行加热烘干，采用加热喷枪预热裂缝边缘。</w:t>
      </w:r>
    </w:p>
    <w:p w14:paraId="5CAC0EE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eastAsia="宋体" w:cs="宋体"/>
          <w:b w:val="0"/>
          <w:bCs w:val="0"/>
          <w:sz w:val="21"/>
          <w:szCs w:val="21"/>
          <w:highlight w:val="none"/>
          <w:lang w:val="zh-CN"/>
        </w:rPr>
        <w:t>）灌缝处治</w:t>
      </w:r>
    </w:p>
    <w:p w14:paraId="15B3A252">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利用灌缝机将加热到要求温度的密封胶灌入裂缝，灌缝方向由低的一段向高的一端灌注，灌缝应均匀一致，</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zh-CN"/>
        </w:rPr>
        <w:t>避免漏灌和填缝料外溢现象。如有漏灌现象则人工及时补齐。填缝料外溢流淌到接缝两侧面板，影响路面平整度与路容时应予以清除。</w:t>
      </w:r>
    </w:p>
    <w:p w14:paraId="25D0E1D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w:t>
      </w:r>
      <w:r>
        <w:rPr>
          <w:rFonts w:hint="eastAsia" w:ascii="宋体" w:hAnsi="宋体" w:eastAsia="宋体" w:cs="宋体"/>
          <w:b w:val="0"/>
          <w:bCs w:val="0"/>
          <w:sz w:val="21"/>
          <w:szCs w:val="21"/>
          <w:highlight w:val="none"/>
          <w:lang w:val="zh-CN"/>
        </w:rPr>
        <w:t>）开放交通</w:t>
      </w:r>
    </w:p>
    <w:p w14:paraId="0810BF0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灌缝结束后，待灌封胶完全冷却</w:t>
      </w:r>
      <w:r>
        <w:rPr>
          <w:rFonts w:hint="eastAsia" w:ascii="宋体" w:hAnsi="宋体" w:eastAsia="宋体" w:cs="宋体"/>
          <w:b w:val="0"/>
          <w:bCs w:val="0"/>
          <w:sz w:val="21"/>
          <w:szCs w:val="21"/>
          <w:highlight w:val="none"/>
        </w:rPr>
        <w:t>15~30min</w:t>
      </w:r>
      <w:r>
        <w:rPr>
          <w:rFonts w:hint="eastAsia" w:ascii="宋体" w:hAnsi="宋体" w:eastAsia="宋体" w:cs="宋体"/>
          <w:b w:val="0"/>
          <w:bCs w:val="0"/>
          <w:sz w:val="21"/>
          <w:szCs w:val="21"/>
          <w:highlight w:val="none"/>
          <w:lang w:val="zh-CN"/>
        </w:rPr>
        <w:t>后开放交通。为了提前开放交通，减轻因养护作业产生的交通压力，在灌缝密封胶上撒布少量细砂，或采用喷雾设备均匀喷洒，防止灌封胶粘轮。</w:t>
      </w:r>
    </w:p>
    <w:p w14:paraId="5C53552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6</w:t>
      </w:r>
      <w:r>
        <w:rPr>
          <w:rFonts w:hint="eastAsia" w:ascii="宋体" w:hAnsi="宋体" w:eastAsia="宋体" w:cs="宋体"/>
          <w:b w:val="0"/>
          <w:bCs w:val="0"/>
          <w:sz w:val="21"/>
          <w:szCs w:val="21"/>
          <w:highlight w:val="none"/>
          <w:lang w:val="zh-CN"/>
        </w:rPr>
        <w:t>）质量控制</w:t>
      </w:r>
    </w:p>
    <w:p w14:paraId="170E2DB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灌缝施工结束后，养护单位应对清缝灌缝路段进行自检，并提交自检报告。质量控制要求见表</w:t>
      </w:r>
      <w:r>
        <w:rPr>
          <w:rFonts w:hint="eastAsia" w:ascii="宋体" w:hAnsi="宋体" w:eastAsia="宋体" w:cs="宋体"/>
          <w:b w:val="0"/>
          <w:bCs w:val="0"/>
          <w:sz w:val="21"/>
          <w:szCs w:val="21"/>
          <w:highlight w:val="none"/>
        </w:rPr>
        <w:t>2.3-2</w:t>
      </w:r>
      <w:r>
        <w:rPr>
          <w:rFonts w:hint="eastAsia" w:ascii="宋体" w:hAnsi="宋体" w:eastAsia="宋体" w:cs="宋体"/>
          <w:b w:val="0"/>
          <w:bCs w:val="0"/>
          <w:sz w:val="21"/>
          <w:szCs w:val="21"/>
          <w:highlight w:val="none"/>
          <w:lang w:val="zh-CN"/>
        </w:rPr>
        <w:t>。</w:t>
      </w:r>
    </w:p>
    <w:p w14:paraId="36CD1542">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表</w:t>
      </w:r>
      <w:r>
        <w:rPr>
          <w:rFonts w:hint="eastAsia" w:ascii="宋体" w:hAnsi="宋体" w:eastAsia="宋体" w:cs="宋体"/>
          <w:b w:val="0"/>
          <w:bCs w:val="0"/>
          <w:sz w:val="21"/>
          <w:szCs w:val="21"/>
          <w:highlight w:val="none"/>
        </w:rPr>
        <w:t xml:space="preserve">2.3-2 </w:t>
      </w:r>
      <w:r>
        <w:rPr>
          <w:rFonts w:hint="eastAsia" w:ascii="宋体" w:hAnsi="宋体" w:eastAsia="宋体" w:cs="宋体"/>
          <w:b w:val="0"/>
          <w:bCs w:val="0"/>
          <w:sz w:val="21"/>
          <w:szCs w:val="21"/>
          <w:highlight w:val="none"/>
          <w:lang w:val="zh-CN"/>
        </w:rPr>
        <w:t>清缝灌缝质量控制</w:t>
      </w:r>
    </w:p>
    <w:tbl>
      <w:tblPr>
        <w:tblStyle w:val="62"/>
        <w:tblW w:w="0" w:type="auto"/>
        <w:tblInd w:w="108" w:type="dxa"/>
        <w:tblLayout w:type="fixed"/>
        <w:tblCellMar>
          <w:top w:w="0" w:type="dxa"/>
          <w:left w:w="108" w:type="dxa"/>
          <w:bottom w:w="0" w:type="dxa"/>
          <w:right w:w="108" w:type="dxa"/>
        </w:tblCellMar>
      </w:tblPr>
      <w:tblGrid>
        <w:gridCol w:w="426"/>
        <w:gridCol w:w="1100"/>
        <w:gridCol w:w="3861"/>
        <w:gridCol w:w="2268"/>
        <w:gridCol w:w="1701"/>
      </w:tblGrid>
      <w:tr w14:paraId="3A661E58">
        <w:tblPrEx>
          <w:tblCellMar>
            <w:top w:w="0" w:type="dxa"/>
            <w:left w:w="108" w:type="dxa"/>
            <w:bottom w:w="0" w:type="dxa"/>
            <w:right w:w="108" w:type="dxa"/>
          </w:tblCellMar>
        </w:tblPrEx>
        <w:trPr>
          <w:trHeight w:val="1" w:hRule="atLeast"/>
        </w:trPr>
        <w:tc>
          <w:tcPr>
            <w:tcW w:w="1526"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AC3D675">
            <w:pPr>
              <w:bidi w:val="0"/>
              <w:jc w:val="center"/>
              <w:rPr>
                <w:rFonts w:hint="eastAsia"/>
                <w:highlight w:val="none"/>
                <w:lang w:val="zh-CN"/>
              </w:rPr>
            </w:pPr>
            <w:r>
              <w:rPr>
                <w:rFonts w:hint="eastAsia"/>
                <w:highlight w:val="none"/>
                <w:lang w:val="zh-CN"/>
              </w:rPr>
              <w:t>项目</w:t>
            </w:r>
          </w:p>
        </w:tc>
        <w:tc>
          <w:tcPr>
            <w:tcW w:w="386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095A293">
            <w:pPr>
              <w:bidi w:val="0"/>
              <w:jc w:val="center"/>
              <w:rPr>
                <w:rFonts w:hint="eastAsia"/>
                <w:highlight w:val="none"/>
                <w:lang w:val="zh-CN"/>
              </w:rPr>
            </w:pPr>
            <w:r>
              <w:rPr>
                <w:rFonts w:hint="eastAsia"/>
                <w:highlight w:val="none"/>
                <w:lang w:val="zh-CN"/>
              </w:rPr>
              <w:t>质量要求</w:t>
            </w:r>
          </w:p>
        </w:tc>
        <w:tc>
          <w:tcPr>
            <w:tcW w:w="2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0B19E9D">
            <w:pPr>
              <w:bidi w:val="0"/>
              <w:jc w:val="center"/>
              <w:rPr>
                <w:rFonts w:hint="eastAsia"/>
                <w:highlight w:val="none"/>
                <w:lang w:val="zh-CN"/>
              </w:rPr>
            </w:pPr>
            <w:r>
              <w:rPr>
                <w:rFonts w:hint="eastAsia"/>
                <w:highlight w:val="none"/>
                <w:lang w:val="zh-CN"/>
              </w:rPr>
              <w:t>检验频率</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E921D84">
            <w:pPr>
              <w:bidi w:val="0"/>
              <w:jc w:val="center"/>
              <w:rPr>
                <w:rFonts w:hint="eastAsia"/>
                <w:highlight w:val="none"/>
                <w:lang w:val="zh-CN"/>
              </w:rPr>
            </w:pPr>
            <w:r>
              <w:rPr>
                <w:rFonts w:hint="eastAsia"/>
                <w:highlight w:val="none"/>
                <w:lang w:val="zh-CN"/>
              </w:rPr>
              <w:t>检验方法</w:t>
            </w:r>
          </w:p>
        </w:tc>
      </w:tr>
      <w:tr w14:paraId="5067E680">
        <w:tblPrEx>
          <w:tblCellMar>
            <w:top w:w="0" w:type="dxa"/>
            <w:left w:w="108" w:type="dxa"/>
            <w:bottom w:w="0" w:type="dxa"/>
            <w:right w:w="108" w:type="dxa"/>
          </w:tblCellMar>
        </w:tblPrEx>
        <w:trPr>
          <w:trHeight w:val="796" w:hRule="atLeast"/>
        </w:trPr>
        <w:tc>
          <w:tcPr>
            <w:tcW w:w="426"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60A9F58">
            <w:pPr>
              <w:bidi w:val="0"/>
              <w:jc w:val="center"/>
              <w:rPr>
                <w:rFonts w:hint="eastAsia"/>
                <w:highlight w:val="none"/>
                <w:lang w:val="zh-CN"/>
              </w:rPr>
            </w:pPr>
            <w:r>
              <w:rPr>
                <w:rFonts w:hint="eastAsia"/>
                <w:highlight w:val="none"/>
                <w:lang w:val="zh-CN"/>
              </w:rPr>
              <w:t>表面质量</w:t>
            </w:r>
          </w:p>
        </w:tc>
        <w:tc>
          <w:tcPr>
            <w:tcW w:w="11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B5A9AF9">
            <w:pPr>
              <w:bidi w:val="0"/>
              <w:jc w:val="center"/>
              <w:rPr>
                <w:rFonts w:hint="eastAsia"/>
                <w:highlight w:val="none"/>
                <w:lang w:val="zh-CN"/>
              </w:rPr>
            </w:pPr>
            <w:r>
              <w:rPr>
                <w:rFonts w:hint="eastAsia"/>
                <w:highlight w:val="none"/>
                <w:lang w:val="zh-CN"/>
              </w:rPr>
              <w:t>外观</w:t>
            </w:r>
          </w:p>
        </w:tc>
        <w:tc>
          <w:tcPr>
            <w:tcW w:w="386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7AB56FA">
            <w:pPr>
              <w:bidi w:val="0"/>
              <w:jc w:val="center"/>
              <w:rPr>
                <w:rFonts w:hint="eastAsia"/>
                <w:highlight w:val="none"/>
                <w:lang w:val="zh-CN"/>
              </w:rPr>
            </w:pPr>
            <w:r>
              <w:rPr>
                <w:rFonts w:hint="eastAsia"/>
                <w:highlight w:val="none"/>
                <w:lang w:val="zh-CN"/>
              </w:rPr>
              <w:t>表面平整、密实、均匀；填缝料表面光滑，无颗粒状胶粒、无轮迹、无划痕</w:t>
            </w:r>
          </w:p>
        </w:tc>
        <w:tc>
          <w:tcPr>
            <w:tcW w:w="2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B6DAB88">
            <w:pPr>
              <w:bidi w:val="0"/>
              <w:jc w:val="center"/>
              <w:rPr>
                <w:rFonts w:hint="eastAsia"/>
                <w:highlight w:val="none"/>
                <w:lang w:val="zh-CN"/>
              </w:rPr>
            </w:pPr>
            <w:r>
              <w:rPr>
                <w:rFonts w:hint="eastAsia"/>
                <w:highlight w:val="none"/>
                <w:lang w:val="zh-CN"/>
              </w:rPr>
              <w:t>处理路段连续</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4061B20">
            <w:pPr>
              <w:bidi w:val="0"/>
              <w:jc w:val="center"/>
              <w:rPr>
                <w:rFonts w:hint="eastAsia"/>
                <w:highlight w:val="none"/>
                <w:lang w:val="zh-CN"/>
              </w:rPr>
            </w:pPr>
            <w:r>
              <w:rPr>
                <w:rFonts w:hint="eastAsia"/>
                <w:highlight w:val="none"/>
                <w:lang w:val="zh-CN"/>
              </w:rPr>
              <w:t>目测</w:t>
            </w:r>
          </w:p>
        </w:tc>
      </w:tr>
      <w:tr w14:paraId="1DAD74B4">
        <w:tblPrEx>
          <w:tblCellMar>
            <w:top w:w="0" w:type="dxa"/>
            <w:left w:w="108" w:type="dxa"/>
            <w:bottom w:w="0" w:type="dxa"/>
            <w:right w:w="108" w:type="dxa"/>
          </w:tblCellMar>
        </w:tblPrEx>
        <w:trPr>
          <w:trHeight w:val="545" w:hRule="atLeast"/>
        </w:trPr>
        <w:tc>
          <w:tcPr>
            <w:tcW w:w="426"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1B1D8BE">
            <w:pPr>
              <w:bidi w:val="0"/>
              <w:jc w:val="center"/>
              <w:rPr>
                <w:rFonts w:hint="eastAsia"/>
                <w:highlight w:val="none"/>
                <w:lang w:val="zh-CN"/>
              </w:rPr>
            </w:pPr>
          </w:p>
        </w:tc>
        <w:tc>
          <w:tcPr>
            <w:tcW w:w="11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FFF0C9E">
            <w:pPr>
              <w:bidi w:val="0"/>
              <w:jc w:val="center"/>
              <w:rPr>
                <w:rFonts w:hint="eastAsia"/>
                <w:highlight w:val="none"/>
                <w:lang w:val="zh-CN"/>
              </w:rPr>
            </w:pPr>
            <w:r>
              <w:rPr>
                <w:rFonts w:hint="eastAsia"/>
                <w:highlight w:val="none"/>
                <w:lang w:val="zh-CN"/>
              </w:rPr>
              <w:t>开槽尺寸</w:t>
            </w:r>
          </w:p>
        </w:tc>
        <w:tc>
          <w:tcPr>
            <w:tcW w:w="386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D86A3F2">
            <w:pPr>
              <w:bidi w:val="0"/>
              <w:jc w:val="center"/>
              <w:rPr>
                <w:rFonts w:hint="eastAsia"/>
                <w:highlight w:val="none"/>
                <w:lang w:val="zh-CN"/>
              </w:rPr>
            </w:pPr>
            <w:r>
              <w:rPr>
                <w:rFonts w:hint="eastAsia"/>
                <w:highlight w:val="none"/>
                <w:lang w:val="zh-CN"/>
              </w:rPr>
              <w:t>开槽宽度≥10mm，宽深比≥1.3</w:t>
            </w:r>
          </w:p>
        </w:tc>
        <w:tc>
          <w:tcPr>
            <w:tcW w:w="2268"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DB60814">
            <w:pPr>
              <w:bidi w:val="0"/>
              <w:jc w:val="center"/>
              <w:rPr>
                <w:rFonts w:hint="eastAsia"/>
                <w:highlight w:val="none"/>
                <w:lang w:val="zh-CN"/>
              </w:rPr>
            </w:pPr>
            <w:r>
              <w:rPr>
                <w:rFonts w:hint="eastAsia"/>
                <w:highlight w:val="none"/>
                <w:lang w:val="zh-CN"/>
              </w:rPr>
              <w:t>处理路段随机抽样</w:t>
            </w:r>
          </w:p>
        </w:tc>
        <w:tc>
          <w:tcPr>
            <w:tcW w:w="1701"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F089FFB">
            <w:pPr>
              <w:bidi w:val="0"/>
              <w:jc w:val="center"/>
              <w:rPr>
                <w:rFonts w:hint="eastAsia"/>
                <w:highlight w:val="none"/>
                <w:lang w:val="zh-CN"/>
              </w:rPr>
            </w:pPr>
            <w:r>
              <w:rPr>
                <w:rFonts w:hint="eastAsia"/>
                <w:highlight w:val="none"/>
                <w:lang w:val="zh-CN"/>
              </w:rPr>
              <w:t>游标卡尺</w:t>
            </w:r>
          </w:p>
        </w:tc>
      </w:tr>
      <w:tr w14:paraId="25350D14">
        <w:tblPrEx>
          <w:tblCellMar>
            <w:top w:w="0" w:type="dxa"/>
            <w:left w:w="108" w:type="dxa"/>
            <w:bottom w:w="0" w:type="dxa"/>
            <w:right w:w="108" w:type="dxa"/>
          </w:tblCellMar>
        </w:tblPrEx>
        <w:trPr>
          <w:trHeight w:val="545" w:hRule="atLeast"/>
        </w:trPr>
        <w:tc>
          <w:tcPr>
            <w:tcW w:w="426"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73FD17C">
            <w:pPr>
              <w:bidi w:val="0"/>
              <w:jc w:val="center"/>
              <w:rPr>
                <w:rFonts w:hint="eastAsia"/>
                <w:highlight w:val="none"/>
                <w:lang w:val="zh-CN"/>
              </w:rPr>
            </w:pPr>
          </w:p>
        </w:tc>
        <w:tc>
          <w:tcPr>
            <w:tcW w:w="11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CB66B1F">
            <w:pPr>
              <w:bidi w:val="0"/>
              <w:jc w:val="center"/>
              <w:rPr>
                <w:rFonts w:hint="eastAsia"/>
                <w:highlight w:val="none"/>
                <w:lang w:val="zh-CN"/>
              </w:rPr>
            </w:pPr>
            <w:r>
              <w:rPr>
                <w:rFonts w:hint="eastAsia"/>
                <w:highlight w:val="none"/>
                <w:lang w:val="zh-CN"/>
              </w:rPr>
              <w:t>填缝料宽度</w:t>
            </w:r>
          </w:p>
        </w:tc>
        <w:tc>
          <w:tcPr>
            <w:tcW w:w="386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517E335">
            <w:pPr>
              <w:bidi w:val="0"/>
              <w:jc w:val="center"/>
              <w:rPr>
                <w:rFonts w:hint="eastAsia"/>
                <w:highlight w:val="none"/>
                <w:lang w:val="zh-CN"/>
              </w:rPr>
            </w:pPr>
            <w:r>
              <w:rPr>
                <w:rFonts w:hint="eastAsia"/>
                <w:highlight w:val="none"/>
                <w:lang w:val="zh-CN"/>
              </w:rPr>
              <w:t>≤50mm，封条应突出凹槽边缘5-10mm</w:t>
            </w:r>
          </w:p>
        </w:tc>
        <w:tc>
          <w:tcPr>
            <w:tcW w:w="226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4EC8D82">
            <w:pPr>
              <w:bidi w:val="0"/>
              <w:jc w:val="center"/>
              <w:rPr>
                <w:rFonts w:hint="eastAsia"/>
                <w:highlight w:val="none"/>
                <w:lang w:val="zh-CN"/>
              </w:rPr>
            </w:pPr>
          </w:p>
        </w:tc>
        <w:tc>
          <w:tcPr>
            <w:tcW w:w="170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72B46E5">
            <w:pPr>
              <w:bidi w:val="0"/>
              <w:jc w:val="center"/>
              <w:rPr>
                <w:rFonts w:hint="eastAsia"/>
                <w:highlight w:val="none"/>
                <w:lang w:val="zh-CN"/>
              </w:rPr>
            </w:pPr>
          </w:p>
        </w:tc>
      </w:tr>
      <w:tr w14:paraId="46E2906B">
        <w:tblPrEx>
          <w:tblCellMar>
            <w:top w:w="0" w:type="dxa"/>
            <w:left w:w="108" w:type="dxa"/>
            <w:bottom w:w="0" w:type="dxa"/>
            <w:right w:w="108" w:type="dxa"/>
          </w:tblCellMar>
        </w:tblPrEx>
        <w:trPr>
          <w:trHeight w:val="1" w:hRule="atLeast"/>
        </w:trPr>
        <w:tc>
          <w:tcPr>
            <w:tcW w:w="426"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D9709E0">
            <w:pPr>
              <w:bidi w:val="0"/>
              <w:jc w:val="center"/>
              <w:rPr>
                <w:rFonts w:hint="eastAsia"/>
                <w:highlight w:val="none"/>
                <w:lang w:val="zh-CN"/>
              </w:rPr>
            </w:pPr>
          </w:p>
        </w:tc>
        <w:tc>
          <w:tcPr>
            <w:tcW w:w="11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35ECBA0">
            <w:pPr>
              <w:bidi w:val="0"/>
              <w:jc w:val="center"/>
              <w:rPr>
                <w:rFonts w:hint="eastAsia"/>
                <w:highlight w:val="none"/>
                <w:lang w:val="zh-CN"/>
              </w:rPr>
            </w:pPr>
            <w:r>
              <w:rPr>
                <w:rFonts w:hint="eastAsia"/>
                <w:highlight w:val="none"/>
                <w:lang w:val="zh-CN"/>
              </w:rPr>
              <w:t>填缝料高度</w:t>
            </w:r>
          </w:p>
        </w:tc>
        <w:tc>
          <w:tcPr>
            <w:tcW w:w="386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9CACC79">
            <w:pPr>
              <w:bidi w:val="0"/>
              <w:jc w:val="center"/>
              <w:rPr>
                <w:rFonts w:hint="eastAsia"/>
                <w:highlight w:val="none"/>
                <w:lang w:val="zh-CN"/>
              </w:rPr>
            </w:pPr>
            <w:r>
              <w:rPr>
                <w:rFonts w:hint="eastAsia"/>
                <w:highlight w:val="none"/>
                <w:lang w:val="zh-CN"/>
              </w:rPr>
              <w:t>灌缝料高于路面1.5-2.5mm</w:t>
            </w:r>
          </w:p>
        </w:tc>
        <w:tc>
          <w:tcPr>
            <w:tcW w:w="226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05DA16F">
            <w:pPr>
              <w:bidi w:val="0"/>
              <w:jc w:val="center"/>
              <w:rPr>
                <w:rFonts w:hint="eastAsia"/>
                <w:highlight w:val="none"/>
                <w:lang w:val="zh-CN"/>
              </w:rPr>
            </w:pPr>
          </w:p>
        </w:tc>
        <w:tc>
          <w:tcPr>
            <w:tcW w:w="170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9A8DBCA">
            <w:pPr>
              <w:bidi w:val="0"/>
              <w:jc w:val="center"/>
              <w:rPr>
                <w:rFonts w:hint="eastAsia"/>
                <w:highlight w:val="none"/>
                <w:lang w:val="zh-CN"/>
              </w:rPr>
            </w:pPr>
          </w:p>
        </w:tc>
      </w:tr>
      <w:tr w14:paraId="71D3EC96">
        <w:tblPrEx>
          <w:tblCellMar>
            <w:top w:w="0" w:type="dxa"/>
            <w:left w:w="108" w:type="dxa"/>
            <w:bottom w:w="0" w:type="dxa"/>
            <w:right w:w="108" w:type="dxa"/>
          </w:tblCellMar>
        </w:tblPrEx>
        <w:trPr>
          <w:trHeight w:val="1" w:hRule="atLeast"/>
        </w:trPr>
        <w:tc>
          <w:tcPr>
            <w:tcW w:w="1526"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9A1091F">
            <w:pPr>
              <w:bidi w:val="0"/>
              <w:jc w:val="center"/>
              <w:rPr>
                <w:rFonts w:hint="eastAsia"/>
                <w:highlight w:val="none"/>
                <w:lang w:val="zh-CN"/>
              </w:rPr>
            </w:pPr>
            <w:r>
              <w:rPr>
                <w:rFonts w:hint="eastAsia"/>
                <w:highlight w:val="none"/>
                <w:lang w:val="zh-CN"/>
              </w:rPr>
              <w:t>路表渗水系数</w:t>
            </w:r>
          </w:p>
        </w:tc>
        <w:tc>
          <w:tcPr>
            <w:tcW w:w="386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DA79563">
            <w:pPr>
              <w:bidi w:val="0"/>
              <w:jc w:val="center"/>
              <w:rPr>
                <w:rFonts w:hint="eastAsia"/>
                <w:highlight w:val="none"/>
                <w:lang w:val="zh-CN"/>
              </w:rPr>
            </w:pPr>
            <w:r>
              <w:rPr>
                <w:rFonts w:hint="eastAsia"/>
                <w:highlight w:val="none"/>
                <w:lang w:val="zh-CN"/>
              </w:rPr>
              <w:t>封缝处不渗水</w:t>
            </w:r>
          </w:p>
        </w:tc>
        <w:tc>
          <w:tcPr>
            <w:tcW w:w="2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168F366">
            <w:pPr>
              <w:bidi w:val="0"/>
              <w:jc w:val="center"/>
              <w:rPr>
                <w:rFonts w:hint="eastAsia"/>
                <w:highlight w:val="none"/>
                <w:lang w:val="zh-CN"/>
              </w:rPr>
            </w:pPr>
            <w:r>
              <w:rPr>
                <w:rFonts w:hint="eastAsia"/>
                <w:highlight w:val="none"/>
                <w:lang w:val="zh-CN"/>
              </w:rPr>
              <w:t>随机抽样</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046DAB6">
            <w:pPr>
              <w:bidi w:val="0"/>
              <w:jc w:val="center"/>
              <w:rPr>
                <w:rFonts w:hint="eastAsia"/>
                <w:highlight w:val="none"/>
                <w:lang w:val="zh-CN"/>
              </w:rPr>
            </w:pPr>
            <w:r>
              <w:rPr>
                <w:rFonts w:hint="eastAsia"/>
                <w:highlight w:val="none"/>
                <w:lang w:val="zh-CN"/>
              </w:rPr>
              <w:t>T0971</w:t>
            </w:r>
          </w:p>
        </w:tc>
      </w:tr>
    </w:tbl>
    <w:p w14:paraId="2D8BD9F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7</w:t>
      </w:r>
      <w:r>
        <w:rPr>
          <w:rFonts w:hint="eastAsia" w:ascii="宋体" w:hAnsi="宋体" w:eastAsia="宋体" w:cs="宋体"/>
          <w:b w:val="0"/>
          <w:bCs w:val="0"/>
          <w:sz w:val="21"/>
          <w:szCs w:val="21"/>
          <w:highlight w:val="none"/>
          <w:lang w:val="zh-CN"/>
        </w:rPr>
        <w:t>）注意事项</w:t>
      </w:r>
    </w:p>
    <w:p w14:paraId="23A07CF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zh-CN"/>
        </w:rPr>
        <w:t>）施工时环境温度应超过</w:t>
      </w:r>
      <w:r>
        <w:rPr>
          <w:rFonts w:hint="eastAsia" w:ascii="宋体" w:hAnsi="宋体" w:eastAsia="宋体" w:cs="宋体"/>
          <w:b w:val="0"/>
          <w:bCs w:val="0"/>
          <w:sz w:val="21"/>
          <w:szCs w:val="21"/>
          <w:highlight w:val="none"/>
        </w:rPr>
        <w:t>5</w:t>
      </w:r>
      <w:r>
        <w:rPr>
          <w:rFonts w:hint="eastAsia" w:ascii="宋体" w:hAnsi="宋体" w:eastAsia="宋体" w:cs="宋体"/>
          <w:b w:val="0"/>
          <w:bCs w:val="0"/>
          <w:sz w:val="21"/>
          <w:szCs w:val="21"/>
          <w:highlight w:val="none"/>
          <w:lang w:val="zh-CN"/>
        </w:rPr>
        <w:t>℃；</w:t>
      </w:r>
    </w:p>
    <w:p w14:paraId="6E8BEA73">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zh-CN"/>
        </w:rPr>
        <w:t>）密封胶加热温度必须严格控制，不得超过规定的加热标准；</w:t>
      </w:r>
    </w:p>
    <w:p w14:paraId="6F9B148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zh-CN"/>
        </w:rPr>
        <w:t>）开槽过程中，应做好作业人员安全防护工作；</w:t>
      </w:r>
    </w:p>
    <w:p w14:paraId="36DE980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zh-CN"/>
        </w:rPr>
        <w:t>）清缝后，应确认</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zh-CN"/>
        </w:rPr>
        <w:t>裂缝边缘无明显的杂物灰尘，槽边缘无松动部分，裂缝内干燥；</w:t>
      </w:r>
    </w:p>
    <w:p w14:paraId="6BF1C303">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eastAsia="宋体" w:cs="宋体"/>
          <w:b w:val="0"/>
          <w:bCs w:val="0"/>
          <w:sz w:val="21"/>
          <w:szCs w:val="21"/>
          <w:highlight w:val="none"/>
          <w:lang w:val="zh-CN"/>
        </w:rPr>
        <w:t>）灌缝过程中，应控制沥青喷枪拖动速度，裂缝内灌满密封胶；</w:t>
      </w:r>
    </w:p>
    <w:p w14:paraId="6C3DE362">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ascii="仿宋" w:hAnsi="仿宋" w:eastAsia="仿宋" w:cs="仿宋_GB2312"/>
          <w:b/>
          <w:sz w:val="36"/>
          <w:szCs w:val="36"/>
          <w:highlight w:val="none"/>
        </w:rPr>
      </w:pPr>
      <w:r>
        <w:rPr>
          <w:rFonts w:hint="eastAsia" w:ascii="宋体" w:hAnsi="宋体" w:eastAsia="宋体" w:cs="宋体"/>
          <w:b w:val="0"/>
          <w:bCs w:val="0"/>
          <w:sz w:val="21"/>
          <w:szCs w:val="21"/>
          <w:highlight w:val="none"/>
        </w:rPr>
        <w:t>6</w:t>
      </w:r>
      <w:r>
        <w:rPr>
          <w:rFonts w:hint="eastAsia" w:ascii="宋体" w:hAnsi="宋体" w:eastAsia="宋体" w:cs="宋体"/>
          <w:b w:val="0"/>
          <w:bCs w:val="0"/>
          <w:sz w:val="21"/>
          <w:szCs w:val="21"/>
          <w:highlight w:val="none"/>
          <w:lang w:val="zh-CN"/>
        </w:rPr>
        <w:t>）在密封胶固化前，不允许车辆通行。</w:t>
      </w:r>
      <w:r>
        <w:rPr>
          <w:rFonts w:hint="eastAsia" w:ascii="宋体" w:hAnsi="宋体" w:cs="宋体"/>
          <w:b w:val="0"/>
          <w:bCs w:val="0"/>
          <w:sz w:val="21"/>
          <w:szCs w:val="21"/>
          <w:highlight w:val="none"/>
          <w:lang w:val="en-US" w:eastAsia="zh-CN"/>
        </w:rPr>
        <w:t xml:space="preserve">            </w:t>
      </w:r>
      <w:r>
        <w:rPr>
          <w:rFonts w:ascii="仿宋" w:hAnsi="仿宋" w:eastAsia="仿宋" w:cs="仿宋_GB2312"/>
          <w:b/>
          <w:sz w:val="24"/>
          <w:highlight w:val="none"/>
        </w:rPr>
        <w:br w:type="page"/>
      </w:r>
      <w:r>
        <w:rPr>
          <w:rFonts w:hint="eastAsia" w:ascii="仿宋" w:hAnsi="仿宋" w:eastAsia="仿宋" w:cs="仿宋_GB2312"/>
          <w:b/>
          <w:sz w:val="24"/>
          <w:highlight w:val="none"/>
          <w:lang w:val="en-US" w:eastAsia="zh-CN"/>
        </w:rPr>
        <w:t xml:space="preserve">                        </w:t>
      </w:r>
      <w:r>
        <w:rPr>
          <w:rFonts w:hint="eastAsia" w:ascii="仿宋" w:hAnsi="仿宋" w:eastAsia="仿宋" w:cs="仿宋_GB2312"/>
          <w:b/>
          <w:sz w:val="36"/>
          <w:szCs w:val="36"/>
          <w:highlight w:val="none"/>
        </w:rPr>
        <w:t>第四部分</w:t>
      </w:r>
      <w:r>
        <w:rPr>
          <w:rFonts w:ascii="仿宋" w:hAnsi="仿宋" w:eastAsia="仿宋" w:cs="仿宋_GB2312"/>
          <w:b/>
          <w:sz w:val="36"/>
          <w:szCs w:val="36"/>
          <w:highlight w:val="none"/>
        </w:rPr>
        <w:t xml:space="preserve">   </w:t>
      </w:r>
      <w:bookmarkStart w:id="31" w:name="_Toc184314462"/>
      <w:bookmarkEnd w:id="31"/>
      <w:bookmarkStart w:id="32" w:name="_Toc184308100"/>
      <w:bookmarkEnd w:id="32"/>
      <w:bookmarkStart w:id="33" w:name="_Toc184312139"/>
      <w:bookmarkEnd w:id="33"/>
      <w:bookmarkStart w:id="34" w:name="_Toc184308070"/>
      <w:bookmarkEnd w:id="34"/>
      <w:bookmarkStart w:id="35" w:name="_Toc184310333"/>
      <w:bookmarkEnd w:id="35"/>
      <w:bookmarkStart w:id="36" w:name="_Toc184308074"/>
      <w:bookmarkEnd w:id="36"/>
      <w:bookmarkStart w:id="37" w:name="_Toc184310339"/>
      <w:bookmarkEnd w:id="37"/>
      <w:bookmarkStart w:id="38" w:name="_Toc184310308"/>
      <w:bookmarkEnd w:id="38"/>
      <w:bookmarkStart w:id="39" w:name="_Toc184314460"/>
      <w:bookmarkEnd w:id="39"/>
      <w:bookmarkStart w:id="40" w:name="_Toc184308068"/>
      <w:bookmarkEnd w:id="40"/>
      <w:bookmarkStart w:id="41" w:name="_Toc184310312"/>
      <w:bookmarkEnd w:id="41"/>
      <w:bookmarkStart w:id="42" w:name="_Toc184314436"/>
      <w:bookmarkEnd w:id="42"/>
      <w:bookmarkStart w:id="43" w:name="_Toc184310291"/>
      <w:bookmarkEnd w:id="43"/>
      <w:bookmarkStart w:id="44" w:name="_Toc184308080"/>
      <w:bookmarkEnd w:id="44"/>
      <w:bookmarkStart w:id="45" w:name="_Toc184310290"/>
      <w:bookmarkEnd w:id="45"/>
      <w:bookmarkStart w:id="46" w:name="_Toc184310302"/>
      <w:bookmarkEnd w:id="46"/>
      <w:bookmarkStart w:id="47" w:name="_Toc184308099"/>
      <w:bookmarkEnd w:id="47"/>
      <w:bookmarkStart w:id="48" w:name="_Toc184314427"/>
      <w:bookmarkEnd w:id="48"/>
      <w:bookmarkStart w:id="49" w:name="_Toc184308082"/>
      <w:bookmarkEnd w:id="49"/>
      <w:bookmarkStart w:id="50" w:name="_Toc184310282"/>
      <w:bookmarkEnd w:id="50"/>
      <w:bookmarkStart w:id="51" w:name="_Toc184310311"/>
      <w:bookmarkEnd w:id="51"/>
      <w:bookmarkStart w:id="52" w:name="_Toc184314468"/>
      <w:bookmarkEnd w:id="52"/>
      <w:bookmarkStart w:id="53" w:name="_Toc184308081"/>
      <w:bookmarkEnd w:id="53"/>
      <w:bookmarkStart w:id="54" w:name="_Toc184308071"/>
      <w:bookmarkEnd w:id="54"/>
      <w:bookmarkStart w:id="55" w:name="_Toc184308087"/>
      <w:bookmarkEnd w:id="55"/>
      <w:bookmarkStart w:id="56" w:name="_Toc184314410"/>
      <w:bookmarkEnd w:id="56"/>
      <w:bookmarkStart w:id="57" w:name="_Toc184308085"/>
      <w:bookmarkEnd w:id="57"/>
      <w:bookmarkStart w:id="58" w:name="_Toc184312102"/>
      <w:bookmarkEnd w:id="58"/>
      <w:bookmarkStart w:id="59" w:name="_Toc184313239"/>
      <w:bookmarkEnd w:id="59"/>
      <w:bookmarkStart w:id="60" w:name="_Toc184314440"/>
      <w:bookmarkEnd w:id="60"/>
      <w:bookmarkStart w:id="61" w:name="_Toc184308084"/>
      <w:bookmarkEnd w:id="61"/>
      <w:bookmarkStart w:id="62" w:name="_Toc184313254"/>
      <w:bookmarkEnd w:id="62"/>
      <w:bookmarkStart w:id="63" w:name="_Toc184312082"/>
      <w:bookmarkEnd w:id="63"/>
      <w:bookmarkStart w:id="64" w:name="_Toc184308052"/>
      <w:bookmarkEnd w:id="64"/>
      <w:bookmarkStart w:id="65" w:name="_Toc184308047"/>
      <w:bookmarkEnd w:id="65"/>
      <w:bookmarkStart w:id="66" w:name="_Toc184310297"/>
      <w:bookmarkEnd w:id="66"/>
      <w:bookmarkStart w:id="67" w:name="_Toc184310292"/>
      <w:bookmarkEnd w:id="67"/>
      <w:bookmarkStart w:id="68" w:name="_Toc184313267"/>
      <w:bookmarkEnd w:id="68"/>
      <w:bookmarkStart w:id="69" w:name="_Toc184313275"/>
      <w:bookmarkEnd w:id="69"/>
      <w:bookmarkStart w:id="70" w:name="_Toc184308098"/>
      <w:bookmarkEnd w:id="70"/>
      <w:bookmarkStart w:id="71" w:name="_Toc184313292"/>
      <w:bookmarkEnd w:id="71"/>
      <w:bookmarkStart w:id="72" w:name="_Toc184308065"/>
      <w:bookmarkEnd w:id="72"/>
      <w:bookmarkStart w:id="73" w:name="_Toc184308044"/>
      <w:bookmarkEnd w:id="73"/>
      <w:bookmarkStart w:id="74" w:name="_Toc184314471"/>
      <w:bookmarkEnd w:id="74"/>
      <w:bookmarkStart w:id="75" w:name="_Toc184310330"/>
      <w:bookmarkEnd w:id="75"/>
      <w:bookmarkStart w:id="76" w:name="_Toc184313294"/>
      <w:bookmarkEnd w:id="76"/>
      <w:bookmarkStart w:id="77" w:name="_Toc184312098"/>
      <w:bookmarkEnd w:id="77"/>
      <w:bookmarkStart w:id="78" w:name="_Toc184308051"/>
      <w:bookmarkEnd w:id="78"/>
      <w:bookmarkStart w:id="79" w:name="_Toc184314467"/>
      <w:bookmarkEnd w:id="79"/>
      <w:bookmarkStart w:id="80" w:name="_Toc184313281"/>
      <w:bookmarkEnd w:id="80"/>
      <w:bookmarkStart w:id="81" w:name="_Toc184312135"/>
      <w:bookmarkEnd w:id="81"/>
      <w:bookmarkStart w:id="82" w:name="_Toc184313260"/>
      <w:bookmarkEnd w:id="82"/>
      <w:bookmarkStart w:id="83" w:name="_Toc184312131"/>
      <w:bookmarkEnd w:id="83"/>
      <w:bookmarkStart w:id="84" w:name="_Toc184313308"/>
      <w:bookmarkEnd w:id="84"/>
      <w:bookmarkStart w:id="85" w:name="_Toc184314453"/>
      <w:bookmarkEnd w:id="85"/>
      <w:bookmarkStart w:id="86" w:name="_Toc184308066"/>
      <w:bookmarkEnd w:id="86"/>
      <w:bookmarkStart w:id="87" w:name="_Toc184310276"/>
      <w:bookmarkEnd w:id="87"/>
      <w:bookmarkStart w:id="88" w:name="_Toc184313277"/>
      <w:bookmarkEnd w:id="88"/>
      <w:bookmarkStart w:id="89" w:name="_Toc184314481"/>
      <w:bookmarkEnd w:id="89"/>
      <w:bookmarkStart w:id="90" w:name="_Toc184314452"/>
      <w:bookmarkEnd w:id="90"/>
      <w:bookmarkStart w:id="91" w:name="_Toc184310296"/>
      <w:bookmarkEnd w:id="91"/>
      <w:bookmarkStart w:id="92" w:name="_Toc184313265"/>
      <w:bookmarkEnd w:id="92"/>
      <w:bookmarkStart w:id="93" w:name="_Toc184314454"/>
      <w:bookmarkEnd w:id="93"/>
      <w:bookmarkStart w:id="94" w:name="_Toc184310274"/>
      <w:bookmarkEnd w:id="94"/>
      <w:bookmarkStart w:id="95" w:name="_Toc184310305"/>
      <w:bookmarkEnd w:id="95"/>
      <w:bookmarkStart w:id="96" w:name="_Toc184310324"/>
      <w:bookmarkEnd w:id="96"/>
      <w:bookmarkStart w:id="97" w:name="_Toc184310337"/>
      <w:bookmarkEnd w:id="97"/>
      <w:bookmarkStart w:id="98" w:name="_Toc184313290"/>
      <w:bookmarkEnd w:id="98"/>
      <w:bookmarkStart w:id="99" w:name="_Toc184312107"/>
      <w:bookmarkEnd w:id="99"/>
      <w:bookmarkStart w:id="100" w:name="_Toc184310299"/>
      <w:bookmarkEnd w:id="100"/>
      <w:bookmarkStart w:id="101" w:name="_Toc184308076"/>
      <w:bookmarkEnd w:id="101"/>
      <w:bookmarkStart w:id="102" w:name="_Toc184312094"/>
      <w:bookmarkEnd w:id="102"/>
      <w:bookmarkStart w:id="103" w:name="_Toc184312112"/>
      <w:bookmarkEnd w:id="103"/>
      <w:bookmarkStart w:id="104" w:name="_Toc184308073"/>
      <w:bookmarkEnd w:id="104"/>
      <w:bookmarkStart w:id="105" w:name="_Toc184314430"/>
      <w:bookmarkEnd w:id="105"/>
      <w:bookmarkStart w:id="106" w:name="_Toc184308072"/>
      <w:bookmarkEnd w:id="106"/>
      <w:bookmarkStart w:id="107" w:name="_Toc184310318"/>
      <w:bookmarkEnd w:id="107"/>
      <w:bookmarkStart w:id="108" w:name="_Toc184314422"/>
      <w:bookmarkEnd w:id="108"/>
      <w:bookmarkStart w:id="109" w:name="_Toc184313264"/>
      <w:bookmarkEnd w:id="109"/>
      <w:bookmarkStart w:id="110" w:name="_Toc184312123"/>
      <w:bookmarkEnd w:id="110"/>
      <w:bookmarkStart w:id="111" w:name="_Toc184308041"/>
      <w:bookmarkEnd w:id="111"/>
      <w:bookmarkStart w:id="112" w:name="_Toc184314465"/>
      <w:bookmarkEnd w:id="112"/>
      <w:bookmarkStart w:id="113" w:name="_Toc184313282"/>
      <w:bookmarkEnd w:id="113"/>
      <w:bookmarkStart w:id="114" w:name="_Toc184314424"/>
      <w:bookmarkEnd w:id="114"/>
      <w:bookmarkStart w:id="115" w:name="_Toc184308054"/>
      <w:bookmarkEnd w:id="115"/>
      <w:bookmarkStart w:id="116" w:name="_Toc184314419"/>
      <w:bookmarkEnd w:id="116"/>
      <w:bookmarkStart w:id="117" w:name="_Toc184313285"/>
      <w:bookmarkEnd w:id="117"/>
      <w:bookmarkStart w:id="118" w:name="_Toc184308055"/>
      <w:bookmarkEnd w:id="118"/>
      <w:bookmarkStart w:id="119" w:name="_Toc184313241"/>
      <w:bookmarkEnd w:id="119"/>
      <w:bookmarkStart w:id="120" w:name="_Toc184310301"/>
      <w:bookmarkEnd w:id="120"/>
      <w:bookmarkStart w:id="121" w:name="_Toc184313269"/>
      <w:bookmarkEnd w:id="121"/>
      <w:bookmarkStart w:id="122" w:name="_Toc184310273"/>
      <w:bookmarkEnd w:id="122"/>
      <w:bookmarkStart w:id="123" w:name="_Toc184312138"/>
      <w:bookmarkEnd w:id="123"/>
      <w:bookmarkStart w:id="124" w:name="_Toc184313280"/>
      <w:bookmarkEnd w:id="124"/>
      <w:bookmarkStart w:id="125" w:name="_Toc184312126"/>
      <w:bookmarkEnd w:id="125"/>
      <w:bookmarkStart w:id="126" w:name="_Toc184308060"/>
      <w:bookmarkEnd w:id="126"/>
      <w:bookmarkStart w:id="127" w:name="_Toc184313244"/>
      <w:bookmarkEnd w:id="127"/>
      <w:bookmarkStart w:id="128" w:name="_Toc184310306"/>
      <w:bookmarkEnd w:id="128"/>
      <w:bookmarkStart w:id="129" w:name="_Toc184310314"/>
      <w:bookmarkEnd w:id="129"/>
      <w:bookmarkStart w:id="130" w:name="_Toc184312128"/>
      <w:bookmarkEnd w:id="130"/>
      <w:bookmarkStart w:id="131" w:name="_Toc184314439"/>
      <w:bookmarkEnd w:id="131"/>
      <w:bookmarkStart w:id="132" w:name="_Toc184310309"/>
      <w:bookmarkEnd w:id="132"/>
      <w:bookmarkStart w:id="133" w:name="_Toc184312071"/>
      <w:bookmarkEnd w:id="133"/>
      <w:bookmarkStart w:id="134" w:name="_Toc184313270"/>
      <w:bookmarkEnd w:id="134"/>
      <w:bookmarkStart w:id="135" w:name="_Toc184314451"/>
      <w:bookmarkEnd w:id="135"/>
      <w:bookmarkStart w:id="136" w:name="_Toc184314432"/>
      <w:bookmarkEnd w:id="136"/>
      <w:bookmarkStart w:id="137" w:name="_Toc184312106"/>
      <w:bookmarkEnd w:id="137"/>
      <w:bookmarkStart w:id="138" w:name="_Toc184312119"/>
      <w:bookmarkEnd w:id="138"/>
      <w:bookmarkStart w:id="139" w:name="_Toc184312118"/>
      <w:bookmarkEnd w:id="139"/>
      <w:bookmarkStart w:id="140" w:name="_Toc184310321"/>
      <w:bookmarkEnd w:id="140"/>
      <w:bookmarkStart w:id="141" w:name="_Toc184312088"/>
      <w:bookmarkEnd w:id="141"/>
      <w:bookmarkStart w:id="142" w:name="_Toc184310344"/>
      <w:bookmarkEnd w:id="142"/>
      <w:bookmarkStart w:id="143" w:name="_Toc184314421"/>
      <w:bookmarkEnd w:id="143"/>
      <w:bookmarkStart w:id="144" w:name="_Toc184314412"/>
      <w:bookmarkEnd w:id="144"/>
      <w:bookmarkStart w:id="145" w:name="_Toc184314435"/>
      <w:bookmarkEnd w:id="145"/>
      <w:bookmarkStart w:id="146" w:name="_Toc184312073"/>
      <w:bookmarkEnd w:id="146"/>
      <w:bookmarkStart w:id="147" w:name="_Toc184313303"/>
      <w:bookmarkEnd w:id="147"/>
      <w:bookmarkStart w:id="148" w:name="_Toc184312117"/>
      <w:bookmarkEnd w:id="148"/>
      <w:bookmarkStart w:id="149" w:name="_Toc184308102"/>
      <w:bookmarkEnd w:id="149"/>
      <w:bookmarkStart w:id="150" w:name="_Toc184313245"/>
      <w:bookmarkEnd w:id="150"/>
      <w:bookmarkStart w:id="151" w:name="_Toc184313296"/>
      <w:bookmarkEnd w:id="151"/>
      <w:bookmarkStart w:id="152" w:name="_Toc184310341"/>
      <w:bookmarkEnd w:id="152"/>
      <w:bookmarkStart w:id="153" w:name="_Toc184313272"/>
      <w:bookmarkEnd w:id="153"/>
      <w:bookmarkStart w:id="154" w:name="_Toc184312122"/>
      <w:bookmarkEnd w:id="154"/>
      <w:bookmarkStart w:id="155" w:name="_Toc184314428"/>
      <w:bookmarkEnd w:id="155"/>
      <w:bookmarkStart w:id="156" w:name="_Toc184314414"/>
      <w:bookmarkEnd w:id="156"/>
      <w:bookmarkStart w:id="157" w:name="_Toc184313304"/>
      <w:bookmarkEnd w:id="157"/>
      <w:bookmarkStart w:id="158" w:name="_Toc184313261"/>
      <w:bookmarkEnd w:id="158"/>
      <w:bookmarkStart w:id="159" w:name="_Toc184310315"/>
      <w:bookmarkEnd w:id="159"/>
      <w:bookmarkStart w:id="160" w:name="_Toc184314469"/>
      <w:bookmarkEnd w:id="160"/>
      <w:bookmarkStart w:id="161" w:name="_Toc184313266"/>
      <w:bookmarkEnd w:id="161"/>
      <w:bookmarkStart w:id="162" w:name="_Toc184310303"/>
      <w:bookmarkEnd w:id="162"/>
      <w:bookmarkStart w:id="163" w:name="_Toc184310298"/>
      <w:bookmarkEnd w:id="163"/>
      <w:bookmarkStart w:id="164" w:name="_Toc184310281"/>
      <w:bookmarkEnd w:id="164"/>
      <w:bookmarkStart w:id="165" w:name="_Toc184314473"/>
      <w:bookmarkEnd w:id="165"/>
      <w:bookmarkStart w:id="166" w:name="_Toc184308078"/>
      <w:bookmarkEnd w:id="166"/>
      <w:bookmarkStart w:id="167" w:name="_Toc184310289"/>
      <w:bookmarkEnd w:id="167"/>
      <w:bookmarkStart w:id="168" w:name="_Toc184314480"/>
      <w:bookmarkEnd w:id="168"/>
      <w:bookmarkStart w:id="169" w:name="_Toc184312097"/>
      <w:bookmarkEnd w:id="169"/>
      <w:bookmarkStart w:id="170" w:name="_Toc184313297"/>
      <w:bookmarkEnd w:id="170"/>
      <w:bookmarkStart w:id="171" w:name="_Toc184313298"/>
      <w:bookmarkEnd w:id="171"/>
      <w:bookmarkStart w:id="172" w:name="_Toc184313305"/>
      <w:bookmarkEnd w:id="172"/>
      <w:bookmarkStart w:id="173" w:name="_Toc184313248"/>
      <w:bookmarkEnd w:id="173"/>
      <w:bookmarkStart w:id="174" w:name="_Toc184312103"/>
      <w:bookmarkEnd w:id="174"/>
      <w:bookmarkStart w:id="175" w:name="_Toc184308106"/>
      <w:bookmarkEnd w:id="175"/>
      <w:bookmarkStart w:id="176" w:name="_Toc184314420"/>
      <w:bookmarkEnd w:id="176"/>
      <w:bookmarkStart w:id="177" w:name="_Toc184312092"/>
      <w:bookmarkEnd w:id="177"/>
      <w:bookmarkStart w:id="178" w:name="_Toc184314426"/>
      <w:bookmarkEnd w:id="178"/>
      <w:bookmarkStart w:id="179" w:name="_Toc184314423"/>
      <w:bookmarkEnd w:id="179"/>
      <w:bookmarkStart w:id="180" w:name="_Toc184312114"/>
      <w:bookmarkEnd w:id="180"/>
      <w:bookmarkStart w:id="181" w:name="_Toc184314474"/>
      <w:bookmarkEnd w:id="181"/>
      <w:bookmarkStart w:id="182" w:name="_Toc184314437"/>
      <w:bookmarkEnd w:id="182"/>
      <w:bookmarkStart w:id="183" w:name="_Toc184312086"/>
      <w:bookmarkEnd w:id="183"/>
      <w:bookmarkStart w:id="184" w:name="_Toc184310277"/>
      <w:bookmarkEnd w:id="184"/>
      <w:bookmarkStart w:id="185" w:name="_Toc184310317"/>
      <w:bookmarkEnd w:id="185"/>
      <w:bookmarkStart w:id="186" w:name="_Toc184314417"/>
      <w:bookmarkEnd w:id="186"/>
      <w:bookmarkStart w:id="187" w:name="_Toc184312091"/>
      <w:bookmarkEnd w:id="187"/>
      <w:bookmarkStart w:id="188" w:name="_Toc184312089"/>
      <w:bookmarkEnd w:id="188"/>
      <w:bookmarkStart w:id="189" w:name="_Toc184308067"/>
      <w:bookmarkEnd w:id="189"/>
      <w:bookmarkStart w:id="190" w:name="_Toc184308096"/>
      <w:bookmarkEnd w:id="190"/>
      <w:bookmarkStart w:id="191" w:name="_Toc184312090"/>
      <w:bookmarkEnd w:id="191"/>
      <w:bookmarkStart w:id="192" w:name="_Toc184313299"/>
      <w:bookmarkEnd w:id="192"/>
      <w:bookmarkStart w:id="193" w:name="_Toc184308088"/>
      <w:bookmarkEnd w:id="193"/>
      <w:bookmarkStart w:id="194" w:name="_Toc184313242"/>
      <w:bookmarkEnd w:id="194"/>
      <w:bookmarkStart w:id="195" w:name="_Toc184314425"/>
      <w:bookmarkEnd w:id="195"/>
      <w:bookmarkStart w:id="196" w:name="_Toc184313283"/>
      <w:bookmarkEnd w:id="196"/>
      <w:bookmarkStart w:id="197" w:name="_Toc184308069"/>
      <w:bookmarkEnd w:id="197"/>
      <w:bookmarkStart w:id="198" w:name="_Toc184312108"/>
      <w:bookmarkEnd w:id="198"/>
      <w:bookmarkStart w:id="199" w:name="_Toc184313306"/>
      <w:bookmarkEnd w:id="199"/>
      <w:bookmarkStart w:id="200" w:name="_Toc184308091"/>
      <w:bookmarkEnd w:id="200"/>
      <w:bookmarkStart w:id="201" w:name="_Toc184312076"/>
      <w:bookmarkEnd w:id="201"/>
      <w:bookmarkStart w:id="202" w:name="_Toc184313274"/>
      <w:bookmarkEnd w:id="202"/>
      <w:bookmarkStart w:id="203" w:name="_Toc184308075"/>
      <w:bookmarkEnd w:id="203"/>
      <w:bookmarkStart w:id="204" w:name="_Toc184312109"/>
      <w:bookmarkEnd w:id="204"/>
      <w:bookmarkStart w:id="205" w:name="_Toc184308046"/>
      <w:bookmarkEnd w:id="205"/>
      <w:bookmarkStart w:id="206" w:name="_Toc184308059"/>
      <w:bookmarkEnd w:id="206"/>
      <w:bookmarkStart w:id="207" w:name="_Toc184314450"/>
      <w:bookmarkEnd w:id="207"/>
      <w:bookmarkStart w:id="208" w:name="_Toc184312081"/>
      <w:bookmarkEnd w:id="208"/>
      <w:bookmarkStart w:id="209" w:name="_Toc184310326"/>
      <w:bookmarkEnd w:id="209"/>
      <w:bookmarkStart w:id="210" w:name="_Toc184312130"/>
      <w:bookmarkEnd w:id="210"/>
      <w:bookmarkStart w:id="211" w:name="_Toc184313258"/>
      <w:bookmarkEnd w:id="211"/>
      <w:bookmarkStart w:id="212" w:name="_Toc184308090"/>
      <w:bookmarkEnd w:id="212"/>
      <w:bookmarkStart w:id="213" w:name="_Toc184310329"/>
      <w:bookmarkEnd w:id="213"/>
      <w:bookmarkStart w:id="214" w:name="_Toc184312067"/>
      <w:bookmarkEnd w:id="214"/>
      <w:bookmarkStart w:id="215" w:name="_Toc184308050"/>
      <w:bookmarkEnd w:id="215"/>
      <w:bookmarkStart w:id="216" w:name="_Toc184313310"/>
      <w:bookmarkEnd w:id="216"/>
      <w:bookmarkStart w:id="217" w:name="_Toc184310293"/>
      <w:bookmarkEnd w:id="217"/>
      <w:bookmarkStart w:id="218" w:name="_Toc184308040"/>
      <w:bookmarkEnd w:id="218"/>
      <w:bookmarkStart w:id="219" w:name="_Toc184314438"/>
      <w:bookmarkEnd w:id="219"/>
      <w:bookmarkStart w:id="220" w:name="_Toc184308037"/>
      <w:bookmarkEnd w:id="220"/>
      <w:bookmarkStart w:id="221" w:name="_Toc184313249"/>
      <w:bookmarkEnd w:id="221"/>
      <w:bookmarkStart w:id="222" w:name="_Toc184308042"/>
      <w:bookmarkEnd w:id="222"/>
      <w:bookmarkStart w:id="223" w:name="_Toc184308094"/>
      <w:bookmarkEnd w:id="223"/>
      <w:bookmarkStart w:id="224" w:name="_Toc184308095"/>
      <w:bookmarkEnd w:id="224"/>
      <w:bookmarkStart w:id="225" w:name="_Toc184312079"/>
      <w:bookmarkEnd w:id="225"/>
      <w:bookmarkStart w:id="226" w:name="_Toc184313279"/>
      <w:bookmarkEnd w:id="226"/>
      <w:bookmarkStart w:id="227" w:name="_Toc184314431"/>
      <w:bookmarkEnd w:id="227"/>
      <w:bookmarkStart w:id="228" w:name="_Toc184312070"/>
      <w:bookmarkEnd w:id="228"/>
      <w:bookmarkStart w:id="229" w:name="_Toc184312136"/>
      <w:bookmarkEnd w:id="229"/>
      <w:bookmarkStart w:id="230" w:name="_Toc184310275"/>
      <w:bookmarkEnd w:id="230"/>
      <w:bookmarkStart w:id="231" w:name="_Toc184313240"/>
      <w:bookmarkEnd w:id="231"/>
      <w:bookmarkStart w:id="232" w:name="_Toc184312111"/>
      <w:bookmarkEnd w:id="232"/>
      <w:bookmarkStart w:id="233" w:name="_Toc184313288"/>
      <w:bookmarkEnd w:id="233"/>
      <w:bookmarkStart w:id="234" w:name="_Toc184310334"/>
      <w:bookmarkEnd w:id="234"/>
      <w:bookmarkStart w:id="235" w:name="_Toc184308061"/>
      <w:bookmarkEnd w:id="235"/>
      <w:bookmarkStart w:id="236" w:name="_Toc184310343"/>
      <w:bookmarkEnd w:id="236"/>
      <w:bookmarkStart w:id="237" w:name="_Toc184312085"/>
      <w:bookmarkEnd w:id="237"/>
      <w:bookmarkStart w:id="238" w:name="_Toc184308107"/>
      <w:bookmarkEnd w:id="238"/>
      <w:bookmarkStart w:id="239" w:name="_Toc184314433"/>
      <w:bookmarkEnd w:id="239"/>
      <w:bookmarkStart w:id="240" w:name="_Toc184313252"/>
      <w:bookmarkEnd w:id="240"/>
      <w:bookmarkStart w:id="241" w:name="_Toc184308039"/>
      <w:bookmarkEnd w:id="241"/>
      <w:bookmarkStart w:id="242" w:name="_Toc184312072"/>
      <w:bookmarkEnd w:id="242"/>
      <w:bookmarkStart w:id="243" w:name="_Toc184310278"/>
      <w:bookmarkEnd w:id="243"/>
      <w:bookmarkStart w:id="244" w:name="_Toc184310336"/>
      <w:bookmarkEnd w:id="244"/>
      <w:bookmarkStart w:id="245" w:name="_Toc184310283"/>
      <w:bookmarkEnd w:id="245"/>
      <w:bookmarkStart w:id="246" w:name="_Toc184314442"/>
      <w:bookmarkEnd w:id="246"/>
      <w:bookmarkStart w:id="247" w:name="_Toc184314463"/>
      <w:bookmarkEnd w:id="247"/>
      <w:bookmarkStart w:id="248" w:name="_Toc184308036"/>
      <w:bookmarkEnd w:id="248"/>
      <w:bookmarkStart w:id="249" w:name="_Toc184312121"/>
      <w:bookmarkEnd w:id="249"/>
      <w:bookmarkStart w:id="250" w:name="_Toc184313262"/>
      <w:bookmarkEnd w:id="250"/>
      <w:bookmarkStart w:id="251" w:name="_Toc184314466"/>
      <w:bookmarkEnd w:id="251"/>
      <w:bookmarkStart w:id="252" w:name="_Toc184310338"/>
      <w:bookmarkEnd w:id="252"/>
      <w:bookmarkStart w:id="253" w:name="_Toc184313268"/>
      <w:bookmarkEnd w:id="253"/>
      <w:bookmarkStart w:id="254" w:name="_Toc184312115"/>
      <w:bookmarkEnd w:id="254"/>
      <w:bookmarkStart w:id="255" w:name="_Toc184314478"/>
      <w:bookmarkEnd w:id="255"/>
      <w:bookmarkStart w:id="256" w:name="_Toc184314413"/>
      <w:bookmarkEnd w:id="256"/>
      <w:bookmarkStart w:id="257" w:name="_Toc184308057"/>
      <w:bookmarkEnd w:id="257"/>
      <w:bookmarkStart w:id="258" w:name="_Toc184314476"/>
      <w:bookmarkEnd w:id="258"/>
      <w:bookmarkStart w:id="259" w:name="_Toc184308092"/>
      <w:bookmarkEnd w:id="259"/>
      <w:bookmarkStart w:id="260" w:name="_Toc184312129"/>
      <w:bookmarkEnd w:id="260"/>
      <w:bookmarkStart w:id="261" w:name="_Toc184312125"/>
      <w:bookmarkEnd w:id="261"/>
      <w:bookmarkStart w:id="262" w:name="_Toc184312134"/>
      <w:bookmarkEnd w:id="262"/>
      <w:bookmarkStart w:id="263" w:name="_Toc184312110"/>
      <w:bookmarkEnd w:id="263"/>
      <w:bookmarkStart w:id="264" w:name="_Toc184310286"/>
      <w:bookmarkEnd w:id="264"/>
      <w:bookmarkStart w:id="265" w:name="_Toc184313238"/>
      <w:bookmarkEnd w:id="265"/>
      <w:bookmarkStart w:id="266" w:name="_Toc184314470"/>
      <w:bookmarkEnd w:id="266"/>
      <w:bookmarkStart w:id="267" w:name="_Toc184312116"/>
      <w:bookmarkEnd w:id="267"/>
      <w:bookmarkStart w:id="268" w:name="_Toc184313301"/>
      <w:bookmarkEnd w:id="268"/>
      <w:bookmarkStart w:id="269" w:name="_Toc184314416"/>
      <w:bookmarkEnd w:id="269"/>
      <w:bookmarkStart w:id="270" w:name="_Toc184310272"/>
      <w:bookmarkEnd w:id="270"/>
      <w:bookmarkStart w:id="271" w:name="_Toc184313246"/>
      <w:bookmarkEnd w:id="271"/>
      <w:bookmarkStart w:id="272" w:name="_Toc184314411"/>
      <w:bookmarkEnd w:id="272"/>
      <w:bookmarkStart w:id="273" w:name="_Toc184313278"/>
      <w:bookmarkEnd w:id="273"/>
      <w:bookmarkStart w:id="274" w:name="_Toc184312124"/>
      <w:bookmarkEnd w:id="274"/>
      <w:bookmarkStart w:id="275" w:name="_Toc184313284"/>
      <w:bookmarkEnd w:id="275"/>
      <w:bookmarkStart w:id="276" w:name="_Toc184314475"/>
      <w:bookmarkEnd w:id="276"/>
      <w:bookmarkStart w:id="277" w:name="_Toc184308048"/>
      <w:bookmarkEnd w:id="277"/>
      <w:bookmarkStart w:id="278" w:name="_Toc184308038"/>
      <w:bookmarkEnd w:id="278"/>
      <w:bookmarkStart w:id="279" w:name="_Toc184310340"/>
      <w:bookmarkEnd w:id="279"/>
      <w:bookmarkStart w:id="280" w:name="_Toc184310285"/>
      <w:bookmarkEnd w:id="280"/>
      <w:bookmarkStart w:id="281" w:name="_Toc184314472"/>
      <w:bookmarkEnd w:id="281"/>
      <w:bookmarkStart w:id="282" w:name="_Toc184310332"/>
      <w:bookmarkEnd w:id="282"/>
      <w:bookmarkStart w:id="283" w:name="_Toc184308104"/>
      <w:bookmarkEnd w:id="283"/>
      <w:bookmarkStart w:id="284" w:name="_Toc184310331"/>
      <w:bookmarkEnd w:id="284"/>
      <w:bookmarkStart w:id="285" w:name="_Toc184313257"/>
      <w:bookmarkEnd w:id="285"/>
      <w:bookmarkStart w:id="286" w:name="_Toc184308079"/>
      <w:bookmarkEnd w:id="286"/>
      <w:bookmarkStart w:id="287" w:name="_Toc184314456"/>
      <w:bookmarkEnd w:id="287"/>
      <w:bookmarkStart w:id="288" w:name="_Toc184310316"/>
      <w:bookmarkEnd w:id="288"/>
      <w:bookmarkStart w:id="289" w:name="_Toc184314477"/>
      <w:bookmarkEnd w:id="289"/>
      <w:bookmarkStart w:id="290" w:name="_Toc184308083"/>
      <w:bookmarkEnd w:id="290"/>
      <w:bookmarkStart w:id="291" w:name="_Toc184313286"/>
      <w:bookmarkEnd w:id="291"/>
      <w:bookmarkStart w:id="292" w:name="_Toc184313247"/>
      <w:bookmarkEnd w:id="292"/>
      <w:bookmarkStart w:id="293" w:name="_Toc184313307"/>
      <w:bookmarkEnd w:id="293"/>
      <w:bookmarkStart w:id="294" w:name="_Toc184310295"/>
      <w:bookmarkEnd w:id="294"/>
      <w:bookmarkStart w:id="295" w:name="_Toc184308089"/>
      <w:bookmarkEnd w:id="295"/>
      <w:bookmarkStart w:id="296" w:name="_Toc184312127"/>
      <w:bookmarkEnd w:id="296"/>
      <w:bookmarkStart w:id="297" w:name="_Toc184310279"/>
      <w:bookmarkEnd w:id="297"/>
      <w:bookmarkStart w:id="298" w:name="_Toc184310304"/>
      <w:bookmarkEnd w:id="298"/>
      <w:bookmarkStart w:id="299" w:name="_Toc184312093"/>
      <w:bookmarkEnd w:id="299"/>
      <w:bookmarkStart w:id="300" w:name="_Toc184310322"/>
      <w:bookmarkEnd w:id="300"/>
      <w:bookmarkStart w:id="301" w:name="_Toc184314445"/>
      <w:bookmarkEnd w:id="301"/>
      <w:bookmarkStart w:id="302" w:name="_Toc184312084"/>
      <w:bookmarkEnd w:id="302"/>
      <w:bookmarkStart w:id="303" w:name="_Toc184308077"/>
      <w:bookmarkEnd w:id="303"/>
      <w:bookmarkStart w:id="304" w:name="_Toc184308097"/>
      <w:bookmarkEnd w:id="304"/>
      <w:bookmarkStart w:id="305" w:name="_Toc184314434"/>
      <w:bookmarkEnd w:id="305"/>
      <w:bookmarkStart w:id="306" w:name="_Toc184312100"/>
      <w:bookmarkEnd w:id="306"/>
      <w:bookmarkStart w:id="307" w:name="_Toc184310310"/>
      <w:bookmarkEnd w:id="307"/>
      <w:bookmarkStart w:id="308" w:name="_Toc184308086"/>
      <w:bookmarkEnd w:id="308"/>
      <w:bookmarkStart w:id="309" w:name="_Toc184314443"/>
      <w:bookmarkEnd w:id="309"/>
      <w:bookmarkStart w:id="310" w:name="_Toc184314455"/>
      <w:bookmarkEnd w:id="310"/>
      <w:bookmarkStart w:id="311" w:name="_Toc184308101"/>
      <w:bookmarkEnd w:id="311"/>
      <w:bookmarkStart w:id="312" w:name="_Toc184313263"/>
      <w:bookmarkEnd w:id="312"/>
      <w:bookmarkStart w:id="313" w:name="_Toc184314479"/>
      <w:bookmarkEnd w:id="313"/>
      <w:bookmarkStart w:id="314" w:name="_Toc184308105"/>
      <w:bookmarkEnd w:id="314"/>
      <w:bookmarkStart w:id="315" w:name="_Toc184310287"/>
      <w:bookmarkEnd w:id="315"/>
      <w:bookmarkStart w:id="316" w:name="_Toc184312077"/>
      <w:bookmarkEnd w:id="316"/>
      <w:bookmarkStart w:id="317" w:name="_Toc184312069"/>
      <w:bookmarkEnd w:id="317"/>
      <w:bookmarkStart w:id="318" w:name="_Toc184310307"/>
      <w:bookmarkEnd w:id="318"/>
      <w:bookmarkStart w:id="319" w:name="_Toc184310320"/>
      <w:bookmarkEnd w:id="319"/>
      <w:bookmarkStart w:id="320" w:name="_Toc184312087"/>
      <w:bookmarkEnd w:id="320"/>
      <w:bookmarkStart w:id="321" w:name="_Toc184314458"/>
      <w:bookmarkEnd w:id="321"/>
      <w:bookmarkStart w:id="322" w:name="_Toc184313251"/>
      <w:bookmarkEnd w:id="322"/>
      <w:bookmarkStart w:id="323" w:name="_Toc184313289"/>
      <w:bookmarkEnd w:id="323"/>
      <w:bookmarkStart w:id="324" w:name="_Toc184312132"/>
      <w:bookmarkEnd w:id="324"/>
      <w:bookmarkStart w:id="325" w:name="_Toc184312120"/>
      <w:bookmarkEnd w:id="325"/>
      <w:bookmarkStart w:id="326" w:name="_Toc184313293"/>
      <w:bookmarkEnd w:id="326"/>
      <w:bookmarkStart w:id="327" w:name="_Toc184314461"/>
      <w:bookmarkEnd w:id="327"/>
      <w:bookmarkStart w:id="328" w:name="_Toc184310335"/>
      <w:bookmarkEnd w:id="328"/>
      <w:bookmarkStart w:id="329" w:name="_Toc184313271"/>
      <w:bookmarkEnd w:id="329"/>
      <w:bookmarkStart w:id="330" w:name="_Toc184314415"/>
      <w:bookmarkEnd w:id="330"/>
      <w:bookmarkStart w:id="331" w:name="_Toc184314459"/>
      <w:bookmarkEnd w:id="331"/>
      <w:bookmarkStart w:id="332" w:name="_Toc184310284"/>
      <w:bookmarkEnd w:id="332"/>
      <w:bookmarkStart w:id="333" w:name="_Toc184310300"/>
      <w:bookmarkEnd w:id="333"/>
      <w:bookmarkStart w:id="334" w:name="_Toc184314447"/>
      <w:bookmarkEnd w:id="334"/>
      <w:bookmarkStart w:id="335" w:name="_Toc184310327"/>
      <w:bookmarkEnd w:id="335"/>
      <w:bookmarkStart w:id="336" w:name="_Toc184312133"/>
      <w:bookmarkEnd w:id="336"/>
      <w:bookmarkStart w:id="337" w:name="_Toc184312113"/>
      <w:bookmarkEnd w:id="337"/>
      <w:bookmarkStart w:id="338" w:name="_Toc184313259"/>
      <w:bookmarkEnd w:id="338"/>
      <w:bookmarkStart w:id="339" w:name="_Toc184312095"/>
      <w:bookmarkEnd w:id="339"/>
      <w:bookmarkStart w:id="340" w:name="_Toc184308058"/>
      <w:bookmarkEnd w:id="340"/>
      <w:bookmarkStart w:id="341" w:name="_Toc184313273"/>
      <w:bookmarkEnd w:id="341"/>
      <w:bookmarkStart w:id="342" w:name="_Toc184313309"/>
      <w:bookmarkEnd w:id="342"/>
      <w:bookmarkStart w:id="343" w:name="_Toc184310288"/>
      <w:bookmarkEnd w:id="343"/>
      <w:bookmarkStart w:id="344" w:name="_Toc184308045"/>
      <w:bookmarkEnd w:id="344"/>
      <w:bookmarkStart w:id="345" w:name="_Toc184308093"/>
      <w:bookmarkEnd w:id="345"/>
      <w:bookmarkStart w:id="346" w:name="_Toc184313302"/>
      <w:bookmarkEnd w:id="346"/>
      <w:bookmarkStart w:id="347" w:name="_Toc184308043"/>
      <w:bookmarkEnd w:id="347"/>
      <w:bookmarkStart w:id="348" w:name="_Toc184312137"/>
      <w:bookmarkEnd w:id="348"/>
      <w:bookmarkStart w:id="349" w:name="_Toc184312099"/>
      <w:bookmarkEnd w:id="349"/>
      <w:bookmarkStart w:id="350" w:name="_Toc184314446"/>
      <w:bookmarkEnd w:id="350"/>
      <w:bookmarkStart w:id="351" w:name="_Toc184313287"/>
      <w:bookmarkEnd w:id="351"/>
      <w:bookmarkStart w:id="352" w:name="_Toc184313243"/>
      <w:bookmarkEnd w:id="352"/>
      <w:bookmarkStart w:id="353" w:name="_Toc184308062"/>
      <w:bookmarkEnd w:id="353"/>
      <w:bookmarkStart w:id="354" w:name="_Toc184310325"/>
      <w:bookmarkEnd w:id="354"/>
      <w:bookmarkStart w:id="355" w:name="_Toc184308103"/>
      <w:bookmarkEnd w:id="355"/>
      <w:bookmarkStart w:id="356" w:name="_Toc184312096"/>
      <w:bookmarkEnd w:id="356"/>
      <w:bookmarkStart w:id="357" w:name="_Toc184312104"/>
      <w:bookmarkEnd w:id="357"/>
      <w:bookmarkStart w:id="358" w:name="_Toc184312083"/>
      <w:bookmarkEnd w:id="358"/>
      <w:bookmarkStart w:id="359" w:name="_Toc184313253"/>
      <w:bookmarkEnd w:id="359"/>
      <w:bookmarkStart w:id="360" w:name="_Toc184313295"/>
      <w:bookmarkEnd w:id="360"/>
      <w:bookmarkStart w:id="361" w:name="_Toc184310319"/>
      <w:bookmarkEnd w:id="361"/>
      <w:bookmarkStart w:id="362" w:name="_Toc184314429"/>
      <w:bookmarkEnd w:id="362"/>
      <w:bookmarkStart w:id="363" w:name="_Toc184310294"/>
      <w:bookmarkEnd w:id="363"/>
      <w:bookmarkStart w:id="364" w:name="_Toc184312080"/>
      <w:bookmarkEnd w:id="364"/>
      <w:bookmarkStart w:id="365" w:name="_Toc184312105"/>
      <w:bookmarkEnd w:id="365"/>
      <w:bookmarkStart w:id="366" w:name="_Toc184312068"/>
      <w:bookmarkEnd w:id="366"/>
      <w:bookmarkStart w:id="367" w:name="_Toc184308108"/>
      <w:bookmarkEnd w:id="367"/>
      <w:bookmarkStart w:id="368" w:name="_Toc184314464"/>
      <w:bookmarkEnd w:id="368"/>
      <w:bookmarkStart w:id="369" w:name="_Toc184314418"/>
      <w:bookmarkEnd w:id="369"/>
      <w:bookmarkStart w:id="370" w:name="_Toc184314441"/>
      <w:bookmarkEnd w:id="370"/>
      <w:bookmarkStart w:id="371" w:name="_Toc184313300"/>
      <w:bookmarkEnd w:id="371"/>
      <w:bookmarkStart w:id="372" w:name="_Toc184314482"/>
      <w:bookmarkEnd w:id="372"/>
      <w:bookmarkStart w:id="373" w:name="_Toc184312078"/>
      <w:bookmarkEnd w:id="373"/>
      <w:bookmarkStart w:id="374" w:name="_Toc184310323"/>
      <w:bookmarkEnd w:id="374"/>
      <w:bookmarkStart w:id="375" w:name="_Toc184308063"/>
      <w:bookmarkEnd w:id="375"/>
      <w:bookmarkStart w:id="376" w:name="_Toc184310328"/>
      <w:bookmarkEnd w:id="376"/>
      <w:bookmarkStart w:id="377" w:name="_Toc184310342"/>
      <w:bookmarkEnd w:id="377"/>
      <w:bookmarkStart w:id="378" w:name="_Toc184313276"/>
      <w:bookmarkEnd w:id="378"/>
      <w:bookmarkStart w:id="379" w:name="_Toc184314449"/>
      <w:bookmarkEnd w:id="379"/>
      <w:bookmarkStart w:id="380" w:name="_Toc184314444"/>
      <w:bookmarkEnd w:id="380"/>
      <w:bookmarkStart w:id="381" w:name="_Toc184308053"/>
      <w:bookmarkEnd w:id="381"/>
      <w:bookmarkStart w:id="382" w:name="_Toc184310313"/>
      <w:bookmarkEnd w:id="382"/>
      <w:bookmarkStart w:id="383" w:name="_Toc184313255"/>
      <w:bookmarkEnd w:id="383"/>
      <w:bookmarkStart w:id="384" w:name="_Toc184312101"/>
      <w:bookmarkEnd w:id="384"/>
      <w:bookmarkStart w:id="385" w:name="_Toc184313291"/>
      <w:bookmarkEnd w:id="385"/>
      <w:bookmarkStart w:id="386" w:name="_Toc184314457"/>
      <w:bookmarkEnd w:id="386"/>
      <w:bookmarkStart w:id="387" w:name="_Toc184312075"/>
      <w:bookmarkEnd w:id="387"/>
      <w:bookmarkStart w:id="388" w:name="_Toc184308049"/>
      <w:bookmarkEnd w:id="388"/>
      <w:bookmarkStart w:id="389" w:name="_Toc184308056"/>
      <w:bookmarkEnd w:id="389"/>
      <w:bookmarkStart w:id="390" w:name="_Toc184313250"/>
      <w:bookmarkEnd w:id="390"/>
      <w:bookmarkStart w:id="391" w:name="_Toc184308064"/>
      <w:bookmarkEnd w:id="391"/>
      <w:bookmarkStart w:id="392" w:name="_Toc184313256"/>
      <w:bookmarkEnd w:id="392"/>
      <w:bookmarkStart w:id="393" w:name="_Toc184310280"/>
      <w:bookmarkEnd w:id="393"/>
      <w:bookmarkStart w:id="394" w:name="_Toc184314448"/>
      <w:bookmarkEnd w:id="394"/>
      <w:bookmarkStart w:id="395" w:name="_Toc184312074"/>
      <w:bookmarkEnd w:id="395"/>
      <w:r>
        <w:rPr>
          <w:rFonts w:hint="eastAsia" w:ascii="仿宋" w:hAnsi="仿宋" w:eastAsia="仿宋" w:cs="仿宋_GB2312"/>
          <w:b/>
          <w:sz w:val="36"/>
          <w:szCs w:val="36"/>
          <w:highlight w:val="none"/>
        </w:rPr>
        <w:t>评标办法</w:t>
      </w:r>
    </w:p>
    <w:p w14:paraId="32FCC5A7">
      <w:pPr>
        <w:kinsoku/>
        <w:wordWrap w:val="0"/>
        <w:topLinePunct w:val="0"/>
        <w:bidi w:val="0"/>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tbl>
      <w:tblPr>
        <w:tblStyle w:val="62"/>
        <w:tblW w:w="51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6427"/>
        <w:gridCol w:w="720"/>
        <w:gridCol w:w="1834"/>
      </w:tblGrid>
      <w:tr w14:paraId="79D9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336" w:type="pct"/>
            <w:vAlign w:val="center"/>
          </w:tcPr>
          <w:p w14:paraId="0C8EE709">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ascii="仿宋" w:hAnsi="仿宋" w:eastAsia="仿宋" w:cs="仿宋_GB2312"/>
                <w:b/>
                <w:bCs w:val="0"/>
                <w:sz w:val="24"/>
                <w:highlight w:val="none"/>
              </w:rPr>
            </w:pPr>
            <w:r>
              <w:rPr>
                <w:rFonts w:hint="eastAsia" w:ascii="仿宋" w:hAnsi="仿宋" w:eastAsia="仿宋" w:cs="仿宋_GB2312"/>
                <w:b/>
                <w:bCs w:val="0"/>
                <w:sz w:val="24"/>
                <w:highlight w:val="none"/>
              </w:rPr>
              <w:t>序号</w:t>
            </w:r>
          </w:p>
        </w:tc>
        <w:tc>
          <w:tcPr>
            <w:tcW w:w="3337" w:type="pct"/>
            <w:vAlign w:val="center"/>
          </w:tcPr>
          <w:p w14:paraId="1567A964">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ascii="仿宋" w:hAnsi="仿宋" w:eastAsia="仿宋" w:cs="仿宋_GB2312"/>
                <w:b/>
                <w:bCs w:val="0"/>
                <w:sz w:val="24"/>
                <w:highlight w:val="none"/>
              </w:rPr>
            </w:pPr>
            <w:r>
              <w:rPr>
                <w:rFonts w:hint="eastAsia" w:ascii="仿宋" w:hAnsi="仿宋" w:eastAsia="仿宋" w:cs="仿宋_GB2312"/>
                <w:b/>
                <w:bCs w:val="0"/>
                <w:sz w:val="24"/>
                <w:highlight w:val="none"/>
              </w:rPr>
              <w:t>评标标准</w:t>
            </w:r>
          </w:p>
        </w:tc>
        <w:tc>
          <w:tcPr>
            <w:tcW w:w="373" w:type="pct"/>
            <w:vAlign w:val="center"/>
          </w:tcPr>
          <w:p w14:paraId="79DB6901">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ascii="仿宋" w:hAnsi="仿宋" w:eastAsia="仿宋" w:cs="仿宋_GB2312"/>
                <w:b/>
                <w:bCs w:val="0"/>
                <w:sz w:val="24"/>
                <w:highlight w:val="none"/>
              </w:rPr>
            </w:pPr>
            <w:r>
              <w:rPr>
                <w:rFonts w:hint="eastAsia" w:ascii="仿宋" w:hAnsi="仿宋" w:eastAsia="仿宋" w:cs="仿宋_GB2312"/>
                <w:b/>
                <w:bCs w:val="0"/>
                <w:sz w:val="24"/>
                <w:highlight w:val="none"/>
              </w:rPr>
              <w:t>权重</w:t>
            </w:r>
          </w:p>
        </w:tc>
        <w:tc>
          <w:tcPr>
            <w:tcW w:w="952" w:type="pct"/>
            <w:vAlign w:val="center"/>
          </w:tcPr>
          <w:p w14:paraId="0E7EFDD5">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ascii="仿宋" w:hAnsi="仿宋" w:eastAsia="仿宋" w:cs="仿宋_GB2312"/>
                <w:b/>
                <w:bCs w:val="0"/>
                <w:sz w:val="24"/>
                <w:highlight w:val="none"/>
              </w:rPr>
            </w:pPr>
            <w:r>
              <w:rPr>
                <w:rFonts w:hint="eastAsia" w:ascii="仿宋" w:hAnsi="仿宋" w:eastAsia="仿宋" w:cs="仿宋_GB2312"/>
                <w:b/>
                <w:bCs w:val="0"/>
                <w:sz w:val="24"/>
                <w:highlight w:val="none"/>
              </w:rPr>
              <w:t>投标文件中评标标准相应的商务技术资料目录</w:t>
            </w:r>
            <w:r>
              <w:rPr>
                <w:rFonts w:ascii="宋体" w:hAnsi="宋体" w:cs="宋体"/>
                <w:b/>
                <w:bCs w:val="0"/>
                <w:sz w:val="24"/>
                <w:highlight w:val="none"/>
                <w:shd w:val="clear" w:color="auto" w:fill="FFFFFF"/>
              </w:rPr>
              <w:t> </w:t>
            </w:r>
            <w:r>
              <w:rPr>
                <w:rFonts w:ascii="仿宋" w:hAnsi="仿宋" w:eastAsia="仿宋" w:cs="Arial"/>
                <w:b/>
                <w:bCs w:val="0"/>
                <w:sz w:val="24"/>
                <w:highlight w:val="none"/>
                <w:shd w:val="clear" w:color="auto" w:fill="FFFFFF"/>
              </w:rPr>
              <w:t>*</w:t>
            </w:r>
          </w:p>
        </w:tc>
      </w:tr>
      <w:tr w14:paraId="4072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6" w:type="pct"/>
            <w:vAlign w:val="center"/>
          </w:tcPr>
          <w:p w14:paraId="4EBE83FC">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ascii="仿宋" w:hAnsi="仿宋" w:eastAsia="仿宋" w:cs="仿宋_GB2312"/>
                <w:sz w:val="24"/>
                <w:highlight w:val="none"/>
              </w:rPr>
            </w:pPr>
            <w:r>
              <w:rPr>
                <w:rFonts w:hint="eastAsia" w:ascii="仿宋" w:hAnsi="仿宋" w:eastAsia="仿宋" w:cs="仿宋_GB2312"/>
                <w:sz w:val="24"/>
                <w:highlight w:val="none"/>
                <w:lang w:val="en-US" w:eastAsia="zh-CN"/>
              </w:rPr>
              <w:t>1</w:t>
            </w:r>
          </w:p>
        </w:tc>
        <w:tc>
          <w:tcPr>
            <w:tcW w:w="3337" w:type="pct"/>
            <w:vAlign w:val="center"/>
          </w:tcPr>
          <w:p w14:paraId="63E7F096">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lang w:eastAsia="zh-CN"/>
              </w:rPr>
              <w:t>拟派项目负责人</w:t>
            </w:r>
            <w:r>
              <w:rPr>
                <w:rFonts w:hint="eastAsia" w:ascii="仿宋" w:hAnsi="仿宋" w:eastAsia="仿宋" w:cs="仿宋_GB2312"/>
                <w:sz w:val="24"/>
                <w:highlight w:val="none"/>
                <w:lang w:val="en-US" w:eastAsia="zh-CN"/>
              </w:rPr>
              <w:t>资格</w:t>
            </w:r>
            <w:r>
              <w:rPr>
                <w:rFonts w:hint="eastAsia" w:ascii="仿宋" w:hAnsi="仿宋" w:eastAsia="仿宋" w:cs="仿宋_GB2312"/>
                <w:sz w:val="24"/>
                <w:highlight w:val="none"/>
                <w:lang w:eastAsia="zh-CN"/>
              </w:rPr>
              <w:t>：</w:t>
            </w:r>
            <w:r>
              <w:rPr>
                <w:rFonts w:hint="eastAsia" w:ascii="宋体" w:eastAsia="宋体"/>
                <w:b/>
                <w:bCs/>
                <w:color w:val="auto"/>
                <w:sz w:val="22"/>
                <w:szCs w:val="22"/>
                <w:highlight w:val="none"/>
              </w:rPr>
              <w:t>拟派项目负责人具有注册公路工程专业证书的可得</w:t>
            </w:r>
            <w:r>
              <w:rPr>
                <w:rFonts w:hint="eastAsia" w:ascii="宋体" w:eastAsia="宋体"/>
                <w:b/>
                <w:bCs/>
                <w:color w:val="auto"/>
                <w:sz w:val="22"/>
                <w:szCs w:val="22"/>
                <w:highlight w:val="none"/>
                <w:lang w:val="en-US" w:eastAsia="zh-CN"/>
              </w:rPr>
              <w:t>5</w:t>
            </w:r>
            <w:r>
              <w:rPr>
                <w:rFonts w:hint="eastAsia" w:ascii="宋体" w:eastAsia="宋体"/>
                <w:b/>
                <w:bCs/>
                <w:color w:val="auto"/>
                <w:sz w:val="22"/>
                <w:szCs w:val="22"/>
                <w:highlight w:val="none"/>
              </w:rPr>
              <w:t>分。</w:t>
            </w:r>
            <w:r>
              <w:rPr>
                <w:rFonts w:hint="eastAsia" w:ascii="仿宋" w:hAnsi="仿宋" w:eastAsia="仿宋" w:cs="仿宋_GB2312"/>
                <w:sz w:val="24"/>
                <w:highlight w:val="none"/>
                <w:lang w:eastAsia="zh-CN"/>
              </w:rPr>
              <w:t>须提供证书扫描件和本单位在投标截止前６个月内任意一个月的社保证明材料，否则不得分。该项最高得</w:t>
            </w:r>
            <w:r>
              <w:rPr>
                <w:rFonts w:hint="eastAsia" w:ascii="仿宋" w:hAnsi="仿宋" w:eastAsia="仿宋" w:cs="仿宋_GB2312"/>
                <w:sz w:val="24"/>
                <w:highlight w:val="none"/>
                <w:lang w:val="en-US" w:eastAsia="zh-CN"/>
              </w:rPr>
              <w:t>5</w:t>
            </w:r>
            <w:r>
              <w:rPr>
                <w:rFonts w:hint="eastAsia" w:ascii="仿宋" w:hAnsi="仿宋" w:eastAsia="仿宋" w:cs="仿宋_GB2312"/>
                <w:sz w:val="24"/>
                <w:highlight w:val="none"/>
                <w:lang w:eastAsia="zh-CN"/>
              </w:rPr>
              <w:t>分。</w:t>
            </w:r>
          </w:p>
        </w:tc>
        <w:tc>
          <w:tcPr>
            <w:tcW w:w="373" w:type="pct"/>
            <w:vAlign w:val="center"/>
          </w:tcPr>
          <w:p w14:paraId="51BDCBE7">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5</w:t>
            </w:r>
          </w:p>
        </w:tc>
        <w:tc>
          <w:tcPr>
            <w:tcW w:w="952" w:type="pct"/>
            <w:vAlign w:val="center"/>
          </w:tcPr>
          <w:p w14:paraId="23D2CEB9">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ascii="仿宋" w:hAnsi="仿宋" w:eastAsia="仿宋" w:cs="仿宋_GB2312"/>
                <w:sz w:val="24"/>
                <w:highlight w:val="none"/>
              </w:rPr>
            </w:pPr>
          </w:p>
        </w:tc>
      </w:tr>
      <w:tr w14:paraId="76F4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6" w:type="pct"/>
            <w:vAlign w:val="center"/>
          </w:tcPr>
          <w:p w14:paraId="0E6565AE">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2</w:t>
            </w:r>
          </w:p>
        </w:tc>
        <w:tc>
          <w:tcPr>
            <w:tcW w:w="3337" w:type="pct"/>
            <w:vAlign w:val="center"/>
          </w:tcPr>
          <w:p w14:paraId="667032DE">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rPr>
              <w:t>项目机构其他主要施工管理人员</w:t>
            </w:r>
            <w:r>
              <w:rPr>
                <w:rFonts w:hint="eastAsia" w:ascii="仿宋" w:hAnsi="仿宋" w:eastAsia="仿宋" w:cs="仿宋_GB2312"/>
                <w:sz w:val="24"/>
                <w:highlight w:val="none"/>
                <w:lang w:eastAsia="zh-CN"/>
              </w:rPr>
              <w:t>：</w:t>
            </w:r>
          </w:p>
          <w:p w14:paraId="30B1D35C">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rPr>
              <w:t>技术负责人具有公路</w:t>
            </w:r>
            <w:r>
              <w:rPr>
                <w:rFonts w:hint="eastAsia" w:ascii="仿宋" w:hAnsi="仿宋" w:eastAsia="仿宋" w:cs="仿宋_GB2312"/>
                <w:sz w:val="24"/>
                <w:highlight w:val="none"/>
                <w:lang w:val="en-US" w:eastAsia="zh-CN"/>
              </w:rPr>
              <w:t>专业</w:t>
            </w:r>
            <w:r>
              <w:rPr>
                <w:rFonts w:hint="eastAsia" w:ascii="仿宋" w:hAnsi="仿宋" w:eastAsia="仿宋" w:cs="仿宋_GB2312"/>
                <w:sz w:val="24"/>
                <w:highlight w:val="none"/>
              </w:rPr>
              <w:t>高级职称得</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，此小项最高</w:t>
            </w:r>
            <w:r>
              <w:rPr>
                <w:rFonts w:hint="eastAsia" w:ascii="仿宋" w:hAnsi="仿宋" w:eastAsia="仿宋" w:cs="仿宋_GB2312"/>
                <w:sz w:val="24"/>
                <w:highlight w:val="none"/>
                <w:lang w:val="en-US" w:eastAsia="zh-CN"/>
              </w:rPr>
              <w:t>2分</w:t>
            </w:r>
            <w:r>
              <w:rPr>
                <w:rFonts w:hint="eastAsia" w:ascii="仿宋" w:hAnsi="仿宋" w:eastAsia="仿宋" w:cs="仿宋_GB2312"/>
                <w:sz w:val="24"/>
                <w:highlight w:val="none"/>
                <w:lang w:eastAsia="zh-CN"/>
              </w:rPr>
              <w:t>；</w:t>
            </w:r>
          </w:p>
          <w:p w14:paraId="0068E553">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项目部其他人员</w:t>
            </w:r>
            <w:r>
              <w:rPr>
                <w:rFonts w:hint="eastAsia" w:ascii="仿宋" w:hAnsi="仿宋" w:eastAsia="仿宋" w:cs="仿宋_GB2312"/>
                <w:sz w:val="24"/>
                <w:highlight w:val="none"/>
              </w:rPr>
              <w:t>具有公路或道路</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道桥</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中级职称</w:t>
            </w:r>
            <w:r>
              <w:rPr>
                <w:rFonts w:hint="eastAsia" w:ascii="仿宋" w:hAnsi="仿宋" w:eastAsia="仿宋" w:cs="仿宋_GB2312"/>
                <w:sz w:val="24"/>
                <w:highlight w:val="none"/>
                <w:lang w:val="en-US" w:eastAsia="zh-CN"/>
              </w:rPr>
              <w:t>每个</w:t>
            </w:r>
            <w:r>
              <w:rPr>
                <w:rFonts w:hint="eastAsia" w:ascii="仿宋" w:hAnsi="仿宋" w:eastAsia="仿宋" w:cs="仿宋_GB2312"/>
                <w:sz w:val="24"/>
                <w:highlight w:val="none"/>
              </w:rPr>
              <w:t>得2分</w:t>
            </w:r>
            <w:r>
              <w:rPr>
                <w:rFonts w:hint="eastAsia" w:ascii="仿宋" w:hAnsi="仿宋" w:eastAsia="仿宋" w:cs="仿宋_GB2312"/>
                <w:sz w:val="24"/>
                <w:highlight w:val="none"/>
                <w:lang w:eastAsia="zh-CN"/>
              </w:rPr>
              <w:t>，此小项最高</w:t>
            </w:r>
            <w:r>
              <w:rPr>
                <w:rFonts w:hint="eastAsia" w:ascii="仿宋" w:hAnsi="仿宋" w:eastAsia="仿宋" w:cs="仿宋_GB2312"/>
                <w:sz w:val="24"/>
                <w:highlight w:val="none"/>
                <w:lang w:val="en-US" w:eastAsia="zh-CN"/>
              </w:rPr>
              <w:t>2分</w:t>
            </w:r>
            <w:r>
              <w:rPr>
                <w:rFonts w:hint="eastAsia" w:ascii="仿宋" w:hAnsi="仿宋" w:eastAsia="仿宋" w:cs="仿宋_GB2312"/>
                <w:sz w:val="24"/>
                <w:highlight w:val="none"/>
                <w:lang w:eastAsia="zh-CN"/>
              </w:rPr>
              <w:t>；</w:t>
            </w:r>
          </w:p>
          <w:p w14:paraId="09A6DB06">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具有安全员证书</w:t>
            </w:r>
            <w:r>
              <w:rPr>
                <w:rFonts w:hint="eastAsia" w:ascii="仿宋" w:hAnsi="仿宋" w:eastAsia="仿宋" w:cs="仿宋_GB2312"/>
                <w:sz w:val="24"/>
                <w:highlight w:val="none"/>
                <w:lang w:val="en-US" w:eastAsia="zh-CN"/>
              </w:rPr>
              <w:t>每个</w:t>
            </w:r>
            <w:r>
              <w:rPr>
                <w:rFonts w:hint="eastAsia" w:ascii="仿宋" w:hAnsi="仿宋" w:eastAsia="仿宋" w:cs="仿宋_GB2312"/>
                <w:sz w:val="24"/>
                <w:highlight w:val="none"/>
              </w:rPr>
              <w:t>得</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，此小项最高</w:t>
            </w:r>
            <w:r>
              <w:rPr>
                <w:rFonts w:hint="eastAsia" w:ascii="仿宋" w:hAnsi="仿宋" w:eastAsia="仿宋" w:cs="仿宋_GB2312"/>
                <w:sz w:val="24"/>
                <w:highlight w:val="none"/>
                <w:lang w:val="en-US" w:eastAsia="zh-CN"/>
              </w:rPr>
              <w:t>2分</w:t>
            </w:r>
            <w:r>
              <w:rPr>
                <w:rFonts w:hint="eastAsia" w:ascii="仿宋" w:hAnsi="仿宋" w:eastAsia="仿宋" w:cs="仿宋_GB2312"/>
                <w:sz w:val="24"/>
                <w:highlight w:val="none"/>
                <w:lang w:eastAsia="zh-CN"/>
              </w:rPr>
              <w:t>；</w:t>
            </w:r>
          </w:p>
          <w:p w14:paraId="0C7AD61F">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具有质检员（或质量员）证书</w:t>
            </w:r>
            <w:r>
              <w:rPr>
                <w:rFonts w:hint="eastAsia" w:ascii="仿宋" w:hAnsi="仿宋" w:eastAsia="仿宋" w:cs="仿宋_GB2312"/>
                <w:sz w:val="24"/>
                <w:highlight w:val="none"/>
                <w:lang w:val="en-US" w:eastAsia="zh-CN"/>
              </w:rPr>
              <w:t>每个</w:t>
            </w:r>
            <w:r>
              <w:rPr>
                <w:rFonts w:hint="eastAsia" w:ascii="仿宋" w:hAnsi="仿宋" w:eastAsia="仿宋" w:cs="仿宋_GB2312"/>
                <w:sz w:val="24"/>
                <w:highlight w:val="none"/>
              </w:rPr>
              <w:t>得</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，此小项最高</w:t>
            </w:r>
            <w:r>
              <w:rPr>
                <w:rFonts w:hint="eastAsia" w:ascii="仿宋" w:hAnsi="仿宋" w:eastAsia="仿宋" w:cs="仿宋_GB2312"/>
                <w:sz w:val="24"/>
                <w:highlight w:val="none"/>
                <w:lang w:val="en-US" w:eastAsia="zh-CN"/>
              </w:rPr>
              <w:t>2分</w:t>
            </w:r>
            <w:r>
              <w:rPr>
                <w:rFonts w:hint="eastAsia" w:ascii="仿宋" w:hAnsi="仿宋" w:eastAsia="仿宋" w:cs="仿宋_GB2312"/>
                <w:sz w:val="24"/>
                <w:highlight w:val="none"/>
                <w:lang w:eastAsia="zh-CN"/>
              </w:rPr>
              <w:t>；</w:t>
            </w:r>
          </w:p>
          <w:p w14:paraId="04E7EB38">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具有取样员证书</w:t>
            </w:r>
            <w:r>
              <w:rPr>
                <w:rFonts w:hint="eastAsia" w:ascii="仿宋" w:hAnsi="仿宋" w:eastAsia="仿宋" w:cs="仿宋_GB2312"/>
                <w:sz w:val="24"/>
                <w:highlight w:val="none"/>
                <w:lang w:val="en-US" w:eastAsia="zh-CN"/>
              </w:rPr>
              <w:t>每个</w:t>
            </w:r>
            <w:r>
              <w:rPr>
                <w:rFonts w:hint="eastAsia" w:ascii="仿宋" w:hAnsi="仿宋" w:eastAsia="仿宋" w:cs="仿宋_GB2312"/>
                <w:sz w:val="24"/>
                <w:highlight w:val="none"/>
              </w:rPr>
              <w:t>得</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，此小项最高</w:t>
            </w:r>
            <w:r>
              <w:rPr>
                <w:rFonts w:hint="eastAsia" w:ascii="仿宋" w:hAnsi="仿宋" w:eastAsia="仿宋" w:cs="仿宋_GB2312"/>
                <w:sz w:val="24"/>
                <w:highlight w:val="none"/>
                <w:lang w:val="en-US" w:eastAsia="zh-CN"/>
              </w:rPr>
              <w:t>2分</w:t>
            </w:r>
            <w:r>
              <w:rPr>
                <w:rFonts w:hint="eastAsia" w:ascii="仿宋" w:hAnsi="仿宋" w:eastAsia="仿宋" w:cs="仿宋_GB2312"/>
                <w:sz w:val="24"/>
                <w:highlight w:val="none"/>
                <w:lang w:eastAsia="zh-CN"/>
              </w:rPr>
              <w:t>；</w:t>
            </w:r>
          </w:p>
          <w:p w14:paraId="64246343">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rPr>
              <w:t>累计最高得10分。</w:t>
            </w:r>
            <w:r>
              <w:rPr>
                <w:rFonts w:hint="eastAsia" w:ascii="仿宋" w:hAnsi="仿宋" w:eastAsia="仿宋" w:cs="仿宋_GB2312"/>
                <w:sz w:val="24"/>
                <w:highlight w:val="none"/>
                <w:lang w:val="en-US" w:eastAsia="zh-CN"/>
              </w:rPr>
              <w:t>项目负责人不得重复得分，一人多证的按一个计取。</w:t>
            </w:r>
          </w:p>
        </w:tc>
        <w:tc>
          <w:tcPr>
            <w:tcW w:w="373" w:type="pct"/>
            <w:vAlign w:val="center"/>
          </w:tcPr>
          <w:p w14:paraId="307CD7BC">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10</w:t>
            </w:r>
          </w:p>
        </w:tc>
        <w:tc>
          <w:tcPr>
            <w:tcW w:w="952" w:type="pct"/>
            <w:vAlign w:val="center"/>
          </w:tcPr>
          <w:p w14:paraId="54A04CF3">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ascii="仿宋" w:hAnsi="仿宋" w:eastAsia="仿宋" w:cs="仿宋_GB2312"/>
                <w:sz w:val="24"/>
                <w:highlight w:val="none"/>
              </w:rPr>
            </w:pPr>
          </w:p>
        </w:tc>
      </w:tr>
      <w:tr w14:paraId="0AD7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6" w:type="pct"/>
            <w:vAlign w:val="center"/>
          </w:tcPr>
          <w:p w14:paraId="743ABEAF">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3</w:t>
            </w:r>
          </w:p>
        </w:tc>
        <w:tc>
          <w:tcPr>
            <w:tcW w:w="3337" w:type="pct"/>
            <w:vAlign w:val="center"/>
          </w:tcPr>
          <w:p w14:paraId="29F38AEF">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rPr>
              <w:t>业绩</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201</w:t>
            </w:r>
            <w:r>
              <w:rPr>
                <w:rFonts w:hint="eastAsia" w:ascii="仿宋" w:hAnsi="仿宋" w:eastAsia="仿宋" w:cs="仿宋_GB2312"/>
                <w:sz w:val="24"/>
                <w:highlight w:val="none"/>
                <w:lang w:val="en-US" w:eastAsia="zh-CN"/>
              </w:rPr>
              <w:t>9</w:t>
            </w:r>
            <w:r>
              <w:rPr>
                <w:rFonts w:hint="eastAsia" w:ascii="仿宋" w:hAnsi="仿宋" w:eastAsia="仿宋" w:cs="仿宋_GB2312"/>
                <w:sz w:val="24"/>
                <w:highlight w:val="none"/>
              </w:rPr>
              <w:t>年以来已完成同类业绩：要求</w:t>
            </w:r>
            <w:r>
              <w:rPr>
                <w:rFonts w:hint="eastAsia" w:ascii="仿宋" w:hAnsi="仿宋" w:eastAsia="仿宋" w:cs="仿宋_GB2312"/>
                <w:sz w:val="24"/>
                <w:highlight w:val="none"/>
                <w:lang w:val="en-US" w:eastAsia="zh-CN"/>
              </w:rPr>
              <w:t>完成同类</w:t>
            </w:r>
            <w:r>
              <w:rPr>
                <w:rFonts w:hint="eastAsia" w:ascii="仿宋" w:hAnsi="仿宋" w:eastAsia="仿宋" w:cs="仿宋_GB2312"/>
                <w:sz w:val="24"/>
                <w:highlight w:val="none"/>
              </w:rPr>
              <w:t>小修保养单个</w:t>
            </w:r>
            <w:r>
              <w:rPr>
                <w:rFonts w:hint="eastAsia" w:ascii="仿宋" w:hAnsi="仿宋" w:eastAsia="仿宋" w:cs="仿宋_GB2312"/>
                <w:sz w:val="24"/>
                <w:highlight w:val="none"/>
                <w:lang w:val="en-US" w:eastAsia="zh-CN"/>
              </w:rPr>
              <w:t>施工</w:t>
            </w:r>
            <w:r>
              <w:rPr>
                <w:rFonts w:hint="eastAsia" w:ascii="仿宋" w:hAnsi="仿宋" w:eastAsia="仿宋" w:cs="仿宋_GB2312"/>
                <w:sz w:val="24"/>
                <w:highlight w:val="none"/>
              </w:rPr>
              <w:t>合同</w:t>
            </w:r>
            <w:r>
              <w:rPr>
                <w:rFonts w:hint="eastAsia" w:ascii="仿宋" w:hAnsi="仿宋" w:eastAsia="仿宋" w:cs="仿宋_GB2312"/>
                <w:sz w:val="24"/>
                <w:highlight w:val="none"/>
                <w:lang w:val="en-US" w:eastAsia="zh-CN"/>
              </w:rPr>
              <w:t>每个</w:t>
            </w:r>
            <w:r>
              <w:rPr>
                <w:rFonts w:hint="eastAsia" w:ascii="仿宋" w:hAnsi="仿宋" w:eastAsia="仿宋" w:cs="仿宋_GB2312"/>
                <w:sz w:val="24"/>
                <w:highlight w:val="none"/>
              </w:rPr>
              <w:t>得</w:t>
            </w:r>
            <w:r>
              <w:rPr>
                <w:rFonts w:hint="eastAsia" w:ascii="仿宋" w:hAnsi="仿宋" w:eastAsia="仿宋" w:cs="仿宋_GB2312"/>
                <w:sz w:val="24"/>
                <w:highlight w:val="none"/>
                <w:lang w:val="en-US" w:eastAsia="zh-CN"/>
              </w:rPr>
              <w:t>0.5</w:t>
            </w:r>
            <w:r>
              <w:rPr>
                <w:rFonts w:hint="eastAsia" w:ascii="仿宋" w:hAnsi="仿宋" w:eastAsia="仿宋" w:cs="仿宋_GB2312"/>
                <w:sz w:val="24"/>
                <w:highlight w:val="none"/>
              </w:rPr>
              <w:t>分，最多得1分。以提供的合同或中标通知书为准</w:t>
            </w:r>
            <w:r>
              <w:rPr>
                <w:rFonts w:hint="eastAsia" w:ascii="仿宋" w:hAnsi="仿宋" w:eastAsia="仿宋" w:cs="仿宋_GB2312"/>
                <w:sz w:val="24"/>
                <w:highlight w:val="none"/>
                <w:lang w:eastAsia="zh-CN"/>
              </w:rPr>
              <w:t>。</w:t>
            </w:r>
          </w:p>
        </w:tc>
        <w:tc>
          <w:tcPr>
            <w:tcW w:w="373" w:type="pct"/>
            <w:vAlign w:val="center"/>
          </w:tcPr>
          <w:p w14:paraId="72AC2F19">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w:t>
            </w:r>
          </w:p>
        </w:tc>
        <w:tc>
          <w:tcPr>
            <w:tcW w:w="952" w:type="pct"/>
            <w:vAlign w:val="center"/>
          </w:tcPr>
          <w:p w14:paraId="241C1B32">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ascii="仿宋" w:hAnsi="仿宋" w:eastAsia="仿宋" w:cs="仿宋_GB2312"/>
                <w:sz w:val="24"/>
                <w:highlight w:val="none"/>
              </w:rPr>
            </w:pPr>
          </w:p>
        </w:tc>
      </w:tr>
      <w:tr w14:paraId="09FB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6" w:type="pct"/>
            <w:vAlign w:val="center"/>
          </w:tcPr>
          <w:p w14:paraId="1DB18863">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4</w:t>
            </w:r>
          </w:p>
        </w:tc>
        <w:tc>
          <w:tcPr>
            <w:tcW w:w="3337" w:type="pct"/>
            <w:vAlign w:val="center"/>
          </w:tcPr>
          <w:p w14:paraId="3F0CB05C">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eastAsia="zh-CN"/>
              </w:rPr>
              <w:t>小修保养施工组织</w:t>
            </w:r>
            <w:r>
              <w:rPr>
                <w:rFonts w:hint="eastAsia" w:ascii="仿宋" w:hAnsi="仿宋" w:eastAsia="仿宋" w:cs="仿宋_GB2312"/>
                <w:sz w:val="24"/>
                <w:highlight w:val="none"/>
                <w:lang w:val="en-US" w:eastAsia="zh-CN"/>
              </w:rPr>
              <w:t>总体设计方案</w:t>
            </w:r>
          </w:p>
          <w:p w14:paraId="6CE370AF">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(1)阐述全面、合理、内容详细，针对性强，符合实际情况，具有可行性：5</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9</w:t>
            </w:r>
            <w:r>
              <w:rPr>
                <w:rFonts w:hint="eastAsia" w:ascii="仿宋" w:hAnsi="仿宋" w:eastAsia="仿宋" w:cs="仿宋_GB2312"/>
                <w:sz w:val="24"/>
                <w:highlight w:val="none"/>
              </w:rPr>
              <w:t>分；</w:t>
            </w:r>
          </w:p>
          <w:p w14:paraId="5B7AF8C2">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(2)阐述片面，内容较为简要，针对性一般，基本符合实际情况，可行性一般：3</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-5分；</w:t>
            </w:r>
          </w:p>
          <w:p w14:paraId="1216F9B5">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(3)阐述粗略或存在缺漏，无针对性，偏离实际情况，可行性差：0-3分。</w:t>
            </w:r>
          </w:p>
        </w:tc>
        <w:tc>
          <w:tcPr>
            <w:tcW w:w="373" w:type="pct"/>
            <w:vAlign w:val="center"/>
          </w:tcPr>
          <w:p w14:paraId="55BCBA59">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9</w:t>
            </w:r>
          </w:p>
        </w:tc>
        <w:tc>
          <w:tcPr>
            <w:tcW w:w="952" w:type="pct"/>
            <w:vAlign w:val="center"/>
          </w:tcPr>
          <w:p w14:paraId="77BC9922">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ascii="仿宋" w:hAnsi="仿宋" w:eastAsia="仿宋" w:cs="仿宋_GB2312"/>
                <w:sz w:val="24"/>
                <w:highlight w:val="none"/>
              </w:rPr>
            </w:pPr>
          </w:p>
        </w:tc>
      </w:tr>
      <w:tr w14:paraId="64BE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6" w:type="pct"/>
            <w:vAlign w:val="center"/>
          </w:tcPr>
          <w:p w14:paraId="101A10C1">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5</w:t>
            </w:r>
          </w:p>
        </w:tc>
        <w:tc>
          <w:tcPr>
            <w:tcW w:w="3337" w:type="pct"/>
            <w:vAlign w:val="center"/>
          </w:tcPr>
          <w:p w14:paraId="2FFFB7BD">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lang w:eastAsia="zh-CN"/>
              </w:rPr>
              <w:t>小修保养质量控制措施</w:t>
            </w:r>
          </w:p>
          <w:p w14:paraId="5001768F">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(1)阐述全面、合理、内容详细，针对性强，符合实际情况，具有可行性：5</w:t>
            </w:r>
            <w:r>
              <w:rPr>
                <w:rFonts w:hint="eastAsia" w:ascii="仿宋" w:hAnsi="仿宋" w:eastAsia="仿宋" w:cs="仿宋_GB2312"/>
                <w:sz w:val="24"/>
                <w:highlight w:val="none"/>
                <w:lang w:val="en-US" w:eastAsia="zh-CN"/>
              </w:rPr>
              <w:t>.1-8</w:t>
            </w:r>
            <w:r>
              <w:rPr>
                <w:rFonts w:hint="eastAsia" w:ascii="仿宋" w:hAnsi="仿宋" w:eastAsia="仿宋" w:cs="仿宋_GB2312"/>
                <w:sz w:val="24"/>
                <w:highlight w:val="none"/>
              </w:rPr>
              <w:t>分；</w:t>
            </w:r>
          </w:p>
          <w:p w14:paraId="52BC8ABE">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(2)阐述片面，内容较为简要，针对性一般，基本符合实际情况，可行性一般：3</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-5分；</w:t>
            </w:r>
          </w:p>
          <w:p w14:paraId="45F16C6C">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rPr>
              <w:t>(3)阐述粗略或存在缺漏，无针对性，偏离实际情况，可行性差：0-3分。</w:t>
            </w:r>
          </w:p>
        </w:tc>
        <w:tc>
          <w:tcPr>
            <w:tcW w:w="373" w:type="pct"/>
            <w:vAlign w:val="center"/>
          </w:tcPr>
          <w:p w14:paraId="529D7B9D">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8</w:t>
            </w:r>
          </w:p>
        </w:tc>
        <w:tc>
          <w:tcPr>
            <w:tcW w:w="952" w:type="pct"/>
            <w:vAlign w:val="center"/>
          </w:tcPr>
          <w:p w14:paraId="6A773D89">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ascii="仿宋" w:hAnsi="仿宋" w:eastAsia="仿宋" w:cs="仿宋_GB2312"/>
                <w:sz w:val="24"/>
                <w:highlight w:val="none"/>
              </w:rPr>
            </w:pPr>
          </w:p>
        </w:tc>
      </w:tr>
      <w:tr w14:paraId="5CA7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6" w:type="pct"/>
            <w:vAlign w:val="center"/>
          </w:tcPr>
          <w:p w14:paraId="77AE039B">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6</w:t>
            </w:r>
          </w:p>
        </w:tc>
        <w:tc>
          <w:tcPr>
            <w:tcW w:w="3337" w:type="pct"/>
            <w:vAlign w:val="center"/>
          </w:tcPr>
          <w:p w14:paraId="449704C3">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小修保养进度控制措施</w:t>
            </w:r>
          </w:p>
          <w:p w14:paraId="56308D3F">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(1)阐述全面、合理、内容详细，针对性强，符合实际情况，具有可行性：5</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7</w:t>
            </w:r>
            <w:r>
              <w:rPr>
                <w:rFonts w:hint="eastAsia" w:ascii="仿宋" w:hAnsi="仿宋" w:eastAsia="仿宋" w:cs="仿宋_GB2312"/>
                <w:sz w:val="24"/>
                <w:highlight w:val="none"/>
              </w:rPr>
              <w:t>分；</w:t>
            </w:r>
          </w:p>
          <w:p w14:paraId="7BCE5982">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(2)阐述片面，内容较为简要，针对性一般，基本符合实际情况，可行性一般：3</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-5分；</w:t>
            </w:r>
          </w:p>
          <w:p w14:paraId="1B6958BC">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rPr>
              <w:t>(3)阐述粗略或存在缺漏，无针对性，偏离实际情况，可行性差：0-3分。</w:t>
            </w:r>
          </w:p>
        </w:tc>
        <w:tc>
          <w:tcPr>
            <w:tcW w:w="373" w:type="pct"/>
            <w:vAlign w:val="center"/>
          </w:tcPr>
          <w:p w14:paraId="2AD72409">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7</w:t>
            </w:r>
          </w:p>
        </w:tc>
        <w:tc>
          <w:tcPr>
            <w:tcW w:w="952" w:type="pct"/>
            <w:vAlign w:val="center"/>
          </w:tcPr>
          <w:p w14:paraId="6D8AC0D0">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ascii="仿宋" w:hAnsi="仿宋" w:eastAsia="仿宋" w:cs="仿宋_GB2312"/>
                <w:sz w:val="24"/>
                <w:highlight w:val="none"/>
              </w:rPr>
            </w:pPr>
          </w:p>
        </w:tc>
      </w:tr>
      <w:tr w14:paraId="6A08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6" w:type="pct"/>
            <w:vAlign w:val="center"/>
          </w:tcPr>
          <w:p w14:paraId="28F45CC7">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7</w:t>
            </w:r>
          </w:p>
        </w:tc>
        <w:tc>
          <w:tcPr>
            <w:tcW w:w="3337" w:type="pct"/>
            <w:vAlign w:val="center"/>
          </w:tcPr>
          <w:p w14:paraId="68CC6819">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小修保养安全文明控制、环境保护措施</w:t>
            </w:r>
          </w:p>
          <w:p w14:paraId="15F9D92A">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(1)阐述全面、合理、内容详细，针对性强，符合实际情况，具有可行性：5</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7</w:t>
            </w:r>
            <w:r>
              <w:rPr>
                <w:rFonts w:hint="eastAsia" w:ascii="仿宋" w:hAnsi="仿宋" w:eastAsia="仿宋" w:cs="仿宋_GB2312"/>
                <w:sz w:val="24"/>
                <w:highlight w:val="none"/>
              </w:rPr>
              <w:t>分；</w:t>
            </w:r>
          </w:p>
          <w:p w14:paraId="0557CDD8">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(2)阐述片面，内容较为简要，针对性一般，基本符合实际情况，可行性一般：3</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-5分；</w:t>
            </w:r>
          </w:p>
          <w:p w14:paraId="6CD4B0C1">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(3)阐述粗略或存在缺漏，无针对性，偏离实际情况，可行性差：0-3分。</w:t>
            </w:r>
          </w:p>
        </w:tc>
        <w:tc>
          <w:tcPr>
            <w:tcW w:w="373" w:type="pct"/>
            <w:vAlign w:val="center"/>
          </w:tcPr>
          <w:p w14:paraId="3F73A9AF">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7</w:t>
            </w:r>
          </w:p>
        </w:tc>
        <w:tc>
          <w:tcPr>
            <w:tcW w:w="952" w:type="pct"/>
            <w:vAlign w:val="center"/>
          </w:tcPr>
          <w:p w14:paraId="200A96E8">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ascii="仿宋" w:hAnsi="仿宋" w:eastAsia="仿宋" w:cs="仿宋_GB2312"/>
                <w:sz w:val="24"/>
                <w:highlight w:val="none"/>
              </w:rPr>
            </w:pPr>
          </w:p>
        </w:tc>
      </w:tr>
      <w:tr w14:paraId="6080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6" w:type="pct"/>
            <w:vAlign w:val="center"/>
          </w:tcPr>
          <w:p w14:paraId="7639F576">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8</w:t>
            </w:r>
          </w:p>
        </w:tc>
        <w:tc>
          <w:tcPr>
            <w:tcW w:w="3337" w:type="pct"/>
            <w:vAlign w:val="center"/>
          </w:tcPr>
          <w:p w14:paraId="13870A4F">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对检查、专项调查和技术检测安排，及其结果的养护对策方案</w:t>
            </w:r>
          </w:p>
          <w:p w14:paraId="02E9D0B6">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(1)阐述全面、合理、内容详细，针对性强，符合实际情况，具有可行性：5</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7</w:t>
            </w:r>
            <w:r>
              <w:rPr>
                <w:rFonts w:hint="eastAsia" w:ascii="仿宋" w:hAnsi="仿宋" w:eastAsia="仿宋" w:cs="仿宋_GB2312"/>
                <w:sz w:val="24"/>
                <w:highlight w:val="none"/>
              </w:rPr>
              <w:t>分；</w:t>
            </w:r>
          </w:p>
          <w:p w14:paraId="3F730681">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(2)阐述片面，内容较为简要，针对性一般，基本符合实际情况，可行性一般：3</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-5分；</w:t>
            </w:r>
          </w:p>
          <w:p w14:paraId="77CAD270">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(3)阐述粗略或存在缺漏，无针对性，偏离实际情况，可行性差：0-3分。</w:t>
            </w:r>
          </w:p>
        </w:tc>
        <w:tc>
          <w:tcPr>
            <w:tcW w:w="373" w:type="pct"/>
            <w:vAlign w:val="center"/>
          </w:tcPr>
          <w:p w14:paraId="392E6A56">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7</w:t>
            </w:r>
          </w:p>
        </w:tc>
        <w:tc>
          <w:tcPr>
            <w:tcW w:w="952" w:type="pct"/>
            <w:vAlign w:val="center"/>
          </w:tcPr>
          <w:p w14:paraId="070434C1">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ascii="仿宋" w:hAnsi="仿宋" w:eastAsia="仿宋" w:cs="仿宋_GB2312"/>
                <w:sz w:val="24"/>
                <w:highlight w:val="none"/>
              </w:rPr>
            </w:pPr>
          </w:p>
        </w:tc>
      </w:tr>
      <w:tr w14:paraId="0619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6" w:hRule="atLeast"/>
          <w:jc w:val="center"/>
        </w:trPr>
        <w:tc>
          <w:tcPr>
            <w:tcW w:w="336" w:type="pct"/>
            <w:vAlign w:val="center"/>
          </w:tcPr>
          <w:p w14:paraId="754B8ADF">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9</w:t>
            </w:r>
          </w:p>
        </w:tc>
        <w:tc>
          <w:tcPr>
            <w:tcW w:w="3337" w:type="pct"/>
            <w:vAlign w:val="center"/>
          </w:tcPr>
          <w:p w14:paraId="72FB25D9">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小修保养保障机械配置与投入是否合理、是否能满足小修保养质量、进度、安全措施要求。</w:t>
            </w:r>
          </w:p>
          <w:p w14:paraId="64A6EFE7">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(1)阐述全面、合理、内容详细，针对性强，符合实际情况，具有可行性：5</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8</w:t>
            </w:r>
            <w:r>
              <w:rPr>
                <w:rFonts w:hint="eastAsia" w:ascii="仿宋" w:hAnsi="仿宋" w:eastAsia="仿宋" w:cs="仿宋_GB2312"/>
                <w:sz w:val="24"/>
                <w:highlight w:val="none"/>
              </w:rPr>
              <w:t>分；</w:t>
            </w:r>
          </w:p>
          <w:p w14:paraId="4F0893BA">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(2)阐述片面，内容较为简要，针对性一般，基本符合实际情况，可行性一般：3</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-5分；</w:t>
            </w:r>
          </w:p>
          <w:p w14:paraId="708F7FC0">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(3)阐述粗略或存在缺漏，无针对性，偏离实际情况，可行性差：0-3分。</w:t>
            </w:r>
          </w:p>
        </w:tc>
        <w:tc>
          <w:tcPr>
            <w:tcW w:w="373" w:type="pct"/>
            <w:vAlign w:val="center"/>
          </w:tcPr>
          <w:p w14:paraId="0DC950AC">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8</w:t>
            </w:r>
          </w:p>
        </w:tc>
        <w:tc>
          <w:tcPr>
            <w:tcW w:w="952" w:type="pct"/>
            <w:vAlign w:val="center"/>
          </w:tcPr>
          <w:p w14:paraId="3E3EE9CD">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ascii="仿宋" w:hAnsi="仿宋" w:eastAsia="仿宋" w:cs="仿宋_GB2312"/>
                <w:sz w:val="24"/>
                <w:highlight w:val="none"/>
              </w:rPr>
            </w:pPr>
          </w:p>
        </w:tc>
      </w:tr>
      <w:tr w14:paraId="54CE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6" w:type="pct"/>
            <w:vAlign w:val="center"/>
          </w:tcPr>
          <w:p w14:paraId="301E09A6">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10</w:t>
            </w:r>
          </w:p>
        </w:tc>
        <w:tc>
          <w:tcPr>
            <w:tcW w:w="3337" w:type="pct"/>
            <w:vAlign w:val="center"/>
          </w:tcPr>
          <w:p w14:paraId="3F59E63E">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日常养护的巡查制度安排，包括内容、频率、方法等计划，小修保养人员的配备和投入计划是否能满足小修保养项目质量、进度、安全措施的要求。</w:t>
            </w:r>
          </w:p>
          <w:p w14:paraId="0ECDD5F8">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(1)阐述全面、合理、内容详细，针对性强，符合实际情况，具有可行性：5</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7</w:t>
            </w:r>
            <w:r>
              <w:rPr>
                <w:rFonts w:hint="eastAsia" w:ascii="仿宋" w:hAnsi="仿宋" w:eastAsia="仿宋" w:cs="仿宋_GB2312"/>
                <w:sz w:val="24"/>
                <w:highlight w:val="none"/>
              </w:rPr>
              <w:t>分；</w:t>
            </w:r>
          </w:p>
          <w:p w14:paraId="4EFBD5A6">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(2)阐述片面，内容较为简要，针对性一般，基本符合实际情况，可行性一般：3</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-5分；</w:t>
            </w:r>
          </w:p>
          <w:p w14:paraId="7C61FA0E">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(3)阐述粗略或存在缺漏，无针对性，偏离实际情况，可行性差：0-3分。</w:t>
            </w:r>
          </w:p>
        </w:tc>
        <w:tc>
          <w:tcPr>
            <w:tcW w:w="373" w:type="pct"/>
            <w:vAlign w:val="center"/>
          </w:tcPr>
          <w:p w14:paraId="7BF8351F">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7</w:t>
            </w:r>
          </w:p>
        </w:tc>
        <w:tc>
          <w:tcPr>
            <w:tcW w:w="952" w:type="pct"/>
            <w:vAlign w:val="center"/>
          </w:tcPr>
          <w:p w14:paraId="5A6E9E83">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ascii="仿宋" w:hAnsi="仿宋" w:eastAsia="仿宋" w:cs="仿宋_GB2312"/>
                <w:sz w:val="24"/>
                <w:highlight w:val="none"/>
              </w:rPr>
            </w:pPr>
          </w:p>
        </w:tc>
      </w:tr>
      <w:tr w14:paraId="2887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6" w:type="pct"/>
            <w:vAlign w:val="center"/>
          </w:tcPr>
          <w:p w14:paraId="5574DA04">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11</w:t>
            </w:r>
          </w:p>
        </w:tc>
        <w:tc>
          <w:tcPr>
            <w:tcW w:w="3337" w:type="pct"/>
            <w:vAlign w:val="center"/>
          </w:tcPr>
          <w:p w14:paraId="042AE30D">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新工艺、新技术、新设备、新材料的采用程度，其在确保质量，降低成本，缩短工期，减少劳动强度，提高功效等方面的作用</w:t>
            </w:r>
          </w:p>
          <w:p w14:paraId="2F857D56">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(1)阐述全面、合理、内容详细，针对性强，符合实际情况，具有可行性：5</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7</w:t>
            </w:r>
            <w:r>
              <w:rPr>
                <w:rFonts w:hint="eastAsia" w:ascii="仿宋" w:hAnsi="仿宋" w:eastAsia="仿宋" w:cs="仿宋_GB2312"/>
                <w:sz w:val="24"/>
                <w:highlight w:val="none"/>
              </w:rPr>
              <w:t>分；</w:t>
            </w:r>
          </w:p>
          <w:p w14:paraId="2C03F5A6">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(2)阐述片面，内容较为简要，针对性一般，基本符合实际情况，可行性一般：3</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-5分；</w:t>
            </w:r>
          </w:p>
          <w:p w14:paraId="21D8653B">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(3)阐述粗略或存在缺漏，无针对性，偏离实际情况，可行性差：0-3分。</w:t>
            </w:r>
          </w:p>
        </w:tc>
        <w:tc>
          <w:tcPr>
            <w:tcW w:w="373" w:type="pct"/>
            <w:vAlign w:val="center"/>
          </w:tcPr>
          <w:p w14:paraId="0A6C3BD9">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7</w:t>
            </w:r>
          </w:p>
        </w:tc>
        <w:tc>
          <w:tcPr>
            <w:tcW w:w="952" w:type="pct"/>
            <w:vAlign w:val="center"/>
          </w:tcPr>
          <w:p w14:paraId="223948D3">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ascii="仿宋" w:hAnsi="仿宋" w:eastAsia="仿宋" w:cs="仿宋_GB2312"/>
                <w:sz w:val="24"/>
                <w:highlight w:val="none"/>
              </w:rPr>
            </w:pPr>
          </w:p>
        </w:tc>
      </w:tr>
      <w:tr w14:paraId="711A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6" w:type="pct"/>
            <w:vAlign w:val="center"/>
          </w:tcPr>
          <w:p w14:paraId="2DE9F519">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12</w:t>
            </w:r>
          </w:p>
        </w:tc>
        <w:tc>
          <w:tcPr>
            <w:tcW w:w="3337" w:type="pct"/>
            <w:vAlign w:val="center"/>
          </w:tcPr>
          <w:p w14:paraId="365791D5">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交通组织计划及控制措施。</w:t>
            </w:r>
          </w:p>
          <w:p w14:paraId="0D6D4B52">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(1)阐述全面、合理、内容详细，针对性强，符合实际情况，具有可行性：5</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7</w:t>
            </w:r>
            <w:r>
              <w:rPr>
                <w:rFonts w:hint="eastAsia" w:ascii="仿宋" w:hAnsi="仿宋" w:eastAsia="仿宋" w:cs="仿宋_GB2312"/>
                <w:sz w:val="24"/>
                <w:highlight w:val="none"/>
              </w:rPr>
              <w:t>分；</w:t>
            </w:r>
          </w:p>
          <w:p w14:paraId="532621EC">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(2)阐述片面，内容较为简要，针对性一般，基本符合实际情况，可行性一般：3</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-5分；</w:t>
            </w:r>
          </w:p>
          <w:p w14:paraId="14DA83CA">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(3)阐述粗略或存在缺漏，无针对性，偏离实际情况，可行性差：0-3分。</w:t>
            </w:r>
          </w:p>
        </w:tc>
        <w:tc>
          <w:tcPr>
            <w:tcW w:w="373" w:type="pct"/>
            <w:vAlign w:val="center"/>
          </w:tcPr>
          <w:p w14:paraId="4435BD89">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7</w:t>
            </w:r>
          </w:p>
        </w:tc>
        <w:tc>
          <w:tcPr>
            <w:tcW w:w="952" w:type="pct"/>
            <w:vAlign w:val="center"/>
          </w:tcPr>
          <w:p w14:paraId="3B9C7A68">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highlight w:val="none"/>
              </w:rPr>
            </w:pPr>
          </w:p>
        </w:tc>
      </w:tr>
      <w:tr w14:paraId="6781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6" w:type="pct"/>
            <w:vAlign w:val="center"/>
          </w:tcPr>
          <w:p w14:paraId="247949A5">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default"/>
                <w:highlight w:val="none"/>
                <w:lang w:val="en-US" w:eastAsia="zh-CN"/>
              </w:rPr>
            </w:pPr>
            <w:r>
              <w:rPr>
                <w:rFonts w:hint="eastAsia"/>
                <w:highlight w:val="none"/>
                <w:lang w:val="en-US" w:eastAsia="zh-CN"/>
              </w:rPr>
              <w:t>13</w:t>
            </w:r>
          </w:p>
        </w:tc>
        <w:tc>
          <w:tcPr>
            <w:tcW w:w="3337" w:type="pct"/>
            <w:vAlign w:val="center"/>
          </w:tcPr>
          <w:p w14:paraId="040DD4AF">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节假日及各类评比、上级主管部门检查时的应对方案；应对突发事件（自然灾害）等应急保障方案；</w:t>
            </w:r>
            <w:r>
              <w:rPr>
                <w:rFonts w:hint="eastAsia" w:ascii="仿宋" w:hAnsi="仿宋" w:eastAsia="仿宋" w:cs="仿宋_GB2312"/>
                <w:sz w:val="24"/>
                <w:highlight w:val="none"/>
              </w:rPr>
              <w:t>由评审小组</w:t>
            </w:r>
            <w:r>
              <w:rPr>
                <w:rFonts w:hint="eastAsia" w:ascii="仿宋" w:hAnsi="仿宋" w:eastAsia="仿宋" w:cs="仿宋_GB2312"/>
                <w:sz w:val="24"/>
                <w:highlight w:val="none"/>
                <w:lang w:eastAsia="zh-CN"/>
              </w:rPr>
              <w:t>综合</w:t>
            </w:r>
            <w:r>
              <w:rPr>
                <w:rFonts w:hint="eastAsia" w:ascii="仿宋" w:hAnsi="仿宋" w:eastAsia="仿宋" w:cs="仿宋_GB2312"/>
                <w:sz w:val="24"/>
                <w:highlight w:val="none"/>
              </w:rPr>
              <w:t>评分。</w:t>
            </w:r>
          </w:p>
          <w:p w14:paraId="796D5943">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(1)阐述全面、合理、内容详细，针对性强，符合实际情况，具有可行性：5</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7</w:t>
            </w:r>
            <w:r>
              <w:rPr>
                <w:rFonts w:hint="eastAsia" w:ascii="仿宋" w:hAnsi="仿宋" w:eastAsia="仿宋" w:cs="仿宋_GB2312"/>
                <w:sz w:val="24"/>
                <w:highlight w:val="none"/>
              </w:rPr>
              <w:t>分；</w:t>
            </w:r>
          </w:p>
          <w:p w14:paraId="0DD29397">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(2)阐述片面，内容较为简要，针对性一般，基本符合实际情况，可行性一般：3</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-5分；</w:t>
            </w:r>
          </w:p>
          <w:p w14:paraId="7E8F3FFB">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(3)阐述粗略或存在缺漏，无针对性，偏离实际情况，可行性差：0-3分。</w:t>
            </w:r>
          </w:p>
        </w:tc>
        <w:tc>
          <w:tcPr>
            <w:tcW w:w="373" w:type="pct"/>
            <w:vAlign w:val="center"/>
          </w:tcPr>
          <w:p w14:paraId="7307D217">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7</w:t>
            </w:r>
          </w:p>
        </w:tc>
        <w:tc>
          <w:tcPr>
            <w:tcW w:w="952" w:type="pct"/>
            <w:vAlign w:val="center"/>
          </w:tcPr>
          <w:p w14:paraId="3D3C61BD">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highlight w:val="none"/>
              </w:rPr>
            </w:pPr>
          </w:p>
        </w:tc>
      </w:tr>
      <w:tr w14:paraId="6A71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6" w:type="pct"/>
            <w:vAlign w:val="center"/>
          </w:tcPr>
          <w:p w14:paraId="09923D10">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14</w:t>
            </w:r>
          </w:p>
        </w:tc>
        <w:tc>
          <w:tcPr>
            <w:tcW w:w="3337" w:type="pct"/>
            <w:vAlign w:val="center"/>
          </w:tcPr>
          <w:p w14:paraId="0666B4FC">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outlineLvl w:val="0"/>
              <w:rPr>
                <w:rFonts w:ascii="仿宋" w:hAnsi="仿宋" w:eastAsia="仿宋" w:cs="仿宋_GB2312"/>
                <w:sz w:val="24"/>
                <w:highlight w:val="none"/>
              </w:rPr>
            </w:pPr>
            <w:r>
              <w:rPr>
                <w:rFonts w:hint="eastAsia" w:ascii="仿宋" w:hAnsi="仿宋" w:eastAsia="仿宋" w:cs="仿宋_GB2312"/>
                <w:sz w:val="24"/>
                <w:highlight w:val="none"/>
              </w:rPr>
              <w:t>有效投标报价的最低价作为评标基准价，其最低报价为满分；按［投标报价得分</w:t>
            </w:r>
            <w:r>
              <w:rPr>
                <w:rFonts w:ascii="仿宋" w:hAnsi="仿宋" w:eastAsia="仿宋" w:cs="仿宋_GB2312"/>
                <w:sz w:val="24"/>
                <w:highlight w:val="none"/>
              </w:rPr>
              <w:t>=（评标基准价/投标报价）*</w:t>
            </w:r>
            <w:r>
              <w:rPr>
                <w:rFonts w:hint="eastAsia" w:ascii="仿宋" w:hAnsi="仿宋" w:eastAsia="仿宋" w:cs="仿宋_GB2312"/>
                <w:sz w:val="24"/>
                <w:highlight w:val="none"/>
                <w:lang w:val="en-US" w:eastAsia="zh-CN"/>
              </w:rPr>
              <w:t>1</w:t>
            </w:r>
            <w:r>
              <w:rPr>
                <w:rFonts w:ascii="仿宋" w:hAnsi="仿宋" w:eastAsia="仿宋" w:cs="仿宋_GB2312"/>
                <w:sz w:val="24"/>
                <w:highlight w:val="none"/>
              </w:rPr>
              <w:t>0］的计算公式计算。</w:t>
            </w:r>
          </w:p>
          <w:p w14:paraId="45A2B359">
            <w:pPr>
              <w:keepNext w:val="0"/>
              <w:keepLines w:val="0"/>
              <w:pageBreakBefore w:val="0"/>
              <w:widowControl/>
              <w:shd w:val="clear" w:color="auto" w:fill="FFFFFF"/>
              <w:kinsoku/>
              <w:wordWrap w:val="0"/>
              <w:overflowPunct/>
              <w:topLinePunct w:val="0"/>
              <w:autoSpaceDE/>
              <w:autoSpaceDN/>
              <w:bidi w:val="0"/>
              <w:adjustRightInd w:val="0"/>
              <w:snapToGrid w:val="0"/>
              <w:spacing w:line="240" w:lineRule="auto"/>
              <w:ind w:firstLine="0" w:firstLineChars="0"/>
              <w:jc w:val="left"/>
              <w:textAlignment w:val="auto"/>
              <w:rPr>
                <w:rFonts w:ascii="仿宋" w:hAnsi="仿宋" w:eastAsia="仿宋" w:cs="仿宋_GB2312"/>
                <w:sz w:val="24"/>
                <w:highlight w:val="none"/>
              </w:rPr>
            </w:pPr>
            <w:r>
              <w:rPr>
                <w:rFonts w:ascii="仿宋" w:hAnsi="仿宋" w:eastAsia="仿宋" w:cs="仿宋_GB2312"/>
                <w:sz w:val="24"/>
                <w:highlight w:val="none"/>
              </w:rPr>
              <w:t>评标过程中，不得去掉报价中的最高报价和最低报价。</w:t>
            </w:r>
          </w:p>
          <w:p w14:paraId="62FA872C">
            <w:pPr>
              <w:keepNext w:val="0"/>
              <w:keepLines w:val="0"/>
              <w:pageBreakBefore w:val="0"/>
              <w:widowControl/>
              <w:shd w:val="clear" w:color="auto" w:fill="FFFFFF"/>
              <w:kinsoku/>
              <w:wordWrap w:val="0"/>
              <w:overflowPunct/>
              <w:topLinePunct w:val="0"/>
              <w:autoSpaceDE/>
              <w:autoSpaceDN/>
              <w:bidi w:val="0"/>
              <w:adjustRightInd w:val="0"/>
              <w:snapToGrid w:val="0"/>
              <w:spacing w:line="240" w:lineRule="auto"/>
              <w:ind w:firstLine="0" w:firstLineChars="0"/>
              <w:jc w:val="left"/>
              <w:textAlignment w:val="auto"/>
              <w:rPr>
                <w:rFonts w:ascii="仿宋" w:eastAsia="仿宋"/>
                <w:sz w:val="24"/>
                <w:highlight w:val="none"/>
              </w:rPr>
            </w:pPr>
            <w:r>
              <w:rPr>
                <w:rFonts w:ascii="仿宋" w:hAnsi="仿宋" w:eastAsia="仿宋" w:cs="仿宋_GB2312"/>
                <w:sz w:val="24"/>
                <w:highlight w:val="none"/>
              </w:rPr>
              <w:t>因落实政府采购政策</w:t>
            </w:r>
            <w:r>
              <w:rPr>
                <w:rFonts w:hint="eastAsia" w:ascii="仿宋" w:hAnsi="仿宋" w:eastAsia="仿宋" w:cs="仿宋_GB2312"/>
                <w:sz w:val="24"/>
                <w:highlight w:val="none"/>
              </w:rPr>
              <w:t>需要</w:t>
            </w:r>
            <w:r>
              <w:rPr>
                <w:rFonts w:ascii="仿宋" w:hAnsi="仿宋" w:eastAsia="仿宋" w:cs="仿宋_GB2312"/>
                <w:sz w:val="24"/>
                <w:highlight w:val="none"/>
              </w:rPr>
              <w:t>进行价格调整的，以调整后的价格计算评标基准价和投标报价。</w:t>
            </w:r>
          </w:p>
        </w:tc>
        <w:tc>
          <w:tcPr>
            <w:tcW w:w="373" w:type="pct"/>
            <w:vAlign w:val="center"/>
          </w:tcPr>
          <w:p w14:paraId="43A89048">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10</w:t>
            </w:r>
          </w:p>
        </w:tc>
        <w:tc>
          <w:tcPr>
            <w:tcW w:w="952" w:type="pct"/>
            <w:vAlign w:val="center"/>
          </w:tcPr>
          <w:p w14:paraId="721A6BA3">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outlineLvl w:val="0"/>
              <w:rPr>
                <w:rFonts w:ascii="仿宋" w:hAnsi="仿宋" w:eastAsia="仿宋" w:cs="仿宋_GB2312"/>
                <w:sz w:val="24"/>
                <w:highlight w:val="none"/>
              </w:rPr>
            </w:pPr>
            <w:r>
              <w:rPr>
                <w:rFonts w:ascii="仿宋" w:hAnsi="仿宋" w:eastAsia="仿宋" w:cs="仿宋_GB2312"/>
                <w:sz w:val="24"/>
                <w:highlight w:val="none"/>
              </w:rPr>
              <w:t>/</w:t>
            </w:r>
          </w:p>
        </w:tc>
      </w:tr>
    </w:tbl>
    <w:p w14:paraId="18B6A426">
      <w:pPr>
        <w:kinsoku/>
        <w:wordWrap w:val="0"/>
        <w:topLinePunct w:val="0"/>
        <w:bidi w:val="0"/>
        <w:snapToGrid w:val="0"/>
        <w:spacing w:line="360" w:lineRule="auto"/>
        <w:rPr>
          <w:rFonts w:hint="eastAsia" w:ascii="仿宋" w:hAnsi="仿宋" w:eastAsia="仿宋" w:cs="仿宋_GB2312"/>
          <w:sz w:val="24"/>
          <w:highlight w:val="none"/>
        </w:rPr>
      </w:pPr>
      <w:r>
        <w:rPr>
          <w:rFonts w:ascii="Arial" w:hAnsi="Arial" w:cs="Arial"/>
          <w:sz w:val="20"/>
          <w:szCs w:val="20"/>
          <w:highlight w:val="none"/>
          <w:shd w:val="clear" w:color="auto" w:fill="FFFFFF"/>
        </w:rPr>
        <w:t> *</w:t>
      </w:r>
      <w:r>
        <w:rPr>
          <w:rFonts w:hint="eastAsia" w:ascii="仿宋" w:hAnsi="仿宋" w:eastAsia="仿宋" w:cs="仿宋_GB2312"/>
          <w:b/>
          <w:sz w:val="24"/>
          <w:highlight w:val="none"/>
        </w:rPr>
        <w:t>备注：</w:t>
      </w:r>
      <w:r>
        <w:rPr>
          <w:rFonts w:hint="eastAsia" w:ascii="仿宋" w:hAnsi="仿宋" w:eastAsia="仿宋" w:cs="仿宋_GB2312"/>
          <w:sz w:val="24"/>
          <w:highlight w:val="none"/>
        </w:rPr>
        <w:t>投标人编制投标文件（商务技术文件部分）时，建议按此目录（序号和内容）提供评标标准相应的商务技术资料。</w:t>
      </w:r>
    </w:p>
    <w:p w14:paraId="0098E2EE">
      <w:pPr>
        <w:kinsoku/>
        <w:wordWrap w:val="0"/>
        <w:topLinePunct w:val="0"/>
        <w:bidi w:val="0"/>
        <w:snapToGrid w:val="0"/>
        <w:spacing w:line="360" w:lineRule="auto"/>
        <w:rPr>
          <w:rFonts w:ascii="仿宋_GB2312" w:hAnsi="仿宋" w:eastAsia="仿宋_GB2312"/>
          <w:b/>
          <w:sz w:val="28"/>
          <w:szCs w:val="28"/>
          <w:highlight w:val="none"/>
        </w:rPr>
      </w:pPr>
      <w:r>
        <w:rPr>
          <w:rFonts w:hint="eastAsia" w:ascii="仿宋_GB2312" w:hAnsi="仿宋" w:eastAsia="仿宋_GB2312" w:cs="仿宋_GB2312"/>
          <w:b/>
          <w:sz w:val="32"/>
          <w:highlight w:val="none"/>
        </w:rPr>
        <w:t>一、评标方法</w:t>
      </w:r>
    </w:p>
    <w:p w14:paraId="495835DC">
      <w:pPr>
        <w:kinsoku/>
        <w:wordWrap w:val="0"/>
        <w:topLinePunct w:val="0"/>
        <w:bidi w:val="0"/>
        <w:adjustRightInd/>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14:paraId="61FD1827">
      <w:pPr>
        <w:kinsoku/>
        <w:wordWrap w:val="0"/>
        <w:topLinePunct w:val="0"/>
        <w:bidi w:val="0"/>
        <w:adjustRightInd/>
        <w:spacing w:line="360" w:lineRule="auto"/>
        <w:rPr>
          <w:rFonts w:ascii="仿宋_GB2312" w:hAnsi="仿宋" w:eastAsia="仿宋_GB2312" w:cs="Arial"/>
          <w:kern w:val="0"/>
          <w:sz w:val="24"/>
          <w:highlight w:val="none"/>
        </w:rPr>
      </w:pPr>
      <w:r>
        <w:rPr>
          <w:rFonts w:hint="eastAsia" w:ascii="仿宋_GB2312" w:hAnsi="仿宋" w:eastAsia="仿宋_GB2312" w:cs="仿宋_GB2312"/>
          <w:b/>
          <w:sz w:val="32"/>
          <w:highlight w:val="none"/>
        </w:rPr>
        <w:t>二、评标标准</w:t>
      </w:r>
    </w:p>
    <w:p w14:paraId="70C7D4C5">
      <w:pPr>
        <w:kinsoku/>
        <w:wordWrap w:val="0"/>
        <w:topLinePunct w:val="0"/>
        <w:bidi w:val="0"/>
        <w:spacing w:line="360" w:lineRule="auto"/>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14:paraId="08F3D204">
      <w:pPr>
        <w:kinsoku/>
        <w:wordWrap w:val="0"/>
        <w:topLinePunct w:val="0"/>
        <w:bidi w:val="0"/>
        <w:spacing w:line="360" w:lineRule="auto"/>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三、评标程序</w:t>
      </w:r>
    </w:p>
    <w:p w14:paraId="1331B58A">
      <w:pPr>
        <w:kinsoku/>
        <w:wordWrap w:val="0"/>
        <w:topLinePunct w:val="0"/>
        <w:bidi w:val="0"/>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14:paraId="69072F86">
      <w:pPr>
        <w:kinsoku/>
        <w:wordWrap w:val="0"/>
        <w:topLinePunct w:val="0"/>
        <w:bidi w:val="0"/>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14:paraId="62622B78">
      <w:pPr>
        <w:kinsoku/>
        <w:wordWrap w:val="0"/>
        <w:topLinePunct w:val="0"/>
        <w:bidi w:val="0"/>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14:paraId="339702BF">
      <w:pPr>
        <w:kinsoku/>
        <w:wordWrap w:val="0"/>
        <w:topLinePunct w:val="0"/>
        <w:bidi w:val="0"/>
        <w:spacing w:line="360" w:lineRule="auto"/>
        <w:ind w:firstLine="472" w:firstLineChars="196"/>
        <w:rPr>
          <w:rFonts w:ascii="仿宋_GB2312" w:hAnsi="仿宋" w:eastAsia="仿宋_GB2312" w:cs="Arial"/>
          <w:b/>
          <w:kern w:val="0"/>
          <w:sz w:val="24"/>
          <w:highlight w:val="none"/>
        </w:rPr>
      </w:pPr>
      <w:r>
        <w:rPr>
          <w:rFonts w:ascii="仿宋_GB2312" w:hAnsi="仿宋" w:eastAsia="仿宋_GB2312" w:cs="Arial"/>
          <w:b/>
          <w:kern w:val="0"/>
          <w:sz w:val="24"/>
          <w:highlight w:val="none"/>
        </w:rPr>
        <w:t>3.4报价评审。</w:t>
      </w:r>
    </w:p>
    <w:p w14:paraId="66EDEEFE">
      <w:pPr>
        <w:pStyle w:val="128"/>
        <w:kinsoku/>
        <w:wordWrap w:val="0"/>
        <w:topLinePunct w:val="0"/>
        <w:bidi w:val="0"/>
        <w:spacing w:before="0"/>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14:paraId="7B41D91F">
      <w:pPr>
        <w:pStyle w:val="128"/>
        <w:kinsoku/>
        <w:wordWrap w:val="0"/>
        <w:topLinePunct w:val="0"/>
        <w:bidi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14:paraId="394AD5B7">
      <w:pPr>
        <w:pStyle w:val="128"/>
        <w:kinsoku/>
        <w:wordWrap w:val="0"/>
        <w:topLinePunct w:val="0"/>
        <w:bidi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14:paraId="4EC1B9F8">
      <w:pPr>
        <w:pStyle w:val="128"/>
        <w:kinsoku/>
        <w:wordWrap w:val="0"/>
        <w:topLinePunct w:val="0"/>
        <w:bidi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14:paraId="25C30585">
      <w:pPr>
        <w:pStyle w:val="128"/>
        <w:kinsoku/>
        <w:wordWrap w:val="0"/>
        <w:topLinePunct w:val="0"/>
        <w:bidi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14:paraId="1F98013C">
      <w:pPr>
        <w:pStyle w:val="128"/>
        <w:kinsoku/>
        <w:wordWrap w:val="0"/>
        <w:topLinePunct w:val="0"/>
        <w:bidi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14:paraId="6D7CFD09">
      <w:pPr>
        <w:kinsoku/>
        <w:wordWrap w:val="0"/>
        <w:topLinePunct w:val="0"/>
        <w:bidi w:val="0"/>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14:paraId="5D20C2BC">
      <w:pPr>
        <w:kinsoku/>
        <w:wordWrap w:val="0"/>
        <w:topLinePunct w:val="0"/>
        <w:bidi w:val="0"/>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14:paraId="7A95DD75">
      <w:pPr>
        <w:pStyle w:val="128"/>
        <w:kinsoku/>
        <w:wordWrap w:val="0"/>
        <w:topLinePunct w:val="0"/>
        <w:bidi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14:paraId="173C0403">
      <w:pPr>
        <w:pStyle w:val="128"/>
        <w:kinsoku/>
        <w:wordWrap w:val="0"/>
        <w:topLinePunct w:val="0"/>
        <w:bidi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lang w:val="en-US" w:eastAsia="zh-CN"/>
        </w:rPr>
        <w:t>2</w:t>
      </w:r>
      <w:r>
        <w:rPr>
          <w:rFonts w:ascii="仿宋" w:hAnsi="仿宋" w:eastAsia="仿宋" w:cs="仿宋"/>
          <w:kern w:val="0"/>
          <w:szCs w:val="24"/>
          <w:highlight w:val="none"/>
        </w:rPr>
        <w:t>0%的扣除，用扣除后的价格参与评审。接受大中型企业与小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kern w:val="0"/>
          <w:szCs w:val="24"/>
          <w:highlight w:val="none"/>
        </w:rPr>
        <w:t>微企业与联合体内其他企业、分包企业之间存在直接控股、管理关系的，不享受价格扣除优惠政策。</w:t>
      </w:r>
    </w:p>
    <w:p w14:paraId="65A9204B">
      <w:pPr>
        <w:kinsoku/>
        <w:wordWrap w:val="0"/>
        <w:topLinePunct w:val="0"/>
        <w:bidi w:val="0"/>
        <w:spacing w:line="360" w:lineRule="auto"/>
        <w:ind w:firstLine="482" w:firstLineChars="200"/>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highlight w:val="none"/>
        </w:rPr>
        <w:t>。</w:t>
      </w:r>
    </w:p>
    <w:p w14:paraId="2B69C7F3">
      <w:pPr>
        <w:kinsoku/>
        <w:wordWrap w:val="0"/>
        <w:topLinePunct w:val="0"/>
        <w:bidi w:val="0"/>
        <w:spacing w:line="360" w:lineRule="auto"/>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9454A0">
      <w:pPr>
        <w:kinsoku/>
        <w:wordWrap w:val="0"/>
        <w:topLinePunct w:val="0"/>
        <w:bidi w:val="0"/>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2EC87AE">
      <w:pPr>
        <w:widowControl/>
        <w:shd w:val="clear" w:color="auto" w:fill="FFFFFF"/>
        <w:kinsoku/>
        <w:wordWrap w:val="0"/>
        <w:topLinePunct w:val="0"/>
        <w:bidi w:val="0"/>
        <w:adjustRightInd/>
        <w:spacing w:after="225" w:line="315" w:lineRule="atLeast"/>
        <w:jc w:val="left"/>
        <w:rPr>
          <w:rFonts w:ascii="仿宋_GB2312" w:hAnsi="仿宋" w:eastAsia="仿宋_GB2312" w:cs="仿宋_GB2312"/>
          <w:b/>
          <w:sz w:val="32"/>
          <w:highlight w:val="none"/>
        </w:rPr>
      </w:pPr>
      <w:r>
        <w:rPr>
          <w:rFonts w:hint="eastAsia" w:ascii="仿宋_GB2312" w:hAnsi="仿宋" w:eastAsia="仿宋_GB2312" w:cs="仿宋_GB2312"/>
          <w:b/>
          <w:sz w:val="32"/>
          <w:highlight w:val="none"/>
        </w:rPr>
        <w:t>四、评标中的其他事项</w:t>
      </w:r>
    </w:p>
    <w:p w14:paraId="6C738233">
      <w:pPr>
        <w:pStyle w:val="128"/>
        <w:kinsoku/>
        <w:wordWrap w:val="0"/>
        <w:topLinePunct w:val="0"/>
        <w:bidi w:val="0"/>
        <w:spacing w:before="0"/>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B32FF4">
      <w:pPr>
        <w:pStyle w:val="27"/>
        <w:kinsoku/>
        <w:wordWrap w:val="0"/>
        <w:topLinePunct w:val="0"/>
        <w:bidi w:val="0"/>
        <w:spacing w:line="360" w:lineRule="auto"/>
        <w:ind w:left="954" w:leftChars="226" w:hanging="479" w:firstLineChars="0"/>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14:paraId="4F6D1967">
      <w:pPr>
        <w:kinsoku/>
        <w:wordWrap w:val="0"/>
        <w:topLinePunct w:val="0"/>
        <w:bidi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4.2.1投标人不具备招标文件中规定的资格要求的（投标人未提供有效的资格文件的，视为投标人不具备招标文件中规定的资格要求）；</w:t>
      </w:r>
    </w:p>
    <w:p w14:paraId="04F3C900">
      <w:pPr>
        <w:kinsoku/>
        <w:wordWrap w:val="0"/>
        <w:topLinePunct w:val="0"/>
        <w:bidi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4.2.2投标文件未按照招标文件要求签署、盖章的；</w:t>
      </w:r>
    </w:p>
    <w:p w14:paraId="37CDF762">
      <w:pPr>
        <w:kinsoku/>
        <w:wordWrap w:val="0"/>
        <w:topLinePunct w:val="0"/>
        <w:bidi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highlight w:val="none"/>
        </w:rPr>
        <w:t>的；</w:t>
      </w:r>
    </w:p>
    <w:p w14:paraId="673B01FF">
      <w:pPr>
        <w:kinsoku/>
        <w:wordWrap w:val="0"/>
        <w:topLinePunct w:val="0"/>
        <w:bidi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4.2.4投标文件含有采购人不能接受的附加条件的；</w:t>
      </w:r>
    </w:p>
    <w:p w14:paraId="740EF533">
      <w:pPr>
        <w:kinsoku/>
        <w:wordWrap w:val="0"/>
        <w:topLinePunct w:val="0"/>
        <w:bidi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4.2.5投标文件中承诺的投标有效期少于招标文件中载明的投标有效期的；</w:t>
      </w:r>
    </w:p>
    <w:p w14:paraId="4DBB2BB3">
      <w:pPr>
        <w:kinsoku/>
        <w:wordWrap w:val="0"/>
        <w:topLinePunct w:val="0"/>
        <w:bidi w:val="0"/>
        <w:snapToGrid w:val="0"/>
        <w:spacing w:line="360" w:lineRule="auto"/>
        <w:ind w:firstLine="120" w:firstLineChars="50"/>
        <w:jc w:val="left"/>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 xml:space="preserve"> </w:t>
      </w:r>
      <w:r>
        <w:rPr>
          <w:rFonts w:ascii="仿宋_GB2312" w:hAnsi="仿宋" w:eastAsia="仿宋_GB2312" w:cs="Arial"/>
          <w:kern w:val="0"/>
          <w:sz w:val="24"/>
          <w:highlight w:val="none"/>
        </w:rPr>
        <w:t>4.2.6投标文件出现不是唯一的、有选择性投标报价的;</w:t>
      </w:r>
    </w:p>
    <w:p w14:paraId="7F0DF40A">
      <w:pPr>
        <w:kinsoku/>
        <w:wordWrap w:val="0"/>
        <w:topLinePunct w:val="0"/>
        <w:bidi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4.2.7投标报价超过招标文件中规定的预算金额或者最高限价的;</w:t>
      </w:r>
    </w:p>
    <w:p w14:paraId="76581CDE">
      <w:pPr>
        <w:kinsoku/>
        <w:wordWrap w:val="0"/>
        <w:topLinePunct w:val="0"/>
        <w:bidi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25C88BD">
      <w:pPr>
        <w:kinsoku/>
        <w:wordWrap w:val="0"/>
        <w:topLinePunct w:val="0"/>
        <w:bidi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4.2.9投标人对根据修正原则修正后的报价不确认的；</w:t>
      </w:r>
    </w:p>
    <w:p w14:paraId="5E514C66">
      <w:pPr>
        <w:kinsoku/>
        <w:wordWrap w:val="0"/>
        <w:topLinePunct w:val="0"/>
        <w:bidi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4.2.10投标人提供虚假材料投标的；</w:t>
      </w:r>
    </w:p>
    <w:p w14:paraId="65FA3F4E">
      <w:pPr>
        <w:kinsoku/>
        <w:wordWrap w:val="0"/>
        <w:topLinePunct w:val="0"/>
        <w:bidi w:val="0"/>
        <w:spacing w:line="360" w:lineRule="auto"/>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4.2.11投标人有恶意串通、妨碍其他投标人的竞争行为、损害采购人或者其他投标人的合法权益情形的；</w:t>
      </w:r>
    </w:p>
    <w:p w14:paraId="79E60992">
      <w:pPr>
        <w:kinsoku/>
        <w:wordWrap w:val="0"/>
        <w:topLinePunct w:val="0"/>
        <w:bidi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4.2.12投标人仅提交备份投标文件，没有在电子交易平台传输递交投标文件的，投标无效；</w:t>
      </w:r>
    </w:p>
    <w:p w14:paraId="68D69EA2">
      <w:pPr>
        <w:pStyle w:val="4"/>
        <w:kinsoku/>
        <w:wordWrap w:val="0"/>
        <w:topLinePunct w:val="0"/>
        <w:bidi w:val="0"/>
        <w:ind w:left="862" w:leftChars="205"/>
        <w:rPr>
          <w:rFonts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投标文件不满足招标文件的其它实质性要求的；</w:t>
      </w:r>
    </w:p>
    <w:p w14:paraId="228F7FAE">
      <w:pPr>
        <w:kinsoku/>
        <w:wordWrap w:val="0"/>
        <w:topLinePunct w:val="0"/>
        <w:bidi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4.2.14法律、法规、规章（适用本市的）及省级以上规范性文件（适用本市的）规定的其他无效情形。</w:t>
      </w:r>
    </w:p>
    <w:p w14:paraId="60EE0168">
      <w:pPr>
        <w:pStyle w:val="27"/>
        <w:kinsoku/>
        <w:wordWrap w:val="0"/>
        <w:topLinePunct w:val="0"/>
        <w:bidi w:val="0"/>
        <w:snapToGrid w:val="0"/>
        <w:spacing w:line="360" w:lineRule="auto"/>
        <w:ind w:firstLine="472"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14:paraId="4168EE0D">
      <w:pPr>
        <w:pStyle w:val="27"/>
        <w:kinsoku/>
        <w:wordWrap w:val="0"/>
        <w:topLinePunct w:val="0"/>
        <w:bidi w:val="0"/>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14:paraId="54C4A2E0">
      <w:pPr>
        <w:pStyle w:val="27"/>
        <w:kinsoku/>
        <w:wordWrap w:val="0"/>
        <w:topLinePunct w:val="0"/>
        <w:bidi w:val="0"/>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14:paraId="3C00394A">
      <w:pPr>
        <w:pStyle w:val="27"/>
        <w:kinsoku/>
        <w:wordWrap w:val="0"/>
        <w:topLinePunct w:val="0"/>
        <w:bidi w:val="0"/>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14:paraId="3AFBA2CF">
      <w:pPr>
        <w:pStyle w:val="27"/>
        <w:kinsoku/>
        <w:wordWrap w:val="0"/>
        <w:topLinePunct w:val="0"/>
        <w:bidi w:val="0"/>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14:paraId="1DDF943A">
      <w:pPr>
        <w:pStyle w:val="27"/>
        <w:kinsoku/>
        <w:wordWrap w:val="0"/>
        <w:topLinePunct w:val="0"/>
        <w:bidi w:val="0"/>
        <w:snapToGrid w:val="0"/>
        <w:spacing w:line="360" w:lineRule="auto"/>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14:paraId="688F88C8">
      <w:pPr>
        <w:pStyle w:val="27"/>
        <w:kinsoku/>
        <w:wordWrap w:val="0"/>
        <w:topLinePunct w:val="0"/>
        <w:bidi w:val="0"/>
        <w:snapToGrid w:val="0"/>
        <w:spacing w:line="360" w:lineRule="auto"/>
        <w:ind w:firstLine="590" w:firstLineChars="245"/>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27EDC2F">
      <w:pPr>
        <w:pStyle w:val="27"/>
        <w:kinsoku/>
        <w:wordWrap w:val="0"/>
        <w:topLinePunct w:val="0"/>
        <w:bidi w:val="0"/>
        <w:snapToGrid w:val="0"/>
        <w:spacing w:line="360" w:lineRule="auto"/>
        <w:ind w:firstLine="590" w:firstLineChars="245"/>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14:paraId="265C0955">
      <w:pPr>
        <w:pStyle w:val="27"/>
        <w:kinsoku/>
        <w:wordWrap w:val="0"/>
        <w:topLinePunct w:val="0"/>
        <w:bidi w:val="0"/>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14:paraId="40B81B3F">
      <w:pPr>
        <w:pStyle w:val="27"/>
        <w:kinsoku/>
        <w:wordWrap w:val="0"/>
        <w:topLinePunct w:val="0"/>
        <w:bidi w:val="0"/>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11086383">
      <w:pPr>
        <w:pStyle w:val="27"/>
        <w:kinsoku/>
        <w:wordWrap w:val="0"/>
        <w:topLinePunct w:val="0"/>
        <w:bidi w:val="0"/>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14:paraId="7D78291D">
      <w:pPr>
        <w:pStyle w:val="27"/>
        <w:kinsoku/>
        <w:wordWrap w:val="0"/>
        <w:topLinePunct w:val="0"/>
        <w:bidi w:val="0"/>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14:paraId="10D8B7F1">
      <w:pPr>
        <w:pStyle w:val="27"/>
        <w:kinsoku/>
        <w:wordWrap w:val="0"/>
        <w:topLinePunct w:val="0"/>
        <w:bidi w:val="0"/>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w:t>
      </w:r>
      <w:r>
        <w:rPr>
          <w:rFonts w:hint="eastAsia" w:ascii="仿宋_GB2312" w:hAnsi="仿宋" w:eastAsia="仿宋_GB2312" w:cs="Arial"/>
          <w:kern w:val="0"/>
          <w:highlight w:val="none"/>
        </w:rPr>
        <w:t>或者政府采购法实施条例等法律法规规定</w:t>
      </w:r>
      <w:r>
        <w:rPr>
          <w:rFonts w:hint="eastAsia" w:ascii="仿宋_GB2312" w:hAnsi="仿宋" w:eastAsia="仿宋_GB2312" w:cs="仿宋_GB2312"/>
          <w:highlight w:val="none"/>
        </w:rPr>
        <w:t>的行为，经改正后仍然影响或者可能影响中标、成交结果或者依法被认定为中标、成交无效的，依照</w:t>
      </w:r>
      <w:r>
        <w:rPr>
          <w:rFonts w:ascii="仿宋_GB2312" w:hAnsi="仿宋" w:eastAsia="仿宋_GB2312" w:cs="仿宋_GB2312"/>
          <w:highlight w:val="none"/>
        </w:rPr>
        <w:t>7.1-7.4规定处理。</w:t>
      </w:r>
    </w:p>
    <w:p w14:paraId="38342E2D">
      <w:pPr>
        <w:pStyle w:val="27"/>
        <w:kinsoku/>
        <w:wordWrap w:val="0"/>
        <w:topLinePunct w:val="0"/>
        <w:bidi w:val="0"/>
        <w:snapToGrid w:val="0"/>
        <w:spacing w:line="360" w:lineRule="auto"/>
        <w:rPr>
          <w:rFonts w:hint="default" w:ascii="仿宋_GB2312" w:hAnsi="仿宋" w:eastAsia="仿宋_GB2312" w:cs="仿宋_GB2312"/>
          <w:b w:val="0"/>
          <w:bCs w:val="0"/>
          <w:highlight w:val="none"/>
          <w:lang w:val="en-US" w:eastAsia="zh-CN"/>
        </w:rPr>
      </w:pPr>
      <w:r>
        <w:rPr>
          <w:rFonts w:hint="eastAsia" w:ascii="仿宋_GB2312" w:hAnsi="仿宋" w:eastAsia="仿宋_GB2312" w:cs="仿宋_GB2312"/>
          <w:b/>
          <w:bCs/>
          <w:highlight w:val="none"/>
          <w:lang w:val="en-US" w:eastAsia="zh-CN"/>
        </w:rPr>
        <w:t>8.特殊情况。</w:t>
      </w:r>
      <w:r>
        <w:rPr>
          <w:rFonts w:hint="eastAsia" w:ascii="仿宋_GB2312" w:hAnsi="仿宋" w:eastAsia="仿宋_GB2312" w:cs="仿宋_GB2312"/>
          <w:b w:val="0"/>
          <w:bCs w:val="0"/>
          <w:highlight w:val="none"/>
          <w:lang w:val="en-US" w:eastAsia="zh-CN"/>
        </w:rPr>
        <w:t>在评标过程中遇到不违反法律法规、公平公正的特殊情况时，由评标委员会成员遵循公平、公正原则，采取投票方式按照少数服从多数原则决定，同时在评审报告中予以记录。</w:t>
      </w:r>
    </w:p>
    <w:bookmarkEnd w:id="26"/>
    <w:p w14:paraId="5716878F">
      <w:pPr>
        <w:kinsoku/>
        <w:wordWrap w:val="0"/>
        <w:topLinePunct w:val="0"/>
        <w:bidi w:val="0"/>
        <w:rPr>
          <w:rFonts w:hint="eastAsia" w:ascii="仿宋_GB2312" w:hAnsi="仿宋" w:eastAsia="仿宋_GB2312" w:cs="仿宋_GB2312"/>
          <w:b/>
          <w:sz w:val="36"/>
          <w:szCs w:val="36"/>
          <w:highlight w:val="none"/>
        </w:rPr>
      </w:pPr>
      <w:bookmarkStart w:id="396" w:name="第五部分"/>
      <w:bookmarkStart w:id="397" w:name="_Toc86217003"/>
      <w:r>
        <w:rPr>
          <w:rFonts w:hint="eastAsia" w:ascii="仿宋_GB2312" w:hAnsi="仿宋" w:eastAsia="仿宋_GB2312" w:cs="仿宋_GB2312"/>
          <w:b/>
          <w:sz w:val="36"/>
          <w:szCs w:val="36"/>
          <w:highlight w:val="none"/>
        </w:rPr>
        <w:br w:type="page"/>
      </w:r>
    </w:p>
    <w:p w14:paraId="3ABAA170">
      <w:pPr>
        <w:kinsoku/>
        <w:wordWrap w:val="0"/>
        <w:topLinePunct w:val="0"/>
        <w:bidi w:val="0"/>
        <w:spacing w:line="360" w:lineRule="auto"/>
        <w:ind w:left="720" w:leftChars="343" w:firstLine="1084" w:firstLineChars="300"/>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第五部分</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拟签订的合同文本</w:t>
      </w:r>
    </w:p>
    <w:p w14:paraId="0C6D6CB9">
      <w:pPr>
        <w:kinsoku/>
        <w:wordWrap w:val="0"/>
        <w:topLinePunct w:val="0"/>
        <w:bidi w:val="0"/>
        <w:rPr>
          <w:rFonts w:hint="eastAsia" w:ascii="楷体" w:hAnsi="楷体" w:eastAsia="楷体"/>
          <w:sz w:val="24"/>
          <w:highlight w:val="none"/>
        </w:rPr>
      </w:pPr>
    </w:p>
    <w:p w14:paraId="362187CD">
      <w:pPr>
        <w:kinsoku/>
        <w:wordWrap w:val="0"/>
        <w:topLinePunct w:val="0"/>
        <w:bidi w:val="0"/>
        <w:rPr>
          <w:rFonts w:ascii="楷体" w:hAnsi="楷体" w:eastAsia="楷体"/>
          <w:sz w:val="24"/>
          <w:highlight w:val="none"/>
          <w:u w:val="single"/>
        </w:rPr>
      </w:pPr>
      <w:r>
        <w:rPr>
          <w:rFonts w:hint="eastAsia" w:ascii="楷体" w:hAnsi="楷体" w:eastAsia="楷体"/>
          <w:sz w:val="24"/>
          <w:highlight w:val="none"/>
        </w:rPr>
        <w:t>合同编号：</w:t>
      </w:r>
      <w:r>
        <w:rPr>
          <w:rFonts w:ascii="楷体" w:hAnsi="楷体" w:eastAsia="楷体"/>
          <w:sz w:val="24"/>
          <w:highlight w:val="none"/>
          <w:u w:val="single"/>
        </w:rPr>
        <w:t xml:space="preserve">           </w:t>
      </w:r>
    </w:p>
    <w:p w14:paraId="62FFF0CE">
      <w:pPr>
        <w:kinsoku/>
        <w:wordWrap w:val="0"/>
        <w:topLinePunct w:val="0"/>
        <w:bidi w:val="0"/>
        <w:spacing w:line="480" w:lineRule="auto"/>
        <w:jc w:val="center"/>
        <w:rPr>
          <w:rFonts w:ascii="楷体" w:hAnsi="楷体" w:eastAsia="楷体"/>
          <w:b/>
          <w:sz w:val="28"/>
          <w:szCs w:val="28"/>
          <w:highlight w:val="none"/>
        </w:rPr>
      </w:pPr>
    </w:p>
    <w:p w14:paraId="471E8B52">
      <w:pPr>
        <w:kinsoku/>
        <w:wordWrap w:val="0"/>
        <w:topLinePunct w:val="0"/>
        <w:bidi w:val="0"/>
        <w:spacing w:line="480" w:lineRule="auto"/>
        <w:jc w:val="center"/>
        <w:rPr>
          <w:rFonts w:ascii="仿宋" w:hAnsi="仿宋" w:eastAsia="仿宋"/>
          <w:b/>
          <w:sz w:val="24"/>
          <w:highlight w:val="none"/>
        </w:rPr>
      </w:pPr>
    </w:p>
    <w:p w14:paraId="059197F0">
      <w:pPr>
        <w:kinsoku/>
        <w:wordWrap w:val="0"/>
        <w:topLinePunct w:val="0"/>
        <w:bidi w:val="0"/>
        <w:spacing w:line="480" w:lineRule="auto"/>
        <w:jc w:val="center"/>
        <w:rPr>
          <w:rFonts w:ascii="仿宋" w:hAnsi="仿宋" w:eastAsia="仿宋"/>
          <w:b/>
          <w:sz w:val="24"/>
          <w:highlight w:val="none"/>
        </w:rPr>
      </w:pPr>
    </w:p>
    <w:p w14:paraId="08547240">
      <w:pPr>
        <w:kinsoku/>
        <w:wordWrap w:val="0"/>
        <w:topLinePunct w:val="0"/>
        <w:bidi w:val="0"/>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政府采购合同</w:t>
      </w:r>
    </w:p>
    <w:p w14:paraId="15E6C01C">
      <w:pPr>
        <w:kinsoku/>
        <w:wordWrap w:val="0"/>
        <w:topLinePunct w:val="0"/>
        <w:bidi w:val="0"/>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w:t>
      </w:r>
      <w:r>
        <w:rPr>
          <w:rFonts w:hint="eastAsia" w:ascii="仿宋_GB2312" w:hAnsi="仿宋" w:eastAsia="仿宋_GB2312" w:cs="仿宋_GB2312"/>
          <w:b/>
          <w:sz w:val="36"/>
          <w:szCs w:val="36"/>
          <w:highlight w:val="none"/>
          <w:lang w:val="en-US" w:eastAsia="zh-CN"/>
        </w:rPr>
        <w:t>服务</w:t>
      </w:r>
      <w:r>
        <w:rPr>
          <w:rFonts w:hint="eastAsia" w:ascii="仿宋_GB2312" w:hAnsi="仿宋" w:eastAsia="仿宋_GB2312" w:cs="仿宋_GB2312"/>
          <w:b/>
          <w:sz w:val="36"/>
          <w:szCs w:val="36"/>
          <w:highlight w:val="none"/>
        </w:rPr>
        <w:t>类）</w:t>
      </w:r>
    </w:p>
    <w:p w14:paraId="1974A203">
      <w:pPr>
        <w:pStyle w:val="699"/>
        <w:kinsoku/>
        <w:wordWrap w:val="0"/>
        <w:topLinePunct w:val="0"/>
        <w:bidi w:val="0"/>
        <w:rPr>
          <w:rFonts w:ascii="仿宋" w:hAnsi="仿宋" w:eastAsia="仿宋"/>
          <w:szCs w:val="24"/>
          <w:highlight w:val="none"/>
        </w:rPr>
      </w:pPr>
    </w:p>
    <w:p w14:paraId="7277597F">
      <w:pPr>
        <w:kinsoku/>
        <w:wordWrap w:val="0"/>
        <w:topLinePunct w:val="0"/>
        <w:bidi w:val="0"/>
        <w:spacing w:before="120" w:line="22" w:lineRule="atLeast"/>
        <w:rPr>
          <w:rFonts w:ascii="仿宋" w:hAnsi="仿宋" w:eastAsia="仿宋"/>
          <w:sz w:val="24"/>
          <w:highlight w:val="none"/>
        </w:rPr>
      </w:pPr>
    </w:p>
    <w:p w14:paraId="0F227738">
      <w:pPr>
        <w:kinsoku/>
        <w:wordWrap w:val="0"/>
        <w:topLinePunct w:val="0"/>
        <w:bidi w:val="0"/>
        <w:spacing w:before="120" w:line="22" w:lineRule="atLeast"/>
        <w:ind w:left="960"/>
        <w:rPr>
          <w:rFonts w:ascii="仿宋" w:hAnsi="仿宋" w:eastAsia="仿宋"/>
          <w:sz w:val="24"/>
          <w:highlight w:val="none"/>
        </w:rPr>
      </w:pPr>
      <w:r>
        <w:rPr>
          <w:rFonts w:hint="eastAsia" w:ascii="仿宋" w:hAnsi="仿宋" w:eastAsia="仿宋"/>
          <w:sz w:val="24"/>
          <w:highlight w:val="none"/>
        </w:rPr>
        <w:t>项目名称：</w:t>
      </w:r>
      <w:r>
        <w:rPr>
          <w:rFonts w:ascii="仿宋" w:hAnsi="仿宋" w:eastAsia="仿宋"/>
          <w:sz w:val="24"/>
          <w:highlight w:val="none"/>
          <w:u w:val="single"/>
        </w:rPr>
        <w:t xml:space="preserve">                                   </w:t>
      </w:r>
    </w:p>
    <w:p w14:paraId="4D81AA4D">
      <w:pPr>
        <w:pStyle w:val="596"/>
        <w:kinsoku/>
        <w:wordWrap w:val="0"/>
        <w:topLinePunct w:val="0"/>
        <w:bidi w:val="0"/>
        <w:spacing w:before="120" w:line="22" w:lineRule="atLeast"/>
        <w:rPr>
          <w:rFonts w:ascii="仿宋" w:hAnsi="仿宋" w:eastAsia="仿宋"/>
          <w:szCs w:val="24"/>
          <w:highlight w:val="none"/>
        </w:rPr>
      </w:pPr>
    </w:p>
    <w:p w14:paraId="7CA5C4E5">
      <w:pPr>
        <w:pStyle w:val="596"/>
        <w:kinsoku/>
        <w:wordWrap w:val="0"/>
        <w:topLinePunct w:val="0"/>
        <w:bidi w:val="0"/>
        <w:spacing w:before="120" w:line="22" w:lineRule="atLeast"/>
        <w:rPr>
          <w:rFonts w:ascii="仿宋" w:hAnsi="仿宋" w:eastAsia="仿宋"/>
          <w:szCs w:val="24"/>
          <w:highlight w:val="none"/>
        </w:rPr>
      </w:pPr>
    </w:p>
    <w:p w14:paraId="1D245973">
      <w:pPr>
        <w:kinsoku/>
        <w:wordWrap w:val="0"/>
        <w:topLinePunct w:val="0"/>
        <w:bidi w:val="0"/>
        <w:rPr>
          <w:rFonts w:ascii="仿宋" w:hAnsi="仿宋" w:eastAsia="仿宋"/>
          <w:sz w:val="24"/>
          <w:highlight w:val="none"/>
        </w:rPr>
      </w:pPr>
    </w:p>
    <w:p w14:paraId="06F3E6ED">
      <w:pPr>
        <w:kinsoku/>
        <w:wordWrap w:val="0"/>
        <w:topLinePunct w:val="0"/>
        <w:bidi w:val="0"/>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甲方：</w:t>
      </w:r>
      <w:r>
        <w:rPr>
          <w:rFonts w:ascii="仿宋" w:hAnsi="仿宋" w:eastAsia="仿宋"/>
          <w:sz w:val="24"/>
          <w:highlight w:val="none"/>
          <w:u w:val="single"/>
        </w:rPr>
        <w:t xml:space="preserve">                                       </w:t>
      </w:r>
    </w:p>
    <w:p w14:paraId="6191A104">
      <w:pPr>
        <w:kinsoku/>
        <w:wordWrap w:val="0"/>
        <w:topLinePunct w:val="0"/>
        <w:bidi w:val="0"/>
        <w:spacing w:before="120" w:line="22" w:lineRule="atLeast"/>
        <w:rPr>
          <w:rFonts w:ascii="仿宋" w:hAnsi="仿宋" w:eastAsia="仿宋"/>
          <w:sz w:val="24"/>
          <w:highlight w:val="none"/>
        </w:rPr>
      </w:pPr>
    </w:p>
    <w:p w14:paraId="1CB51084">
      <w:pPr>
        <w:kinsoku/>
        <w:wordWrap w:val="0"/>
        <w:topLinePunct w:val="0"/>
        <w:bidi w:val="0"/>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乙方：</w:t>
      </w:r>
      <w:r>
        <w:rPr>
          <w:rFonts w:ascii="仿宋" w:hAnsi="仿宋" w:eastAsia="仿宋"/>
          <w:sz w:val="24"/>
          <w:highlight w:val="none"/>
          <w:u w:val="single"/>
        </w:rPr>
        <w:t xml:space="preserve">                                       </w:t>
      </w:r>
    </w:p>
    <w:p w14:paraId="14606910">
      <w:pPr>
        <w:kinsoku/>
        <w:wordWrap w:val="0"/>
        <w:topLinePunct w:val="0"/>
        <w:bidi w:val="0"/>
        <w:spacing w:before="120" w:line="22" w:lineRule="atLeast"/>
        <w:rPr>
          <w:rFonts w:ascii="仿宋" w:hAnsi="仿宋" w:eastAsia="仿宋"/>
          <w:sz w:val="24"/>
          <w:highlight w:val="none"/>
        </w:rPr>
      </w:pPr>
    </w:p>
    <w:p w14:paraId="5FB0ED1D">
      <w:pPr>
        <w:kinsoku/>
        <w:wordWrap w:val="0"/>
        <w:topLinePunct w:val="0"/>
        <w:bidi w:val="0"/>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签订地：</w:t>
      </w:r>
      <w:r>
        <w:rPr>
          <w:rFonts w:ascii="仿宋" w:hAnsi="仿宋" w:eastAsia="仿宋"/>
          <w:sz w:val="24"/>
          <w:highlight w:val="none"/>
          <w:u w:val="single"/>
        </w:rPr>
        <w:t xml:space="preserve">                                     </w:t>
      </w:r>
    </w:p>
    <w:p w14:paraId="6C2B3642">
      <w:pPr>
        <w:kinsoku/>
        <w:wordWrap w:val="0"/>
        <w:topLinePunct w:val="0"/>
        <w:bidi w:val="0"/>
        <w:spacing w:before="120" w:line="22" w:lineRule="atLeast"/>
        <w:rPr>
          <w:rFonts w:ascii="仿宋" w:hAnsi="仿宋" w:eastAsia="仿宋"/>
          <w:sz w:val="24"/>
          <w:highlight w:val="none"/>
        </w:rPr>
      </w:pPr>
    </w:p>
    <w:p w14:paraId="74A82A17">
      <w:pPr>
        <w:kinsoku/>
        <w:wordWrap w:val="0"/>
        <w:topLinePunct w:val="0"/>
        <w:bidi w:val="0"/>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签订日期：</w:t>
      </w:r>
      <w:r>
        <w:rPr>
          <w:rFonts w:ascii="仿宋" w:hAnsi="仿宋" w:eastAsia="仿宋"/>
          <w:sz w:val="24"/>
          <w:highlight w:val="none"/>
          <w:u w:val="single"/>
        </w:rPr>
        <w:t xml:space="preserve">               </w:t>
      </w:r>
      <w:r>
        <w:rPr>
          <w:rFonts w:hint="eastAsia" w:ascii="仿宋" w:hAnsi="仿宋" w:eastAsia="仿宋"/>
          <w:sz w:val="24"/>
          <w:highlight w:val="none"/>
        </w:rPr>
        <w:t>年</w:t>
      </w:r>
      <w:r>
        <w:rPr>
          <w:rFonts w:ascii="仿宋" w:hAnsi="仿宋" w:eastAsia="仿宋"/>
          <w:sz w:val="24"/>
          <w:highlight w:val="none"/>
          <w:u w:val="single"/>
        </w:rPr>
        <w:t xml:space="preserve">       </w:t>
      </w:r>
      <w:r>
        <w:rPr>
          <w:rFonts w:hint="eastAsia" w:ascii="仿宋" w:hAnsi="仿宋" w:eastAsia="仿宋"/>
          <w:sz w:val="24"/>
          <w:highlight w:val="none"/>
        </w:rPr>
        <w:t>月</w:t>
      </w:r>
      <w:r>
        <w:rPr>
          <w:rFonts w:ascii="仿宋" w:hAnsi="仿宋" w:eastAsia="仿宋"/>
          <w:sz w:val="24"/>
          <w:highlight w:val="none"/>
          <w:u w:val="single"/>
        </w:rPr>
        <w:t xml:space="preserve">       </w:t>
      </w:r>
      <w:r>
        <w:rPr>
          <w:rFonts w:hint="eastAsia" w:ascii="仿宋" w:hAnsi="仿宋" w:eastAsia="仿宋"/>
          <w:sz w:val="24"/>
          <w:highlight w:val="none"/>
        </w:rPr>
        <w:t>日</w:t>
      </w:r>
    </w:p>
    <w:p w14:paraId="70580374">
      <w:pPr>
        <w:kinsoku/>
        <w:wordWrap w:val="0"/>
        <w:topLinePunct w:val="0"/>
        <w:bidi w:val="0"/>
        <w:rPr>
          <w:rFonts w:ascii="仿宋" w:hAnsi="仿宋" w:eastAsia="仿宋"/>
          <w:kern w:val="0"/>
          <w:sz w:val="24"/>
          <w:highlight w:val="none"/>
        </w:rPr>
      </w:pPr>
      <w:r>
        <w:rPr>
          <w:rFonts w:ascii="仿宋" w:hAnsi="仿宋" w:eastAsia="仿宋"/>
          <w:kern w:val="0"/>
          <w:sz w:val="24"/>
          <w:highlight w:val="none"/>
        </w:rPr>
        <w:br w:type="page"/>
      </w:r>
    </w:p>
    <w:p w14:paraId="715DFE6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第一节  通用合同条款</w:t>
      </w:r>
    </w:p>
    <w:p w14:paraId="6BBCF93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1．一般约定</w:t>
      </w:r>
    </w:p>
    <w:p w14:paraId="71AFE05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  词语定义</w:t>
      </w:r>
    </w:p>
    <w:p w14:paraId="4781CE4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通用合同条款、专用合同条款中的下列词语应具有本款所赋予的含义。</w:t>
      </w:r>
    </w:p>
    <w:p w14:paraId="70B1BFE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1.1.1  合同</w:t>
      </w:r>
    </w:p>
    <w:p w14:paraId="2F3A341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1.1.1.1  合同文件（或称合同）：指合同协议书、中标通知书、投标函及投标函附录、专用合同条款、通用合同条款、技术标准和要求、图纸、已标价工程量清单，以及其它合同文件。</w:t>
      </w:r>
    </w:p>
    <w:p w14:paraId="4986153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1.1.1.2  合同协议书：指第1.5款所指的合同协议书。</w:t>
      </w:r>
    </w:p>
    <w:p w14:paraId="3F589EF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1.1.1.3  中标通知书：指发包人通知承包人中标的函件。</w:t>
      </w:r>
    </w:p>
    <w:p w14:paraId="6344BFA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1.1.1.4  投标函：指构成合同文件组成部分的由承包人填写并签署的投标函。</w:t>
      </w:r>
    </w:p>
    <w:p w14:paraId="5526996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1.1.1.5  投标函附录：指附在投标函后构成合同文件的投标函附录。</w:t>
      </w:r>
    </w:p>
    <w:p w14:paraId="5CA8509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1.1.1.6  技术规范：指本合同所约定的技术标准和要求，是合同文件的组成部分。通用合同条款中“技术标准和要求”一词具有相同含义。</w:t>
      </w:r>
    </w:p>
    <w:p w14:paraId="5953847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1.1.1.7  图纸：指包含在合同中的工程图纸，以及由发包人按合同约定提供的任何补充和修改的图纸，包括配套的说明。</w:t>
      </w:r>
    </w:p>
    <w:p w14:paraId="66882C5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1.1.1.9  其它合同文件：指经合同双方当事人确认构成合同文件的其它文件。</w:t>
      </w:r>
    </w:p>
    <w:p w14:paraId="6BB9D1F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1.1.1.10  补遗书：指发出招标文件之后由招标人向取得招标文件的投标人发出的、编号的，对招标文件所作的澄清、修改书。</w:t>
      </w:r>
    </w:p>
    <w:p w14:paraId="3212AC4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1.1.2  合同当事人和人员</w:t>
      </w:r>
    </w:p>
    <w:p w14:paraId="5B3FD11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1.1.2.1  合同当事人:指发包人和（或）承包人。</w:t>
      </w:r>
    </w:p>
    <w:p w14:paraId="3F178A0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1.1.2.2  发包人：指专用合同条款中指明并与承包人在合同协议书中签字的当事人。</w:t>
      </w:r>
    </w:p>
    <w:p w14:paraId="01EA8CE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1.1.2.3  承包人：指其投标已为发包人所接受，并与发包人签订了实施本合同公路养护工程合同协议书的当事人（承包人），以及取得该当事人（承包人）资格的合法继承人（承包人）。</w:t>
      </w:r>
    </w:p>
    <w:p w14:paraId="71F1C68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1.1.2.4  承包人项目经理：指由承包人书面委派常驻现场负责执行本合同和管理本合同公路养护工程的代表。</w:t>
      </w:r>
    </w:p>
    <w:p w14:paraId="1D475C7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1.1.2.5  分包人：指从承包人处分包合同中某一部分工程，并与其签订分包合同的分包人。</w:t>
      </w:r>
    </w:p>
    <w:p w14:paraId="61DC76B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1.1.2.6  监理人：指发包人为实施本合同委托的承担本合同工程监理工作的独立法人。必须是经工商注册并持有交通主管部门核发的资质证书或资信登记的专职监理企业，依照核定的监理业务范围，承担相应公路工程的监理业务；或由市公路管理部门或发包人组织的内部专业监理，并须将设置的项目监理组织机构、到岗人员及项目监理工作计划报市交通工程质监站，审批后方可开展工作。</w:t>
      </w:r>
    </w:p>
    <w:p w14:paraId="7AA8C71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监理组织必须接受交通工程质监站对其监理资格，监理质量控制体系及监理工作质量的监督检查。</w:t>
      </w:r>
    </w:p>
    <w:p w14:paraId="25F306A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1.1.2.7  总监理工程师（总监）：指由监理人委派常驻施工场地对合同履行实施管理的全权负责人。</w:t>
      </w:r>
    </w:p>
    <w:p w14:paraId="1A0FF39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1.1.2.8  承包人项目总工：指由承包人书面委派常驻现场负责执行、管理本合同公路养护工程的总工程师或技术总负责人。</w:t>
      </w:r>
    </w:p>
    <w:p w14:paraId="7A5DFD5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1.1.3  工程和设备</w:t>
      </w:r>
    </w:p>
    <w:p w14:paraId="3058A13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1.1.3.1  小修保养工程：是指保持公路及其附属设施的正常使用功能，进行经常性保养和修补其轻微损坏部分的作业。这些作业内容按公路养护工程考核进行质量考核、实行总价承包的工程；</w:t>
      </w:r>
    </w:p>
    <w:p w14:paraId="14E5E2E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1.1.3.6  施工设备：指为完成合同约定的各项工作所需的设备、器具和其它物品，不包括临时工程和材料。</w:t>
      </w:r>
    </w:p>
    <w:p w14:paraId="6F05B29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1.1.3.7  临时设施：指为完成合同约定的各项工作所服务的临时性生产和生活设施。</w:t>
      </w:r>
    </w:p>
    <w:p w14:paraId="404F6A6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1.1.3.8  承包人设备：指承包人自带的施工设备。</w:t>
      </w:r>
    </w:p>
    <w:p w14:paraId="4A1ECB9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1.1.3.9  施工场地（或称工地、现场）：指用于合同工程施工的场所，以及在合同中指定作为施工场地组成部分的其它场所，包括永久占地和临时占地。</w:t>
      </w:r>
    </w:p>
    <w:p w14:paraId="003B69E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1.1.3.12  分部工程：指在单位工程中，按结构部位、路段长度及施工特点或施工任务划分的若干个工程。</w:t>
      </w:r>
    </w:p>
    <w:p w14:paraId="39ADDA1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1.1.3.13  分项工程：指在分部工程中，按不同的施工方法、材料、工序及路段长度等划分的若干个工程。</w:t>
      </w:r>
    </w:p>
    <w:p w14:paraId="201B802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1.1.4  日期</w:t>
      </w:r>
    </w:p>
    <w:p w14:paraId="1E408D7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1.1.4.1  开工通知：指监理人按第11.1款通知承包人开工的函件。</w:t>
      </w:r>
    </w:p>
    <w:p w14:paraId="0ABA05E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1.1.4.2  开工日期：指监理人按第11.1款发出的开工通知中写明的开工日期。</w:t>
      </w:r>
    </w:p>
    <w:p w14:paraId="5DFE9DA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1.1.4.3  工期：指承包人在投标函中承诺的完成合同工程所需的期限，包括按第11.3款、第11.4款和第11.6款约定所作的变更。</w:t>
      </w:r>
    </w:p>
    <w:p w14:paraId="4D33850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1.1.4.4  竣工日期：指第1.1.4.3目约定工期届满时的日期。实际竣工日期以工程接收证书中写明的日期为准。</w:t>
      </w:r>
    </w:p>
    <w:p w14:paraId="74C7866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1.1.4.5  缺陷责任期：指履行第19.2款约定的缺陷责任的期限，具体期限由专用合同条款约定，包括根据第19.3款约定所作的延长。</w:t>
      </w:r>
    </w:p>
    <w:p w14:paraId="7E252A5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1.1.4.6  基准日期：指投标截止时间前28天的日期。</w:t>
      </w:r>
    </w:p>
    <w:p w14:paraId="4397AC4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1.1.4.7  天：除特别指明外，指日历天。合同中按天计算时间的，开始当天不计入，从次日开始计算。期限最后一天的截止时间为当天24:00。</w:t>
      </w:r>
    </w:p>
    <w:p w14:paraId="6EB5C76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1.1.5  合同价格和费用</w:t>
      </w:r>
    </w:p>
    <w:p w14:paraId="272E88B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1.1.5.1  签约合同价：指签定合同时合同协议书中写明的，包括了暂列金额、暂估价的合同总金额。</w:t>
      </w:r>
    </w:p>
    <w:p w14:paraId="63CC8AA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1.1.5.2  合同价格：指承包人按合同约定完成了包括缺陷责任期内的全部承包工作后，发包人应付给承包人的金额，包括在履行合同过程中按合同约定进行的变更和调整。</w:t>
      </w:r>
    </w:p>
    <w:p w14:paraId="75E3B27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1.1.5.3  费用：指为履行合同所发生的或将要发生的所有合理开支，包括管理费和应分摊的其它费用，但不包括利润。</w:t>
      </w:r>
    </w:p>
    <w:p w14:paraId="630E884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1.1.5.7  质量保证金（或称保留金）：指按第17.4.1项约定用于保证在缺陷责任期内履行缺陷修复义务的金额。</w:t>
      </w:r>
    </w:p>
    <w:p w14:paraId="31216D5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1.1.6.2  交工验收：指本工程已按合同规定实质上完工，并按合同规定完成了检测和检验，且按《浙江省公路大中修工程交（竣）工文件编制办法（试行）》（省公路局 浙公路[2005]51号）的规定，编制好竣工图表和施工资料后，承包人可向监理人提出交（竣）工验收和发给交工证书的申请，同时抄送发包人。如经交（竣）工验收认为质量合格，发包人应在验收工作完毕后14天内向承包人签发交工证书。通用合同条款中“竣工验收”一词具有相同含义。</w:t>
      </w:r>
    </w:p>
    <w:p w14:paraId="38A38EC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1.1.6.3  转包：指承包人违反法律和不履行合同规定的责任和义务，将中标工程全部委托或以专业分包的名义将中标工程肢解后全部委托给其它养护企业施工的行为。</w:t>
      </w:r>
    </w:p>
    <w:p w14:paraId="6CA4E94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1.1.6.4  专业分包：指承包人与具有相应资质的施工企业签订专业分包合同，由分包人承担承包人委托的分部工程、分项工程或适合专业化队伍施工的其它工程，整体结算，并能独立控制工程质量、施工进度、材料采购、生产安全的施工行为。</w:t>
      </w:r>
    </w:p>
    <w:p w14:paraId="3F0EA47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1.1.6.5  劳务分包：指承包人与具有劳务分包资质的劳务企业签订劳务分包合同，由劳务企业提供劳务人员及机具，由承包人统一组织施工，统一控制工程质量、施工进度、材料采购、生产安全的施工行为。</w:t>
      </w:r>
    </w:p>
    <w:p w14:paraId="091FC0A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1.1.6.6  雇用民工：指承包人与具有相应劳动能力的自然人签订劳动合同，由承包人统一组织管理，从事分项工程施工或配套工程施工的行为。</w:t>
      </w:r>
    </w:p>
    <w:p w14:paraId="628B4B9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1.1.6.7  进度付款证书：指在最后支付证书之外的、由监理人（或发包人）签发的任何支付证书。</w:t>
      </w:r>
    </w:p>
    <w:p w14:paraId="5FF9417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  法律</w:t>
      </w:r>
    </w:p>
    <w:p w14:paraId="2414EC1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适用于合同的法律包括中华人民共和国法律、行政法规、部门规章，以及工程所在地的地方法规、自治条例、单行条例和地方政府规章。</w:t>
      </w:r>
    </w:p>
    <w:p w14:paraId="2D50945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  合同文件的优先顺序</w:t>
      </w:r>
    </w:p>
    <w:p w14:paraId="5FCA9C2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组成合同的各项文件应互相解释，互为说明。除项目专用合同条款另有约定外，解释合同文件的优先顺序如下：</w:t>
      </w:r>
    </w:p>
    <w:p w14:paraId="22F567B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合同协议书及各种合同附件（含廉政合同和安全生产合同，评标期间和合同谈判过程中的澄清文件和补充资料）；（2）中标通知书；（3）投标函及投标函附录；（4）项目专用合同条款；（5）公路养护工程专用合同条款；（6）通用合同条款；（7）技术规范；（8）图纸（含招标文件补遗书中与此有关部分）；（9）已标价工程量清单；（10）承包人有关人员、设备投入、财务能力的承诺及投标文件中的养护工程作业方案；（11）其它合同文件。</w:t>
      </w:r>
    </w:p>
    <w:p w14:paraId="4F8BAF4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  合同协议书</w:t>
      </w:r>
    </w:p>
    <w:p w14:paraId="0CEB1D8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76FE821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1.6  图纸和承包人文件</w:t>
      </w:r>
    </w:p>
    <w:p w14:paraId="7D5D338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1.6.1  图纸的提供</w:t>
      </w:r>
    </w:p>
    <w:p w14:paraId="4EC1008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监理人应在发出中标通知书之后14天内，向承包人免费提供有关技术资料（养护技术规范、道路及构筑物现况、公路养护质量检查记录及次、差路率情况、）或由发包人委托的设计单位设计的正确实施和完成及其缺陷修复所需的补充图纸2份，并向承包人作技术交底。承包人需要更多份数时，应自费复制。</w:t>
      </w:r>
    </w:p>
    <w:p w14:paraId="5770FDF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上述与本合同相关技术资料，未经发包人同意承包人不得提供给与本工程施工无关的第三方。养护承包期结束，在发给缺陷责任证书时，承包人应将发包人提供的养护技术规范、养护技术资料和所有图纸以及承包人在养护承包期内积累的所有养护记录和资料（包括台帐）全部交还给发包人。</w:t>
      </w:r>
    </w:p>
    <w:p w14:paraId="4A111DE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由于发包人未按时提供图纸和有关技术资料而造成工期延误的，按第11.3款的约定办理。</w:t>
      </w:r>
    </w:p>
    <w:p w14:paraId="33501D5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1.6.2  承包人提供的文件</w:t>
      </w:r>
    </w:p>
    <w:p w14:paraId="0220651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按专用合同条款约定由承包人提供的文件，包括部分工程的大样图、加工图等，承包人应按约定的数量和期限报送监理人。监理人应在专用合同条款约定的期限内批复。</w:t>
      </w:r>
    </w:p>
    <w:p w14:paraId="76BBC63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1.6.3  图纸的修改</w:t>
      </w:r>
    </w:p>
    <w:p w14:paraId="1039398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图纸需要修改和补充的，应由监理人取得发包人同意后，在该工程或工程相应部位施工前的合理期限内签发图纸修改图给承包人，具体签发期限在专用合同条款中约定。承包人应按修改后的图纸施工。</w:t>
      </w:r>
    </w:p>
    <w:p w14:paraId="513DC6B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1.9  严禁贿赂</w:t>
      </w:r>
    </w:p>
    <w:p w14:paraId="3A7086F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合同双方当事人不得以贿赂或变相贿赂的方式，谋取不当利益或损害对方权益。因贿赂造成对方损失的，行为人应赔偿损失，并承担相应的法律责任。</w:t>
      </w:r>
    </w:p>
    <w:p w14:paraId="6CC84A8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在合同执行过程中，发包人和承包人应严格履行《廉政合同》约定的双方在廉政建设方面的权利和义务以及应承担的违约责任。承包人如果用行贿、送礼或其它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1A629B8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1.12.2  承包人提供的文件，未经承包人同意，发包人和监理人不得为合同以外的目的泄露给他人或公开发表与引用。</w:t>
      </w:r>
    </w:p>
    <w:p w14:paraId="2259A7F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2．发包人义务</w:t>
      </w:r>
    </w:p>
    <w:p w14:paraId="074F048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2.1  遵守法律</w:t>
      </w:r>
    </w:p>
    <w:p w14:paraId="3C819AF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发包人在履行合同过程中应遵守法律，并保证承包人免于承担因发包人违反法律而引起的任何责任。</w:t>
      </w:r>
    </w:p>
    <w:p w14:paraId="113FDDE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  发出开工通知</w:t>
      </w:r>
    </w:p>
    <w:p w14:paraId="4E66DAA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发包人应委托监理人按第11.1款的约定向承包人发出开工通知。</w:t>
      </w:r>
    </w:p>
    <w:p w14:paraId="6F54621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2.3  提供施工场地</w:t>
      </w:r>
    </w:p>
    <w:p w14:paraId="5B9D354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发包人应按专用合同条款约定向承包人提供施工场地，以及施工场地内地下管线和地下设施等有关资料，并保证资料的真实、准确、完整。</w:t>
      </w:r>
    </w:p>
    <w:p w14:paraId="4352191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发包人应协调承包人办理临时用地的租用。</w:t>
      </w:r>
    </w:p>
    <w:p w14:paraId="2B6E886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2.4  协助承包人办理证件和批件</w:t>
      </w:r>
    </w:p>
    <w:p w14:paraId="7811D8A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发包人应协助承包人办理法律规定的有关施工证件和批件。</w:t>
      </w:r>
    </w:p>
    <w:p w14:paraId="148477A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2.5  组织设计交底</w:t>
      </w:r>
    </w:p>
    <w:p w14:paraId="653E723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发包人应根据合同进度计划，组织设计单位向承包人进行设计交底。</w:t>
      </w:r>
    </w:p>
    <w:p w14:paraId="203E6BE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2.6  支付合同价款</w:t>
      </w:r>
    </w:p>
    <w:p w14:paraId="6D1A57E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发包人应按合同约定向承包人及时支付合同价款。</w:t>
      </w:r>
    </w:p>
    <w:p w14:paraId="46CFDDE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2.7  组织竣工验收</w:t>
      </w:r>
    </w:p>
    <w:p w14:paraId="37348EB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发包人应按合同约定及时组织竣工验收。</w:t>
      </w:r>
    </w:p>
    <w:p w14:paraId="6E060AD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2.8  其它义务</w:t>
      </w:r>
    </w:p>
    <w:p w14:paraId="3D98035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发包人应履行合同约定的其它义务。</w:t>
      </w:r>
    </w:p>
    <w:p w14:paraId="33C469C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3．监理人</w:t>
      </w:r>
    </w:p>
    <w:p w14:paraId="6F9C561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3.1  监理人的职责和权力</w:t>
      </w:r>
    </w:p>
    <w:p w14:paraId="608D6E1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3.1.1  监理人受发包人委托，享有合同约定的权力。监理人在行使某项权力前需要经发包人事先批准而通用合同条款没有指明的，应在专用合同条款中指明。</w:t>
      </w:r>
    </w:p>
    <w:p w14:paraId="4E1E010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监理人在行使下列权力前需要经发包人事先批准：</w:t>
      </w:r>
    </w:p>
    <w:p w14:paraId="6A753D0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根据第4.3款，同意分包本工程的某非主体部和非关键性工作；（2）确定第4.11款下产生的费用增加额；（3）根据第11.1款、第12.3款、第12.4款发布开工通知、暂停施工指示或复工通知；（4）决定第11.3款、第11.4款下的工期延期；（5）根据第15.3款发出的变更指令，其单项工程变更涉及的金额超过了该单项工程原合同价的5%或累计变更超过了原总合同价的3%；如在《监理服务合同》中另有规定者，从其规定，并就此通知承包人；（6）根据第15.4款下变更工作的单价；（7）按照第15.6款决定有关暂列金额的使用；（8）确定第23.1款项下的索赔额；如果发生紧急情况，监理人认为将造成人员伤亡，或危及本工程或邻近的财产需立即采取行动，监理人有权在未征得发包人的批准情况下发布处理紧急情况所必需的指令，承包人应予执行，由此造成的费用增加由监理人按第3.5款商定或确定。</w:t>
      </w:r>
    </w:p>
    <w:p w14:paraId="6E5C7FF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3.1.2  监理人发出的任何指示应视为已得到发包人的批准，但监理人无权免除或变更合同约定的发包人和承包人的权利、义务和责任。</w:t>
      </w:r>
    </w:p>
    <w:p w14:paraId="636E872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3.1.3  合同约定应由承包人承担的义务和责任，不因监理人对承包人提交文件的审查或批准，对工程、材料和设备的检查和检验，以及为实施监理作出的指示等职务行为而减轻或解除。</w:t>
      </w:r>
    </w:p>
    <w:p w14:paraId="3C327EC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3.2  总监理工程师</w:t>
      </w:r>
    </w:p>
    <w:p w14:paraId="1A0C85D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发包人应在发出开工通知前将总监理工程师的任命通知承包人。总监理工程师更换时，应在调离14天前通知承包人。总监理工程师短期离开施工场地的，应委派代表代行其职责，并通知承包人。</w:t>
      </w:r>
    </w:p>
    <w:p w14:paraId="5F8FC80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3.3  监理人员</w:t>
      </w:r>
    </w:p>
    <w:p w14:paraId="54A33A1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4F9EE73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14:paraId="589BD8C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3.3.3  承包人对总监理工程师授权的监理人员发出的指示有疑问的，可向总监理工程师提出书面异议，总监理工程师应在48小时内对该指示予以确认、更改或撤销。</w:t>
      </w:r>
    </w:p>
    <w:p w14:paraId="7947354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3.3.4  除专用合同条款另有约定外，总监理工程师不应将第3.5款约定应由总监理工程师作出确定的权力授权或委托给其他监理人员。</w:t>
      </w:r>
    </w:p>
    <w:p w14:paraId="61B584B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3.4  监理人的指示</w:t>
      </w:r>
    </w:p>
    <w:p w14:paraId="68906D5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3.4.1  监理人应按第3.1款的约定向承包人发出指示，监理人的指示应盖有监理人授权的施工场地机构章，并由总监理工程师或总监理工程师按第3.3.1项约定授权的监理人员签字。</w:t>
      </w:r>
    </w:p>
    <w:p w14:paraId="2829184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3.4.2  承包人收到监理人按第3.4.1项作出的指示后应遵照执行。指示构成变更的，应按第15条处理。</w:t>
      </w:r>
    </w:p>
    <w:p w14:paraId="00FB1D7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56C1A07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3.4.4  除合同另有约定外，承包人只从总监理工程师或按第3.3.1项被授权的监理人员处取得指示。</w:t>
      </w:r>
    </w:p>
    <w:p w14:paraId="790EAA8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3.4.5  由于监理人未能按合同约定发出指示、指示延误或指示错误而导致承包人费用增加和（或）工期延误的，由发包人承担赔偿责任。 </w:t>
      </w:r>
    </w:p>
    <w:p w14:paraId="4056F6F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3.5  商定或确定</w:t>
      </w:r>
    </w:p>
    <w:p w14:paraId="0894BBA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3.5.1  合同约定总监理工程师应按照本款对任何事项进行商定或确定时，总监理工程师应与合同当事人协商，尽量达成一致。不能达成一致的，总监理工程师应认真研究后审慎确定。</w:t>
      </w:r>
    </w:p>
    <w:p w14:paraId="3977F98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如果这项商定或确定导致费用增加和（或）工期延长，或者涉及确定变更工程的价格，则总监理工程师在发出通知前，应征得发包人的同意。</w:t>
      </w:r>
    </w:p>
    <w:p w14:paraId="622A415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22845F8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4．承包人</w:t>
      </w:r>
    </w:p>
    <w:p w14:paraId="55CCF8C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  承包人的一般义务</w:t>
      </w:r>
    </w:p>
    <w:p w14:paraId="3E91FA3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4.1.1  遵守法律</w:t>
      </w:r>
    </w:p>
    <w:p w14:paraId="7E2D6AD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承包人在履行合同过程中应遵守法律，并保证发包人免于承担因承包人违反法律而引起的任何责任。</w:t>
      </w:r>
    </w:p>
    <w:p w14:paraId="6D9F127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4.1.2  依法纳税</w:t>
      </w:r>
    </w:p>
    <w:p w14:paraId="6973792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承包人应按有关法律规定纳税，应缴纳的税金包括在合同价格内。</w:t>
      </w:r>
    </w:p>
    <w:p w14:paraId="39F6973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4.1.3  完成各项承包工作</w:t>
      </w:r>
    </w:p>
    <w:p w14:paraId="480B097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它物品，并按合同约定负责临时设施的设计、建造、运行、维护、管理和拆除。</w:t>
      </w:r>
    </w:p>
    <w:p w14:paraId="044D62C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负责做好合同规定的养护工程作业方案，精心组织养护，加强养护质量控制，完成本合同公路工程。为此，承包人应提供所需的全部监督管理、劳务、材料、设备、养护装备和其它物品。承包人应加强养护工程的质量控制，合同期内的公路养护质量指数MQI及其分项指标PQI、SCI、BCI、TCI等及次差路率指标RoP应符合技术规范第106节的规定要求，达到该要求是工程款支付的前提条件。</w:t>
      </w:r>
    </w:p>
    <w:p w14:paraId="095396E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4.1.4  对施工作业和施工方法的完备性负责</w:t>
      </w:r>
    </w:p>
    <w:p w14:paraId="53B8159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承包人应按合同约定的工作内容和施工进度要求，编制养护工程作业方案和施工措施计划，并对所有施工作业和施工方法的完备性和安全可靠性负责。</w:t>
      </w:r>
    </w:p>
    <w:p w14:paraId="1396B7E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对全部现场作业和施工方法的适用性、可靠性和安全性承担全部责任。承包人应根据发包人提供的原有公路技术状况，进行认真的核查，协助和配合发包人进行各项检查，发现病害及时查明原因，为消除病害，提交经补充修改后的养护作业方案。</w:t>
      </w:r>
    </w:p>
    <w:p w14:paraId="5D40194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4.1.5  保证养护工程施工和人员的安全</w:t>
      </w:r>
    </w:p>
    <w:p w14:paraId="38F08BC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承包人应按第9.2款约定采取施工安全措施，确保工程及其人员、材料、设备和设施的安全，防止因工程施工造成的人身伤害和财产损失。</w:t>
      </w:r>
    </w:p>
    <w:p w14:paraId="40FA679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在实施和完成养护工程的整个过程中，承包人应该充分关注和保障所有在现场工作的人员安全，采取有效措施，使养护作业现场和本合同养护工程的实施保持有条不紊，以免人员的安全受到威胁：</w:t>
      </w:r>
    </w:p>
    <w:p w14:paraId="4FA3898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（1）按施工人员的2～4%配备专职安全员并有一名安全生产负责人，且不少于1人，同时每个施工作业点必须有安全员；</w:t>
      </w:r>
    </w:p>
    <w:p w14:paraId="064A45F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68BCD1D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承包人应当在施工现场建立消防安全责任制度，对于易燃易爆的材料除应专门妥善保管之外，还应确定消防安全责任人，制定用火、用电、使用易燃易爆材料等各项消防管理制度和操作规程，设置消防通道，配备相应的消防设施和灭火器材，所有施工人员都应熟悉消防设备的性能和使用方法。</w:t>
      </w:r>
    </w:p>
    <w:p w14:paraId="4655C1E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（4）所有施工机具设备和高空作业的设备均应定期检查，并有安全生产负责人的签字记录；</w:t>
      </w:r>
    </w:p>
    <w:p w14:paraId="4781A7E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（5）根据大中修养护工程的性质和施工特点，严格执行《公路工程施工安全技术规程》（JTJ 076-95）和《公路养护作业安全规程》（JTG H30-2004）的具体规定；</w:t>
      </w:r>
    </w:p>
    <w:p w14:paraId="23FD459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4.1.6  负责施工场地及其周边环境与生态的保护工作</w:t>
      </w:r>
    </w:p>
    <w:p w14:paraId="15D0356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承包人应按照第9.4款约定负责施工场地及其周边环境与生态的保护工作。</w:t>
      </w:r>
    </w:p>
    <w:p w14:paraId="5C32605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4.1.7  避免施工对公众与他人的利益造成损害</w:t>
      </w:r>
    </w:p>
    <w:p w14:paraId="5108BB7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5446C6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承包人在养护过程中必须采取一切措施，确保车辆正常运行，做到养护作业、车辆通行两不误。</w:t>
      </w:r>
    </w:p>
    <w:p w14:paraId="6FBC737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实施养护作业路段应配备交通标志等设施，指定专人维持车辆通行秩序。如因承包人措施不力，导致阻车或事故频发而造成较大影响，引起索赔、赔偿或养护费用增加时，应由承包人承担一切责任和费用。</w:t>
      </w:r>
    </w:p>
    <w:p w14:paraId="016F1AC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4.1.8  为他人提供方便</w:t>
      </w:r>
    </w:p>
    <w:p w14:paraId="268B7EF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承包人应按监理人的指示为他人在施工场地或附近实施与工程有关的其它各项工作提供可能的条件。除合同另有约定外，提供有关条件的内容和可能发生的费用，由监理人按第3.5款商定或确定。</w:t>
      </w:r>
    </w:p>
    <w:p w14:paraId="3D5394F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为保护实施的养护工程免遭损坏，或为了现场附近和过往群众的方便与安全，在确有必要的时候和地方，或当监理人或有关主管部门要求时，应自费提供照明、警卫、护栏、警告标志等安全防护设施；</w:t>
      </w:r>
    </w:p>
    <w:p w14:paraId="25DDF48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4.1.9  工程的维护和照管</w:t>
      </w:r>
    </w:p>
    <w:p w14:paraId="45F67E3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工程接收证书颁发前，承包人应负责照管和维护工程。工程接收证书颁发时尚有部分未竣工工程的，承包人还应负责该未竣工工程的照管和维护工作，直至竣工后移交给发包人为止。</w:t>
      </w:r>
    </w:p>
    <w:p w14:paraId="0C07713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4.1.10  其它义务</w:t>
      </w:r>
    </w:p>
    <w:p w14:paraId="73047D0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承包人应履行合同约定的其它义务。</w:t>
      </w:r>
    </w:p>
    <w:p w14:paraId="2AC3CE9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（1）除项目专用合同条款另有约定外，承包人应承担并支付为获得本合同工程所需的石料、砂、砾石、黏土或其它当地材料等所发生的料场使用费及其它开支或补偿费。</w:t>
      </w:r>
    </w:p>
    <w:p w14:paraId="28BA33E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（2）承包人应严格遵守国家有关解决拖欠工程款和民工工资的法律、法规，及时支付工程中的材料、设备货款及民工工资等费用。</w:t>
      </w:r>
    </w:p>
    <w:p w14:paraId="0FD9140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在本养护工程中严格执行浙江省劳动和社会保障厅、浙江省交通厅、中国人民银行杭州中心支行关于《浙江省交通建设领域农民工工资支付管理暂行办法》（浙劳社监[2007]90号），严格按照《劳动法》、《浙江省企业工资支付管理办法》和《最低工资规定》等有关规定支付农民工工资，不得拖欠或克扣，并接受项目所在地交通行政部门对执行情况的监督检查。</w:t>
      </w:r>
    </w:p>
    <w:p w14:paraId="1929F52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的项目经理部是民工工资支付行为的主体，承包人的项目经理是民工工资支付的责任人。项目经理部要建立全体民工花名册和工资支付表，确保将工资直接发给民工本人，或委托银行发放民工工资，严禁发放给“包工头”或其它不具备用工主体资格的组织和个人。</w:t>
      </w:r>
    </w:p>
    <w:p w14:paraId="532F9C9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工资支付表应如实记录支付单位、支付时间、支付对象、支付数额、支付对象的身份证号和签字等信息。民工花名册和工资支付表应报监理人备查。</w:t>
      </w:r>
    </w:p>
    <w:p w14:paraId="0293CD9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承包人在递交投标文件的同时，应按招标文件第8篇投标书附表5的格式填写一份《临时占地计划表》（临时用地范围包括承包人驻地的办公和生活用地、仓库与料场用地、预制场用地、借土场地及临时堆土场地、工地试验室用地、临时道路用地等）。中标后应在此表范围内按实际需要与先后次序，提出具体计划报监理人同意，并报发包人。租地费用列入工程量清单100章中由承包人报价。临时用地退还前，承包人应自费恢复到临时用地使用前的状况。如因承包人撤离后未按要求对临时用地进行恢复或虽进行了恢复但未达到使用标准的，将由发包人委托第三方进行恢复，所发生的费用将从应付给承包人的任何款项内扣除。超出《临时占地计划表》的临时用地由承包人自行办理并自付费用。</w:t>
      </w:r>
    </w:p>
    <w:p w14:paraId="4DBB164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（4）承包人应履行项目专用合同条款约定的其它义务。</w:t>
      </w:r>
    </w:p>
    <w:p w14:paraId="25CA5DE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4.2  履约担保</w:t>
      </w:r>
    </w:p>
    <w:p w14:paraId="4760A54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承包人应保证其履约担保在发包人颁发工程接收证书前一直有效。发包人应在工程接收证书颁发后28天内把履约担保退还给承包人。</w:t>
      </w:r>
    </w:p>
    <w:p w14:paraId="468B71C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4.3  分包</w:t>
      </w:r>
    </w:p>
    <w:p w14:paraId="0D21747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4.3.1  承包人不得将其承包的全部工程转包给第三人，或将其承包的全部工程肢解后以分包的名义转包给第三人。</w:t>
      </w:r>
    </w:p>
    <w:p w14:paraId="25D58D7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4.3.2  承包人不得将工程主体、关键性工作分包给第三人。除专用合同条款另有约定外，未经发包人同意，承包人不得将工程的其它部分或工作分包给第三人。经发包人同意，承包人可将工程的其它部分或工作分包给第三人。分包包括专业分包和劳务分包。</w:t>
      </w:r>
    </w:p>
    <w:p w14:paraId="0A6AA08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4.3.3  在养护工程施工过程在中，承包人进行专业分包必须遵守以下规定：</w:t>
      </w:r>
    </w:p>
    <w:p w14:paraId="19BC145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（1）允许专业分包的工程范围仅限于分部工程或分项工程、适合专业化队伍施工的工程，专业分包的工程量累计不得超过总工程量的30%。</w:t>
      </w:r>
    </w:p>
    <w:p w14:paraId="4679018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（2）专业分包人的资格能力（含安全生产能力）应与其分包工程的标准和规模相适应，具备相应的专业承包资质。</w:t>
      </w:r>
    </w:p>
    <w:p w14:paraId="333C591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（3）专业分包工程不得再次分包。</w:t>
      </w:r>
    </w:p>
    <w:p w14:paraId="71EFCEF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（4）承包人和专业分包人应当依法签订专业分包合同，并按照合同履行约定的义务。专业分包合同必须明确约定工程款支付条款、结算方式以及保证按期支付的相应措施，确保工程款的支付。</w:t>
      </w:r>
    </w:p>
    <w:p w14:paraId="4CD52FF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承包人对施工现场安全负总责，并对专业分包人的安全生产进行培训和管理。专业分包人应将其专业分包工程的养护工程作业方案和施工安全方案报承包人备案。专业分包人对分包施工现场安全负责，发现事故隐患，应及时处理。</w:t>
      </w:r>
    </w:p>
    <w:p w14:paraId="6C203DC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（6）所有专业分包计划和专业分包合同须报监理人审批，并报发包人核备。监理人审批专业分包并不解除合同规定的承包人的任何责任或义务。</w:t>
      </w:r>
    </w:p>
    <w:p w14:paraId="1B21472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违反上述规定之一者属违规分包。</w:t>
      </w:r>
    </w:p>
    <w:p w14:paraId="6E3A112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4.3.4  在养护工程施工过程中，承包人进行劳务分包必须遵守以下规定：</w:t>
      </w:r>
    </w:p>
    <w:p w14:paraId="3F34BFC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（1）劳务分包人应具有劳务分包资质。</w:t>
      </w:r>
    </w:p>
    <w:p w14:paraId="062FD1E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劳务分包应当依法签订劳务分包合同，劳务分包合同必须由承包人的法定代表人或其委托代理人与劳务分包人直接签订，不得与他人代签。承包人的项目经理部、项目经理、施工班组等不具备用工主体资格，不能与劳务分包人签订劳务分包合同。承包人应向发包人和监理人提交劳务分包合同副本并报项目所在地劳动保障部门备案。</w:t>
      </w:r>
    </w:p>
    <w:p w14:paraId="0179BAC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承包人雇用的劳务作业应加入到承包人的施工班组统一管理。有关施工质量、施工安全、施工进度、环境保护、技术方案、试验检测、材料保管与供应、机械设备等都必须由承包人管理与调配，不得以包代管。</w:t>
      </w:r>
    </w:p>
    <w:p w14:paraId="2615F39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（4）承包人应当对劳务分包人员进行安全培训和管理，劳务分包人不得将其分包的劳务作业再次分包。</w:t>
      </w:r>
    </w:p>
    <w:p w14:paraId="14F10E9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违反上述规定之一者属违规分包。</w:t>
      </w:r>
    </w:p>
    <w:p w14:paraId="5B68DAA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4.3.5  承包人应与分包人就分包工程向发包人承担连带责任。</w:t>
      </w:r>
    </w:p>
    <w:p w14:paraId="65231E3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4.3.6  发包人对承包人与分包人之间的法律与经济纠纷不承担任何责任和义务。</w:t>
      </w:r>
    </w:p>
    <w:p w14:paraId="344A6A4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4.4  联合体</w:t>
      </w:r>
    </w:p>
    <w:p w14:paraId="34EA001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4.4.1  联合体各方应共同与发包人签订合同协议书。联合体各方应为履行合同承担连带责任。</w:t>
      </w:r>
    </w:p>
    <w:p w14:paraId="56AB051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4.4.2  联合体协议经发包人确认后作为合同附件。在履行合同过程中，未经发包人同意，不得修改联合体协议。</w:t>
      </w:r>
    </w:p>
    <w:p w14:paraId="574C94D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4.4.3  联合体牵头人负责与发包人和监理人联系，并接受指示，负责组织联合体各成员全面履行合同。</w:t>
      </w:r>
    </w:p>
    <w:p w14:paraId="68921F5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4.5  承包人项目经理</w:t>
      </w:r>
    </w:p>
    <w:p w14:paraId="4D1F197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099FE8E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55CD29F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4.5.3  承包人为履行合同发出的一切函件均应盖有承包人授权的施工场地管理机构章，并由承包人项目经理或其授权代表签字。</w:t>
      </w:r>
    </w:p>
    <w:p w14:paraId="4554884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4.5.4  承包人项目经理可以授权其下属人员履行其某项职责，但事先应将这些人员的姓名和授权范围通知监理人。</w:t>
      </w:r>
    </w:p>
    <w:p w14:paraId="29E70A0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4.6  承包人人员的管理</w:t>
      </w:r>
    </w:p>
    <w:p w14:paraId="71DDCA9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1F8DD07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4.6.2  为完成合同约定的各项工作，承包人应向施工场地派遣或雇佣足够数量的下列人员：</w:t>
      </w:r>
    </w:p>
    <w:p w14:paraId="473F678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（1）具有相应资格的专业技工和合格的普工；</w:t>
      </w:r>
    </w:p>
    <w:p w14:paraId="72741BF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（2）具有相应施工经验的技术人员；</w:t>
      </w:r>
    </w:p>
    <w:p w14:paraId="01FE85C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（3）具有相应岗位资格的各级管理人员。</w:t>
      </w:r>
    </w:p>
    <w:p w14:paraId="4380E99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4.6.3  承包人安排在施工场地的主要管理人员和技术骨干应与承包人承诺的名单一致，并保持相对稳定。未经监理人批准，上述人员不应无故不到位或被替换；若确认无法到位或需替换，需经监理人审核并报发包人批准后，用同等资质和经历的人员替换。</w:t>
      </w:r>
    </w:p>
    <w:p w14:paraId="566729A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4.6.4  特殊岗位的工作人员均应持有相应的资格证明，监理人有权随时检查。监理人认为有必要时，可进行现场考核。</w:t>
      </w:r>
    </w:p>
    <w:p w14:paraId="35DF05D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6318CEE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4.7  撤换承包人项目经理和其他人员</w:t>
      </w:r>
    </w:p>
    <w:p w14:paraId="5BF24CF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2133F38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4.8  保障承包人人员的合法权益</w:t>
      </w:r>
    </w:p>
    <w:p w14:paraId="35B4DD5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4.8.1  承包人应与其雇佣的人员签订劳动合同，并按时发放工资。</w:t>
      </w:r>
    </w:p>
    <w:p w14:paraId="3D5442F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14:paraId="23DABAA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4.8.3  承包人应为其雇佣人员提供必要的食宿条件，以及符合环境保护和卫生要求的生活环境，在远离城镇的施工场地，还应配备必要的伤病防治和急救的医务人员与医疗设施。</w:t>
      </w:r>
    </w:p>
    <w:p w14:paraId="02FB915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7E24EF7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4.8.5  承包人应按有关法律规定和合同约定，为其雇佣人员办理保险。</w:t>
      </w:r>
    </w:p>
    <w:p w14:paraId="2FAB8FE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4.8.6  承包人应负责处理其雇佣人员因工伤亡事故的善后事宜。</w:t>
      </w:r>
    </w:p>
    <w:p w14:paraId="371DCFF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4.9  工程价款应专款专用</w:t>
      </w:r>
    </w:p>
    <w:p w14:paraId="543FD8E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按合同约定支付给承包人的各项价款应专用于合同工程。承包人必须在发包人指定的银行开户，并应向发包人授权进行本合同工程开户银行工程资金的查询。发包人支付的工程进度款应为本工程的专款专用资金，不得转移或用于其它工程。发包人的期中支付款将转入该银行所设的专门账户，发包人及其派出机构有权不定期对承包人工程资金使用情况进行检查，发现问题及时责令承包人限期改正。否则，将终止月支付，直至承包人改正为止。</w:t>
      </w:r>
    </w:p>
    <w:p w14:paraId="1132D94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4.10  承包人现场查勘</w:t>
      </w:r>
    </w:p>
    <w:p w14:paraId="5855C6D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4.10.1  发包人提供的本合同工程的道路现状、交通流量、水文、地质、气象和料场分布、取土场、弃土场位置等资料均属于参考资料，并不构成合同文件的组成部分，承包人应对自己就上述资料的解释、推论和应用负责，发包人不对承包人据此做出的判断和决策承担任何责任。</w:t>
      </w:r>
    </w:p>
    <w:p w14:paraId="267EF98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4.10.2  承包人在送交投标文件之前，应认为已进行了现场考察，对现场和其周围环境以及可得到的有关资料进行了察看和核查，在考察时间允许的情况下已经查明了以下方面：</w:t>
      </w:r>
    </w:p>
    <w:p w14:paraId="5247045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（1）现场的地形地貌和特征，包括地表以下的情况；</w:t>
      </w:r>
    </w:p>
    <w:p w14:paraId="48A90DB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（2）水文和气象条件；</w:t>
      </w:r>
    </w:p>
    <w:p w14:paraId="35F3E5D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（3）实施和完成本合同大中修养护工程的工作范围、性质和所需用的材料采购和加工；</w:t>
      </w:r>
    </w:p>
    <w:p w14:paraId="4786353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（4）附近道路和水、电、食宿供应条件；</w:t>
      </w:r>
    </w:p>
    <w:p w14:paraId="071C345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（5）当地的乡规民约和风俗习惯。</w:t>
      </w:r>
    </w:p>
    <w:p w14:paraId="7BA37FE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因此认为，承包人的投标文件是以发包人所提供资料和他自己察看和核查为依据的。承包人已取得可能对投标有影响或起作用的风险、意外等必要资料；</w:t>
      </w:r>
    </w:p>
    <w:p w14:paraId="28D7411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还应认为，在全部合同工作中，承包人已充分估计了应承担的责任和风险。</w:t>
      </w:r>
    </w:p>
    <w:p w14:paraId="70F4246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4.11  不利物质条件</w:t>
      </w:r>
    </w:p>
    <w:p w14:paraId="507E40F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4.11.1  不利物质条件，除专用合同条款另有约定外，是指承包人在施工场地遇到的不可预见的自然物质条件、非自然的物质障碍和污染物，包括地下和水文条件，但不包括气候条件。</w:t>
      </w:r>
    </w:p>
    <w:p w14:paraId="546A5FF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74D5D36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4.11.3  可预见的不利物质条件</w:t>
      </w:r>
    </w:p>
    <w:p w14:paraId="7C620E4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（1）对于项目专用合同条款中已经明确指出的不利物质条件无论承包人是否有其经历和经验均视为承包人在接受合同时已预见其影响，并已在签约合同价中计入因其影响而可能发生的一切费用。</w:t>
      </w:r>
    </w:p>
    <w:p w14:paraId="054AE69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（2）对于项目专用合同条款未明确指出，但是在不利物质条件发生之前，监理人已经指示承包人有可能发生，但承包人未能及时采取有效措施，而导致的损失和后果均由承包人承担。</w:t>
      </w:r>
    </w:p>
    <w:p w14:paraId="579967E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4.12  投标文件的完备性</w:t>
      </w:r>
    </w:p>
    <w:p w14:paraId="2F44D92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合同双方一致认为，承包人在递交投标文件前，对本养护工程合同的投标文件和已标价工程量清单中开列的单价和总额价是正确和完备的。投标的单价和总额价应已包括了合同中规定的承包人的全部义务（包括提供货物、材料、设备、服务的义务，并包括了暂列金额和暂估价范围内的额外工作的义务）以及为实施和完成本合同养护工程及其缺陷修复所必需的一切工作和条件。</w:t>
      </w:r>
    </w:p>
    <w:p w14:paraId="1CC2A82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 材料和工程设备</w:t>
      </w:r>
    </w:p>
    <w:p w14:paraId="5E99A93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5.1  承包人提供的材料和工程设备</w:t>
      </w:r>
    </w:p>
    <w:p w14:paraId="20A3276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5.1.1  除专用合同条款另有约定外，承包人提供的材料和工程设备均由承包人负责采购、运输和保管。承包人应对其采购的材料和工程设备负责。</w:t>
      </w:r>
    </w:p>
    <w:p w14:paraId="13162EF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5.1.2  承包人在用于本养护工程的材料和设备进场以前，承包人必须向监理人提交生产厂商出具的质量合格证书和承包人检验合格证书，证明材料、设备质量应符合本合同技术规范的规定，供监理人批准。</w:t>
      </w:r>
    </w:p>
    <w:p w14:paraId="1C7EC54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5.1.3  对承包人提供的材料和工程设备，承包人应会同监理人对材料或设备进行的检验、查验材料合格证明、产品合格证书和交货验收提供一切必要的协助；并按合同约定和监理人指示，在材料用于工程之前，承包人应按监理人的要求进行材料的抽样检验和工程设备的检验测试，提供材料样品以供检验。检验和测试结果应提交监理人，所需费用由承包人承担。</w:t>
      </w:r>
    </w:p>
    <w:p w14:paraId="0FAF8C2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5.2  发包人提供的材料和工程设备</w:t>
      </w:r>
    </w:p>
    <w:p w14:paraId="72CBC33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5.2.1  发包人提供的材料和工程设备，应在专用合同条款中写明材料和工程设备的名称、规格、数量、价格、交货方式、交货地点和计划交货日期等。</w:t>
      </w:r>
    </w:p>
    <w:p w14:paraId="615B95F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5.2.2  承包人应根据合同进度计划的安排，向监理人报送要求发包人交货的日期计划。发包人应按照监理人与合同双方当事人商定的交货日期，向承包人提交材料和工程设备。</w:t>
      </w:r>
    </w:p>
    <w:p w14:paraId="2D9E4AA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6F0D190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72754E4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5.2.4  发包人要求向承包人提前交货的，承包人不得拒绝，但发包人应承担承包人由此增加的费用。 </w:t>
      </w:r>
    </w:p>
    <w:p w14:paraId="4E4127D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5.2.5 承包人要求更改交货日期或地点的，应事先报请监理人批准。由于承包人要求更改交货时间或地点所增加的费用和（或）工期延误由承包人承担。 </w:t>
      </w:r>
    </w:p>
    <w:p w14:paraId="58761E3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0315180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5.3  材料和工程设备专用于合同工程</w:t>
      </w:r>
    </w:p>
    <w:p w14:paraId="62C49A1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5.3.1  运入施工场地的材料、工程设备，包括备品备件、安装专用工器具与随机资料，必须专用于合同工程，未经监理人同意，承包人不得运出施工场地或挪作他用。</w:t>
      </w:r>
    </w:p>
    <w:p w14:paraId="6947A5E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4372DE0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5.3.3  用于本养护工程的材料和设备进场以前，承包人必须向监理人提交生产厂商出具的质量合格证书和承包人检验合格证书，证明材料、设备质量应符合本合同技术规范的规定，供监理人批准。</w:t>
      </w:r>
    </w:p>
    <w:p w14:paraId="6FCF1F0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承包人应随时按发包人的指令，在制造、加工或施工现场对材料和设备进行检验。</w:t>
      </w:r>
    </w:p>
    <w:p w14:paraId="65AE6FC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承包人应为监理人对材料或设备的检验提供一切必要的协助，在材料用于工程之前，承包人应按监理人的要求提供材料样品以供检验。</w:t>
      </w:r>
    </w:p>
    <w:p w14:paraId="6A956EA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5.4  禁止使用不合格的材料和工程设备</w:t>
      </w:r>
    </w:p>
    <w:p w14:paraId="67FB0BE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5.4.1  监理人有权拒绝承包人提供的不合格材料或工程设备，并要求承包人立即进行更换。监理人应在更换后再次进行检查和检验，由此增加的费用和（或）工期延误由承包人承担。</w:t>
      </w:r>
    </w:p>
    <w:p w14:paraId="7CA626C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5.4.2  监理人发现承包人使用了不合格的材料和工程设备，应即时发出指示要求承包人立即改正，并禁止在工程中继续使用不合格的材料和工程设备。</w:t>
      </w:r>
    </w:p>
    <w:p w14:paraId="32691B3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5.4.3  发包人提供的材料或工程设备不符合合同要求的，承包人有权拒绝，并可要求发包人更换，由此增加的费用和（或）工期延误由发包人承担。</w:t>
      </w:r>
    </w:p>
    <w:p w14:paraId="351C617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6．施工设备和临时设施</w:t>
      </w:r>
    </w:p>
    <w:p w14:paraId="0B4B565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6.1  承包人提供的施工设备和临时设施</w:t>
      </w:r>
    </w:p>
    <w:p w14:paraId="5CD01C5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6.1.1  承包人应按合同进度计划的要求，及时配置施工设备和修建临时设施。进入施工场地的承包人设备需经监理人核查后才能投入使用。承包人更换合同约定的承包人设备的，应报监理人批准。</w:t>
      </w:r>
    </w:p>
    <w:p w14:paraId="093C1B9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6.1.2  除专用合同条款另有约定外，承包人应自行承担修建临时设施的费用，需要临时占地的，应由发包人办理申请手续并承担相应费用。</w:t>
      </w:r>
    </w:p>
    <w:p w14:paraId="236CE7D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6.2  发包人提供的施工设备和临时设施</w:t>
      </w:r>
    </w:p>
    <w:p w14:paraId="7D768E7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发包人提供的施工设备或临时设施在专用合同条款中约定。</w:t>
      </w:r>
    </w:p>
    <w:p w14:paraId="1DC78AE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6.3  要求承包人增加或更换施工设备</w:t>
      </w:r>
    </w:p>
    <w:p w14:paraId="5943A18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承包人使用的施工设备不能满足合同进度计划和（或）质量要求时，监理人有权要求承包人增加或更换施工设备，承包人应及时增加或更换，由此增加的费用和（或）工期延误由承包人承担。</w:t>
      </w:r>
    </w:p>
    <w:p w14:paraId="126DDA5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6.4  施工设备和临时设施专用于合同工程</w:t>
      </w:r>
    </w:p>
    <w:p w14:paraId="67CAD91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6.4.1  除合同另有约定外，运入施工场地的所有施工设备以及在施工场地建设的临时设施应专用于合同工程。未经监理人同意，不得将上述施工设备和临时设施中的任何部分运出施工场地或挪作他用。</w:t>
      </w:r>
    </w:p>
    <w:p w14:paraId="3BDCDA5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6.4.2  经监理人同意，承包人可根据合同进度计划撤走闲置的施工设备。</w:t>
      </w:r>
    </w:p>
    <w:p w14:paraId="499129C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 交通运输</w:t>
      </w:r>
    </w:p>
    <w:p w14:paraId="0ECAA07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7.1  道路通行权和场外设施</w:t>
      </w:r>
    </w:p>
    <w:p w14:paraId="61BD65A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3B245F5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7.2  场内施工道路</w:t>
      </w:r>
    </w:p>
    <w:p w14:paraId="3AF474D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7.2.1  除专用合同条款另有约定外，承包人应负责修建、维修、养护和管理施工所需的临时道路和交通设施，包括维修、养护和管理发包人提供的道路和交通设施，并承担相应费用。</w:t>
      </w:r>
    </w:p>
    <w:p w14:paraId="33F2235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7.2.2  除专用合同条款另有约定外，承包人修建的临时道路和交通设施应免费提供发包人和监理人使用。</w:t>
      </w:r>
    </w:p>
    <w:p w14:paraId="2C542B8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7.3  场外交通</w:t>
      </w:r>
    </w:p>
    <w:p w14:paraId="2EE49B0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7.3.1  承包人车辆外出行驶所需的场外公共道路的通行费、养路费和税款等由承包人承担。</w:t>
      </w:r>
    </w:p>
    <w:p w14:paraId="023E94F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7.3.2  承包人应遵守有关交通法规，严格按照道路和桥梁的限制荷重安全行驶，并服从交通管理部门的检查和监督。</w:t>
      </w:r>
    </w:p>
    <w:p w14:paraId="1CB2787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7.4  超大件和超重件的运输</w:t>
      </w:r>
    </w:p>
    <w:p w14:paraId="006366A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由承包人负责运输的超大件或超重件，应由承包人负责向交通管理部门办理申请手续，发包人给予协助。运输超大件或超重件所需的道路和桥梁临时加固改造费用和其它有关费用，由承包人承担，但专用合同条款另有约定除外。</w:t>
      </w:r>
    </w:p>
    <w:p w14:paraId="1D12711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7.5  道路和桥梁的损坏责任</w:t>
      </w:r>
    </w:p>
    <w:p w14:paraId="5244433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因承包人运输造成施工场地内外公共道路和桥梁损坏的，由承包人承担修复损坏的全部费用和可能引起的赔偿。</w:t>
      </w:r>
    </w:p>
    <w:p w14:paraId="3F20773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7.6  水路和航空运输</w:t>
      </w:r>
    </w:p>
    <w:p w14:paraId="1F49E25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本条上述各款的内容适用于水路运输和航空运输，其中“道路”一词的涵义包括河道、航线、船闸、机场、码头、堤防以及水路或航空运输中其它相似结构物；“车辆”一词的涵义包括船舶和飞机等。 </w:t>
      </w:r>
    </w:p>
    <w:p w14:paraId="423FC20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8．测量放线</w:t>
      </w:r>
    </w:p>
    <w:p w14:paraId="2E66BD2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8.1  施工控制网</w:t>
      </w:r>
    </w:p>
    <w:p w14:paraId="45E7DF4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011FEC9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8.1.2  承包人应负责管理施工控制网点。施工控制网点丢失或损坏的，承包人应及时修复。承包人应承担施工控制网点的管理与修复费用，并在工程竣工后将施工控制网点移交发包人。</w:t>
      </w:r>
    </w:p>
    <w:p w14:paraId="7F5F642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8.2  施工测量</w:t>
      </w:r>
    </w:p>
    <w:p w14:paraId="500C5B3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8.2.1  承包人应负责施工过程中的全部施工测量放线工作，并配置合格的人员、仪器、设备和其它物品。</w:t>
      </w:r>
    </w:p>
    <w:p w14:paraId="36EAB7F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8.2.2  监理人可以指示承包人进行抽样复测，当复测中发现错误或出现超过合同约定的误差时，承包人应按监理人指示进行修正或补测，并承担相应的复测费用。</w:t>
      </w:r>
    </w:p>
    <w:p w14:paraId="0FD32DE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8.3  基准资料错误的责任</w:t>
      </w:r>
    </w:p>
    <w:p w14:paraId="0621CBF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61267E2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8.4  监理人使用施工控制网</w:t>
      </w:r>
    </w:p>
    <w:p w14:paraId="2364EE9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监理人需要使用施工控制网的，承包人应提供必要的协助，发包人不再为此支付费用。</w:t>
      </w:r>
    </w:p>
    <w:p w14:paraId="2A633E5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9．施工安全、治安保卫和环境保护</w:t>
      </w:r>
    </w:p>
    <w:p w14:paraId="1E55B5E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9.1  发包人的施工安全责任</w:t>
      </w:r>
    </w:p>
    <w:p w14:paraId="759FC08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9.1.1  发包人应按合同约定履行安全职责，授权监理人按合同约定的安全工作内容监督、检查承包人安全工作的实施，组织承包人和有关单位进行安全检查。</w:t>
      </w:r>
    </w:p>
    <w:p w14:paraId="5CBD8FD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9.1.2  发包人应对其现场机构雇佣的全部人员的工伤事故承担责任，但由于承包人原因造成发包人人员工伤的，应由承包人承担责任。</w:t>
      </w:r>
    </w:p>
    <w:p w14:paraId="0C35834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9.1.3  发包人应负责赔偿以下各种情况造成的第三者人身伤亡和财产损失：</w:t>
      </w:r>
    </w:p>
    <w:p w14:paraId="7EFF51D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（1）工程或工程的任何部分对土地的占用所造成的第三者财产损失；</w:t>
      </w:r>
    </w:p>
    <w:p w14:paraId="1F7E36F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（2）由于发包人原因在施工场地及其毗邻地带造成的第三者人身伤亡和财产损失。</w:t>
      </w:r>
    </w:p>
    <w:p w14:paraId="1DCCDE0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9.2  承包人的施工安全责任</w:t>
      </w:r>
    </w:p>
    <w:p w14:paraId="576E3DE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9.2.1  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05FC401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危险性较大的工程应编制专项养护施工方案，并附安全验算结果，经承包人项目总工签字并报监理人和发包人批准后实施，由专职安全生产管理人员进行现场监督。</w:t>
      </w:r>
    </w:p>
    <w:p w14:paraId="1E51845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监理人和发包人在检查中发现有安全问题或有违反安全管理规章制度的情况时，可视为承包人违约，应按第22.1款的规定办理。</w:t>
      </w:r>
    </w:p>
    <w:p w14:paraId="0C6123F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9.2.2  承包人应加强施工作业安全管理，特别应加强易燃、易爆材料、火工器材、有毒与腐蚀性材料和其它危险品的管理，以及对爆破作业和地下工程施工等危险作业的管理。</w:t>
      </w:r>
    </w:p>
    <w:p w14:paraId="57D8836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9.2.3  承包人应严格按照国家安全标准制定施工安全操作规程，配备必要的安全生产和劳动保护设施，加强对承包人人员的安全教育，并发放安全工作手册和劳动保护用具。</w:t>
      </w:r>
    </w:p>
    <w:p w14:paraId="34E362C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9.2.4  承包人应按监理人的指示制定应对灾害的紧急预案，报送监理人审批。承包人还应按预案做好安全检查，配置必要的救助物资和器材，切实保护好有关人员的人身和财产安全。</w:t>
      </w:r>
    </w:p>
    <w:p w14:paraId="6D8D2FB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9.2.5  除项目专用合同条款另有约定外，安全生产费用应为投标价（不含安全生产费及建筑工程一切险及第三者责任险的保险费）的1%。安全生产费用应用于施工安全防护用具及设施的采购和更新、安全施工措施的落实、安全生产条件的改善，不得挪作它用。如承包人在此基础上增加安全生产费用以满足项目施工需要，则承包人应在本项目工程量清单其它相关子目的单价或总额价中予以考虑，发包人不再另行支付。因采取合同未约定的特殊防护措施增加的费用，由监理人按第3.5款商定或确定。</w:t>
      </w:r>
    </w:p>
    <w:p w14:paraId="485585E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9.2.6  承包人应对其履行合同所雇佣的全部人员，包括分包人人员的工伤事故承担责任，但由于发包人原因造成承包人人员工伤事故的，应由发包人承担责任。</w:t>
      </w:r>
    </w:p>
    <w:p w14:paraId="3C8058A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9.2.7  由于承包人原因在施工场地内及其毗邻地带造成的第三者人员伤亡和财产损失，由承包人负责赔偿。</w:t>
      </w:r>
    </w:p>
    <w:p w14:paraId="201061E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9.2.8  在通航水域施工时，承包人应与当地主管部门取得联系，设置必要的导航标志，及时发布航行通告，确保施工水域安全。</w:t>
      </w:r>
    </w:p>
    <w:p w14:paraId="31A5157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9.2.9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它一切责任应由承包人负责。</w:t>
      </w:r>
    </w:p>
    <w:p w14:paraId="28AFC65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9.3  治安保卫</w:t>
      </w:r>
    </w:p>
    <w:p w14:paraId="3DD1E5E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9.3.1  除合同另有约定外，发包人应与当地公安部门协商，在现场建立治安管理机构或联防组织，统一管理施工场地的治安保卫事项，履行合同工程的治安保卫职责。</w:t>
      </w:r>
    </w:p>
    <w:p w14:paraId="6A9FAF8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9.3.2  发包人和承包人除应协助现场治安管理机构或联防组织维护施工场地的社会治安外，还应做好包括生活区在内的各自管辖区的治安保卫工作。</w:t>
      </w:r>
    </w:p>
    <w:p w14:paraId="3686782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2991197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9.4  环境保护</w:t>
      </w:r>
    </w:p>
    <w:p w14:paraId="5337BF6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9.4.1  承包人在施工过程中，应遵守有关环境保护的法律，履行合同约定的环境保护义务，并对违反法律和合同约定义务所造成的环境破坏、人身伤害和财产损失负责。</w:t>
      </w:r>
    </w:p>
    <w:p w14:paraId="4455964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9.4.2  承包人应按合同约定的环保工作内容，编制施工环保措施计划，报送监理人审批。</w:t>
      </w:r>
    </w:p>
    <w:p w14:paraId="6EA55C9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它承包人施工等后果的，承包人应承担责任。</w:t>
      </w:r>
    </w:p>
    <w:p w14:paraId="247E20A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9.4.4  承包人应按合同约定采取有效措施，对施工开挖的边坡及时进行支护,维护排水设施，并进行水土保护，避免因施工造成的地质灾害。</w:t>
      </w:r>
    </w:p>
    <w:p w14:paraId="52B2BCE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9.4.5  承包人应按国家饮用水管理标准定期对饮用水源进行监测，防止施工活动污染饮用水源。</w:t>
      </w:r>
    </w:p>
    <w:p w14:paraId="486D415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9.4.6  承包人应按合同约定，加强对噪声、粉尘、废气、废水和废油的控制，努力降低噪声，控制粉尘和废气浓度，做好废水和废油的治理和排放。</w:t>
      </w:r>
    </w:p>
    <w:p w14:paraId="2B77A66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9.4.7  承包人应切实执行技术规范中有关环境保护方面的条款和规定。</w:t>
      </w:r>
    </w:p>
    <w:p w14:paraId="3DB5518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对于来自养护工程实施时的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2447C08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（2）对于养护施工中粉尘的主要污染源——灰土拌和、施工车辆和筑路机械运行及运输产生的扬尘，应采取有效措施减轻其对施工现场的大气污染，保护人民健康，如：</w:t>
      </w:r>
    </w:p>
    <w:p w14:paraId="45A5702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a．拌和设备应有较好的密封，或有防尘设备。</w:t>
      </w:r>
    </w:p>
    <w:p w14:paraId="6C4DEA4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b．施工通道、沥青混凝土拌和站及灰土拌和站应经常进行洒水降尘。</w:t>
      </w:r>
    </w:p>
    <w:p w14:paraId="094E4F6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c．路面施工应注意保持水分，以免扬尘。</w:t>
      </w:r>
    </w:p>
    <w:p w14:paraId="0370119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（3）采取可靠措施保证原有交通的正常通行，维持沿线村镇的居民饮水、农田灌溉、生产生活用电及通信等管线的正常使用。</w:t>
      </w:r>
    </w:p>
    <w:p w14:paraId="2F99074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9.4.8  在养护工程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它一切责任应由承包人负责。</w:t>
      </w:r>
    </w:p>
    <w:p w14:paraId="74F904F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9.4.9  在养护工程施工期间，承包人应随时保持现场整洁，施工设备和材料、工程设备应整齐妥善存放和储存，废料与垃圾及不再需要的临时设施应及时从现场清除、拆除运走。</w:t>
      </w:r>
    </w:p>
    <w:p w14:paraId="72853C1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9.4.10  承包人应严格按照国家有关法规要求，做好施工过程中的生态保护和水土保持工作。施工中要尽可能减少对原地面的扰动，减少对地面草木的破坏，需要爆破作业的，应按规定进行控爆设计。雨季填筑路基应随挖、随填、随压，要完善施工中的临时排水系统，加强施工便道的管理。取（弃）土场必须先挡后弃，严禁在指定的取（弃）土场以外的地方乱挖乱弃。</w:t>
      </w:r>
    </w:p>
    <w:p w14:paraId="5C039EF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9.5  事故处理</w:t>
      </w:r>
    </w:p>
    <w:p w14:paraId="11C1F43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858C0F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10．进度计划</w:t>
      </w:r>
    </w:p>
    <w:p w14:paraId="6FC04D7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10.1  合同进度计划</w:t>
      </w:r>
    </w:p>
    <w:p w14:paraId="4175489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66AC896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在签订合同协议书后21天之内，向监理人提交2份其格式和内容符合监理人规定的养护工程施工计划，以及为完成该计划而建议采用的工作安排和施工方案说明。监理人应在收到该计划后的14天内审查同意或提出修改意见。</w:t>
      </w:r>
    </w:p>
    <w:p w14:paraId="200BB4A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10.2  合同进度计划的修订</w:t>
      </w:r>
    </w:p>
    <w:p w14:paraId="677C538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1703B0E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 开工和交工</w:t>
      </w:r>
    </w:p>
    <w:p w14:paraId="285F612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11.1  开工</w:t>
      </w:r>
    </w:p>
    <w:p w14:paraId="1A49D17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14:paraId="15AE74F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监理人将在投标书附录的期限内发布进驻通知令，承包人应在投标书附录规定期限内进驻。</w:t>
      </w:r>
    </w:p>
    <w:p w14:paraId="66AC854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11.2  交工</w:t>
      </w:r>
    </w:p>
    <w:p w14:paraId="14E0A00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承包人应在第1.1.4.3目约定的期限内完成合同工程。实际交工日期在接收证书中写明。</w:t>
      </w:r>
    </w:p>
    <w:p w14:paraId="3A3D978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11.3  发包人的工期延误</w:t>
      </w:r>
    </w:p>
    <w:p w14:paraId="4C4E32C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在履行合同过程中，由于发包人的下列原因造成工期延误的，承包人有权要求发包人延长工期和（或）增加费用，并支付合理利润。需要修订合同进度计划的，按照第10.2款的约定办理。</w:t>
      </w:r>
    </w:p>
    <w:p w14:paraId="78E82A7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（1）增加合同工作内容；</w:t>
      </w:r>
    </w:p>
    <w:p w14:paraId="27A4112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（2）改变合同中任何一项工作的质量要求或其它特性；</w:t>
      </w:r>
    </w:p>
    <w:p w14:paraId="45B8A9E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（3）发包人迟延提供材料、工程设备或变更交货地点的；</w:t>
      </w:r>
    </w:p>
    <w:p w14:paraId="5156DDD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（4）因发包人原因导致的暂停施工；</w:t>
      </w:r>
    </w:p>
    <w:p w14:paraId="3800B54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（5）提供图纸延误；</w:t>
      </w:r>
    </w:p>
    <w:p w14:paraId="36D82E6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（6）未按合同约定及时支付预付款、进度款；</w:t>
      </w:r>
    </w:p>
    <w:p w14:paraId="16524D7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（7）发包人造成工期延误的其它原因。</w:t>
      </w:r>
    </w:p>
    <w:p w14:paraId="2BACF89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11.4  异常恶劣的气候条件</w:t>
      </w:r>
    </w:p>
    <w:p w14:paraId="2431C4F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由于出现专用合同条款规定的异常恶劣气候的条件导致工期延误的，承包人有权要求发包人延长工期。</w:t>
      </w:r>
    </w:p>
    <w:p w14:paraId="3DAF861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11.5  承包人的工期延误</w:t>
      </w:r>
    </w:p>
    <w:p w14:paraId="2DC4640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交工违约金。逾期交工违约金的日期计算，自预定的交工日期起到养护工程合同的工程交工证书中写明的交工日期或已批准的延长工期止，按天计算。逾期交工违约金应不超过在投标书附录中写明的限额。发包人可以从应付或到期应付给承包人的任何款项中扣除此违约金，不排除采用其它扣款方法。</w:t>
      </w:r>
    </w:p>
    <w:p w14:paraId="02D91EC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承包人支付逾期交工违约金，不免除承包人完成工程及修补缺陷的义务。</w:t>
      </w:r>
    </w:p>
    <w:p w14:paraId="135F589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11.6  工期提前</w:t>
      </w:r>
    </w:p>
    <w:p w14:paraId="7708515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在投标书附录中写明的相应奖金。</w:t>
      </w:r>
    </w:p>
    <w:p w14:paraId="2445619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11.7  工作时间的限制</w:t>
      </w:r>
    </w:p>
    <w:p w14:paraId="7DD665D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承包人在夜间或国家规定的节假日进行公路养护工程的施工，应向监理人报告，以便监理人履行监理职责和义务。</w:t>
      </w:r>
    </w:p>
    <w:p w14:paraId="4F03C7B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但是，为了抢救生命或保护财产，或为了工程的安全、质量而不可避免地短暂作业，则不必事先向监理人报告。但承包人应在事后立即向监理人报告。</w:t>
      </w:r>
    </w:p>
    <w:p w14:paraId="0779267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本款规定不适用于习惯上或施工本身要求实行连续生产的作业。</w:t>
      </w:r>
    </w:p>
    <w:p w14:paraId="1367727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12. 暂停施工</w:t>
      </w:r>
    </w:p>
    <w:p w14:paraId="20CE2A3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12.1  承包人暂停施工的责任</w:t>
      </w:r>
    </w:p>
    <w:p w14:paraId="3C62DB2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因下列暂停施工增加的费用和（或）工期延误由承包人承担：</w:t>
      </w:r>
    </w:p>
    <w:p w14:paraId="4E4C786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（1）承包人违约引起的暂停施工；</w:t>
      </w:r>
    </w:p>
    <w:p w14:paraId="29F4B06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（2）由于承包人原因为工程合理施工和安全保障所必需的暂停施工；</w:t>
      </w:r>
    </w:p>
    <w:p w14:paraId="3FC234F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（3）承包人擅自暂停施工；</w:t>
      </w:r>
    </w:p>
    <w:p w14:paraId="63054A4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（4）承包人其它原因引起的暂停施工；</w:t>
      </w:r>
    </w:p>
    <w:p w14:paraId="7F9DD0B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（5）现场气候条件导致的必要停工（第11.4款规定的异常恶劣的气候条件除外）；</w:t>
      </w:r>
    </w:p>
    <w:p w14:paraId="1A46FA7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（6）项目专用合同条款可能约定的由承包人承担的其它暂停施工。</w:t>
      </w:r>
    </w:p>
    <w:p w14:paraId="7EC474A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12.2  发包人暂停施工的责任</w:t>
      </w:r>
    </w:p>
    <w:p w14:paraId="7C13BDF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由于发包人原因引起的暂停施工造成工期延误的，承包人有权要求发包人延长工期和（或）增加费用，并支付合理利润。</w:t>
      </w:r>
    </w:p>
    <w:p w14:paraId="293AB01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12.3  监理人暂停施工指示</w:t>
      </w:r>
    </w:p>
    <w:p w14:paraId="5A0DAB9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12.3.1  监理人认为有必要时，可向承包人作出暂停施工的指示，承包人应按监理人指示暂停施工。不论由于何种原因引起的暂停施工，暂停施工期间承包人应负责妥善保护工程并提供安全保障。</w:t>
      </w:r>
    </w:p>
    <w:p w14:paraId="5EC08B0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41A1DF1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12.4  暂停施工后的复工</w:t>
      </w:r>
    </w:p>
    <w:p w14:paraId="67A893B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6FE06BF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12.4.2  承包人无故拖延和拒绝复工的，由此增加的费用和工期延误由承包人承担；因发包人原因无法按时复工的，承包人有权要求发包人延长工期和（或）增加费用，并支付合理利润。</w:t>
      </w:r>
    </w:p>
    <w:p w14:paraId="1D6BDBA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12.5  暂停施工持续56天以上</w:t>
      </w:r>
    </w:p>
    <w:p w14:paraId="55992DB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7793845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12.5.2  由于承包人责任引起的暂停施工，如承包人在收到监理人暂停施工指示后56天内不认真采取有效的复工措施，造成工期延误，可视为承包人违约，应按第22.1款的规定办理。</w:t>
      </w:r>
    </w:p>
    <w:p w14:paraId="73349C5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13．工程质量</w:t>
      </w:r>
    </w:p>
    <w:p w14:paraId="3896FE3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13.1  工程质量要求</w:t>
      </w:r>
    </w:p>
    <w:p w14:paraId="6BA262A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13.1.1  工程质量验收按验收标准执行。（适用于小修保养工程）</w:t>
      </w:r>
    </w:p>
    <w:p w14:paraId="1E923AA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已完成合同规定的养护工程质量，按技术规范及《公路养护技术状况标准》进行检测、调查和评定。公路养护质量指数（MQI）应经常保持在90分以上。</w:t>
      </w:r>
    </w:p>
    <w:p w14:paraId="45F11FB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工程质量目标为：交工验收工程质量评定得分大于等于90分为优良；小于90分且大于等于75分为合格；小于75分为不合格。承包人应为本合同的施工建立强有力的质保系统和质检系统，认真执行国家、交通运输部和浙江省交通运输厅有关加强质量管理的法规和文件，开展全面质量管理，确保工程质量达到质量目标。</w:t>
      </w:r>
    </w:p>
    <w:p w14:paraId="4D80CB1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13.1.2  因承包人原因造成工程质量达不到合同约定验收标准的，监理人有权要求承包人返工直至符合合同要求为止，由此造成的费用增加和（或）工期延误由承包人承担。</w:t>
      </w:r>
    </w:p>
    <w:p w14:paraId="4A16E0E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13.1.3  因发包人原因造成工程质量达不到合同约定验收标准的，发包人应承担由于承包人返工造成的费用增加和（或）工期延误，并支付承包人合理利润。</w:t>
      </w:r>
    </w:p>
    <w:p w14:paraId="4AEB691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13.2  承包人的质量管理</w:t>
      </w:r>
    </w:p>
    <w:p w14:paraId="55A3689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035C193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13.2.2  承包人应加强对施工人员的质量教育和技术培训，定期考核施工人员的劳动技能，严格执行规范和操作规程。</w:t>
      </w:r>
    </w:p>
    <w:p w14:paraId="58E1C6F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13.2.3  承包人必须遵守国家有关法律、法规和规章，严格执行《公路养护技术规范》（JTG H10-2009）、《公路技术状况评定标准》（JTG H20-2007）等各类技术规范及规程，全面履行工程合同义务，依法对公路养护工程质量负责。</w:t>
      </w:r>
    </w:p>
    <w:p w14:paraId="1A41994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13.2.4  承包人应加强质量监控，确保规范规定的检验、抽检频率，现场质检的原始资料必须真实、准确、可靠，不得追记，接受质量检查时必须出示原始资料。</w:t>
      </w:r>
    </w:p>
    <w:p w14:paraId="3095EAC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13.2.5  承包人必须完善检验手段，根据技术规范的规定配齐检测和试验仪器、仪表，并应及时校正确保其精度；加强材料检验工作，不合格材料严禁用于本工程。</w:t>
      </w:r>
    </w:p>
    <w:p w14:paraId="341B046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13.3  承包人的质量检查</w:t>
      </w:r>
    </w:p>
    <w:p w14:paraId="1F6812A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承包人应按合同约定对材料、工程设备以及工程的所有部位及其施工工艺进行全过程的质量检查和检验，并作详细记录，编制工程质量报表，报送监理人审查。</w:t>
      </w:r>
    </w:p>
    <w:p w14:paraId="2C58D79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13.4  监理人的质量检查</w:t>
      </w:r>
    </w:p>
    <w:p w14:paraId="52A3E98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监理人有权对工程的所有部位及其施工工艺、材料和工程设备进行检查和检验。承包人应为监理人的检查和检验提供方便，包括监理人到施工场地，或制造、加工地点，或合同约定的其它地方进行察看和查阅施工原始记录。承包人还应按监理人指示，进行施工场地取样试验、工程复核测量和设备性能检测，提供试验样品、提交试验报告和测量成果以及监理人要求进行的其它工作。监理人的检查和检验，不免除承包人按合同约定应负的责任。</w:t>
      </w:r>
    </w:p>
    <w:p w14:paraId="307B126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监理人及其委派的检验人员，应能进入工程现场，以及材料加工场所，包括不属于承包人的场所进行检查，承包人应为此提供便利和协助。</w:t>
      </w:r>
    </w:p>
    <w:p w14:paraId="1E02B31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监理人可以将材料检验委托一家独立的有质量检验认证资格的检验单位。该独立检验单位的检验结果应视为监理人完成的。监理人应将这种委托的通知书不少于7天前交给承包人。</w:t>
      </w:r>
    </w:p>
    <w:p w14:paraId="1055B83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13.5  工程隐蔽部位覆盖前的检查</w:t>
      </w:r>
    </w:p>
    <w:p w14:paraId="60ABD7D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13.5.1  通知监理人检查</w:t>
      </w:r>
    </w:p>
    <w:p w14:paraId="6852E39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0CC365A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0DF17E9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13.5.2  监理人未到场检查</w:t>
      </w:r>
    </w:p>
    <w:p w14:paraId="3861041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5C40DF3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13.5.3  监理人重新检查</w:t>
      </w:r>
    </w:p>
    <w:p w14:paraId="2BB9A1A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70C3E95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13.5.4  承包人私自覆盖</w:t>
      </w:r>
    </w:p>
    <w:p w14:paraId="021DFCC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承包人未通知监理人到场检查，私自将工程隐蔽部位覆盖的，监理人有权指示承包人钻孔探测或揭开检查，由此增加的费用和（或）工期延误由承包人承担。</w:t>
      </w:r>
    </w:p>
    <w:p w14:paraId="33A93AB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13.6  清除不合格工程</w:t>
      </w:r>
    </w:p>
    <w:p w14:paraId="6363DAA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13.6.1  （1）承包人使用不合格材料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6215DDE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（2）如果承包人未在规定时间内执行监理人的指示，发包人有权雇用他人执行，由此增加的费用和（或）工期延误由承包人承担。</w:t>
      </w:r>
    </w:p>
    <w:p w14:paraId="568CBA3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13.6.2  由于发包人提供的材料或工程设备不合格造成的工程不合格，需要承包人采取措施补救的，发包人应承担由此增加的费用和（或）工期延误，并支付承包人合理利润。</w:t>
      </w:r>
    </w:p>
    <w:p w14:paraId="4D32D58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14．试验和检验</w:t>
      </w:r>
    </w:p>
    <w:p w14:paraId="0BA5A0B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14.1  材料、工程设备和工程的试验和检验</w:t>
      </w:r>
    </w:p>
    <w:p w14:paraId="5A48948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4235A4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14.1.2  监理人未按合同约定派员参加试验和检验的，除监理人另有指示外，承包人可自行试验和检验，并应立即将试验和检验结果报送监理人，监理人应签字确认。</w:t>
      </w:r>
    </w:p>
    <w:p w14:paraId="4523C7B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758B1A9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14.2  现场材料试验</w:t>
      </w:r>
    </w:p>
    <w:p w14:paraId="3BD13CD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14.2.1  承包人根据合同约定或监理人指示进行的现场材料试验，应由承包人提供试验场所、试验人员、试验设备器材以及其它必要的试验条件。</w:t>
      </w:r>
    </w:p>
    <w:p w14:paraId="12DA48E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14.2.2  监理人在必要时可以使用承包人的试验场所、试验设备器材以及其它试验条件，进行以工程质量检查为目的的复核性材料试验，承包人应予以协助。</w:t>
      </w:r>
    </w:p>
    <w:p w14:paraId="09B5704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14.3  现场工艺试验</w:t>
      </w:r>
    </w:p>
    <w:p w14:paraId="0EE4627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475310E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14.4  试验和检验费用</w:t>
      </w:r>
    </w:p>
    <w:p w14:paraId="53116FC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（1）承包人应负责提供合同和技术规范规定的试验和检验所需的全部样品，并承担其它费用。</w:t>
      </w:r>
    </w:p>
    <w:p w14:paraId="1C48C17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（2）在合同中明确规定的试验和检验，包括无须在工程量清单中单独列项和已在工程量清单中单独列项的试验和检验，其试验和检验的费用由承包人负担。</w:t>
      </w:r>
    </w:p>
    <w:p w14:paraId="292BF2A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194BF45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15．变更</w:t>
      </w:r>
    </w:p>
    <w:p w14:paraId="1243FC5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15.1  变更的范围和内容</w:t>
      </w:r>
    </w:p>
    <w:p w14:paraId="4068D49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除专用合同条款另有约定外，在履行合同中发生以下情形之一，应按照本条规定进行变更。</w:t>
      </w:r>
    </w:p>
    <w:p w14:paraId="4D18B3D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（1）取消合同中任何一项工作，但被取消的工作不能转由发包人或其他人实施，由于承包人违约造成的情况除外；</w:t>
      </w:r>
    </w:p>
    <w:p w14:paraId="23400A7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（2）改变合同中任何一项工作的质量或其它特性；</w:t>
      </w:r>
    </w:p>
    <w:p w14:paraId="34F4D64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（3）改变合同工程的基线、标高、位置或尺寸；</w:t>
      </w:r>
    </w:p>
    <w:p w14:paraId="757B4D9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（4）改变合同中任何一项工作的施工时间或改变已批准的施工工艺或顺序；</w:t>
      </w:r>
    </w:p>
    <w:p w14:paraId="2CF00E8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（5）为完成工程需要追加的额外工作。</w:t>
      </w:r>
    </w:p>
    <w:p w14:paraId="59FB003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15.2  变更权</w:t>
      </w:r>
    </w:p>
    <w:p w14:paraId="1AA53A6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在履行合同过程中，经发包人同意，监理人可按第15.3款约定的变更程序向承包人作出变更指示，承包人应遵照执行。没有监理人的变更指示，承包人不得擅自变更。</w:t>
      </w:r>
    </w:p>
    <w:p w14:paraId="3C2FCF4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15.3  变更程序</w:t>
      </w:r>
    </w:p>
    <w:p w14:paraId="6E34755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15.3.1  变更的提出</w:t>
      </w:r>
    </w:p>
    <w:p w14:paraId="5A0CBFA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17F6B71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（2）在合同履行过程中，发生第15.1款约定情形的，监理人应按照第15.3.3项约定向承包人发出变更指示。</w:t>
      </w:r>
    </w:p>
    <w:p w14:paraId="378DD26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68FFEFA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（4）若承包人收到监理人的变更意向书后认为难以实施此项变更，应立即通知监理人，说明原因并附详细依据。监理人与承包人和发包人协商后确定撤销、改变或不改变原变更意向书。</w:t>
      </w:r>
    </w:p>
    <w:p w14:paraId="480772F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15.3.2  变更估价</w:t>
      </w:r>
    </w:p>
    <w:p w14:paraId="4917ACA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15445C6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（2）变更工作影响工期的，承包人应提出调整工期的具体细节。监理人认为有必要时，可要求承包人提交要求提前或延长工期的施工进度计划及相应施工措施等详细资料。</w:t>
      </w:r>
    </w:p>
    <w:p w14:paraId="025D6B8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（3）除专用合同条款对期限另有约定外，监理人收到承包人变更报价书后的14天内，根据第15.4款约定的估价原则，按照第3.5款商定或确定变更价格。</w:t>
      </w:r>
    </w:p>
    <w:p w14:paraId="796B53C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15.3.3  变更指示</w:t>
      </w:r>
    </w:p>
    <w:p w14:paraId="12BF6D0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（1）变更指示只能由监理人发出。</w:t>
      </w:r>
    </w:p>
    <w:p w14:paraId="357C4FB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（2）变更指示应说明变更的目的、范围、变更内容以及变更的工程量及其进度和技术要求，并附有关图纸和文件。承包人收到变更指示后，应按变更指示进行变更工作。</w:t>
      </w:r>
    </w:p>
    <w:p w14:paraId="332F905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15.4  变更的估价原则</w:t>
      </w:r>
    </w:p>
    <w:p w14:paraId="41684A8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除项目专用合同条款另有约定外，因变更引起的价格调整按照本款约定处理。</w:t>
      </w:r>
    </w:p>
    <w:p w14:paraId="092DDA4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15.4.1  如果取消某项工作，则该项工作的总额价不予支付；</w:t>
      </w:r>
    </w:p>
    <w:p w14:paraId="1624DCB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15.4.2  如养护路段对工程量清单中子目部分内容需实行专项工程的，则对实施专项工程子目的单价按里程及时间进行折算，相应工程子目单价每月折减2%。（适用于小修保养工程项目）</w:t>
      </w:r>
    </w:p>
    <w:p w14:paraId="4F89943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15.4.3  已标价工程量清单中有适用于变更工作的子目的，采用该子目的单价。</w:t>
      </w:r>
    </w:p>
    <w:p w14:paraId="525BC5A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15.4.4  已标价工程量清单中无适用于变更工作的子目，但有类似子目的，可在合理范围内参照类似子目的单价，由监理人按第3.5款商定或确定变更工作的单价。</w:t>
      </w:r>
    </w:p>
    <w:p w14:paraId="3884E2C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15.4.5  已标价工程量清单中无适用或类似子目的单价，可在综合考虑承包人在投标时所提供的单价分析表的基础上，由监理人按第3.5款商定或确定变更工作的单价。</w:t>
      </w:r>
    </w:p>
    <w:p w14:paraId="30EA9F2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15.4.6  如果本工程的变更指示是因承包人过错、承包人违反合同或承包人责任造成的，则这种违约引起的任何额外费用应由承包人承担。</w:t>
      </w:r>
    </w:p>
    <w:p w14:paraId="5E514FB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15.5  承包人的合理化建议</w:t>
      </w:r>
    </w:p>
    <w:p w14:paraId="637059A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15.5.1  在履行合同过程中，承包人对发包人提供的图纸、技术要求以及其它方面提出的合理化建议，均应以书面形式提交监理人。合理化建议书的内容应包括建议工作的详细说明、进度计划和效益以及与其它工作的协调等，并附必要的设计文件。监理人应与发包人协商是否采纳建议。建议被采纳并构成变更的，应按第15.3.3项约定向承包人发出变更指示。</w:t>
      </w:r>
    </w:p>
    <w:p w14:paraId="70FBEEC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15.5.2  承包人提出的合理化建议降低了合同价格、缩短了工期或者提高了工程经济效益的，发包人可按国家有关规定在专用合同条款中约定给予奖励。</w:t>
      </w:r>
    </w:p>
    <w:p w14:paraId="3459737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15.6  暂列金额</w:t>
      </w:r>
    </w:p>
    <w:p w14:paraId="6F45750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15.6.1  暂列金额应由监理人报发包人批准后指令全部或部分地使用，或者根本不予动用。</w:t>
      </w:r>
    </w:p>
    <w:p w14:paraId="01D4581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15.6.2  对于经发包人批准的每一笔暂列金额，监理人有权向承包人发出实施工程或提供材料或服务的指令。这些指令应由承包人完成，监理人应根据第15.4款约定的变更估价原则和第15.7款的规定，对合同价格进行相应调整。</w:t>
      </w:r>
    </w:p>
    <w:p w14:paraId="3513687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15.6.3  当监理人提出要求时，承包人应提供有关暂列金额支出的所有报价单、发票、凭证和账单或收据，除非该工作是根据已标价工程量清单列明的单价或总额价进行的估价。</w:t>
      </w:r>
    </w:p>
    <w:p w14:paraId="06E3862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15.7  计日工</w:t>
      </w:r>
    </w:p>
    <w:p w14:paraId="77032B3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15.7.1  发包人认为有必要时，由监理人通知承包人以计日工方式实施变更的零星工作。其价款按列入已标价工程量清单中的计日工计价子目及其单价进行计算。</w:t>
      </w:r>
    </w:p>
    <w:p w14:paraId="4995A79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15.7.2  采用计日工计价的任何一项变更工作，应从暂列金额中支付，承包人应在该项变更的实施过程中，每天提交以下报表和有关凭证报送监理人审批：</w:t>
      </w:r>
    </w:p>
    <w:p w14:paraId="4338860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（1）工作名称、内容和数量；</w:t>
      </w:r>
    </w:p>
    <w:p w14:paraId="1F8E1DC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（2）投入该工作所有人员的姓名、工种、级别和耗用工时；</w:t>
      </w:r>
    </w:p>
    <w:p w14:paraId="1C15DD5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（3）投入该工作的材料类别和数量；</w:t>
      </w:r>
    </w:p>
    <w:p w14:paraId="4741F9D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（4）投入该工作的施工设备型号、台数和耗用台时；</w:t>
      </w:r>
    </w:p>
    <w:p w14:paraId="175E859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（5）监理人要求提交的其它资料和凭证。</w:t>
      </w:r>
    </w:p>
    <w:p w14:paraId="6B5FEA2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15.7.3  计日工由承包人汇总后，按第17.3.2项的约定列入进度付款申请单，由监理人复核并经发包人同意后列入进度付款。</w:t>
      </w:r>
    </w:p>
    <w:p w14:paraId="27DD71E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15.8  暂估价</w:t>
      </w:r>
    </w:p>
    <w:p w14:paraId="48BB587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它费用列入合同价格。</w:t>
      </w:r>
    </w:p>
    <w:p w14:paraId="21F7D4F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它费用列入合同价格。</w:t>
      </w:r>
    </w:p>
    <w:p w14:paraId="2314DC1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它费用列入合同价格。</w:t>
      </w:r>
    </w:p>
    <w:p w14:paraId="7D50BEE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16．价格调整</w:t>
      </w:r>
    </w:p>
    <w:p w14:paraId="57FEBE9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本项目价格采取固定价格，不调整。</w:t>
      </w:r>
    </w:p>
    <w:p w14:paraId="73FBD4E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17．计量与支付</w:t>
      </w:r>
    </w:p>
    <w:p w14:paraId="77FFF14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17.1  计量</w:t>
      </w:r>
    </w:p>
    <w:p w14:paraId="3CE4573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17.1.1  计量单位</w:t>
      </w:r>
    </w:p>
    <w:p w14:paraId="2749205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计量采用国家法定的计量单位。</w:t>
      </w:r>
    </w:p>
    <w:p w14:paraId="79A4459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17.1.2  </w:t>
      </w:r>
      <w:r>
        <w:rPr>
          <w:rFonts w:hint="eastAsia" w:ascii="宋体" w:hAnsi="宋体" w:eastAsia="宋体" w:cs="宋体"/>
          <w:color w:val="auto"/>
          <w:sz w:val="22"/>
          <w:szCs w:val="22"/>
          <w:highlight w:val="none"/>
        </w:rPr>
        <w:t>计量方法</w:t>
      </w:r>
    </w:p>
    <w:p w14:paraId="7BD9BBE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小修保养工程的总承包项目，须经发包人或公路行业主管部门进行的养护检查和考核，如对本合同养护工程质量目标能达标（或基本达标）的，发包人可以进行小修保养季度总承包养护价款的支付。</w:t>
      </w:r>
    </w:p>
    <w:p w14:paraId="658D280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专项养护工程的工程计量以工程细目的实际完成工程量按量计价，并经验收合格进行工程的计量。</w:t>
      </w:r>
    </w:p>
    <w:p w14:paraId="0719C6B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承包人应与发包人共同参与对专项养护工程的计量，提供计量所需的详细资料和必要的人员、设备及相关的记录或者图纸。</w:t>
      </w:r>
    </w:p>
    <w:p w14:paraId="253CD05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17.1.3  计量周期</w:t>
      </w:r>
    </w:p>
    <w:p w14:paraId="0ABC253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除专用合同条款另有约定外，单价子目已完成工程量按月计量，总价子目的计量周期按批准的支付分解报告确定。</w:t>
      </w:r>
    </w:p>
    <w:p w14:paraId="312B823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17.1.4  单价子目的计量</w:t>
      </w:r>
    </w:p>
    <w:p w14:paraId="1050D67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（1）已标价工程量清单中的单价子目工程量为估算工程量。结算工程量是承包人实际完成的，并按合同约定的计量方法进行计量的工程量。</w:t>
      </w:r>
    </w:p>
    <w:p w14:paraId="65E860D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（2）承包人对已完成的工程进行计量，向监理人提交进度付款申请单、已完成工程量报表和有关计量资料。</w:t>
      </w:r>
    </w:p>
    <w:p w14:paraId="329F1AF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73FF2F5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（4）监理人认为有必要时，可通知承包人共同进行联合测量、计量，承包人应遵照执行。</w:t>
      </w:r>
    </w:p>
    <w:p w14:paraId="5EBBD51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297A922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（6）监理人应在收到承包人提交的工程量报表后的7天内进行复核，监理人未在约定时间内复核的，承包人提交的工程量报表中的工程量视为承包人实际完成的工程量，据此计算工程价款。</w:t>
      </w:r>
    </w:p>
    <w:p w14:paraId="4F65FB3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（7）承包人未在已标价工程量清单中填入单价或总额价的工程子目，将被认为其已包含在本合同的其它子目的单价和总额价中，发包人将不另行支付。</w:t>
      </w:r>
    </w:p>
    <w:p w14:paraId="7601B13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工程量清单中的工程量计算规则应按有关国家标准、行业标准的规定，并在合同中约定执行。</w:t>
      </w:r>
    </w:p>
    <w:p w14:paraId="11F3185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17.1.5  总价子目的计量</w:t>
      </w:r>
    </w:p>
    <w:p w14:paraId="2EC356B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除专用合同条款另有约定外，总价子目的分解和计量按照下述约定进行。</w:t>
      </w:r>
    </w:p>
    <w:p w14:paraId="0B2A591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（1）总价子目的计量和支付应以总价为基础，不因第16.1款中的因素而进行调整。承包人实际完成的工程量，是进行工程目标管理和控制进度支付的依据。</w:t>
      </w:r>
    </w:p>
    <w:p w14:paraId="0B7F904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7481BBC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（3）监理人对承包人提交的上述资料进行复核，以确定分阶段实际完成的工程量和工程形象目标。对其有异议的，可要求承包人按第8.2款约定进行共同复核和抽样复测。</w:t>
      </w:r>
    </w:p>
    <w:p w14:paraId="1955B2E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（4）除按照第15条约定的变更外，总价子目的工程量是承包人用于结算的最终工程量。</w:t>
      </w:r>
    </w:p>
    <w:p w14:paraId="071E2EC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17.2  预付款</w:t>
      </w:r>
    </w:p>
    <w:p w14:paraId="1F81D8E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17.2.1  预付款</w:t>
      </w:r>
    </w:p>
    <w:p w14:paraId="13A2D21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auto"/>
          <w:sz w:val="22"/>
          <w:szCs w:val="22"/>
          <w:highlight w:val="none"/>
          <w:lang w:eastAsia="zh-CN"/>
        </w:rPr>
        <w:t>采购人在合同生效且具备实施条件后7个工作日内支付合同价款</w:t>
      </w: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lang w:eastAsia="zh-CN"/>
        </w:rPr>
        <w:t>0%的预付款（（根据《浙江省财政厅关于进一步发挥政府采购政策功能全力推动经济稳进提升的通知》浙财采监[2022]3号文件））</w:t>
      </w:r>
      <w:r>
        <w:rPr>
          <w:rFonts w:hint="eastAsia" w:ascii="宋体" w:hAnsi="宋体" w:eastAsia="宋体" w:cs="宋体"/>
          <w:b w:val="0"/>
          <w:color w:val="auto"/>
          <w:sz w:val="22"/>
          <w:szCs w:val="22"/>
          <w:highlight w:val="none"/>
          <w:lang w:val="en-US" w:eastAsia="zh-CN"/>
        </w:rPr>
        <w:t>,在签订合同时，供应商明确表示无需预付款或者主动要求降低预付款比例的，采购单位可不适用前述规定预付款。因财政国库库款能力不足等情势变更情况导致无法执行相关文件要求的支付比例，采购人与中标供应商应根据实际情况另行协商约定，中标供应商确认不因采购人延期付款的情形要求采购人承担逾期付款利息等违约责任。</w:t>
      </w: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预付款（如有）在每期进度款中等比扣回。</w:t>
      </w:r>
    </w:p>
    <w:p w14:paraId="145CAF6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17.2.2  预付款保函</w:t>
      </w:r>
    </w:p>
    <w:p w14:paraId="4BC94BB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17.3  工程进度付款</w:t>
      </w:r>
    </w:p>
    <w:p w14:paraId="7AE225E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17.3.1  付款周期</w:t>
      </w:r>
    </w:p>
    <w:p w14:paraId="130050D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付款周期同计量周期。</w:t>
      </w:r>
    </w:p>
    <w:p w14:paraId="3B79E20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17.3.2  进度付款申请单</w:t>
      </w:r>
    </w:p>
    <w:p w14:paraId="2590BF5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5DB024F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（1）截至本次付款周期末已实施工程的价款；</w:t>
      </w:r>
    </w:p>
    <w:p w14:paraId="7CE7F7C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（2）根据第15条应增加和扣减的变更金额；</w:t>
      </w:r>
    </w:p>
    <w:p w14:paraId="678DD9D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（3）根据第23条应增加和扣减的索赔金额；</w:t>
      </w:r>
    </w:p>
    <w:p w14:paraId="4F5B1A4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（4）根据第17.2款约定应支付的预付款和扣减的返还预付款；</w:t>
      </w:r>
    </w:p>
    <w:p w14:paraId="248EC75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（5）根据第17.4.1项约定应扣减的质量保证金；</w:t>
      </w:r>
    </w:p>
    <w:p w14:paraId="1F50C7D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（6）根据合同应增加和扣减的其它金额。</w:t>
      </w:r>
    </w:p>
    <w:p w14:paraId="3797961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17.3.3  进度付款证书和支付时间</w:t>
      </w:r>
    </w:p>
    <w:p w14:paraId="2C49111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60BB7A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（2）小修保养年度总承包的养护工程价款的支付按以下办法进行：</w:t>
      </w:r>
    </w:p>
    <w:p w14:paraId="57BA763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a．以小修保养年度总承包的工程价款支付，以签约合同总价分</w:t>
      </w:r>
      <w:r>
        <w:rPr>
          <w:rFonts w:hint="eastAsia" w:ascii="宋体" w:hAnsi="宋体" w:cs="宋体"/>
          <w:b w:val="0"/>
          <w:color w:val="000000" w:themeColor="text1"/>
          <w:sz w:val="22"/>
          <w:szCs w:val="22"/>
          <w:highlight w:val="none"/>
          <w:lang w:eastAsia="zh-CN"/>
          <w14:textFill>
            <w14:solidFill>
              <w14:schemeClr w14:val="tx1"/>
            </w14:solidFill>
          </w14:textFill>
        </w:rPr>
        <w:t>四期（三个月为一期）</w:t>
      </w:r>
      <w:r>
        <w:rPr>
          <w:rFonts w:hint="eastAsia" w:ascii="宋体" w:hAnsi="宋体" w:eastAsia="宋体" w:cs="宋体"/>
          <w:b w:val="0"/>
          <w:color w:val="auto"/>
          <w:sz w:val="22"/>
          <w:szCs w:val="22"/>
          <w:highlight w:val="none"/>
        </w:rPr>
        <w:t>按比例支付，第1</w:t>
      </w:r>
      <w:r>
        <w:rPr>
          <w:rFonts w:hint="eastAsia" w:ascii="宋体" w:hAnsi="宋体" w:cs="宋体"/>
          <w:b w:val="0"/>
          <w:color w:val="auto"/>
          <w:sz w:val="22"/>
          <w:szCs w:val="22"/>
          <w:highlight w:val="none"/>
          <w:lang w:eastAsia="zh-CN"/>
        </w:rPr>
        <w:t>期</w:t>
      </w:r>
      <w:r>
        <w:rPr>
          <w:rFonts w:hint="eastAsia" w:ascii="宋体" w:hAnsi="宋体" w:eastAsia="宋体" w:cs="宋体"/>
          <w:b w:val="0"/>
          <w:color w:val="auto"/>
          <w:sz w:val="22"/>
          <w:szCs w:val="22"/>
          <w:highlight w:val="none"/>
        </w:rPr>
        <w:t xml:space="preserve">    %、第2</w:t>
      </w:r>
      <w:r>
        <w:rPr>
          <w:rFonts w:hint="eastAsia" w:ascii="宋体" w:hAnsi="宋体" w:cs="宋体"/>
          <w:b w:val="0"/>
          <w:color w:val="auto"/>
          <w:sz w:val="22"/>
          <w:szCs w:val="22"/>
          <w:highlight w:val="none"/>
          <w:lang w:eastAsia="zh-CN"/>
        </w:rPr>
        <w:t>期</w:t>
      </w:r>
      <w:r>
        <w:rPr>
          <w:rFonts w:hint="eastAsia" w:ascii="宋体" w:hAnsi="宋体" w:eastAsia="宋体" w:cs="宋体"/>
          <w:b w:val="0"/>
          <w:color w:val="auto"/>
          <w:sz w:val="22"/>
          <w:szCs w:val="22"/>
          <w:highlight w:val="none"/>
        </w:rPr>
        <w:t xml:space="preserve">    %、第</w:t>
      </w:r>
      <w:r>
        <w:rPr>
          <w:rFonts w:hint="eastAsia" w:ascii="宋体" w:hAnsi="宋体" w:cs="宋体"/>
          <w:b w:val="0"/>
          <w:color w:val="auto"/>
          <w:sz w:val="22"/>
          <w:szCs w:val="22"/>
          <w:highlight w:val="none"/>
          <w:lang w:val="en-US" w:eastAsia="zh-CN"/>
        </w:rPr>
        <w:t>3</w:t>
      </w:r>
      <w:r>
        <w:rPr>
          <w:rFonts w:hint="eastAsia" w:ascii="宋体" w:hAnsi="宋体" w:cs="宋体"/>
          <w:b w:val="0"/>
          <w:color w:val="auto"/>
          <w:sz w:val="22"/>
          <w:szCs w:val="22"/>
          <w:highlight w:val="none"/>
          <w:lang w:eastAsia="zh-CN"/>
        </w:rPr>
        <w:t>期</w:t>
      </w:r>
      <w:r>
        <w:rPr>
          <w:rFonts w:hint="eastAsia" w:ascii="宋体" w:hAnsi="宋体" w:eastAsia="宋体" w:cs="宋体"/>
          <w:b w:val="0"/>
          <w:color w:val="auto"/>
          <w:sz w:val="22"/>
          <w:szCs w:val="22"/>
          <w:highlight w:val="none"/>
        </w:rPr>
        <w:t xml:space="preserve">    %……。以</w:t>
      </w:r>
      <w:r>
        <w:rPr>
          <w:rFonts w:hint="eastAsia" w:ascii="宋体" w:hAnsi="宋体" w:cs="宋体"/>
          <w:b w:val="0"/>
          <w:color w:val="auto"/>
          <w:sz w:val="22"/>
          <w:szCs w:val="22"/>
          <w:highlight w:val="none"/>
          <w:lang w:eastAsia="zh-CN"/>
        </w:rPr>
        <w:t>下期</w:t>
      </w:r>
      <w:r>
        <w:rPr>
          <w:rFonts w:hint="eastAsia" w:ascii="宋体" w:hAnsi="宋体" w:eastAsia="宋体" w:cs="宋体"/>
          <w:b w:val="0"/>
          <w:color w:val="auto"/>
          <w:sz w:val="22"/>
          <w:szCs w:val="22"/>
          <w:highlight w:val="none"/>
        </w:rPr>
        <w:t>首月的前15日内支付。</w:t>
      </w:r>
    </w:p>
    <w:p w14:paraId="191A3A6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b．在支付第1</w:t>
      </w:r>
      <w:r>
        <w:rPr>
          <w:rFonts w:hint="eastAsia" w:ascii="宋体" w:hAnsi="宋体" w:cs="宋体"/>
          <w:b w:val="0"/>
          <w:color w:val="auto"/>
          <w:sz w:val="22"/>
          <w:szCs w:val="22"/>
          <w:highlight w:val="none"/>
          <w:lang w:eastAsia="zh-CN"/>
        </w:rPr>
        <w:t>期</w:t>
      </w:r>
      <w:r>
        <w:rPr>
          <w:rFonts w:hint="eastAsia" w:ascii="宋体" w:hAnsi="宋体" w:eastAsia="宋体" w:cs="宋体"/>
          <w:b w:val="0"/>
          <w:color w:val="auto"/>
          <w:sz w:val="22"/>
          <w:szCs w:val="22"/>
          <w:highlight w:val="none"/>
        </w:rPr>
        <w:t>工程价款时，应扣除发包人代为承包人缴纳而存入银行“保证金专用存款账户”的“农民工工资支付保证金”（签约合同总价的2%，每个标段最高不超过300万元）。</w:t>
      </w:r>
    </w:p>
    <w:p w14:paraId="680BCDB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c．专项养护工程的养护合同工程价款，经发包人以各工程子目的计量并经验收合格后，与总承包养护项目工程价款合并按季支付。</w:t>
      </w:r>
    </w:p>
    <w:p w14:paraId="252D2AE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d．承包人应填按</w:t>
      </w:r>
      <w:r>
        <w:rPr>
          <w:rFonts w:hint="eastAsia" w:ascii="宋体" w:hAnsi="宋体" w:cs="宋体"/>
          <w:b w:val="0"/>
          <w:color w:val="auto"/>
          <w:sz w:val="22"/>
          <w:szCs w:val="22"/>
          <w:highlight w:val="none"/>
          <w:lang w:eastAsia="zh-CN"/>
        </w:rPr>
        <w:t>期</w:t>
      </w:r>
      <w:r>
        <w:rPr>
          <w:rFonts w:hint="eastAsia" w:ascii="宋体" w:hAnsi="宋体" w:eastAsia="宋体" w:cs="宋体"/>
          <w:b w:val="0"/>
          <w:color w:val="auto"/>
          <w:sz w:val="22"/>
          <w:szCs w:val="22"/>
          <w:highlight w:val="none"/>
        </w:rPr>
        <w:t>支付结账单报发包人审批。按</w:t>
      </w:r>
      <w:r>
        <w:rPr>
          <w:rFonts w:hint="eastAsia" w:ascii="宋体" w:hAnsi="宋体" w:cs="宋体"/>
          <w:b w:val="0"/>
          <w:color w:val="auto"/>
          <w:sz w:val="22"/>
          <w:szCs w:val="22"/>
          <w:highlight w:val="none"/>
          <w:lang w:eastAsia="zh-CN"/>
        </w:rPr>
        <w:t>期</w:t>
      </w:r>
      <w:r>
        <w:rPr>
          <w:rFonts w:hint="eastAsia" w:ascii="宋体" w:hAnsi="宋体" w:eastAsia="宋体" w:cs="宋体"/>
          <w:b w:val="0"/>
          <w:color w:val="auto"/>
          <w:sz w:val="22"/>
          <w:szCs w:val="22"/>
          <w:highlight w:val="none"/>
        </w:rPr>
        <w:t>结算支付的中期支付证书应包括材料预付款按规定扣回的款额。</w:t>
      </w:r>
    </w:p>
    <w:p w14:paraId="223D739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e．承包人应按月如实向发包人报送项目的农民工工资支付情况。承包人没有按时报送农民工工资支付情况的，发包人将暂缓支付当季应支付的工程价款。</w:t>
      </w:r>
    </w:p>
    <w:p w14:paraId="6D10570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（2）大中修养护工程价款的支付按以下办法进行：</w:t>
      </w:r>
    </w:p>
    <w:p w14:paraId="69F2982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240EF61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（3）发包人应在监理人收到进度付款申请单后的28天内，将进度应付款支付给承包人。发包人不按期支付的，按专用合同条款的约定支付逾期付款违约金。</w:t>
      </w:r>
    </w:p>
    <w:p w14:paraId="169FEE2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发包人不按期支付的，按项目专用合同条款数据表中约定的利率向承包人支付逾期付款违约金。违约金计算基数为发包人的全部未付款额，时间从应付而未付该款额之日算起（不计复利）。</w:t>
      </w:r>
    </w:p>
    <w:p w14:paraId="255049F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（4）监理人出具进度付款证书，不应视为监理人已同意、批准或接受了承包人完成的该部分工作。</w:t>
      </w:r>
    </w:p>
    <w:p w14:paraId="5CB8618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（5）进度付款涉及政府投资资金的，按照国库集中支付等国家相关规定和专用合同条款的约定办理。</w:t>
      </w:r>
    </w:p>
    <w:p w14:paraId="53E61BF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17.3.4  工程进度付款的修正</w:t>
      </w:r>
    </w:p>
    <w:p w14:paraId="14F9254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4BDFD09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17.4  质量保证金</w:t>
      </w:r>
    </w:p>
    <w:p w14:paraId="1725B76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17.4.1 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14:paraId="4E15E54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0654FDB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5000AE7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17.5  交（竣）工结算</w:t>
      </w:r>
    </w:p>
    <w:p w14:paraId="2FFB23A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17.5.1  交工付款申请单（适用于小修保养工程）</w:t>
      </w:r>
    </w:p>
    <w:p w14:paraId="4072431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（1）承包人向监理人提交交工付款申请单（包括相关证明材料）的份数在项目专用合同条款数据表中约定；期限：交工验收证书签发后42天内。</w:t>
      </w:r>
    </w:p>
    <w:p w14:paraId="0991244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工程接收证书颁发后，承包人应按专用合同条款约定的份数和期限向监理人提交工付款申请单，并提供相关证明材料。除专用合同条款另有约定外，交工付款申请单应包括下列内容：交工结算合同总价、发包人已支付承包人的工程价款、应扣留的质量保证金、应支付的交工付款金额。</w:t>
      </w:r>
    </w:p>
    <w:p w14:paraId="3D8A53D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（3）监理人对交工付款申请单有异议的，有权要求承包人进行修正和提供补充资料。经监理人和承包人协商后，由承包人向监理人提交修正后的交工付款申请单。</w:t>
      </w:r>
    </w:p>
    <w:p w14:paraId="1539A68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17.5.2  竣工付款证书及支付时间</w:t>
      </w:r>
    </w:p>
    <w:p w14:paraId="6F10577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6834C74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（2）发包人应在监理人出具竣工付款证书后的14天内，将应支付款支付给承包人。发包人不按期支付的，按第17.3.3（2）目的约定，将逾期付款违约金支付给承包人。</w:t>
      </w:r>
    </w:p>
    <w:p w14:paraId="7625A03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（3）承包人对发包人签认的竣工付款证书有异议的，发包人可出具竣工付款申请单中承包人已同意部分的临时付款证书。存在争议的部分，按第24条的约定办理。</w:t>
      </w:r>
    </w:p>
    <w:p w14:paraId="1D9D83B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（4）竣工付款涉及政府投资资金的，按第17.3.3（4）目的约定办理。</w:t>
      </w:r>
    </w:p>
    <w:p w14:paraId="0E9E428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17.6  最终结清</w:t>
      </w:r>
    </w:p>
    <w:p w14:paraId="2B3E14B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17.6.1  最终结清申请单</w:t>
      </w:r>
    </w:p>
    <w:p w14:paraId="546126C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（1）缺陷责任期终止证书签发后，承包人可按专用合同条款约定的份数和期限向监理人提交最终结清申请单，并提供相关证明材料。</w:t>
      </w:r>
    </w:p>
    <w:p w14:paraId="04A3A6A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承包人向监理人提交最终结清申请单（包括相关证明材料）的份数在项目专用合同条款数据表中约定；期限：缺陷责任期终止证书签发后28天内。</w:t>
      </w:r>
    </w:p>
    <w:p w14:paraId="4AB0DB5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最终结清申请单中的总金额应认为是代表了根据合同规定应付给承包人的全部款项的最后结算。</w:t>
      </w:r>
    </w:p>
    <w:p w14:paraId="6A7A0D4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（2）发包人对最终结清申请单内容有异议的，有权要求承包人进行修正和提供补充资料，由承包人向监理人提交修正后的最终结清申请单。</w:t>
      </w:r>
    </w:p>
    <w:p w14:paraId="109E90F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17.6.2  最终结清证书和支付时间</w:t>
      </w:r>
    </w:p>
    <w:p w14:paraId="549CCD7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6B6C443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（2）发包人应在监理人出具最终结清证书后的14天内，将应支付款支付给承包人。发包人不按期支付的，按第17.3.3（2）目的约定，将逾期付款违约金支付给承包人。</w:t>
      </w:r>
    </w:p>
    <w:p w14:paraId="5FA6A52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（3）承包人对发包人签认的最终结清证书有异议的，按第24条的约定办理。</w:t>
      </w:r>
    </w:p>
    <w:p w14:paraId="62F814B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（4）最终结清付款涉及政府投资资金的，按第17.3.3（4）目的约定办理。</w:t>
      </w:r>
    </w:p>
    <w:p w14:paraId="1767526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18．交（竣）工验收</w:t>
      </w:r>
    </w:p>
    <w:p w14:paraId="7C2BED3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18.1  交（竣）工验收的含义</w:t>
      </w:r>
    </w:p>
    <w:p w14:paraId="206D651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18.1.1  交（竣）工验收指承包人完成了全部合同工作后，发包人按合同要求进行的验收。</w:t>
      </w:r>
    </w:p>
    <w:p w14:paraId="264C140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18.1.2  国家验收是政府有关部门根据法律、规范、规程和政策要求，针对发包人全面组织实施的整个工程正式交付投运前的验收。</w:t>
      </w:r>
    </w:p>
    <w:p w14:paraId="758E9A8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18.1.3  小修保养工程的养护项目，经公路养护主管部门批准可交竣工合并为一次交工验收。</w:t>
      </w:r>
    </w:p>
    <w:p w14:paraId="53282C9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18.2  交（竣）工验收申请报告</w:t>
      </w:r>
    </w:p>
    <w:p w14:paraId="5B957D2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当工程具备以下条件时，承包人即可向监理人报送竣工验收申请报告：</w:t>
      </w:r>
    </w:p>
    <w:p w14:paraId="4735F4E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（1）除监理人同意列入缺陷责任期内完成的尾工（甩项）工程和缺陷修补工作外，合同范围内的全部单位工程以及有关工作，包括合同要求的试验、试运行以及检验和验收均已完成，并符合合同要求；</w:t>
      </w:r>
    </w:p>
    <w:p w14:paraId="3F71CB5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（2）已按合同约定的内容和份数备齐了符合要求的竣工资料；</w:t>
      </w:r>
    </w:p>
    <w:p w14:paraId="48D5868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竣工资料的内容：承包人应按照《浙江省公路大中修工程交（竣）工文件编制办法（试行）》（浙江省公路管理局 浙公路［2005］51号）的规定，编制竣工图表和施工资料。</w:t>
      </w:r>
    </w:p>
    <w:p w14:paraId="6CF4C23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竣工资料的份数在项目专用合同条款数据表中约定。</w:t>
      </w:r>
    </w:p>
    <w:p w14:paraId="0EB1CBE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（3）已按监理人的要求编制了在缺陷责任期内完成的尾工（甩项）工程和缺陷修补工作清单以及相应施工计划；</w:t>
      </w:r>
    </w:p>
    <w:p w14:paraId="5AEC52A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（4）监理人要求在竣工验收前应完成的其它工作；</w:t>
      </w:r>
    </w:p>
    <w:p w14:paraId="4FFA846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（5）监理人要求提交的竣工验收资料清单。</w:t>
      </w:r>
    </w:p>
    <w:p w14:paraId="5AA0F6F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18.3  验收</w:t>
      </w:r>
    </w:p>
    <w:p w14:paraId="4C000EF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监理人收到承包人按第18.2款约定提交的竣工验收申请报告后，应审查申请报告的各项内容，并按以下不同情况进行处理。</w:t>
      </w:r>
    </w:p>
    <w:p w14:paraId="135A785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2803570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18.3.2  监理人审查后认为已具备竣工验收条件的，应在收到竣工验收申请报告后的28天内提请发包人进行工程验收。</w:t>
      </w:r>
    </w:p>
    <w:p w14:paraId="5A62206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交工验收由发包人主持，由发包人、监理人、质监、管理养护等有关部门代表组成交工验收小组，对本项目的养护工程质量进行评定，并写出交工验收报告报公路主管部门备案。承包人应按发包人的要求提交竣工资料，完成交工验收准备工作。</w:t>
      </w:r>
    </w:p>
    <w:p w14:paraId="6103166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18.3.3  发包人经过验收后同意接受工程的，应在监理人收到交（竣）工验收申请报告后的56天内，由监理人向承包人出具经发包人签认的工程接收证书。发包人验收后同意接收工程但提出整修和完善要求的，限期修好，并颁发工程接收证书。整修和完善工作完成后，监理人复查达到要求的，经发包人同意后，再向承包人出具工程接收证书。</w:t>
      </w:r>
    </w:p>
    <w:p w14:paraId="4711D51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交（竣）工验收申请报告，按第18.3.1项、第18.3.2项和第18.3.3项的约定进行。</w:t>
      </w:r>
    </w:p>
    <w:p w14:paraId="6F11B50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18.3.5  除专用合同条款另有约定外，经验收合格工程的实际交（竣）工日期，以提交交（竣）工验收申请报告的日期为准，并在工程接收证书中写明。</w:t>
      </w:r>
    </w:p>
    <w:p w14:paraId="291A7E9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经验收合格工程的实际交工日期，以最终提交交工验收申请报告的日期为准，并在交工验收证书中写明。</w:t>
      </w:r>
    </w:p>
    <w:p w14:paraId="49CAEE5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18.3.6  发包人在收到承包人交（竣）工验收申请报告56天后未进行验收的，视为验收合格，实际竣工日期以提交交（竣）工验收申请报告的日期为准，但发包人由于不可抗力不能进行验收的除外。</w:t>
      </w:r>
    </w:p>
    <w:p w14:paraId="3E9AC06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18.3.7  组织办理交（竣）工验收和签发交（竣）工验收证书的费用由发包人承担。但按照第18.3.4项规定达不到合格标准的交（竣）工验收费用由承包人承担。</w:t>
      </w:r>
    </w:p>
    <w:p w14:paraId="55F31C9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18.4  单位工程验收</w:t>
      </w:r>
    </w:p>
    <w:p w14:paraId="56FAB54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422A60C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18.4.2  发包人在全部工程竣工前，使用已接收的单位工程导致承包人费用增加的，发包人应承担由此增加的费用和（或）工期延误，并支付承包人合理利润。</w:t>
      </w:r>
    </w:p>
    <w:p w14:paraId="39E5A0F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18.5  施工期运行</w:t>
      </w:r>
    </w:p>
    <w:p w14:paraId="4D97F1D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29B10DB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18.5.2  在施工期运行中发现工程或工程设备损坏或存在缺陷的，由承包人按第19.2款约定进行修复。</w:t>
      </w:r>
    </w:p>
    <w:p w14:paraId="307AD93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18.6  试运行</w:t>
      </w:r>
    </w:p>
    <w:p w14:paraId="3CDC308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18.6.1  除专用合同条款另有约定外，承包人应按专用合同条款约定进行工程及工程设备试运行，负责提供试运行所需的人员、器材和必要的条件，并承担全部试运行费用。</w:t>
      </w:r>
    </w:p>
    <w:p w14:paraId="2F7A894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2DFAE3C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18.7  竣工清场</w:t>
      </w:r>
    </w:p>
    <w:p w14:paraId="2265F07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18.7.1 除合同另有约定外，工程接收证书颁发后，承包人应按以下要求对施工场地进行清理，直至监理人检验合格为止。竣工清场费用由承包人承担。</w:t>
      </w:r>
    </w:p>
    <w:p w14:paraId="3698403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（1）施工场地内残留的垃圾已全部清除出场；</w:t>
      </w:r>
    </w:p>
    <w:p w14:paraId="3A61C82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（2）临时工程已拆除，场地已按合同要求进行清理、平整或复原；</w:t>
      </w:r>
    </w:p>
    <w:p w14:paraId="618DD1E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（3）按合同约定应撤离的承包人设备和剩余的材料，包括废弃的施工设备和材料，已按计划撤离施工场地；</w:t>
      </w:r>
    </w:p>
    <w:p w14:paraId="00DC8C0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（4）工程建筑物周边及其附近道路、河道的施工堆积物，已按监理人指示全部清理；</w:t>
      </w:r>
    </w:p>
    <w:p w14:paraId="00B43D4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（5）监理人指示的其它场地清理工作已全部完成。</w:t>
      </w:r>
    </w:p>
    <w:p w14:paraId="41656EB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18.7.2  承包人未按监理人的要求恢复临时占地，或者场地清理未达到合同约定的，发包人有权委托其他人恢复或清理，所发生的金额从拟支付给承包人的款项中扣除。</w:t>
      </w:r>
    </w:p>
    <w:p w14:paraId="76EAD72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18.8  施工队伍的撤离</w:t>
      </w:r>
    </w:p>
    <w:p w14:paraId="7F57534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4A80D72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18.9  交（竣）工文件</w:t>
      </w:r>
    </w:p>
    <w:p w14:paraId="1D85981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承包人应按照《公路工程交竣工验收办法》的相关规定，在缺陷责任期内为竣工验收补充竣工资料，并在签发缺陷责任期终止证书之前提交。</w:t>
      </w:r>
    </w:p>
    <w:p w14:paraId="54EA8A0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19．缺陷责任与保修责任</w:t>
      </w:r>
    </w:p>
    <w:p w14:paraId="0F85450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19.1  缺陷责任期的起算时间</w:t>
      </w:r>
    </w:p>
    <w:p w14:paraId="707B5B1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缺陷责任期自实际竣工日期起计算。在全部工程竣工验收前，已经发包人提前验收的单位工程，其缺陷责任期的起算日期相应提前。</w:t>
      </w:r>
    </w:p>
    <w:p w14:paraId="26CBA0A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公路路面大中修养护工程自实际交工日期起计算1年。 </w:t>
      </w:r>
    </w:p>
    <w:p w14:paraId="7F5C9EE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19.2  缺陷责任</w:t>
      </w:r>
    </w:p>
    <w:p w14:paraId="5B9C855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19.2.1  承包人应在缺陷责任期内对已交付使用的工程承担缺陷责任。</w:t>
      </w:r>
    </w:p>
    <w:p w14:paraId="2AD0CB2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0DE25CF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在缺陷责任期内，承包人应尽快完成在交工验收证书中写明的未完成工作，并完成对本工程缺陷的修复或监理人指令的修补工作。</w:t>
      </w:r>
    </w:p>
    <w:p w14:paraId="213BEA5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108A4BC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19.2.4  承包人不能在合理时间内修复缺陷的，发包人可自行修复或委托其他人修复，所需费用和利润的承担，按第19.2.3项约定办理。</w:t>
      </w:r>
    </w:p>
    <w:p w14:paraId="011C747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19.3  缺陷责任期的延长</w:t>
      </w:r>
    </w:p>
    <w:p w14:paraId="7E5405E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51F9223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19.4  进一步试验和试运行</w:t>
      </w:r>
    </w:p>
    <w:p w14:paraId="6FA19EC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任何一项缺陷或损坏修复后，经检查证明其影响了工程或工程设备的使用性能，承包人应重新进行合同约定的试验和试运行，试验和试运行的全部费用应由责任方承担。</w:t>
      </w:r>
    </w:p>
    <w:p w14:paraId="4EB1AE1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19.5  承包人的进入权</w:t>
      </w:r>
    </w:p>
    <w:p w14:paraId="4B5FF42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缺陷责任期内承包人为缺陷修复工作需要，有权进入工程现场，但应遵守发包人的保安和保密规定。</w:t>
      </w:r>
    </w:p>
    <w:p w14:paraId="72D2CAD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承包人在缺陷修复施工过程中，应服从管养单位的有关安全管理规定，由于承包人自身原因造成的人员伤亡、设备和材料的损毁及罚款等责任由承包人自负。</w:t>
      </w:r>
    </w:p>
    <w:p w14:paraId="7221DA9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19.6  缺陷责任期终止证书</w:t>
      </w:r>
    </w:p>
    <w:p w14:paraId="79C00F6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在第1.1.4.5目约定的缺陷责任期，包括根据第19.3款延长的期限终止后14天内，由监理人向承包人出具经发包人签认的缺陷责任期终止证书，并退还剩余的质量保证金。</w:t>
      </w:r>
    </w:p>
    <w:p w14:paraId="62CAEA5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19.7  保修责任</w:t>
      </w:r>
    </w:p>
    <w:p w14:paraId="0728052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7A14974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20．保险</w:t>
      </w:r>
    </w:p>
    <w:p w14:paraId="2C44588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20.1  工程保险</w:t>
      </w:r>
    </w:p>
    <w:p w14:paraId="298E577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除专用合同条款另有约定外，承包人应以发包人和承包人的共同名义向双方同意的保险人投保建筑工程一切险、安装工程一切险。</w:t>
      </w:r>
    </w:p>
    <w:p w14:paraId="7FBA260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建筑工程一切险的投保内容：为本合同工程的养护工程、临时工程和设备及已运至施工工地用于养护工程的材料和设备所投的保险。</w:t>
      </w:r>
    </w:p>
    <w:p w14:paraId="2775DB0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保险金额：工程量清单的合计金额；</w:t>
      </w:r>
    </w:p>
    <w:p w14:paraId="44D354F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保险费率：在项目专用合同条款数据表中约定。</w:t>
      </w:r>
    </w:p>
    <w:p w14:paraId="33F0C85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保险期限：开工日起直至本合同工程签发缺陷责任期终止证书止（即合同工期＋缺陷责任期）。</w:t>
      </w:r>
    </w:p>
    <w:p w14:paraId="6B648E8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承包人应以发包人和承包人的共同名义投保建筑工程一切险。建筑工程一切险的保险费由承包人报价时列入工程量清单内。发包人在接到保险单后，将保险单费用直接向承包人支付。</w:t>
      </w:r>
    </w:p>
    <w:p w14:paraId="120C88B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20.2  人员工伤事故的保险</w:t>
      </w:r>
    </w:p>
    <w:p w14:paraId="4AC868D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20.2.1  承包人员工伤事故的保险</w:t>
      </w:r>
    </w:p>
    <w:p w14:paraId="439F99C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承包人应依照有关法律规定参加工伤保险，为其履行合同所雇佣的全部人员，缴纳工伤保险费，并要求其分包人也进行此项保险。</w:t>
      </w:r>
    </w:p>
    <w:p w14:paraId="30287A7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20.2.2  发包人员工伤事故的保险</w:t>
      </w:r>
    </w:p>
    <w:p w14:paraId="6471599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发包人应依照有关法律规定参加工伤保险，为其现场机构雇佣的全部人员，缴纳工伤保险费，并要求其监理人也进行此项保险。</w:t>
      </w:r>
    </w:p>
    <w:p w14:paraId="7A12CE6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20.3  人身意外伤害险</w:t>
      </w:r>
    </w:p>
    <w:p w14:paraId="0FC2F3D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20.3.1  发包人应在整个施工期间为其现场机构雇用的全部人员，投保人身意外伤害险，缴纳保险费，并要求其监理人也进行此项保险。</w:t>
      </w:r>
    </w:p>
    <w:p w14:paraId="0709652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20.3.2  承包人应在整个施工期间为其现场机构雇用的全部人员，投保人身意外伤害险，缴纳保险费，并要求其分包人也进行此项保险。</w:t>
      </w:r>
    </w:p>
    <w:p w14:paraId="36FF208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对其为本工程合同工作的人员进行人身意外伤害保险，投保金额可暂定为30万元，按议定的保险费率办理。保险费由投标人报价时列入工程量清单内。发包人在接到保险单后，将按照保险单的费用直接向承包人支付。</w:t>
      </w:r>
    </w:p>
    <w:p w14:paraId="66CF9C1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20.4  第三者责任险</w:t>
      </w:r>
    </w:p>
    <w:p w14:paraId="7EDF457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它费用等赔偿责任。</w:t>
      </w:r>
    </w:p>
    <w:p w14:paraId="1462D44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20.4.2  在缺陷责任期终止证书颁发前，承包人应以承包人和发包人的共同名义，投保第20.4.1项约定的第三者责任险，其保险费率、保险金额等有关内容在专用合同条款中约定。</w:t>
      </w:r>
    </w:p>
    <w:p w14:paraId="6230378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第三者责任险的保险费由承包人报价时列入工程量清单内。发包人在接到保险单后，将按照保险单的费用直接向承包人支付。</w:t>
      </w:r>
    </w:p>
    <w:p w14:paraId="5B61933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20.5  其它保险</w:t>
      </w:r>
    </w:p>
    <w:p w14:paraId="12D4DB5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除专用合同条款另有约定外，承包人应为其施工设备、进场的材料和工程设备等办理保险。</w:t>
      </w:r>
    </w:p>
    <w:p w14:paraId="0484E00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承包人为其施工设备等办理保险，其投标金额应足以现场重置。办理本款保险的一切费用均由承包人承担，并包括在工程量清单的单价及总额价中，发包人不单独支付。</w:t>
      </w:r>
    </w:p>
    <w:p w14:paraId="3158602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20.6  对各项保险的一般要求</w:t>
      </w:r>
    </w:p>
    <w:p w14:paraId="7C5E9F9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20.6.1  保险凭证</w:t>
      </w:r>
    </w:p>
    <w:p w14:paraId="5E86EE6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承包人向发包人提交各项保险生效的证据和保险单副本的期限：开工后56天内。保险单必须与专用合同条款约定的条件保持一致。</w:t>
      </w:r>
    </w:p>
    <w:p w14:paraId="0294E9F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20.6.2  保险合同条款的变动</w:t>
      </w:r>
    </w:p>
    <w:p w14:paraId="5360635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承包人需要变动保险合同条款时，应事先征得发包人同意，并通知监理人。保险人作出变动的，承包人应在收到保险人通知后立即通知发包人和监理人。</w:t>
      </w:r>
    </w:p>
    <w:p w14:paraId="02E3DC7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20.6.3  持续保险</w:t>
      </w:r>
    </w:p>
    <w:p w14:paraId="60BB03B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承包人应与保险人保持联系，使保险人能够随时了解工程实施中的变动，并确保按保险合同条款要求持续保险。在整个合同期内，承包人应按合同条款规定保证足够的保险额。</w:t>
      </w:r>
    </w:p>
    <w:p w14:paraId="3306044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20.6.4  保险金不足的补偿</w:t>
      </w:r>
    </w:p>
    <w:p w14:paraId="222CCEB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保险金不足以补偿损失的，应由承包人和（或）发包人按合同约定负责补偿。保险金不足以补偿损失的（包括免赔额和超过赔偿限额的部分），应由承包人和（或）发包人按合同约定负责补偿。</w:t>
      </w:r>
    </w:p>
    <w:p w14:paraId="58D1403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20.6.5  未按约定投保的补救</w:t>
      </w:r>
    </w:p>
    <w:p w14:paraId="23FCF65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（1）由于负有投保义务的一方当事人未按合同约定办理保险，或未能使保险持续有效的，另一方当事人可代为办理，所需费用由对方当事人承担。</w:t>
      </w:r>
    </w:p>
    <w:p w14:paraId="03139B7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由于负有投保义务的一方当事人未按合同约定办理某项保险，或未按保险单规定的条件和限期及时向保险人报告事故情况，或未按要求的保险期限进行投标，或未按要求投保足够的保险金额，导致受益人未能全部得到保险人的赔偿，原应从该项保险得到的保险金应由负有投保义务的一方当事人支付。</w:t>
      </w:r>
    </w:p>
    <w:p w14:paraId="31A21B8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20.6.6  报告义务</w:t>
      </w:r>
    </w:p>
    <w:p w14:paraId="525B7E2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当保险事故发生时，投保人应按照保险单规定的条件和期限及时向保险人报告。</w:t>
      </w:r>
    </w:p>
    <w:p w14:paraId="67A85E5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21．不可抗力</w:t>
      </w:r>
    </w:p>
    <w:p w14:paraId="7155B8A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21.1  不可抗力的确认</w:t>
      </w:r>
    </w:p>
    <w:p w14:paraId="4A6A8AC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21.1.1  不可抗力是指承包人和发包人在订立合同时不可预见，在工程施工过程中不可避免发生并不能克服的自然灾害和社会性突发事件，如地震、海啸、瘟疫、水灾、骚乱、暴动、战争和专用合同条款约定的其它情形。</w:t>
      </w:r>
    </w:p>
    <w:p w14:paraId="664E114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0F7551A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21.2  不可抗力的通知</w:t>
      </w:r>
    </w:p>
    <w:p w14:paraId="5701772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21.2.1  合同一方当事人遇到不可抗力事件，使其履行合同义务受到阻碍时，应立即通知合同另一方当事人和监理人，书面说明不可抗力和受阻碍的详细情况，并提供必要的证明。</w:t>
      </w:r>
    </w:p>
    <w:p w14:paraId="406A68F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14:paraId="2773C5F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21.3  不可抗力后果及其处理</w:t>
      </w:r>
    </w:p>
    <w:p w14:paraId="2BC8598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21.3.1  不可抗力造成损害的责任</w:t>
      </w:r>
    </w:p>
    <w:p w14:paraId="6A0E5FA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除专用合同条款另有约定外，不可抗力导致的人员伤亡、财产损失、费用增加和（或）工期延误等后果，由合同双方按以下原则承担：</w:t>
      </w:r>
    </w:p>
    <w:p w14:paraId="383D7EE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（1）永久工程，包括已运至施工场地的材料和工程设备的损害，以及因工程损害造成的第三者人员伤亡和财产损失由发包人承担；</w:t>
      </w:r>
    </w:p>
    <w:p w14:paraId="2D4110E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（2）承包人设备的损坏由承包人承担；</w:t>
      </w:r>
    </w:p>
    <w:p w14:paraId="1AD8FDE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（3）发包人和承包人各自承担其人员伤亡和其它财产损失及其相关费用；</w:t>
      </w:r>
    </w:p>
    <w:p w14:paraId="6B5B69D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（4）承包人的停工损失由承包人承担，但停工期间应监理人要求照管工程和清理、修复工程的金额由发包人承担；</w:t>
      </w:r>
    </w:p>
    <w:p w14:paraId="60B5A8B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（5）不能按期竣工的，应合理延长工期，承包人不需支付逾期竣工违约金。发包人要求赶工的，承包人应采取赶工措施，赶工费用由发包人承担。</w:t>
      </w:r>
    </w:p>
    <w:p w14:paraId="25F87AA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21.3.2  延迟履行期间发生的不可抗力</w:t>
      </w:r>
    </w:p>
    <w:p w14:paraId="549A221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合同一方当事人延迟履行，在延迟履行期间发生不可抗力的，不免除其责任。</w:t>
      </w:r>
    </w:p>
    <w:p w14:paraId="2D4970E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21.3.3  避免和减少不可抗力损失</w:t>
      </w:r>
    </w:p>
    <w:p w14:paraId="7811C82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不可抗力发生后，发包人和承包人均应采取措施尽量避免和减少损失的扩大，任何一方没有采取有效措施导致损失扩大的，应对扩大的损失承担责任。</w:t>
      </w:r>
    </w:p>
    <w:p w14:paraId="3205417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21.3.4  因不可抗力解除合同</w:t>
      </w:r>
    </w:p>
    <w:p w14:paraId="62D0D29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合同一方当事人因不可抗力不能履行合同的，应当及时通知对方解除合同。合同解除后，承包人应按照第22.2.5项约定撤离施工场地。已经订货的材料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14:paraId="2AC2D90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22．违约</w:t>
      </w:r>
    </w:p>
    <w:p w14:paraId="70FDFB1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22.1  承包人违约</w:t>
      </w:r>
    </w:p>
    <w:p w14:paraId="676325D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22.1.1  承包人违约的情形</w:t>
      </w:r>
    </w:p>
    <w:p w14:paraId="1F13F4D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在履行合同过程中发生的下列情况属承包人违约：</w:t>
      </w:r>
    </w:p>
    <w:p w14:paraId="27A1A5D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（1）承包人违反第1.8款或第4.3款的约定，私自将合同的全部或部分权利转让给其他人，或私自将合同的全部或部分义务转移给其他人；</w:t>
      </w:r>
    </w:p>
    <w:p w14:paraId="53B4B89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（2）承包人违反第5.3款或第6.4款的约定，未经监理人批准，私自将已按合同约定进入施工现场的施工设备、临时设施、材料或工程设备撤离施工场地；</w:t>
      </w:r>
    </w:p>
    <w:p w14:paraId="175445A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（3）承包人违反第5.4款的约定使用了不合格材料或工程设备，工程质量达不到标准要求，又拒绝清除不合格工程；</w:t>
      </w:r>
    </w:p>
    <w:p w14:paraId="186EBA5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（4）承包人未能按合同进度计划及时完成合同约定的工作，已造成或预期造成工期延误；</w:t>
      </w:r>
    </w:p>
    <w:p w14:paraId="3A82E12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（5）承包人在缺陷责任期内，未能对工程接收证书所列的缺陷清单的内容或缺陷责任期内发生的缺陷进行修复，而又拒绝按监理人指示再进行修补；</w:t>
      </w:r>
    </w:p>
    <w:p w14:paraId="1C9AA56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（6）承包人无法继续履行或明确表示不履行或实质上已停止履行合同；</w:t>
      </w:r>
    </w:p>
    <w:p w14:paraId="17F54BB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（7）承包人未能按期开工；</w:t>
      </w:r>
    </w:p>
    <w:p w14:paraId="3CA6C71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（8）承包人违反第4.6款或6.3款的规定，未按承诺或未按监理人的要求及时配备称职的主要管理人员、技术骨干或关键施工设备；</w:t>
      </w:r>
    </w:p>
    <w:p w14:paraId="0142865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（9）经监理人和发包人检查，发现承包人有安全问题或有违反安全管理规章制度的情况；</w:t>
      </w:r>
    </w:p>
    <w:p w14:paraId="2C380CA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（10）承包人不按合同约定履行义务的其它情况。</w:t>
      </w:r>
    </w:p>
    <w:p w14:paraId="69DE35F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22.1.2  对承包人违约的处理</w:t>
      </w:r>
    </w:p>
    <w:p w14:paraId="7059FDB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（1）承包人发生第22.1.1（6）目约定的违约情况时，发包人可通知承包人立即解除合同，并按有关法律处理。</w:t>
      </w:r>
    </w:p>
    <w:p w14:paraId="3DB56A9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（2）承包人发生除第22.1.1（6）目约定以外的其它违约情况时，监理人可向承包人发出整改通知，要求其在指定的期限内改正。承包人应承担其违约所引起的费用增加和（或）工期延误。</w:t>
      </w:r>
    </w:p>
    <w:p w14:paraId="5175FD7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（3）经检查证明承包人已采取了有效措施纠正违约行为，具备复工条件的，可由监理人签发复工通知复工。</w:t>
      </w:r>
    </w:p>
    <w:p w14:paraId="7B3E8E5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（4）承包人发生第22.1.1项约定的违约情况时，无论发包人是否解除合同，发包人均有权向承包人课以项目专用合同条款中规定的违约金，并由发包人将其违约行为上报省级交通主管部门。</w:t>
      </w:r>
    </w:p>
    <w:p w14:paraId="7E0DDCE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22.1.3  承包人违约解除合同</w:t>
      </w:r>
    </w:p>
    <w:p w14:paraId="1C231DC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2C0140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22.1.4  合同解除后的估价、付款和结清</w:t>
      </w:r>
    </w:p>
    <w:p w14:paraId="3FC6EE8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（1）合同解除后，监理人按第3.5款商定或确定承包人实际完成工作的价值，以及承包人已提供的材料、施工设备、工程设备和临时工程等的价值。 </w:t>
      </w:r>
    </w:p>
    <w:p w14:paraId="2E28719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（2）合同解除后，发包人应暂停对承包人的一切付款，查清各项付款和已扣款金额，包括承包人应支付的违约金。 </w:t>
      </w:r>
    </w:p>
    <w:p w14:paraId="080341C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（3）合同解除后，发包人应按第23.4款的约定向承包人索赔由于解除合同给发包人造成的损失。</w:t>
      </w:r>
    </w:p>
    <w:p w14:paraId="1983A84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（4）合同双方确认上述往来款项后，出具最终结清付款证书，结清全部合同款项。</w:t>
      </w:r>
    </w:p>
    <w:p w14:paraId="20CD067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（5）发包人和承包人未能就解除合同后的结清达成一致而形成争议的，按第24条的约定办理。</w:t>
      </w:r>
    </w:p>
    <w:p w14:paraId="083BC57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22.1.5  协议利益的转让</w:t>
      </w:r>
    </w:p>
    <w:p w14:paraId="2806982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14:paraId="14564B9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22.1.6  紧急情况下无能力或不愿进行抢救</w:t>
      </w:r>
    </w:p>
    <w:p w14:paraId="6B0E911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7A075D2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22.2  发包人违约</w:t>
      </w:r>
    </w:p>
    <w:p w14:paraId="7CBC6DF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22.2.1  发包人违约的情形</w:t>
      </w:r>
    </w:p>
    <w:p w14:paraId="76340D4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在履行合同过程中发生的下列情形，属发包人违约：</w:t>
      </w:r>
    </w:p>
    <w:p w14:paraId="726D405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发包人未能按合同约定支付预付款或合同价款，或拖延、拒绝批准付款申请和支付凭证，导致付款延误的；（2）发包人原因造成停工的；（3）监理人无正当理由没有在约定期限内发出复工指示，导致承包人无法复工的；</w:t>
      </w:r>
    </w:p>
    <w:p w14:paraId="5B74611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合同实施期间，由于整体规划的需进行项目改建的，则养护合同自然终止。发包人对承包人应承担终止合同前已完成的全部工程价款，其范围限于在已给承包人的暂付款中尚未包括的款项与款额，其单价和总额价应按合同的规定。还应支付下述费用：</w:t>
      </w:r>
    </w:p>
    <w:p w14:paraId="306001E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a．在工程量清单中承包人驻地建设等总额支付项的应付款额，只要这些子目中的工作或服务已经进行或履行，或其中的工作或服务已经部分履行了的相应比例费用；</w:t>
      </w:r>
    </w:p>
    <w:p w14:paraId="7D66C27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b．已经交付承包人或承包人有责任收货的、为本合同养护工程合理订购的材料、设备或货物的费用，发包人一经支付此项费用，该材料、设备或货物即成为发包人的财产；</w:t>
      </w:r>
    </w:p>
    <w:p w14:paraId="2F0FE0E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c．作为已合理开支的、确实属于承包人为了完成本合同工程而预期开支的任何款额，而该开支还没有包括在本款提及的各项其它支付之内；</w:t>
      </w:r>
    </w:p>
    <w:p w14:paraId="6FD8DB9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d．承包人的员工在上述合同终止时的合理遣返费。</w:t>
      </w:r>
    </w:p>
    <w:p w14:paraId="017ED29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但是，发包人除按本款规定支付上述费用外，应有权要求承包人偿还各项预付款的未结算余额，以及在合同终止之日，按合同规定应由发包人向承包人收回的任何其它款额。根据本款规定应支付的费额，应由发包人在与承包人协商后确定。</w:t>
      </w:r>
    </w:p>
    <w:p w14:paraId="3968CF4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（5）发包人不履行合同约定其它义务的。</w:t>
      </w:r>
    </w:p>
    <w:p w14:paraId="759D42B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22.2.2  承包人有权暂停施工</w:t>
      </w:r>
    </w:p>
    <w:p w14:paraId="6867277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618F555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在规定的支付期到期后的15天之内，未能向承包人支付应付养护工程款额（扣除根据合同规定有权扣除的款额后），也未向承包人说明理由，则承包人有权终止对本合同项下的承包，并通知发包人，该终止在发出通知14天后生效。</w:t>
      </w:r>
    </w:p>
    <w:p w14:paraId="26828A6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应按招标文件中规定计量支付的时间进行进度支付，如连续2次发生已计量应支付而未支付工程款的，承包人可停工（但不得拖欠农民工工资）。造成的损失由发包人承担。</w:t>
      </w:r>
    </w:p>
    <w:p w14:paraId="2497A4E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22.2.3  发包人违约解除合同 </w:t>
      </w:r>
    </w:p>
    <w:p w14:paraId="202EA96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（1）发生第22.2.1（4）目的违约情况时，承包人可书面通知发包人解除合同。</w:t>
      </w:r>
    </w:p>
    <w:p w14:paraId="7DEF152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14:paraId="2FEB163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22.2.4  解除合同后的付款</w:t>
      </w:r>
    </w:p>
    <w:p w14:paraId="1B396D2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因发包人违约解除合同的，发包人应在解除合同后28天内向承包人支付下列金额，承包人应在此期限内及时向发包人提交要求支付下列金额的有关资料和凭证：</w:t>
      </w:r>
    </w:p>
    <w:p w14:paraId="4F671BD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（1）合同解除日以前所完成工作的价款；</w:t>
      </w:r>
    </w:p>
    <w:p w14:paraId="68B9B84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（2）承包人为该工程施工订购并已付款的材料和其它物品的金额。发包人付款后，该材料和其它物品归发包人所有；</w:t>
      </w:r>
    </w:p>
    <w:p w14:paraId="22FA68D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（3）承包人为完成工程所发生的，而发包人未支付的金额；</w:t>
      </w:r>
    </w:p>
    <w:p w14:paraId="027D0AD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（4）承包人撤离施工场地以及遣散承包人人员的金额；</w:t>
      </w:r>
    </w:p>
    <w:p w14:paraId="4F35ACF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（5）由于解除合同应赔偿的承包人损失；</w:t>
      </w:r>
    </w:p>
    <w:p w14:paraId="4EE6027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（6）按合同约定在合同解除日前应支付给承包人的其它金额。</w:t>
      </w:r>
    </w:p>
    <w:p w14:paraId="78E8CF9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发包人应按本项约定支付上述金额并退还质量保证金和履约担保，但有权要求承包人支付应偿还给发包人的各项金额。</w:t>
      </w:r>
    </w:p>
    <w:p w14:paraId="1AA192D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22.2.5  解除合同后的承包人撤离</w:t>
      </w:r>
    </w:p>
    <w:p w14:paraId="465C929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1A67D54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22.3  第三人造成的违约</w:t>
      </w:r>
    </w:p>
    <w:p w14:paraId="6A3C7FD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在履行合同过程中，一方当事人因第三人的原因造成违约的，应当向对方当事人承担违约责任。一方当事人和第三人之间的纠纷，依照法律规定或者按照约定解决。</w:t>
      </w:r>
    </w:p>
    <w:p w14:paraId="63B3917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23．索赔</w:t>
      </w:r>
    </w:p>
    <w:p w14:paraId="21287EF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23.1  承包人索赔的提出</w:t>
      </w:r>
    </w:p>
    <w:p w14:paraId="3DA669C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根据合同约定，承包人认为有权得到追加付款和（或）延长工期的，应按以下程序向发包人提出索赔：</w:t>
      </w:r>
    </w:p>
    <w:p w14:paraId="03A2CA6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A7A268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（2）承包人应在发出索赔意向通知书后28天内，向监理人正式递交索赔通知书。索赔通知书应详细说明索赔理由以及要求追加的付款金额和（或）延长的工期，并附必要的记录和证明材料；</w:t>
      </w:r>
    </w:p>
    <w:p w14:paraId="01BC99C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（3）索赔事件具有连续影响的，承包人应按合理时间间隔继续递交延续索赔通知，说明连续影响的实际情况和记录，列出累计的追加付款金额和（或）工期延长天数；</w:t>
      </w:r>
    </w:p>
    <w:p w14:paraId="4F4D17E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（4）在索赔事件影响结束后的28天内，承包人应向监理人递交最终索赔通知书，说明最终要求索赔的追加付款金额和（或）延长的工期，并附必要的记录和证明材料。</w:t>
      </w:r>
    </w:p>
    <w:p w14:paraId="20E40C8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23.2  承包人索赔处理程序</w:t>
      </w:r>
    </w:p>
    <w:p w14:paraId="4C97988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（1）监理人收到承包人提交的索赔通知书后，应及时审查索赔通知书的内容、查验承包人的记录和证明材料，必要时监理人可要求承包人提交全部原始记录副本。</w:t>
      </w:r>
    </w:p>
    <w:p w14:paraId="13EB3CA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于监理人按当时记录予以核实的那部分款额和（或）工期延长天数。</w:t>
      </w:r>
    </w:p>
    <w:p w14:paraId="5966C28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（3）承包人接受索赔处理结果的，发包人应在作出索赔处理结果答复后28天内完成赔付。承包人不接受索赔处理结果的，按第24条的约定办理。</w:t>
      </w:r>
    </w:p>
    <w:p w14:paraId="40485A7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23.3  承包人提出索赔的期限</w:t>
      </w:r>
    </w:p>
    <w:p w14:paraId="013485B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23.3.1  承包人按第17.5款的约定接受了竣工付款证书后，应被认为已无权再提出在合同工程接收证书颁发前所发生的任何索赔。</w:t>
      </w:r>
    </w:p>
    <w:p w14:paraId="416A558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23.3.2  承包人按第17.6款的约定提交的最终结清申请单中，只限于提出工程接收证书颁发后发生的索赔。提出索赔的期限自接受最终结清证书时终止。</w:t>
      </w:r>
    </w:p>
    <w:p w14:paraId="521024D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23.4  发包人的索赔</w:t>
      </w:r>
    </w:p>
    <w:p w14:paraId="03A1B22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2033BF6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23.4.2  监理人按第3.5款商定或确定发包人从承包人处得到赔付的金额和（或）缺陷责任期的延长期。承包人应付给发包人的金额可从拟支付给承包人的合同价款中扣除，或由承包人以其它方式支付给发包人。</w:t>
      </w:r>
    </w:p>
    <w:p w14:paraId="6B989D0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24．争议的解决</w:t>
      </w:r>
    </w:p>
    <w:p w14:paraId="7E806E0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24.1  争议的解决方式</w:t>
      </w:r>
    </w:p>
    <w:p w14:paraId="6BFDD05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75FE6E2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（1）向约定的仲裁委员会申请仲裁；</w:t>
      </w:r>
    </w:p>
    <w:p w14:paraId="0A2B30B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（2）向有管辖权的人民法院提起诉讼。</w:t>
      </w:r>
    </w:p>
    <w:p w14:paraId="1685307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24.2  友好解决</w:t>
      </w:r>
    </w:p>
    <w:p w14:paraId="183E30B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在提请争议评审、仲裁或者诉讼前，以及在争议评审、仲裁或诉讼过程中，发包人和承包人均可共同努力友好协商解决争议。</w:t>
      </w:r>
    </w:p>
    <w:p w14:paraId="6065843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24.3  争议评审</w:t>
      </w:r>
    </w:p>
    <w:p w14:paraId="2935817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24.3.1  采用争议评审的，发包人和承包人应在开工日后的28天内或在争议发生后，协商成立争议评审组。争议评审组由有合同管理和工程实践经验的专家组成。</w:t>
      </w:r>
    </w:p>
    <w:p w14:paraId="4244F0E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争议评审组由3人或5人组成，专家聘请方法可由发包人和承包人共同协商确定，亦可请政府主管部门推荐或通过争议调解机构聘请，并经双方认同。争议评审组成员应与合同双方均无利害关系。争议评审组的各项费用由发包人和承包人平均分担。</w:t>
      </w:r>
    </w:p>
    <w:p w14:paraId="4866C71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24.3.2  合同双方的争议，应首先由申请人向争议评审组提交一份详细的评审申请报告，并附必要的文件、图纸和证明材料，申请人还应将上述报告的副本同时提交给被申请人和监理人。</w:t>
      </w:r>
    </w:p>
    <w:p w14:paraId="1B89FD0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24.3.3  被申请人在收到申请人评审申请报告副本后的28天内，向争议评审组提交一份答辩报告，并附证明材料。被申请人应将答辩报告的副本同时提交给申请人和监理人。</w:t>
      </w:r>
    </w:p>
    <w:p w14:paraId="018D397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24.3.4  除专用合同条款另有约定外，争议评审组在收到合同双方报告后的14天内，邀请双方代表和有关人员举行调查会，向双方调查争议细节；必要时争议评审组可要求双方进一步提供补充材料。</w:t>
      </w:r>
    </w:p>
    <w:p w14:paraId="3EDBAE8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2A2F08E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24.3.6  发包人和承包人接受评审意见的，由监理人根据评审意见拟定执行协议，经争议双方签字后作为合同的补充文件，并遵照执行。</w:t>
      </w:r>
    </w:p>
    <w:p w14:paraId="52C5584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36F1DBA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24.4  仲裁         24.4.1  本款适用于采用仲裁方式最终解决争议的项目。</w:t>
      </w:r>
    </w:p>
    <w:p w14:paraId="1C79C5E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（1）对于未能友好解决或未能通过争议评审解决的争议，发包人或承包人任一方均有权提交给第24.1款约定的仲裁委员会仲裁。</w:t>
      </w:r>
    </w:p>
    <w:p w14:paraId="535657F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66994CD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（3）仲裁裁决是终局性的并对发包人和承包人双方具有约束力。</w:t>
      </w:r>
    </w:p>
    <w:p w14:paraId="1698F0F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（4）全部仲裁费用应由败诉方承担；或按仲裁委员会裁决的比例分担。</w:t>
      </w:r>
    </w:p>
    <w:p w14:paraId="5AC42D0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24.4.2  仲裁的执行。</w:t>
      </w:r>
    </w:p>
    <w:p w14:paraId="3568451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（1）任何一方不履行仲裁机构的裁决的，对方可以向有管辖权的人民法院申请执行。</w:t>
      </w:r>
    </w:p>
    <w:p w14:paraId="0B50B02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 </w:t>
      </w:r>
    </w:p>
    <w:p w14:paraId="74A68875">
      <w:pPr>
        <w:pageBreakBefore w:val="0"/>
        <w:wordWrap/>
        <w:topLinePunct w:val="0"/>
        <w:autoSpaceDE w:val="0"/>
        <w:autoSpaceDN w:val="0"/>
        <w:bidi w:val="0"/>
        <w:adjustRightInd w:val="0"/>
        <w:snapToGrid w:val="0"/>
        <w:spacing w:beforeAutospacing="0" w:afterAutospacing="0" w:line="240" w:lineRule="auto"/>
        <w:ind w:firstLine="1980" w:firstLineChars="900"/>
        <w:textAlignment w:val="bottom"/>
        <w:rPr>
          <w:rFonts w:hint="eastAsia" w:ascii="宋体" w:hAnsi="宋体" w:eastAsia="宋体" w:cs="宋体"/>
          <w:b w:val="0"/>
          <w:color w:val="auto"/>
          <w:sz w:val="22"/>
          <w:szCs w:val="22"/>
          <w:highlight w:val="none"/>
        </w:rPr>
      </w:pPr>
    </w:p>
    <w:p w14:paraId="7E0F42D0">
      <w:pPr>
        <w:pageBreakBefore w:val="0"/>
        <w:wordWrap/>
        <w:topLinePunct w:val="0"/>
        <w:autoSpaceDE w:val="0"/>
        <w:autoSpaceDN w:val="0"/>
        <w:bidi w:val="0"/>
        <w:adjustRightInd w:val="0"/>
        <w:snapToGrid w:val="0"/>
        <w:spacing w:beforeAutospacing="0" w:afterAutospacing="0" w:line="240" w:lineRule="auto"/>
        <w:ind w:firstLine="1980" w:firstLineChars="900"/>
        <w:textAlignment w:val="bottom"/>
        <w:rPr>
          <w:rFonts w:hint="eastAsia" w:ascii="宋体" w:hAnsi="宋体" w:eastAsia="宋体" w:cs="宋体"/>
          <w:b w:val="0"/>
          <w:color w:val="auto"/>
          <w:sz w:val="22"/>
          <w:szCs w:val="22"/>
          <w:highlight w:val="none"/>
        </w:rPr>
      </w:pPr>
    </w:p>
    <w:p w14:paraId="50EA9913">
      <w:pPr>
        <w:pageBreakBefore w:val="0"/>
        <w:wordWrap/>
        <w:topLinePunct w:val="0"/>
        <w:autoSpaceDE w:val="0"/>
        <w:autoSpaceDN w:val="0"/>
        <w:bidi w:val="0"/>
        <w:adjustRightInd w:val="0"/>
        <w:snapToGrid w:val="0"/>
        <w:spacing w:beforeAutospacing="0" w:afterAutospacing="0" w:line="240" w:lineRule="auto"/>
        <w:jc w:val="center"/>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br w:type="page"/>
      </w:r>
      <w:r>
        <w:rPr>
          <w:rFonts w:hint="eastAsia" w:ascii="宋体" w:hAnsi="宋体" w:eastAsia="宋体" w:cs="宋体"/>
          <w:b/>
          <w:bCs w:val="0"/>
          <w:color w:val="auto"/>
          <w:sz w:val="22"/>
          <w:szCs w:val="22"/>
          <w:highlight w:val="none"/>
        </w:rPr>
        <w:t>第二节  项目专用合同条款</w:t>
      </w:r>
    </w:p>
    <w:p w14:paraId="1589732E">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sz w:val="22"/>
          <w:szCs w:val="22"/>
          <w:highlight w:val="none"/>
        </w:rPr>
        <w:t>说明：本数据表是项目专用合同条款中适用于本项目的信息和数据的归纳与提示，是项目专用合同条款的组成部分。</w:t>
      </w:r>
    </w:p>
    <w:tbl>
      <w:tblPr>
        <w:tblStyle w:val="62"/>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9"/>
        <w:gridCol w:w="1103"/>
        <w:gridCol w:w="7139"/>
        <w:gridCol w:w="10"/>
      </w:tblGrid>
      <w:tr w14:paraId="11749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67" w:hRule="atLeast"/>
          <w:jc w:val="center"/>
        </w:trPr>
        <w:tc>
          <w:tcPr>
            <w:tcW w:w="820" w:type="dxa"/>
            <w:noWrap w:val="0"/>
            <w:vAlign w:val="center"/>
          </w:tcPr>
          <w:p w14:paraId="1B91F128">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序号</w:t>
            </w:r>
          </w:p>
        </w:tc>
        <w:tc>
          <w:tcPr>
            <w:tcW w:w="1103" w:type="dxa"/>
            <w:noWrap w:val="0"/>
            <w:vAlign w:val="center"/>
          </w:tcPr>
          <w:p w14:paraId="16818550">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条目号</w:t>
            </w:r>
          </w:p>
        </w:tc>
        <w:tc>
          <w:tcPr>
            <w:tcW w:w="7148" w:type="dxa"/>
            <w:noWrap w:val="0"/>
            <w:vAlign w:val="center"/>
          </w:tcPr>
          <w:p w14:paraId="5E63AF99">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信息或数据</w:t>
            </w:r>
          </w:p>
        </w:tc>
      </w:tr>
      <w:tr w14:paraId="0A019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67" w:hRule="atLeast"/>
          <w:jc w:val="center"/>
        </w:trPr>
        <w:tc>
          <w:tcPr>
            <w:tcW w:w="820" w:type="dxa"/>
            <w:noWrap w:val="0"/>
            <w:vAlign w:val="center"/>
          </w:tcPr>
          <w:p w14:paraId="49A2AEB3">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w:t>
            </w:r>
          </w:p>
        </w:tc>
        <w:tc>
          <w:tcPr>
            <w:tcW w:w="1103" w:type="dxa"/>
            <w:noWrap w:val="0"/>
            <w:vAlign w:val="center"/>
          </w:tcPr>
          <w:p w14:paraId="5ABD5E84">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1.1.2.2</w:t>
            </w:r>
          </w:p>
        </w:tc>
        <w:tc>
          <w:tcPr>
            <w:tcW w:w="7148" w:type="dxa"/>
            <w:noWrap w:val="0"/>
            <w:vAlign w:val="center"/>
          </w:tcPr>
          <w:p w14:paraId="31CBDDE4">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lang w:eastAsia="zh-CN"/>
              </w:rPr>
            </w:pPr>
            <w:r>
              <w:rPr>
                <w:rFonts w:hint="eastAsia" w:ascii="宋体" w:hAnsi="宋体" w:eastAsia="宋体" w:cs="宋体"/>
                <w:b w:val="0"/>
                <w:bCs w:val="0"/>
                <w:color w:val="auto"/>
                <w:kern w:val="2"/>
                <w:sz w:val="22"/>
                <w:szCs w:val="22"/>
                <w:highlight w:val="none"/>
              </w:rPr>
              <w:t>发包人：</w:t>
            </w:r>
            <w:r>
              <w:rPr>
                <w:rFonts w:hint="eastAsia" w:ascii="宋体" w:hAnsi="宋体" w:eastAsia="宋体" w:cs="宋体"/>
                <w:b w:val="0"/>
                <w:bCs w:val="0"/>
                <w:color w:val="auto"/>
                <w:kern w:val="2"/>
                <w:sz w:val="22"/>
                <w:szCs w:val="22"/>
                <w:highlight w:val="none"/>
                <w:lang w:eastAsia="zh-CN"/>
              </w:rPr>
              <w:t>永嘉县公路与运输管理中心</w:t>
            </w:r>
          </w:p>
          <w:p w14:paraId="1D22297F">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地  址：永嘉县上塘镇黄屿村       邮政编码：325100</w:t>
            </w:r>
          </w:p>
        </w:tc>
      </w:tr>
      <w:tr w14:paraId="0AE40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67" w:hRule="atLeast"/>
          <w:jc w:val="center"/>
        </w:trPr>
        <w:tc>
          <w:tcPr>
            <w:tcW w:w="820" w:type="dxa"/>
            <w:noWrap w:val="0"/>
            <w:vAlign w:val="center"/>
          </w:tcPr>
          <w:p w14:paraId="4CADCFC5">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w:t>
            </w:r>
          </w:p>
        </w:tc>
        <w:tc>
          <w:tcPr>
            <w:tcW w:w="1103" w:type="dxa"/>
            <w:noWrap w:val="0"/>
            <w:vAlign w:val="center"/>
          </w:tcPr>
          <w:p w14:paraId="230F95DC">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1.1.2.6</w:t>
            </w:r>
          </w:p>
        </w:tc>
        <w:tc>
          <w:tcPr>
            <w:tcW w:w="7148" w:type="dxa"/>
            <w:noWrap w:val="0"/>
            <w:vAlign w:val="center"/>
          </w:tcPr>
          <w:p w14:paraId="05C06774">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监理人：合同签订后，通知承包人</w:t>
            </w:r>
          </w:p>
          <w:p w14:paraId="3D50617F">
            <w:pPr>
              <w:pageBreakBefore w:val="0"/>
              <w:wordWrap/>
              <w:topLinePunct w:val="0"/>
              <w:bidi w:val="0"/>
              <w:snapToGrid w:val="0"/>
              <w:spacing w:beforeAutospacing="0" w:afterAutospacing="0" w:line="240" w:lineRule="auto"/>
              <w:ind w:firstLine="220" w:firstLineChars="1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地  址：                       邮政编码：</w:t>
            </w:r>
          </w:p>
        </w:tc>
      </w:tr>
      <w:tr w14:paraId="4966E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67" w:hRule="atLeast"/>
          <w:jc w:val="center"/>
        </w:trPr>
        <w:tc>
          <w:tcPr>
            <w:tcW w:w="820" w:type="dxa"/>
            <w:noWrap w:val="0"/>
            <w:vAlign w:val="center"/>
          </w:tcPr>
          <w:p w14:paraId="3EFC56AB">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3</w:t>
            </w:r>
          </w:p>
        </w:tc>
        <w:tc>
          <w:tcPr>
            <w:tcW w:w="1103" w:type="dxa"/>
            <w:noWrap w:val="0"/>
            <w:vAlign w:val="center"/>
          </w:tcPr>
          <w:p w14:paraId="0D0710AF">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1.1.4.5</w:t>
            </w:r>
          </w:p>
        </w:tc>
        <w:tc>
          <w:tcPr>
            <w:tcW w:w="7148" w:type="dxa"/>
            <w:noWrap w:val="0"/>
            <w:vAlign w:val="center"/>
          </w:tcPr>
          <w:p w14:paraId="751C2D67">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缺陷责任期：自实际交工日期起计算</w:t>
            </w:r>
            <w:r>
              <w:rPr>
                <w:rFonts w:hint="eastAsia" w:ascii="宋体" w:hAnsi="宋体" w:eastAsia="宋体" w:cs="宋体"/>
                <w:b w:val="0"/>
                <w:bCs w:val="0"/>
                <w:color w:val="auto"/>
                <w:kern w:val="2"/>
                <w:sz w:val="22"/>
                <w:szCs w:val="22"/>
                <w:highlight w:val="none"/>
                <w:u w:val="single"/>
              </w:rPr>
              <w:t xml:space="preserve">  3个  </w:t>
            </w:r>
            <w:r>
              <w:rPr>
                <w:rFonts w:hint="eastAsia" w:ascii="宋体" w:hAnsi="宋体" w:eastAsia="宋体" w:cs="宋体"/>
                <w:b w:val="0"/>
                <w:bCs w:val="0"/>
                <w:color w:val="auto"/>
                <w:kern w:val="2"/>
                <w:sz w:val="22"/>
                <w:szCs w:val="22"/>
                <w:highlight w:val="none"/>
              </w:rPr>
              <w:t>月</w:t>
            </w:r>
          </w:p>
        </w:tc>
      </w:tr>
      <w:tr w14:paraId="595FB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67" w:hRule="atLeast"/>
          <w:jc w:val="center"/>
        </w:trPr>
        <w:tc>
          <w:tcPr>
            <w:tcW w:w="820" w:type="dxa"/>
            <w:noWrap w:val="0"/>
            <w:vAlign w:val="center"/>
          </w:tcPr>
          <w:p w14:paraId="0C593201">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4</w:t>
            </w:r>
          </w:p>
        </w:tc>
        <w:tc>
          <w:tcPr>
            <w:tcW w:w="1103" w:type="dxa"/>
            <w:noWrap w:val="0"/>
            <w:vAlign w:val="center"/>
          </w:tcPr>
          <w:p w14:paraId="1156E9F7">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1.6.3</w:t>
            </w:r>
          </w:p>
        </w:tc>
        <w:tc>
          <w:tcPr>
            <w:tcW w:w="7148" w:type="dxa"/>
            <w:noWrap w:val="0"/>
            <w:vAlign w:val="center"/>
          </w:tcPr>
          <w:p w14:paraId="4D353593">
            <w:pPr>
              <w:pageBreakBefore w:val="0"/>
              <w:wordWrap/>
              <w:topLinePunct w:val="0"/>
              <w:bidi w:val="0"/>
              <w:snapToGrid w:val="0"/>
              <w:spacing w:beforeAutospacing="0" w:afterAutospacing="0" w:line="240" w:lineRule="auto"/>
              <w:ind w:left="105" w:leftChars="50" w:firstLine="110" w:firstLineChars="5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图纸需按</w:t>
            </w:r>
            <w:r>
              <w:rPr>
                <w:rFonts w:hint="eastAsia" w:ascii="宋体" w:hAnsi="宋体" w:eastAsia="宋体" w:cs="宋体"/>
                <w:bCs w:val="0"/>
                <w:color w:val="auto"/>
                <w:kern w:val="2"/>
                <w:sz w:val="22"/>
                <w:szCs w:val="22"/>
                <w:highlight w:val="none"/>
              </w:rPr>
              <w:t>甲方日常养护中实际要求提供的线路桩号修改和补充</w:t>
            </w:r>
            <w:r>
              <w:rPr>
                <w:rFonts w:hint="eastAsia" w:ascii="宋体" w:hAnsi="宋体" w:eastAsia="宋体" w:cs="宋体"/>
                <w:b w:val="0"/>
                <w:bCs w:val="0"/>
                <w:color w:val="auto"/>
                <w:kern w:val="2"/>
                <w:sz w:val="22"/>
                <w:szCs w:val="22"/>
                <w:highlight w:val="none"/>
              </w:rPr>
              <w:t>，应由监理人取得发包人同意后，在该工程或工程相应部位施工前</w:t>
            </w:r>
            <w:r>
              <w:rPr>
                <w:rFonts w:hint="eastAsia" w:ascii="宋体" w:hAnsi="宋体" w:eastAsia="宋体" w:cs="宋体"/>
                <w:b w:val="0"/>
                <w:bCs w:val="0"/>
                <w:color w:val="auto"/>
                <w:kern w:val="2"/>
                <w:sz w:val="22"/>
                <w:szCs w:val="22"/>
                <w:highlight w:val="none"/>
                <w:u w:val="single"/>
              </w:rPr>
              <w:t xml:space="preserve">  7  </w:t>
            </w:r>
            <w:r>
              <w:rPr>
                <w:rFonts w:hint="eastAsia" w:ascii="宋体" w:hAnsi="宋体" w:eastAsia="宋体" w:cs="宋体"/>
                <w:b w:val="0"/>
                <w:bCs w:val="0"/>
                <w:color w:val="auto"/>
                <w:kern w:val="2"/>
                <w:sz w:val="22"/>
                <w:szCs w:val="22"/>
                <w:highlight w:val="none"/>
              </w:rPr>
              <w:t>天内签发图纸修改图给承包人</w:t>
            </w:r>
          </w:p>
        </w:tc>
      </w:tr>
      <w:tr w14:paraId="5F19B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67" w:hRule="atLeast"/>
          <w:jc w:val="center"/>
        </w:trPr>
        <w:tc>
          <w:tcPr>
            <w:tcW w:w="820" w:type="dxa"/>
            <w:noWrap w:val="0"/>
            <w:vAlign w:val="center"/>
          </w:tcPr>
          <w:p w14:paraId="7A802DC3">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5</w:t>
            </w:r>
          </w:p>
        </w:tc>
        <w:tc>
          <w:tcPr>
            <w:tcW w:w="1103" w:type="dxa"/>
            <w:noWrap w:val="0"/>
            <w:vAlign w:val="center"/>
          </w:tcPr>
          <w:p w14:paraId="10606D81">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3.1.1</w:t>
            </w:r>
          </w:p>
        </w:tc>
        <w:tc>
          <w:tcPr>
            <w:tcW w:w="7148" w:type="dxa"/>
            <w:noWrap w:val="0"/>
            <w:vAlign w:val="center"/>
          </w:tcPr>
          <w:p w14:paraId="64A05D87">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监理人在行使下列权力前需要经发包人事先批准：</w:t>
            </w:r>
          </w:p>
          <w:p w14:paraId="43E3C328">
            <w:pPr>
              <w:pageBreakBefore w:val="0"/>
              <w:wordWrap/>
              <w:topLinePunct w:val="0"/>
              <w:bidi w:val="0"/>
              <w:snapToGrid w:val="0"/>
              <w:spacing w:beforeAutospacing="0" w:afterAutospacing="0" w:line="240" w:lineRule="auto"/>
              <w:ind w:left="105" w:leftChars="50" w:firstLine="110" w:firstLineChars="5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（6）根据第15.3款发出的变更指示，其单项工程变更涉及的金额超过了该单项工程签约时合同价的</w:t>
            </w:r>
            <w:r>
              <w:rPr>
                <w:rFonts w:hint="eastAsia" w:ascii="宋体" w:hAnsi="宋体" w:eastAsia="宋体" w:cs="宋体"/>
                <w:b w:val="0"/>
                <w:bCs w:val="0"/>
                <w:color w:val="auto"/>
                <w:kern w:val="2"/>
                <w:sz w:val="22"/>
                <w:szCs w:val="22"/>
                <w:highlight w:val="none"/>
                <w:u w:val="single"/>
              </w:rPr>
              <w:t xml:space="preserve">  /  </w:t>
            </w:r>
            <w:r>
              <w:rPr>
                <w:rFonts w:hint="eastAsia" w:ascii="宋体" w:hAnsi="宋体" w:eastAsia="宋体" w:cs="宋体"/>
                <w:b w:val="0"/>
                <w:bCs w:val="0"/>
                <w:color w:val="auto"/>
                <w:kern w:val="2"/>
                <w:sz w:val="22"/>
                <w:szCs w:val="22"/>
                <w:highlight w:val="none"/>
              </w:rPr>
              <w:t>%或累计变更超过了签约合同价的</w:t>
            </w:r>
            <w:r>
              <w:rPr>
                <w:rFonts w:hint="eastAsia" w:ascii="宋体" w:hAnsi="宋体" w:eastAsia="宋体" w:cs="宋体"/>
                <w:b w:val="0"/>
                <w:bCs w:val="0"/>
                <w:color w:val="auto"/>
                <w:kern w:val="2"/>
                <w:sz w:val="22"/>
                <w:szCs w:val="22"/>
                <w:highlight w:val="none"/>
                <w:u w:val="single"/>
              </w:rPr>
              <w:t xml:space="preserve">  /  </w:t>
            </w:r>
            <w:r>
              <w:rPr>
                <w:rFonts w:hint="eastAsia" w:ascii="宋体" w:hAnsi="宋体" w:eastAsia="宋体" w:cs="宋体"/>
                <w:b w:val="0"/>
                <w:bCs w:val="0"/>
                <w:color w:val="auto"/>
                <w:kern w:val="2"/>
                <w:sz w:val="22"/>
                <w:szCs w:val="22"/>
                <w:highlight w:val="none"/>
              </w:rPr>
              <w:t>%</w:t>
            </w:r>
          </w:p>
        </w:tc>
      </w:tr>
      <w:tr w14:paraId="1B67D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67" w:hRule="atLeast"/>
          <w:jc w:val="center"/>
        </w:trPr>
        <w:tc>
          <w:tcPr>
            <w:tcW w:w="820" w:type="dxa"/>
            <w:noWrap w:val="0"/>
            <w:vAlign w:val="center"/>
          </w:tcPr>
          <w:p w14:paraId="6B05FDD8">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6</w:t>
            </w:r>
          </w:p>
        </w:tc>
        <w:tc>
          <w:tcPr>
            <w:tcW w:w="1103" w:type="dxa"/>
            <w:noWrap w:val="0"/>
            <w:vAlign w:val="center"/>
          </w:tcPr>
          <w:p w14:paraId="599578F8">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5.2.1</w:t>
            </w:r>
          </w:p>
        </w:tc>
        <w:tc>
          <w:tcPr>
            <w:tcW w:w="7148" w:type="dxa"/>
            <w:noWrap w:val="0"/>
            <w:vAlign w:val="center"/>
          </w:tcPr>
          <w:p w14:paraId="70D1DDB2">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发包人是否提供材料：</w:t>
            </w:r>
            <w:r>
              <w:rPr>
                <w:rFonts w:hint="eastAsia" w:ascii="宋体" w:hAnsi="宋体" w:eastAsia="宋体" w:cs="宋体"/>
                <w:b w:val="0"/>
                <w:bCs w:val="0"/>
                <w:color w:val="auto"/>
                <w:kern w:val="2"/>
                <w:sz w:val="22"/>
                <w:szCs w:val="22"/>
                <w:highlight w:val="none"/>
                <w:u w:val="single"/>
              </w:rPr>
              <w:t xml:space="preserve">  否   </w:t>
            </w:r>
            <w:r>
              <w:rPr>
                <w:rFonts w:hint="eastAsia" w:ascii="宋体" w:hAnsi="宋体" w:eastAsia="宋体" w:cs="宋体"/>
                <w:b w:val="0"/>
                <w:bCs w:val="0"/>
                <w:color w:val="auto"/>
                <w:kern w:val="2"/>
                <w:sz w:val="22"/>
                <w:szCs w:val="22"/>
                <w:highlight w:val="none"/>
              </w:rPr>
              <w:t xml:space="preserve"> </w:t>
            </w:r>
          </w:p>
        </w:tc>
      </w:tr>
      <w:tr w14:paraId="6BA5A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67" w:hRule="atLeast"/>
          <w:jc w:val="center"/>
        </w:trPr>
        <w:tc>
          <w:tcPr>
            <w:tcW w:w="820" w:type="dxa"/>
            <w:noWrap w:val="0"/>
            <w:vAlign w:val="center"/>
          </w:tcPr>
          <w:p w14:paraId="726D1A42">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7</w:t>
            </w:r>
          </w:p>
        </w:tc>
        <w:tc>
          <w:tcPr>
            <w:tcW w:w="1103" w:type="dxa"/>
            <w:noWrap w:val="0"/>
            <w:vAlign w:val="center"/>
          </w:tcPr>
          <w:p w14:paraId="7D4DC978">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6.2</w:t>
            </w:r>
          </w:p>
        </w:tc>
        <w:tc>
          <w:tcPr>
            <w:tcW w:w="7148" w:type="dxa"/>
            <w:noWrap w:val="0"/>
            <w:vAlign w:val="center"/>
          </w:tcPr>
          <w:p w14:paraId="693FDAB8">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发包人是否提供施工设备和临时设施：</w:t>
            </w:r>
            <w:r>
              <w:rPr>
                <w:rFonts w:hint="eastAsia" w:ascii="宋体" w:hAnsi="宋体" w:eastAsia="宋体" w:cs="宋体"/>
                <w:b w:val="0"/>
                <w:bCs w:val="0"/>
                <w:color w:val="auto"/>
                <w:kern w:val="2"/>
                <w:sz w:val="22"/>
                <w:szCs w:val="22"/>
                <w:highlight w:val="none"/>
                <w:u w:val="single"/>
              </w:rPr>
              <w:t xml:space="preserve">  否  </w:t>
            </w:r>
            <w:r>
              <w:rPr>
                <w:rFonts w:hint="eastAsia" w:ascii="宋体" w:hAnsi="宋体" w:eastAsia="宋体" w:cs="宋体"/>
                <w:b w:val="0"/>
                <w:bCs w:val="0"/>
                <w:color w:val="auto"/>
                <w:kern w:val="2"/>
                <w:sz w:val="22"/>
                <w:szCs w:val="22"/>
                <w:highlight w:val="none"/>
              </w:rPr>
              <w:t xml:space="preserve"> </w:t>
            </w:r>
          </w:p>
        </w:tc>
      </w:tr>
      <w:tr w14:paraId="5BD4B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67" w:hRule="atLeast"/>
          <w:jc w:val="center"/>
        </w:trPr>
        <w:tc>
          <w:tcPr>
            <w:tcW w:w="820" w:type="dxa"/>
            <w:noWrap w:val="0"/>
            <w:vAlign w:val="center"/>
          </w:tcPr>
          <w:p w14:paraId="6D0CCC67">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8</w:t>
            </w:r>
          </w:p>
        </w:tc>
        <w:tc>
          <w:tcPr>
            <w:tcW w:w="1103" w:type="dxa"/>
            <w:noWrap w:val="0"/>
            <w:vAlign w:val="center"/>
          </w:tcPr>
          <w:p w14:paraId="6FF6407C">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11.5</w:t>
            </w:r>
          </w:p>
        </w:tc>
        <w:tc>
          <w:tcPr>
            <w:tcW w:w="7148" w:type="dxa"/>
            <w:noWrap w:val="0"/>
            <w:vAlign w:val="center"/>
          </w:tcPr>
          <w:p w14:paraId="660D4D46">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逾期交工违约金：</w:t>
            </w:r>
            <w:r>
              <w:rPr>
                <w:rFonts w:hint="eastAsia" w:ascii="宋体" w:hAnsi="宋体" w:cs="宋体"/>
                <w:b w:val="0"/>
                <w:bCs w:val="0"/>
                <w:color w:val="auto"/>
                <w:kern w:val="2"/>
                <w:sz w:val="22"/>
                <w:szCs w:val="22"/>
                <w:highlight w:val="none"/>
                <w:u w:val="single"/>
                <w:lang w:val="en-US" w:eastAsia="zh-CN"/>
              </w:rPr>
              <w:t>1</w:t>
            </w:r>
            <w:r>
              <w:rPr>
                <w:rFonts w:hint="eastAsia" w:ascii="宋体" w:hAnsi="宋体" w:eastAsia="宋体" w:cs="宋体"/>
                <w:b w:val="0"/>
                <w:bCs w:val="0"/>
                <w:color w:val="auto"/>
                <w:kern w:val="2"/>
                <w:sz w:val="22"/>
                <w:szCs w:val="22"/>
                <w:highlight w:val="none"/>
                <w:u w:val="single"/>
              </w:rPr>
              <w:t xml:space="preserve">000 </w:t>
            </w:r>
            <w:r>
              <w:rPr>
                <w:rFonts w:hint="eastAsia" w:ascii="宋体" w:hAnsi="宋体" w:eastAsia="宋体" w:cs="宋体"/>
                <w:b w:val="0"/>
                <w:bCs w:val="0"/>
                <w:color w:val="auto"/>
                <w:kern w:val="2"/>
                <w:sz w:val="22"/>
                <w:szCs w:val="22"/>
                <w:highlight w:val="none"/>
              </w:rPr>
              <w:t>元∕天</w:t>
            </w:r>
          </w:p>
        </w:tc>
      </w:tr>
      <w:tr w14:paraId="6AFAA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67" w:hRule="atLeast"/>
          <w:jc w:val="center"/>
        </w:trPr>
        <w:tc>
          <w:tcPr>
            <w:tcW w:w="820" w:type="dxa"/>
            <w:noWrap w:val="0"/>
            <w:vAlign w:val="center"/>
          </w:tcPr>
          <w:p w14:paraId="450E50C8">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9</w:t>
            </w:r>
          </w:p>
        </w:tc>
        <w:tc>
          <w:tcPr>
            <w:tcW w:w="1103" w:type="dxa"/>
            <w:noWrap w:val="0"/>
            <w:vAlign w:val="center"/>
          </w:tcPr>
          <w:p w14:paraId="590ECB30">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11.5</w:t>
            </w:r>
          </w:p>
        </w:tc>
        <w:tc>
          <w:tcPr>
            <w:tcW w:w="7148" w:type="dxa"/>
            <w:noWrap w:val="0"/>
            <w:vAlign w:val="center"/>
          </w:tcPr>
          <w:p w14:paraId="7C6C178A">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逾期交工违约金限额：</w:t>
            </w:r>
            <w:r>
              <w:rPr>
                <w:rFonts w:hint="eastAsia" w:ascii="宋体" w:hAnsi="宋体" w:eastAsia="宋体" w:cs="宋体"/>
                <w:b w:val="0"/>
                <w:bCs w:val="0"/>
                <w:color w:val="auto"/>
                <w:kern w:val="2"/>
                <w:sz w:val="22"/>
                <w:szCs w:val="22"/>
                <w:highlight w:val="none"/>
                <w:u w:val="single"/>
              </w:rPr>
              <w:t xml:space="preserve"> 5 </w:t>
            </w:r>
            <w:r>
              <w:rPr>
                <w:rFonts w:hint="eastAsia" w:ascii="宋体" w:hAnsi="宋体" w:eastAsia="宋体" w:cs="宋体"/>
                <w:b w:val="0"/>
                <w:bCs w:val="0"/>
                <w:color w:val="auto"/>
                <w:kern w:val="2"/>
                <w:sz w:val="22"/>
                <w:szCs w:val="22"/>
                <w:highlight w:val="none"/>
              </w:rPr>
              <w:t>%签约合同价</w:t>
            </w:r>
          </w:p>
        </w:tc>
      </w:tr>
      <w:tr w14:paraId="3171F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67" w:hRule="atLeast"/>
          <w:jc w:val="center"/>
        </w:trPr>
        <w:tc>
          <w:tcPr>
            <w:tcW w:w="820" w:type="dxa"/>
            <w:noWrap w:val="0"/>
            <w:vAlign w:val="center"/>
          </w:tcPr>
          <w:p w14:paraId="5B33F0C6">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10</w:t>
            </w:r>
          </w:p>
        </w:tc>
        <w:tc>
          <w:tcPr>
            <w:tcW w:w="1103" w:type="dxa"/>
            <w:noWrap w:val="0"/>
            <w:vAlign w:val="center"/>
          </w:tcPr>
          <w:p w14:paraId="20C6CA83">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11.6</w:t>
            </w:r>
          </w:p>
        </w:tc>
        <w:tc>
          <w:tcPr>
            <w:tcW w:w="7148" w:type="dxa"/>
            <w:noWrap w:val="0"/>
            <w:vAlign w:val="center"/>
          </w:tcPr>
          <w:p w14:paraId="7A1F5778">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提前交工的奖金：</w:t>
            </w:r>
            <w:r>
              <w:rPr>
                <w:rFonts w:hint="eastAsia" w:ascii="宋体" w:hAnsi="宋体" w:eastAsia="宋体" w:cs="宋体"/>
                <w:b w:val="0"/>
                <w:bCs w:val="0"/>
                <w:color w:val="auto"/>
                <w:kern w:val="2"/>
                <w:sz w:val="22"/>
                <w:szCs w:val="22"/>
                <w:highlight w:val="none"/>
                <w:u w:val="single"/>
              </w:rPr>
              <w:t xml:space="preserve">  / </w:t>
            </w:r>
            <w:r>
              <w:rPr>
                <w:rFonts w:hint="eastAsia" w:ascii="宋体" w:hAnsi="宋体" w:eastAsia="宋体" w:cs="宋体"/>
                <w:b w:val="0"/>
                <w:bCs w:val="0"/>
                <w:color w:val="auto"/>
                <w:kern w:val="2"/>
                <w:sz w:val="22"/>
                <w:szCs w:val="22"/>
                <w:highlight w:val="none"/>
              </w:rPr>
              <w:t>元∕天</w:t>
            </w:r>
          </w:p>
        </w:tc>
      </w:tr>
      <w:tr w14:paraId="3F659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67" w:hRule="atLeast"/>
          <w:jc w:val="center"/>
        </w:trPr>
        <w:tc>
          <w:tcPr>
            <w:tcW w:w="820" w:type="dxa"/>
            <w:noWrap w:val="0"/>
            <w:vAlign w:val="center"/>
          </w:tcPr>
          <w:p w14:paraId="5E1A09D6">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11</w:t>
            </w:r>
          </w:p>
        </w:tc>
        <w:tc>
          <w:tcPr>
            <w:tcW w:w="1103" w:type="dxa"/>
            <w:noWrap w:val="0"/>
            <w:vAlign w:val="center"/>
          </w:tcPr>
          <w:p w14:paraId="056D650E">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11.6</w:t>
            </w:r>
          </w:p>
        </w:tc>
        <w:tc>
          <w:tcPr>
            <w:tcW w:w="7148" w:type="dxa"/>
            <w:noWrap w:val="0"/>
            <w:vAlign w:val="center"/>
          </w:tcPr>
          <w:p w14:paraId="5F2A4F28">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提前交工的奖金限额：</w:t>
            </w:r>
            <w:r>
              <w:rPr>
                <w:rFonts w:hint="eastAsia" w:ascii="宋体" w:hAnsi="宋体" w:eastAsia="宋体" w:cs="宋体"/>
                <w:b w:val="0"/>
                <w:bCs w:val="0"/>
                <w:color w:val="auto"/>
                <w:kern w:val="2"/>
                <w:sz w:val="22"/>
                <w:szCs w:val="22"/>
                <w:highlight w:val="none"/>
                <w:u w:val="single"/>
              </w:rPr>
              <w:t xml:space="preserve"> /  </w:t>
            </w:r>
            <w:r>
              <w:rPr>
                <w:rFonts w:hint="eastAsia" w:ascii="宋体" w:hAnsi="宋体" w:eastAsia="宋体" w:cs="宋体"/>
                <w:b w:val="0"/>
                <w:bCs w:val="0"/>
                <w:color w:val="auto"/>
                <w:kern w:val="2"/>
                <w:sz w:val="22"/>
                <w:szCs w:val="22"/>
                <w:highlight w:val="none"/>
              </w:rPr>
              <w:t>%签约合同价</w:t>
            </w:r>
          </w:p>
        </w:tc>
      </w:tr>
      <w:tr w14:paraId="15069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67" w:hRule="atLeast"/>
          <w:jc w:val="center"/>
        </w:trPr>
        <w:tc>
          <w:tcPr>
            <w:tcW w:w="820" w:type="dxa"/>
            <w:noWrap w:val="0"/>
            <w:vAlign w:val="center"/>
          </w:tcPr>
          <w:p w14:paraId="12A4B878">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12</w:t>
            </w:r>
          </w:p>
        </w:tc>
        <w:tc>
          <w:tcPr>
            <w:tcW w:w="1103" w:type="dxa"/>
            <w:noWrap w:val="0"/>
            <w:vAlign w:val="center"/>
          </w:tcPr>
          <w:p w14:paraId="089836EC">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16.1</w:t>
            </w:r>
          </w:p>
        </w:tc>
        <w:tc>
          <w:tcPr>
            <w:tcW w:w="7148" w:type="dxa"/>
            <w:noWrap w:val="0"/>
            <w:vAlign w:val="center"/>
          </w:tcPr>
          <w:p w14:paraId="40000C3C">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合同期内不调价</w:t>
            </w:r>
          </w:p>
        </w:tc>
      </w:tr>
      <w:tr w14:paraId="65EEF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noWrap w:val="0"/>
            <w:vAlign w:val="center"/>
          </w:tcPr>
          <w:p w14:paraId="56042EF4">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13</w:t>
            </w:r>
          </w:p>
        </w:tc>
        <w:tc>
          <w:tcPr>
            <w:tcW w:w="1103" w:type="dxa"/>
            <w:noWrap w:val="0"/>
            <w:vAlign w:val="center"/>
          </w:tcPr>
          <w:p w14:paraId="6DDEB23B">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17.2.1</w:t>
            </w:r>
          </w:p>
        </w:tc>
        <w:tc>
          <w:tcPr>
            <w:tcW w:w="7158" w:type="dxa"/>
            <w:gridSpan w:val="2"/>
            <w:noWrap w:val="0"/>
            <w:vAlign w:val="center"/>
          </w:tcPr>
          <w:p w14:paraId="50999016">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vertAlign w:val="superscript"/>
              </w:rPr>
            </w:pPr>
            <w:r>
              <w:rPr>
                <w:rFonts w:hint="eastAsia" w:ascii="宋体" w:hAnsi="宋体" w:eastAsia="宋体" w:cs="宋体"/>
                <w:b w:val="0"/>
                <w:bCs w:val="0"/>
                <w:color w:val="auto"/>
                <w:kern w:val="2"/>
                <w:sz w:val="22"/>
                <w:szCs w:val="22"/>
                <w:highlight w:val="none"/>
                <w:lang w:eastAsia="zh-CN"/>
              </w:rPr>
              <w:t>采购人在合同生效且具备实施条件后7个工作日内支付合同价款</w:t>
            </w:r>
            <w:r>
              <w:rPr>
                <w:rFonts w:hint="eastAsia" w:ascii="宋体" w:hAnsi="宋体" w:eastAsia="宋体" w:cs="宋体"/>
                <w:b w:val="0"/>
                <w:bCs w:val="0"/>
                <w:color w:val="auto"/>
                <w:kern w:val="2"/>
                <w:sz w:val="22"/>
                <w:szCs w:val="22"/>
                <w:highlight w:val="none"/>
                <w:lang w:val="en-US" w:eastAsia="zh-CN"/>
              </w:rPr>
              <w:t>4</w:t>
            </w:r>
            <w:r>
              <w:rPr>
                <w:rFonts w:hint="eastAsia" w:ascii="宋体" w:hAnsi="宋体" w:eastAsia="宋体" w:cs="宋体"/>
                <w:b w:val="0"/>
                <w:bCs w:val="0"/>
                <w:color w:val="auto"/>
                <w:kern w:val="2"/>
                <w:sz w:val="22"/>
                <w:szCs w:val="22"/>
                <w:highlight w:val="none"/>
                <w:lang w:eastAsia="zh-CN"/>
              </w:rPr>
              <w:t>0%的预付款（（根据《浙江省财政厅关于进一步发挥政府采购政策功能全力推动经济稳进提升的通知》浙财采监[2022]3号文件））</w:t>
            </w:r>
            <w:r>
              <w:rPr>
                <w:rFonts w:hint="eastAsia" w:ascii="宋体" w:hAnsi="宋体" w:eastAsia="宋体" w:cs="宋体"/>
                <w:b w:val="0"/>
                <w:bCs w:val="0"/>
                <w:color w:val="auto"/>
                <w:kern w:val="2"/>
                <w:sz w:val="22"/>
                <w:szCs w:val="22"/>
                <w:highlight w:val="none"/>
                <w:lang w:val="en-US" w:eastAsia="zh-CN"/>
              </w:rPr>
              <w:t>,在签订合同时，供应商明确表示无需预付款或者主动要求降低预付款比例的，采购单位可不适用前述规定预付款。因财政国库库款能力不足等情势变更情况导致无法执行相关文件要求的支付比例，采购人与中标供应商应根据实际情况另行协商约定，中标供应商确认不因采购人延期付款的情形要求采购人承担逾期付款利息等违约责任。</w:t>
            </w:r>
            <w:r>
              <w:rPr>
                <w:rFonts w:hint="eastAsia" w:ascii="宋体" w:hAnsi="宋体" w:cs="宋体"/>
                <w:b w:val="0"/>
                <w:bCs w:val="0"/>
                <w:color w:val="auto"/>
                <w:kern w:val="2"/>
                <w:sz w:val="22"/>
                <w:szCs w:val="22"/>
                <w:highlight w:val="none"/>
                <w:lang w:val="en-US" w:eastAsia="zh-CN"/>
              </w:rPr>
              <w:t>预付款（如有）在每期进度款中等比扣回。</w:t>
            </w:r>
          </w:p>
        </w:tc>
      </w:tr>
      <w:tr w14:paraId="7CE35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noWrap w:val="0"/>
            <w:vAlign w:val="center"/>
          </w:tcPr>
          <w:p w14:paraId="6FCC7772">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14</w:t>
            </w:r>
          </w:p>
        </w:tc>
        <w:tc>
          <w:tcPr>
            <w:tcW w:w="1103" w:type="dxa"/>
            <w:noWrap w:val="0"/>
            <w:vAlign w:val="center"/>
          </w:tcPr>
          <w:p w14:paraId="4269022A">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17.2.1</w:t>
            </w:r>
          </w:p>
        </w:tc>
        <w:tc>
          <w:tcPr>
            <w:tcW w:w="7158" w:type="dxa"/>
            <w:gridSpan w:val="2"/>
            <w:noWrap w:val="0"/>
            <w:vAlign w:val="center"/>
          </w:tcPr>
          <w:p w14:paraId="0708B3AF">
            <w:pPr>
              <w:pageBreakBefore w:val="0"/>
              <w:wordWrap/>
              <w:topLinePunct w:val="0"/>
              <w:bidi w:val="0"/>
              <w:snapToGrid w:val="0"/>
              <w:spacing w:beforeAutospacing="0" w:afterAutospacing="0" w:line="240" w:lineRule="auto"/>
              <w:ind w:firstLine="220" w:firstLineChars="100"/>
              <w:rPr>
                <w:rFonts w:hint="eastAsia" w:ascii="宋体" w:hAnsi="宋体" w:eastAsia="宋体" w:cs="宋体"/>
                <w:b w:val="0"/>
                <w:bCs w:val="0"/>
                <w:color w:val="auto"/>
                <w:kern w:val="2"/>
                <w:sz w:val="22"/>
                <w:szCs w:val="22"/>
                <w:highlight w:val="none"/>
                <w:vertAlign w:val="superscript"/>
                <w:lang w:eastAsia="zh-CN"/>
              </w:rPr>
            </w:pPr>
            <w:r>
              <w:rPr>
                <w:rFonts w:hint="eastAsia" w:ascii="宋体" w:hAnsi="宋体" w:cs="宋体"/>
                <w:b w:val="0"/>
                <w:bCs w:val="0"/>
                <w:color w:val="auto"/>
                <w:kern w:val="2"/>
                <w:sz w:val="22"/>
                <w:szCs w:val="22"/>
                <w:highlight w:val="none"/>
                <w:lang w:val="en-US" w:eastAsia="zh-CN"/>
              </w:rPr>
              <w:t>/</w:t>
            </w:r>
          </w:p>
        </w:tc>
      </w:tr>
      <w:tr w14:paraId="18D27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noWrap w:val="0"/>
            <w:vAlign w:val="center"/>
          </w:tcPr>
          <w:p w14:paraId="5AB40025">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15</w:t>
            </w:r>
          </w:p>
        </w:tc>
        <w:tc>
          <w:tcPr>
            <w:tcW w:w="1103" w:type="dxa"/>
            <w:noWrap w:val="0"/>
            <w:vAlign w:val="center"/>
          </w:tcPr>
          <w:p w14:paraId="4DB69365">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17.3.2</w:t>
            </w:r>
          </w:p>
        </w:tc>
        <w:tc>
          <w:tcPr>
            <w:tcW w:w="7158" w:type="dxa"/>
            <w:gridSpan w:val="2"/>
            <w:noWrap w:val="0"/>
            <w:vAlign w:val="center"/>
          </w:tcPr>
          <w:p w14:paraId="7549AF07">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承包人在每个付款周期末向监理人提交进度付款申请单的份数：</w:t>
            </w:r>
            <w:r>
              <w:rPr>
                <w:rFonts w:hint="eastAsia" w:ascii="宋体" w:hAnsi="宋体" w:eastAsia="宋体" w:cs="宋体"/>
                <w:b w:val="0"/>
                <w:bCs w:val="0"/>
                <w:color w:val="auto"/>
                <w:kern w:val="2"/>
                <w:sz w:val="22"/>
                <w:szCs w:val="22"/>
                <w:highlight w:val="none"/>
                <w:u w:val="single"/>
              </w:rPr>
              <w:t xml:space="preserve">  5  </w:t>
            </w:r>
            <w:r>
              <w:rPr>
                <w:rFonts w:hint="eastAsia" w:ascii="宋体" w:hAnsi="宋体" w:eastAsia="宋体" w:cs="宋体"/>
                <w:b w:val="0"/>
                <w:bCs w:val="0"/>
                <w:color w:val="auto"/>
                <w:kern w:val="2"/>
                <w:sz w:val="22"/>
                <w:szCs w:val="22"/>
                <w:highlight w:val="none"/>
              </w:rPr>
              <w:t>份</w:t>
            </w:r>
          </w:p>
        </w:tc>
      </w:tr>
      <w:tr w14:paraId="0D97E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noWrap w:val="0"/>
            <w:vAlign w:val="center"/>
          </w:tcPr>
          <w:p w14:paraId="6896FA0F">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16</w:t>
            </w:r>
          </w:p>
        </w:tc>
        <w:tc>
          <w:tcPr>
            <w:tcW w:w="1103" w:type="dxa"/>
            <w:noWrap w:val="0"/>
            <w:vAlign w:val="center"/>
          </w:tcPr>
          <w:p w14:paraId="50BDCDCB">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17.3.3（1）</w:t>
            </w:r>
          </w:p>
        </w:tc>
        <w:tc>
          <w:tcPr>
            <w:tcW w:w="7158" w:type="dxa"/>
            <w:gridSpan w:val="2"/>
            <w:noWrap w:val="0"/>
            <w:vAlign w:val="center"/>
          </w:tcPr>
          <w:p w14:paraId="357DC13E">
            <w:pPr>
              <w:keepNext w:val="0"/>
              <w:keepLines w:val="0"/>
              <w:pageBreakBefore w:val="0"/>
              <w:kinsoku/>
              <w:wordWrap/>
              <w:topLinePunct w:val="0"/>
              <w:bidi w:val="0"/>
              <w:adjustRightInd w:val="0"/>
              <w:snapToGrid w:val="0"/>
              <w:spacing w:line="360" w:lineRule="auto"/>
              <w:ind w:left="0" w:firstLine="440" w:firstLineChars="200"/>
              <w:rPr>
                <w:rFonts w:hint="eastAsia" w:ascii="宋体" w:hAnsi="宋体" w:eastAsia="宋体" w:cs="宋体"/>
                <w:b w:val="0"/>
                <w:bCs w:val="0"/>
                <w:color w:val="auto"/>
                <w:kern w:val="2"/>
                <w:sz w:val="22"/>
                <w:szCs w:val="22"/>
                <w:highlight w:val="yellow"/>
                <w:lang w:val="en-US" w:eastAsia="zh-CN"/>
              </w:rPr>
            </w:pPr>
            <w:r>
              <w:rPr>
                <w:rFonts w:hint="eastAsia" w:ascii="宋体" w:hAnsi="宋体" w:eastAsia="宋体" w:cs="宋体"/>
                <w:b w:val="0"/>
                <w:bCs w:val="0"/>
                <w:color w:val="auto"/>
                <w:kern w:val="2"/>
                <w:sz w:val="22"/>
                <w:szCs w:val="22"/>
                <w:highlight w:val="yellow"/>
              </w:rPr>
              <w:t>进度付款：以小修保养年度总承包的工程价款支付，以签约合同总价分</w:t>
            </w:r>
            <w:r>
              <w:rPr>
                <w:rFonts w:hint="eastAsia" w:ascii="宋体" w:hAnsi="宋体" w:eastAsia="宋体" w:cs="宋体"/>
                <w:b w:val="0"/>
                <w:bCs w:val="0"/>
                <w:color w:val="auto"/>
                <w:kern w:val="2"/>
                <w:sz w:val="22"/>
                <w:szCs w:val="22"/>
                <w:highlight w:val="yellow"/>
                <w:lang w:eastAsia="zh-CN"/>
              </w:rPr>
              <w:t>四期</w:t>
            </w:r>
            <w:r>
              <w:rPr>
                <w:rFonts w:hint="eastAsia" w:ascii="宋体" w:hAnsi="宋体" w:cs="宋体"/>
                <w:b w:val="0"/>
                <w:bCs w:val="0"/>
                <w:color w:val="auto"/>
                <w:kern w:val="2"/>
                <w:sz w:val="22"/>
                <w:szCs w:val="22"/>
                <w:highlight w:val="yellow"/>
                <w:lang w:eastAsia="zh-CN"/>
              </w:rPr>
              <w:t>（三个月为一期）</w:t>
            </w:r>
            <w:r>
              <w:rPr>
                <w:rFonts w:hint="eastAsia" w:ascii="宋体" w:hAnsi="宋体" w:eastAsia="宋体" w:cs="宋体"/>
                <w:b w:val="0"/>
                <w:bCs w:val="0"/>
                <w:color w:val="auto"/>
                <w:kern w:val="2"/>
                <w:sz w:val="22"/>
                <w:szCs w:val="22"/>
                <w:highlight w:val="yellow"/>
              </w:rPr>
              <w:t>按比例支付，</w:t>
            </w:r>
            <w:r>
              <w:rPr>
                <w:rFonts w:hint="eastAsia" w:ascii="宋体" w:hAnsi="宋体" w:eastAsia="宋体" w:cs="宋体"/>
                <w:b w:val="0"/>
                <w:bCs w:val="0"/>
                <w:color w:val="auto"/>
                <w:kern w:val="2"/>
                <w:sz w:val="22"/>
                <w:szCs w:val="22"/>
                <w:highlight w:val="yellow"/>
                <w:lang w:eastAsia="zh-CN"/>
              </w:rPr>
              <w:t>每期</w:t>
            </w:r>
            <w:r>
              <w:rPr>
                <w:rFonts w:hint="eastAsia" w:ascii="宋体" w:hAnsi="宋体" w:eastAsia="宋体" w:cs="宋体"/>
                <w:b w:val="0"/>
                <w:bCs w:val="0"/>
                <w:color w:val="auto"/>
                <w:kern w:val="2"/>
                <w:sz w:val="22"/>
                <w:szCs w:val="22"/>
                <w:highlight w:val="yellow"/>
              </w:rPr>
              <w:t>支付完成工程量的</w:t>
            </w:r>
            <w:r>
              <w:rPr>
                <w:rFonts w:hint="eastAsia" w:ascii="宋体" w:hAnsi="宋体" w:eastAsia="宋体" w:cs="宋体"/>
                <w:b w:val="0"/>
                <w:bCs w:val="0"/>
                <w:color w:val="auto"/>
                <w:kern w:val="2"/>
                <w:sz w:val="22"/>
                <w:szCs w:val="22"/>
                <w:highlight w:val="yellow"/>
                <w:lang w:val="en-US" w:eastAsia="zh-CN"/>
              </w:rPr>
              <w:t>100</w:t>
            </w:r>
            <w:r>
              <w:rPr>
                <w:rFonts w:hint="eastAsia" w:ascii="宋体" w:hAnsi="宋体" w:eastAsia="宋体" w:cs="宋体"/>
                <w:b w:val="0"/>
                <w:bCs w:val="0"/>
                <w:color w:val="auto"/>
                <w:kern w:val="2"/>
                <w:sz w:val="22"/>
                <w:szCs w:val="22"/>
                <w:highlight w:val="yellow"/>
              </w:rPr>
              <w:t>%，以</w:t>
            </w:r>
            <w:r>
              <w:rPr>
                <w:rFonts w:hint="eastAsia" w:ascii="宋体" w:hAnsi="宋体" w:eastAsia="宋体" w:cs="宋体"/>
                <w:b w:val="0"/>
                <w:bCs w:val="0"/>
                <w:color w:val="auto"/>
                <w:kern w:val="2"/>
                <w:sz w:val="22"/>
                <w:szCs w:val="22"/>
                <w:highlight w:val="yellow"/>
                <w:lang w:eastAsia="zh-CN"/>
              </w:rPr>
              <w:t>下期</w:t>
            </w:r>
            <w:r>
              <w:rPr>
                <w:rFonts w:hint="eastAsia" w:ascii="宋体" w:hAnsi="宋体" w:eastAsia="宋体" w:cs="宋体"/>
                <w:b w:val="0"/>
                <w:bCs w:val="0"/>
                <w:color w:val="auto"/>
                <w:kern w:val="2"/>
                <w:sz w:val="22"/>
                <w:szCs w:val="22"/>
                <w:highlight w:val="yellow"/>
              </w:rPr>
              <w:t>首月的前15日内支付。最终支付时间以财政拨款为准</w:t>
            </w:r>
            <w:r>
              <w:rPr>
                <w:rFonts w:hint="eastAsia" w:ascii="宋体" w:hAnsi="宋体" w:cs="宋体"/>
                <w:b w:val="0"/>
                <w:bCs w:val="0"/>
                <w:color w:val="auto"/>
                <w:kern w:val="2"/>
                <w:sz w:val="22"/>
                <w:szCs w:val="22"/>
                <w:highlight w:val="yellow"/>
                <w:lang w:eastAsia="zh-CN"/>
              </w:rPr>
              <w:t>。</w:t>
            </w:r>
          </w:p>
          <w:p w14:paraId="1A8A8941">
            <w:pPr>
              <w:keepNext w:val="0"/>
              <w:keepLines w:val="0"/>
              <w:pageBreakBefore w:val="0"/>
              <w:kinsoku/>
              <w:wordWrap/>
              <w:topLinePunct w:val="0"/>
              <w:bidi w:val="0"/>
              <w:adjustRightInd w:val="0"/>
              <w:snapToGrid w:val="0"/>
              <w:spacing w:line="360" w:lineRule="auto"/>
              <w:ind w:left="0" w:firstLine="440" w:firstLineChars="200"/>
              <w:rPr>
                <w:rFonts w:hint="default" w:ascii="宋体" w:hAnsi="宋体" w:eastAsia="宋体" w:cs="宋体"/>
                <w:b w:val="0"/>
                <w:bCs w:val="0"/>
                <w:color w:val="auto"/>
                <w:kern w:val="2"/>
                <w:sz w:val="22"/>
                <w:szCs w:val="22"/>
                <w:highlight w:val="yellow"/>
                <w:lang w:val="en-US" w:eastAsia="zh-CN"/>
              </w:rPr>
            </w:pPr>
            <w:r>
              <w:rPr>
                <w:rFonts w:hint="default" w:ascii="宋体" w:hAnsi="宋体" w:eastAsia="宋体" w:cs="宋体"/>
                <w:b w:val="0"/>
                <w:bCs w:val="0"/>
                <w:color w:val="auto"/>
                <w:kern w:val="2"/>
                <w:sz w:val="22"/>
                <w:szCs w:val="22"/>
                <w:highlight w:val="yellow"/>
                <w:lang w:val="en-US" w:eastAsia="zh-CN"/>
              </w:rPr>
              <w:t>合同单价为灌缝宽度4CM的结算单价，若小于4CM则结算单价按比例下浮。验收抽检工程量代表该路线整公里实际数量，故当验收路段实际工程量少于上报数量时，该公里路段工程量按比例核减。</w:t>
            </w:r>
          </w:p>
        </w:tc>
      </w:tr>
      <w:tr w14:paraId="4344E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noWrap w:val="0"/>
            <w:vAlign w:val="center"/>
          </w:tcPr>
          <w:p w14:paraId="20DBEA30">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17</w:t>
            </w:r>
          </w:p>
        </w:tc>
        <w:tc>
          <w:tcPr>
            <w:tcW w:w="1103" w:type="dxa"/>
            <w:noWrap w:val="0"/>
            <w:vAlign w:val="center"/>
          </w:tcPr>
          <w:p w14:paraId="2892B93A">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17.3.3（2）</w:t>
            </w:r>
          </w:p>
        </w:tc>
        <w:tc>
          <w:tcPr>
            <w:tcW w:w="7158" w:type="dxa"/>
            <w:gridSpan w:val="2"/>
            <w:noWrap w:val="0"/>
            <w:vAlign w:val="center"/>
          </w:tcPr>
          <w:p w14:paraId="04AD936D">
            <w:pPr>
              <w:pageBreakBefore w:val="0"/>
              <w:wordWrap/>
              <w:topLinePunct w:val="0"/>
              <w:bidi w:val="0"/>
              <w:snapToGrid w:val="0"/>
              <w:spacing w:beforeAutospacing="0" w:afterAutospacing="0" w:line="240" w:lineRule="auto"/>
              <w:ind w:firstLine="220" w:firstLineChars="1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逾期付款违约金的利率：（按同期中国人民银行短期贷款利率加手续费）</w:t>
            </w:r>
          </w:p>
          <w:p w14:paraId="3D1625BB">
            <w:pPr>
              <w:pageBreakBefore w:val="0"/>
              <w:wordWrap/>
              <w:topLinePunct w:val="0"/>
              <w:bidi w:val="0"/>
              <w:snapToGrid w:val="0"/>
              <w:spacing w:beforeAutospacing="0" w:afterAutospacing="0" w:line="240" w:lineRule="auto"/>
              <w:ind w:firstLine="220" w:firstLineChars="1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u w:val="single"/>
              </w:rPr>
              <w:t xml:space="preserve">  /   </w:t>
            </w:r>
            <w:r>
              <w:rPr>
                <w:rFonts w:hint="eastAsia" w:ascii="宋体" w:hAnsi="宋体" w:eastAsia="宋体" w:cs="宋体"/>
                <w:b w:val="0"/>
                <w:bCs w:val="0"/>
                <w:i/>
                <w:color w:val="auto"/>
                <w:kern w:val="2"/>
                <w:sz w:val="22"/>
                <w:szCs w:val="22"/>
                <w:highlight w:val="none"/>
              </w:rPr>
              <w:t xml:space="preserve">‰/ </w:t>
            </w:r>
            <w:r>
              <w:rPr>
                <w:rFonts w:hint="eastAsia" w:ascii="宋体" w:hAnsi="宋体" w:eastAsia="宋体" w:cs="宋体"/>
                <w:b w:val="0"/>
                <w:bCs w:val="0"/>
                <w:color w:val="auto"/>
                <w:kern w:val="2"/>
                <w:sz w:val="22"/>
                <w:szCs w:val="22"/>
                <w:highlight w:val="none"/>
              </w:rPr>
              <w:t>天</w:t>
            </w:r>
          </w:p>
        </w:tc>
      </w:tr>
      <w:tr w14:paraId="43A52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noWrap w:val="0"/>
            <w:vAlign w:val="center"/>
          </w:tcPr>
          <w:p w14:paraId="1DF13CE9">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18</w:t>
            </w:r>
          </w:p>
        </w:tc>
        <w:tc>
          <w:tcPr>
            <w:tcW w:w="1103" w:type="dxa"/>
            <w:noWrap w:val="0"/>
            <w:vAlign w:val="center"/>
          </w:tcPr>
          <w:p w14:paraId="74EB8364">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17.4.1</w:t>
            </w:r>
          </w:p>
        </w:tc>
        <w:tc>
          <w:tcPr>
            <w:tcW w:w="7158" w:type="dxa"/>
            <w:gridSpan w:val="2"/>
            <w:noWrap w:val="0"/>
            <w:vAlign w:val="center"/>
          </w:tcPr>
          <w:p w14:paraId="0CBF6CA8">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质量保证金百分比：月支付额的</w:t>
            </w:r>
            <w:r>
              <w:rPr>
                <w:rFonts w:hint="eastAsia" w:ascii="宋体" w:hAnsi="宋体" w:eastAsia="宋体" w:cs="宋体"/>
                <w:b w:val="0"/>
                <w:bCs w:val="0"/>
                <w:color w:val="auto"/>
                <w:kern w:val="2"/>
                <w:sz w:val="22"/>
                <w:szCs w:val="22"/>
                <w:highlight w:val="none"/>
                <w:u w:val="single"/>
              </w:rPr>
              <w:t xml:space="preserve"> /  </w:t>
            </w:r>
          </w:p>
        </w:tc>
      </w:tr>
      <w:tr w14:paraId="29BF6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noWrap w:val="0"/>
            <w:vAlign w:val="center"/>
          </w:tcPr>
          <w:p w14:paraId="32BD4C31">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19</w:t>
            </w:r>
          </w:p>
        </w:tc>
        <w:tc>
          <w:tcPr>
            <w:tcW w:w="1103" w:type="dxa"/>
            <w:noWrap w:val="0"/>
            <w:vAlign w:val="center"/>
          </w:tcPr>
          <w:p w14:paraId="12770433">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17.4.1</w:t>
            </w:r>
          </w:p>
        </w:tc>
        <w:tc>
          <w:tcPr>
            <w:tcW w:w="7158" w:type="dxa"/>
            <w:gridSpan w:val="2"/>
            <w:noWrap w:val="0"/>
            <w:vAlign w:val="center"/>
          </w:tcPr>
          <w:p w14:paraId="1DCDEF80">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vertAlign w:val="superscript"/>
              </w:rPr>
            </w:pPr>
            <w:r>
              <w:rPr>
                <w:rFonts w:hint="eastAsia" w:ascii="宋体" w:hAnsi="宋体" w:eastAsia="宋体" w:cs="宋体"/>
                <w:b w:val="0"/>
                <w:bCs w:val="0"/>
                <w:color w:val="auto"/>
                <w:kern w:val="2"/>
                <w:sz w:val="22"/>
                <w:szCs w:val="22"/>
                <w:highlight w:val="none"/>
              </w:rPr>
              <w:t>质量保证金限额</w:t>
            </w:r>
            <w:r>
              <w:rPr>
                <w:rFonts w:hint="eastAsia" w:ascii="宋体" w:hAnsi="宋体" w:eastAsia="宋体" w:cs="宋体"/>
                <w:b w:val="0"/>
                <w:bCs w:val="0"/>
                <w:color w:val="auto"/>
                <w:kern w:val="2"/>
                <w:sz w:val="22"/>
                <w:szCs w:val="22"/>
                <w:highlight w:val="none"/>
                <w:u w:val="single"/>
              </w:rPr>
              <w:t xml:space="preserve"> /  </w:t>
            </w:r>
            <w:r>
              <w:rPr>
                <w:rFonts w:hint="eastAsia" w:ascii="宋体" w:hAnsi="宋体" w:eastAsia="宋体" w:cs="宋体"/>
                <w:b w:val="0"/>
                <w:bCs w:val="0"/>
                <w:i/>
                <w:color w:val="auto"/>
                <w:kern w:val="2"/>
                <w:sz w:val="22"/>
                <w:szCs w:val="22"/>
                <w:highlight w:val="none"/>
              </w:rPr>
              <w:t>%</w:t>
            </w:r>
            <w:r>
              <w:rPr>
                <w:rFonts w:hint="eastAsia" w:ascii="宋体" w:hAnsi="宋体" w:eastAsia="宋体" w:cs="宋体"/>
                <w:b w:val="0"/>
                <w:bCs w:val="0"/>
                <w:color w:val="auto"/>
                <w:kern w:val="2"/>
                <w:sz w:val="22"/>
                <w:szCs w:val="22"/>
                <w:highlight w:val="none"/>
              </w:rPr>
              <w:t>合同价格</w:t>
            </w:r>
          </w:p>
        </w:tc>
      </w:tr>
      <w:tr w14:paraId="3609F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noWrap w:val="0"/>
            <w:vAlign w:val="center"/>
          </w:tcPr>
          <w:p w14:paraId="6B2F695B">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20</w:t>
            </w:r>
          </w:p>
        </w:tc>
        <w:tc>
          <w:tcPr>
            <w:tcW w:w="1103" w:type="dxa"/>
            <w:noWrap w:val="0"/>
            <w:vAlign w:val="center"/>
          </w:tcPr>
          <w:p w14:paraId="63417504">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17.5.1</w:t>
            </w:r>
          </w:p>
        </w:tc>
        <w:tc>
          <w:tcPr>
            <w:tcW w:w="7158" w:type="dxa"/>
            <w:gridSpan w:val="2"/>
            <w:noWrap w:val="0"/>
            <w:vAlign w:val="center"/>
          </w:tcPr>
          <w:p w14:paraId="1AC49B38">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承包人向监理人提交交工付款申请单（包括相关证明材料）的份数：</w:t>
            </w:r>
            <w:r>
              <w:rPr>
                <w:rFonts w:hint="eastAsia" w:ascii="宋体" w:hAnsi="宋体" w:eastAsia="宋体" w:cs="宋体"/>
                <w:b w:val="0"/>
                <w:bCs w:val="0"/>
                <w:color w:val="auto"/>
                <w:kern w:val="2"/>
                <w:sz w:val="22"/>
                <w:szCs w:val="22"/>
                <w:highlight w:val="none"/>
                <w:u w:val="single"/>
              </w:rPr>
              <w:t xml:space="preserve"> 5  </w:t>
            </w:r>
            <w:r>
              <w:rPr>
                <w:rFonts w:hint="eastAsia" w:ascii="宋体" w:hAnsi="宋体" w:eastAsia="宋体" w:cs="宋体"/>
                <w:b w:val="0"/>
                <w:bCs w:val="0"/>
                <w:color w:val="auto"/>
                <w:kern w:val="2"/>
                <w:sz w:val="22"/>
                <w:szCs w:val="22"/>
                <w:highlight w:val="none"/>
              </w:rPr>
              <w:t>份</w:t>
            </w:r>
          </w:p>
        </w:tc>
      </w:tr>
      <w:tr w14:paraId="3ABE4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noWrap w:val="0"/>
            <w:vAlign w:val="center"/>
          </w:tcPr>
          <w:p w14:paraId="65883908">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21</w:t>
            </w:r>
          </w:p>
        </w:tc>
        <w:tc>
          <w:tcPr>
            <w:tcW w:w="1103" w:type="dxa"/>
            <w:noWrap w:val="0"/>
            <w:vAlign w:val="center"/>
          </w:tcPr>
          <w:p w14:paraId="6405C8FB">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17.6.1</w:t>
            </w:r>
          </w:p>
        </w:tc>
        <w:tc>
          <w:tcPr>
            <w:tcW w:w="7158" w:type="dxa"/>
            <w:gridSpan w:val="2"/>
            <w:noWrap w:val="0"/>
            <w:vAlign w:val="center"/>
          </w:tcPr>
          <w:p w14:paraId="15C1FC90">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承包人向监理人提交最终结清申请单（包括相关证明材料）的份数：</w:t>
            </w:r>
            <w:r>
              <w:rPr>
                <w:rFonts w:hint="eastAsia" w:ascii="宋体" w:hAnsi="宋体" w:eastAsia="宋体" w:cs="宋体"/>
                <w:b w:val="0"/>
                <w:bCs w:val="0"/>
                <w:color w:val="auto"/>
                <w:kern w:val="2"/>
                <w:sz w:val="22"/>
                <w:szCs w:val="22"/>
                <w:highlight w:val="none"/>
                <w:u w:val="single"/>
              </w:rPr>
              <w:t xml:space="preserve">  5 </w:t>
            </w:r>
            <w:r>
              <w:rPr>
                <w:rFonts w:hint="eastAsia" w:ascii="宋体" w:hAnsi="宋体" w:eastAsia="宋体" w:cs="宋体"/>
                <w:b w:val="0"/>
                <w:bCs w:val="0"/>
                <w:color w:val="auto"/>
                <w:kern w:val="2"/>
                <w:sz w:val="22"/>
                <w:szCs w:val="22"/>
                <w:highlight w:val="none"/>
              </w:rPr>
              <w:t>份</w:t>
            </w:r>
          </w:p>
        </w:tc>
      </w:tr>
      <w:tr w14:paraId="0E95B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noWrap w:val="0"/>
            <w:vAlign w:val="center"/>
          </w:tcPr>
          <w:p w14:paraId="7B699B7E">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22</w:t>
            </w:r>
          </w:p>
        </w:tc>
        <w:tc>
          <w:tcPr>
            <w:tcW w:w="1103" w:type="dxa"/>
            <w:noWrap w:val="0"/>
            <w:vAlign w:val="center"/>
          </w:tcPr>
          <w:p w14:paraId="5845AB87">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18.2</w:t>
            </w:r>
          </w:p>
        </w:tc>
        <w:tc>
          <w:tcPr>
            <w:tcW w:w="7158" w:type="dxa"/>
            <w:gridSpan w:val="2"/>
            <w:noWrap w:val="0"/>
            <w:vAlign w:val="center"/>
          </w:tcPr>
          <w:p w14:paraId="67A68533">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竣工资料的份数：</w:t>
            </w:r>
            <w:r>
              <w:rPr>
                <w:rFonts w:hint="eastAsia" w:ascii="宋体" w:hAnsi="宋体" w:eastAsia="宋体" w:cs="宋体"/>
                <w:b w:val="0"/>
                <w:bCs w:val="0"/>
                <w:color w:val="auto"/>
                <w:kern w:val="2"/>
                <w:sz w:val="22"/>
                <w:szCs w:val="22"/>
                <w:highlight w:val="none"/>
                <w:u w:val="single"/>
              </w:rPr>
              <w:t xml:space="preserve">  5   </w:t>
            </w:r>
            <w:r>
              <w:rPr>
                <w:rFonts w:hint="eastAsia" w:ascii="宋体" w:hAnsi="宋体" w:eastAsia="宋体" w:cs="宋体"/>
                <w:b w:val="0"/>
                <w:bCs w:val="0"/>
                <w:color w:val="auto"/>
                <w:kern w:val="2"/>
                <w:sz w:val="22"/>
                <w:szCs w:val="22"/>
                <w:highlight w:val="none"/>
              </w:rPr>
              <w:t>份</w:t>
            </w:r>
          </w:p>
        </w:tc>
      </w:tr>
      <w:tr w14:paraId="7AB70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noWrap w:val="0"/>
            <w:vAlign w:val="center"/>
          </w:tcPr>
          <w:p w14:paraId="4215E797">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23</w:t>
            </w:r>
          </w:p>
        </w:tc>
        <w:tc>
          <w:tcPr>
            <w:tcW w:w="1103" w:type="dxa"/>
            <w:noWrap w:val="0"/>
            <w:vAlign w:val="center"/>
          </w:tcPr>
          <w:p w14:paraId="1796063A">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20.1</w:t>
            </w:r>
          </w:p>
        </w:tc>
        <w:tc>
          <w:tcPr>
            <w:tcW w:w="7158" w:type="dxa"/>
            <w:gridSpan w:val="2"/>
            <w:noWrap w:val="0"/>
            <w:vAlign w:val="center"/>
          </w:tcPr>
          <w:p w14:paraId="42C3EDE8">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建筑工程一切险的保险费率：</w:t>
            </w:r>
            <w:r>
              <w:rPr>
                <w:rFonts w:hint="eastAsia" w:ascii="宋体" w:hAnsi="宋体" w:eastAsia="宋体" w:cs="宋体"/>
                <w:b w:val="0"/>
                <w:bCs w:val="0"/>
                <w:color w:val="auto"/>
                <w:kern w:val="2"/>
                <w:sz w:val="22"/>
                <w:szCs w:val="22"/>
                <w:highlight w:val="none"/>
                <w:u w:val="single"/>
              </w:rPr>
              <w:t xml:space="preserve">   3  </w:t>
            </w:r>
            <w:r>
              <w:rPr>
                <w:rFonts w:hint="eastAsia" w:ascii="宋体" w:hAnsi="宋体" w:eastAsia="宋体" w:cs="宋体"/>
                <w:b w:val="0"/>
                <w:bCs w:val="0"/>
                <w:i/>
                <w:color w:val="auto"/>
                <w:kern w:val="2"/>
                <w:sz w:val="22"/>
                <w:szCs w:val="22"/>
                <w:highlight w:val="none"/>
              </w:rPr>
              <w:t>‰</w:t>
            </w:r>
          </w:p>
        </w:tc>
      </w:tr>
      <w:tr w14:paraId="4B94F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noWrap w:val="0"/>
            <w:vAlign w:val="center"/>
          </w:tcPr>
          <w:p w14:paraId="5E5996BB">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24</w:t>
            </w:r>
          </w:p>
        </w:tc>
        <w:tc>
          <w:tcPr>
            <w:tcW w:w="1103" w:type="dxa"/>
            <w:noWrap w:val="0"/>
            <w:vAlign w:val="center"/>
          </w:tcPr>
          <w:p w14:paraId="0C816651">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20.4.2</w:t>
            </w:r>
          </w:p>
        </w:tc>
        <w:tc>
          <w:tcPr>
            <w:tcW w:w="7158" w:type="dxa"/>
            <w:gridSpan w:val="2"/>
            <w:noWrap w:val="0"/>
            <w:vAlign w:val="center"/>
          </w:tcPr>
          <w:p w14:paraId="1E7F9A66">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第三者责任险的最低投保金额:</w:t>
            </w:r>
            <w:r>
              <w:rPr>
                <w:rFonts w:hint="eastAsia" w:ascii="宋体" w:hAnsi="宋体" w:eastAsia="宋体" w:cs="宋体"/>
                <w:b w:val="0"/>
                <w:bCs w:val="0"/>
                <w:color w:val="auto"/>
                <w:kern w:val="2"/>
                <w:sz w:val="22"/>
                <w:szCs w:val="22"/>
                <w:highlight w:val="none"/>
                <w:u w:val="single"/>
              </w:rPr>
              <w:t xml:space="preserve"> 100 </w:t>
            </w:r>
            <w:r>
              <w:rPr>
                <w:rFonts w:hint="eastAsia" w:ascii="宋体" w:hAnsi="宋体" w:eastAsia="宋体" w:cs="宋体"/>
                <w:b w:val="0"/>
                <w:bCs w:val="0"/>
                <w:color w:val="auto"/>
                <w:kern w:val="2"/>
                <w:sz w:val="22"/>
                <w:szCs w:val="22"/>
                <w:highlight w:val="none"/>
              </w:rPr>
              <w:t>万元，事故次数不限（不计免赔额）</w:t>
            </w:r>
          </w:p>
          <w:p w14:paraId="507693FF">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保险费率：</w:t>
            </w:r>
            <w:r>
              <w:rPr>
                <w:rFonts w:hint="eastAsia" w:ascii="宋体" w:hAnsi="宋体" w:eastAsia="宋体" w:cs="宋体"/>
                <w:b w:val="0"/>
                <w:bCs w:val="0"/>
                <w:color w:val="auto"/>
                <w:kern w:val="2"/>
                <w:sz w:val="22"/>
                <w:szCs w:val="22"/>
                <w:highlight w:val="none"/>
                <w:u w:val="single"/>
              </w:rPr>
              <w:t xml:space="preserve">  5   </w:t>
            </w:r>
            <w:r>
              <w:rPr>
                <w:rFonts w:hint="eastAsia" w:ascii="宋体" w:hAnsi="宋体" w:eastAsia="宋体" w:cs="宋体"/>
                <w:b w:val="0"/>
                <w:bCs w:val="0"/>
                <w:i/>
                <w:color w:val="auto"/>
                <w:kern w:val="2"/>
                <w:sz w:val="22"/>
                <w:szCs w:val="22"/>
                <w:highlight w:val="none"/>
              </w:rPr>
              <w:t>‰</w:t>
            </w:r>
          </w:p>
        </w:tc>
      </w:tr>
      <w:tr w14:paraId="35C64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noWrap w:val="0"/>
            <w:vAlign w:val="center"/>
          </w:tcPr>
          <w:p w14:paraId="71D0D785">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25</w:t>
            </w:r>
          </w:p>
        </w:tc>
        <w:tc>
          <w:tcPr>
            <w:tcW w:w="1103" w:type="dxa"/>
            <w:noWrap w:val="0"/>
            <w:vAlign w:val="center"/>
          </w:tcPr>
          <w:p w14:paraId="4614968A">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24.1</w:t>
            </w:r>
          </w:p>
        </w:tc>
        <w:tc>
          <w:tcPr>
            <w:tcW w:w="7158" w:type="dxa"/>
            <w:gridSpan w:val="2"/>
            <w:noWrap w:val="0"/>
            <w:vAlign w:val="center"/>
          </w:tcPr>
          <w:p w14:paraId="288C1D3C">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u w:val="single"/>
              </w:rPr>
            </w:pPr>
            <w:r>
              <w:rPr>
                <w:rFonts w:hint="eastAsia" w:ascii="宋体" w:hAnsi="宋体" w:eastAsia="宋体" w:cs="宋体"/>
                <w:b w:val="0"/>
                <w:bCs w:val="0"/>
                <w:color w:val="auto"/>
                <w:kern w:val="2"/>
                <w:sz w:val="22"/>
                <w:szCs w:val="22"/>
                <w:highlight w:val="none"/>
              </w:rPr>
              <w:t>争议的最终解决方式：</w:t>
            </w:r>
            <w:r>
              <w:rPr>
                <w:rFonts w:hint="eastAsia" w:ascii="宋体" w:hAnsi="宋体" w:eastAsia="宋体" w:cs="宋体"/>
                <w:b w:val="0"/>
                <w:bCs w:val="0"/>
                <w:color w:val="auto"/>
                <w:kern w:val="2"/>
                <w:sz w:val="22"/>
                <w:szCs w:val="22"/>
                <w:highlight w:val="none"/>
                <w:u w:val="single"/>
              </w:rPr>
              <w:t xml:space="preserve">  仲裁或诉讼  </w:t>
            </w:r>
          </w:p>
          <w:p w14:paraId="7330F7AF">
            <w:pPr>
              <w:pageBreakBefore w:val="0"/>
              <w:wordWrap/>
              <w:topLinePunct w:val="0"/>
              <w:bidi w:val="0"/>
              <w:snapToGrid w:val="0"/>
              <w:spacing w:beforeAutospacing="0" w:afterAutospacing="0" w:line="240" w:lineRule="auto"/>
              <w:ind w:firstLine="220" w:firstLineChars="1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如采用仲裁，仲裁委员会名称：</w:t>
            </w:r>
            <w:r>
              <w:rPr>
                <w:rFonts w:hint="eastAsia" w:ascii="宋体" w:hAnsi="宋体" w:eastAsia="宋体" w:cs="宋体"/>
                <w:b w:val="0"/>
                <w:bCs w:val="0"/>
                <w:color w:val="auto"/>
                <w:kern w:val="2"/>
                <w:sz w:val="22"/>
                <w:szCs w:val="22"/>
                <w:highlight w:val="none"/>
                <w:u w:val="single"/>
              </w:rPr>
              <w:t xml:space="preserve"> 温州仲裁委员会  </w:t>
            </w:r>
            <w:r>
              <w:rPr>
                <w:rFonts w:hint="eastAsia" w:ascii="宋体" w:hAnsi="宋体" w:eastAsia="宋体" w:cs="宋体"/>
                <w:b w:val="0"/>
                <w:bCs w:val="0"/>
                <w:color w:val="auto"/>
                <w:kern w:val="2"/>
                <w:sz w:val="22"/>
                <w:szCs w:val="22"/>
                <w:highlight w:val="none"/>
              </w:rPr>
              <w:t xml:space="preserve"> </w:t>
            </w:r>
          </w:p>
        </w:tc>
      </w:tr>
    </w:tbl>
    <w:p w14:paraId="46F50BCF">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74E70A0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2" w:firstLineChars="200"/>
        <w:jc w:val="center"/>
        <w:textAlignment w:val="bottom"/>
        <w:rPr>
          <w:rFonts w:hint="eastAsia" w:ascii="宋体" w:hAnsi="宋体" w:eastAsia="宋体" w:cs="宋体"/>
          <w:b w:val="0"/>
          <w:color w:val="auto"/>
          <w:sz w:val="22"/>
          <w:szCs w:val="22"/>
          <w:highlight w:val="none"/>
        </w:rPr>
      </w:pPr>
      <w:r>
        <w:rPr>
          <w:rFonts w:hint="eastAsia" w:ascii="宋体" w:hAnsi="宋体" w:eastAsia="宋体" w:cs="宋体"/>
          <w:b/>
          <w:bCs w:val="0"/>
          <w:color w:val="auto"/>
          <w:sz w:val="22"/>
          <w:szCs w:val="22"/>
          <w:highlight w:val="none"/>
        </w:rPr>
        <w:t>项目专用合同条款</w:t>
      </w:r>
    </w:p>
    <w:p w14:paraId="73FD5DA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说明：本部分所列的项目专用合同条款是对“通用合同条款”中规定必须在专用合同条款中明确的内容的集中，招标人根据本项目的具体特点和实际需要编制的“项目专用合同条款”不限于本部分所列示例性内容。</w:t>
      </w:r>
    </w:p>
    <w:p w14:paraId="482E524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1．一般约定</w:t>
      </w:r>
    </w:p>
    <w:p w14:paraId="5B55B96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  词语定义</w:t>
      </w:r>
    </w:p>
    <w:p w14:paraId="7C01D5B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1.1.6  其它</w:t>
      </w:r>
    </w:p>
    <w:p w14:paraId="0F5546F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本项补充1.1.6.1、1.1.6.2目：</w:t>
      </w:r>
    </w:p>
    <w:p w14:paraId="533A7EB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1.1.6.1  根据浙江省地方标准《交通养护工程工程量清单计价规范》（DB33/T751）规定，“一类项目”是指规定范围和数量的检查、保养和小修项目，实行年度总承包的养护项目。</w:t>
      </w:r>
    </w:p>
    <w:p w14:paraId="15EE45F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1.1.6.2  根据浙江省地方标准《交通养护工程工程量清单计价规范》（DB33/T751）规定，“二类项目”是指超过一类项目规定范围和数量的检查、保养和小修项目，实行按实结算的养护项目。</w:t>
      </w:r>
    </w:p>
    <w:p w14:paraId="40A5EDC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2．发包人义务</w:t>
      </w:r>
    </w:p>
    <w:p w14:paraId="5F4CBAD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2.8  其它义务</w:t>
      </w:r>
    </w:p>
    <w:p w14:paraId="54F60E1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本款约定为：按照浙江省人力资源和社会保障厅（原浙江省劳动和社会保障厅）、浙江省交通运输厅（原浙江省交通厅）、中国人民银行杭州支行三家联合下发的浙劳社监[2007]90号《浙江省交通建设领域农民工工资支付管理暂行办法》文件的规定，在支付第一期开工预付款时扣除合同价的2％（每个合同段最高不超过300万元）作为代承包人缴纳的农民工工资支付保证金存入保证金专户。</w:t>
      </w:r>
    </w:p>
    <w:p w14:paraId="139E586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本合同项目养护工程完工后，承包人应在项目驻地公示工资支付情况，公示期为30天。期满后，施工企业无拖欠农民工工资情况的，发包人应会同承包人向市交通行政部门提出返款申请，并填制《退还工资支付保证金申请表》，经当地劳动保障行政部门核签后，开户银行凭此在5日内将保证金本息（利息按中国人民银行规定的活期存款利息计算）转入承包人账户。</w:t>
      </w:r>
    </w:p>
    <w:p w14:paraId="22A5A1C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4．承包人</w:t>
      </w:r>
    </w:p>
    <w:p w14:paraId="21C6656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  承包人的一般义务</w:t>
      </w:r>
    </w:p>
    <w:p w14:paraId="327D3D0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4.1.10  其它义务</w:t>
      </w:r>
    </w:p>
    <w:p w14:paraId="00274A7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本项第4.1.10（2）目细化为：</w:t>
      </w:r>
    </w:p>
    <w:p w14:paraId="3E71ECA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为规范交通建设领域农民工工资支付行为，承包人应在本工程中严格执行交通运输部（原交通部）交工路发[2003]544号文件《关于在公路建设中切实维护农民合法权益有关问题的通知》和浙江省人力资源和社会保障厅（原浙江省劳动和社会保障厅）、浙江省交通运输厅（原浙江省交通厅）、中国人民银行杭州中心支行文件浙劳社监[2007]90号《关于印发浙江省交通建设领域农民工工资支付管理暂行办法》，严格按照《劳动法》、《浙江省企业工资支付管理办法》和《最低工资规定》等有关规定支付农民工工资，不得拖欠或克扣，并接受项目所在市交通行政部门对执行情况的监督检查。若有违反，按22.1.2项约定承包人违约处理。</w:t>
      </w:r>
    </w:p>
    <w:p w14:paraId="14A0F4B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当依法按照劳动保障行政部门监制的标准合同文本（格式按“浙江省交通建设领域农民工工资支付管理暂行办法”中附件6），在用工后15天内与农民工签订劳动合同，并于签订劳动合同后15天内向当地劳动保障行政部门、发包人和监理单位进行用工备案。</w:t>
      </w:r>
    </w:p>
    <w:p w14:paraId="4B8A96A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按浙江省交通运输厅（原浙江省交通厅）浙交〔2009〕39号《关于进一步落实交通建设领域施工企业农民工记工考勤卡等事宜的通知》规定，承包人应当按日对项目部农民工进行记工考勤，并填写农民工记工考勤卡，考勤卡由农民工本人保存。《关于进一步完善建筑企业农民工工资支付保证金制度的意见》（浙政办发[2012]100 号）和《转发关于进一步完善建筑企业农民工工资支付保证金制度的意见的通知》（温交办[2013]142号）。</w:t>
      </w:r>
    </w:p>
    <w:p w14:paraId="62C4764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承包人应当按月如实向发包人和监理人报送项目部农民工工资支付情况。承包人没有按时报送农民工工资支付情况的，发包人可暂缓支付当月的工程计量款。</w:t>
      </w:r>
    </w:p>
    <w:p w14:paraId="7F6D566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第4.1.10（3）目约定：（2）承包人驻地建设必须满足浙江省交通运输厅（原浙江省交通厅）浙交[2008]296号文“关于印发《浙江省高速公路建设工程标准化工地管理规定》的通知”要求。</w:t>
      </w:r>
    </w:p>
    <w:p w14:paraId="7692412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4.10  承包人现场查勘</w:t>
      </w:r>
    </w:p>
    <w:p w14:paraId="273E9AF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本款补充第4.10.3项：</w:t>
      </w:r>
    </w:p>
    <w:p w14:paraId="5F06E30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承包人应认真查勘施工现场，充分考虑到施工区域与相邻标段的相互影响和干扰，以及材料、设备等进入施工现场的公路和水路现状，并在投标报价中考虑上述因素而产生的所有费用，这些费用均由承包人承担。</w:t>
      </w:r>
    </w:p>
    <w:p w14:paraId="7944395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4.11  不利物质条件</w:t>
      </w:r>
    </w:p>
    <w:p w14:paraId="33960AF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4.1.11  不利物质条件的范围：                     </w:t>
      </w:r>
    </w:p>
    <w:p w14:paraId="7991B04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9．施工安全、治安保卫和环境保护</w:t>
      </w:r>
    </w:p>
    <w:p w14:paraId="78BCDF4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9.2  承包人的施工安全责任</w:t>
      </w:r>
    </w:p>
    <w:p w14:paraId="65A073A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本款第9.2.1项补充：</w:t>
      </w:r>
    </w:p>
    <w:p w14:paraId="4E6590F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监理人发现承包人在施工现场存在安全隐患或未落实安全生产费用的，应当提出要求其改正，施工单位拒不改正的，监理人可暂时停止工程款的计量支付，并及时向发包人报告。</w:t>
      </w:r>
    </w:p>
    <w:p w14:paraId="2526AC4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第9.2.5项约定为：</w:t>
      </w:r>
    </w:p>
    <w:p w14:paraId="2BF5A76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按照交通运输部厅财字[2012]96号文件要求，安全生产费为不少于投标价(不不含建筑工程一切险、第三者责任险的保险费、人身意外伤害险和安全生产费用)的1.5%，且不得作为竞争性报价。</w:t>
      </w:r>
    </w:p>
    <w:p w14:paraId="2871F8C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安全生产费用应用于以下范围使用：</w:t>
      </w:r>
    </w:p>
    <w:p w14:paraId="441F19A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（1）完善、改造和维护安全防护、检测、探测设备、设施支出；</w:t>
      </w:r>
    </w:p>
    <w:p w14:paraId="3068CBF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（2）配备必要的应急救援器材、设备和现场作业人员安全防护物品支出；</w:t>
      </w:r>
    </w:p>
    <w:p w14:paraId="78E3716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（3）安全生产检查与评价支出；</w:t>
      </w:r>
    </w:p>
    <w:p w14:paraId="70A2FE6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（4）重大危险源、重大事故隐患的评估、整改、监控支出；</w:t>
      </w:r>
    </w:p>
    <w:p w14:paraId="40536C7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（5）安全技能培训及进行应急救援演练支出；</w:t>
      </w:r>
    </w:p>
    <w:p w14:paraId="39AE075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（6）其它与安全生产直接相关的支出。</w:t>
      </w:r>
    </w:p>
    <w:p w14:paraId="3A1DCDB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如承包人在此基础上增加安全生产费用以满足项目施工需要，则承包人应在本项目工程量清单其它相关子目的单价或总额价中予以考虑，发包人不再另行支付。因采取合同未约定的特殊防护措施增加的费用，由监理人按第3.5款商定或确定。</w:t>
      </w:r>
    </w:p>
    <w:p w14:paraId="29D075F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安全生产费用实行专款专用。承包人应当建立健全工程项目安全生产费用管理、计取和使用制度，明确安全生产费用管理、计取和使用的程序、职责及权限。承包人应当在规定范围安排使用安全生产费用，不得挪用或挤占。</w:t>
      </w:r>
    </w:p>
    <w:p w14:paraId="5E3E54E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10．进度计划</w:t>
      </w:r>
    </w:p>
    <w:p w14:paraId="7CC2BDC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10.1  合同进度计划</w:t>
      </w:r>
    </w:p>
    <w:p w14:paraId="6E53C3B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本款补充：</w:t>
      </w:r>
    </w:p>
    <w:p w14:paraId="48ED624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承包人编制养护工程作业方案的内容（适用于小修保养工程）：</w:t>
      </w:r>
    </w:p>
    <w:p w14:paraId="45B30E9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（1）日常养护的巡查制度安排，包括内容、频率、方法等计划</w:t>
      </w:r>
    </w:p>
    <w:p w14:paraId="15FAD62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（2）对检查、专项调查和技术检测安排，及其结果的养护对策方案</w:t>
      </w:r>
    </w:p>
    <w:p w14:paraId="1C0C81F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（3）“二类项目”的施工组织、现场布置、劳动力、机械设备、材料供应、资金流量、保道路畅通及进度计划等</w:t>
      </w:r>
    </w:p>
    <w:p w14:paraId="7631BB1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（4）质量、安全保证体系</w:t>
      </w:r>
    </w:p>
    <w:p w14:paraId="767B667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（5）环境保护措施</w:t>
      </w:r>
    </w:p>
    <w:p w14:paraId="504C7A7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（6）其它应说明的事项</w:t>
      </w:r>
    </w:p>
    <w:p w14:paraId="4605F11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承包人编制养护工程作业方案的内容（适用于大中修养护工程）：</w:t>
      </w:r>
    </w:p>
    <w:p w14:paraId="3BC1B1E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（1）养护工程的施工组织、现场布置；</w:t>
      </w:r>
    </w:p>
    <w:p w14:paraId="7F0AA7C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（2）养护工程计划；</w:t>
      </w:r>
    </w:p>
    <w:p w14:paraId="4A311F0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（3）劳动力、机械设备、材料的供应及资金流量计划；</w:t>
      </w:r>
    </w:p>
    <w:p w14:paraId="56F9FC2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（4）大中修养护工程的技术措施和保施工道路畅通方案；</w:t>
      </w:r>
    </w:p>
    <w:p w14:paraId="64C51A1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a．施工现场临时用电方案；</w:t>
      </w:r>
    </w:p>
    <w:p w14:paraId="11E2B2C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b．对下列危险性较大的养护作业应当编制专项施工方案：</w:t>
      </w:r>
    </w:p>
    <w:p w14:paraId="1AA5CC8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① 不良地质条件下有潜在危险性的土方、石方开挖；</w:t>
      </w:r>
    </w:p>
    <w:p w14:paraId="179277F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② 滑坡和高边坡处理；</w:t>
      </w:r>
    </w:p>
    <w:p w14:paraId="24C449A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（5）质量、安全保证体系；</w:t>
      </w:r>
    </w:p>
    <w:p w14:paraId="3D885E7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（6）环境保护措施；</w:t>
      </w:r>
    </w:p>
    <w:p w14:paraId="4668F1B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（7）其它应说明的事项。</w:t>
      </w:r>
    </w:p>
    <w:p w14:paraId="15A531F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11．开工和交工</w:t>
      </w:r>
    </w:p>
    <w:p w14:paraId="5A07F28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11.4  异常恶劣的气候条件</w:t>
      </w:r>
    </w:p>
    <w:p w14:paraId="03E83EE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本款补充异常恶劣的气候条件为：</w:t>
      </w:r>
    </w:p>
    <w:p w14:paraId="4127760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（1）持续高温：连续三日日最高气温38℃以上；</w:t>
      </w:r>
    </w:p>
    <w:p w14:paraId="6E5BBF9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（2）持续低温：连续三日日最高气温-20℃以下；</w:t>
      </w:r>
    </w:p>
    <w:p w14:paraId="5213231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（3）暴雨天气：日降雨量50mm，雨日超过1天及以上，或降雨强度大于20mm/h；</w:t>
      </w:r>
    </w:p>
    <w:p w14:paraId="5C6242E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（4）大风天气：日风力在6级以上且持续时间不少于4小时，或阵风大于8级以上台风灾害；</w:t>
      </w:r>
    </w:p>
    <w:p w14:paraId="4A5EE3E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（5）造成工程损坏的冰雹和大雪灾害：日降雪量10mm及以上；</w:t>
      </w:r>
    </w:p>
    <w:p w14:paraId="27C353D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（6）水淹：施工场地大部或全部被潮水、洪水或雨水淹没超过1天；</w:t>
      </w:r>
    </w:p>
    <w:p w14:paraId="2215777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（7）其它异常恶劣气候灾害。</w:t>
      </w:r>
    </w:p>
    <w:p w14:paraId="25FDB6C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异常恶劣的气候数据以养护工程所在地气象部门资料为准。</w:t>
      </w:r>
    </w:p>
    <w:p w14:paraId="16A3D96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12. 暂停施工</w:t>
      </w:r>
    </w:p>
    <w:p w14:paraId="0EC8FB4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12.1  承包人暂停施工的责任</w:t>
      </w:r>
    </w:p>
    <w:p w14:paraId="7E6F05E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本款第12.1（6）项约定为：（6）由承包人承担的其它暂停施工：          </w:t>
      </w:r>
    </w:p>
    <w:p w14:paraId="3BDCB59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12.2  发包人暂停施工的责任</w:t>
      </w:r>
    </w:p>
    <w:p w14:paraId="17FDA5C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本款原内容后补充：</w:t>
      </w:r>
    </w:p>
    <w:p w14:paraId="2F89BE8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发包人如连续2个月发生已计量应支付而未支付工程款的，承包人可停工（但不得拖欠农民工工资）。造成的损失由发包人承担。</w:t>
      </w:r>
    </w:p>
    <w:p w14:paraId="5EB7D5E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  工程质量</w:t>
      </w:r>
    </w:p>
    <w:p w14:paraId="3A3D352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13.7  质量抽检</w:t>
      </w:r>
    </w:p>
    <w:p w14:paraId="3F6549F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第13.7款补充：省、市交通工程质量监督机构和业主有权对承包人施工质量随时进行抽检，并通过监理人对工程质量实施否决，承包人应积极配合并免费提供试验用的试件。</w:t>
      </w:r>
    </w:p>
    <w:p w14:paraId="4A5D953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18．交（竣）工验收</w:t>
      </w:r>
    </w:p>
    <w:p w14:paraId="42AEDF7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本条补充第18.9款：</w:t>
      </w:r>
    </w:p>
    <w:p w14:paraId="5739730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18.9  交（竣）工文件</w:t>
      </w:r>
    </w:p>
    <w:p w14:paraId="7B0751B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（1）小修保养工程承包人应在交工验收阶段按招标文件规定的要求，将养护原始记录、文件资料、图表记录等按发包人规定进行编制并提交监理人审核。编制的档案、图表、资料所需的费用由承包人承担。</w:t>
      </w:r>
    </w:p>
    <w:p w14:paraId="18E7E4A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（2）大中修养护工程承包人编制竣工文件，应按交通运输部 [2004]3号令发布的《公路工程竣工验收办法》和浙江省交通运输厅《浙江省公路工程竣工决算编制办法》。承包人还应按交通运输部《交通基本建设项目竣工决算报告编制办法》的规定和要求编制（由他实施的部分）竣工决算一式六套，提交监理人审核，费用由承包人承担。竣工文件中涉及施工及监理文件的有关表式，承包人应按《浙江省公路建设项目施工统一用表管理系统》（光盘）和浙江省交通运输厅工程质量监督局检测中心规定的统一用表（光盘）选用。光盘由承包人自备。</w:t>
      </w:r>
    </w:p>
    <w:p w14:paraId="29C758D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  保险</w:t>
      </w:r>
    </w:p>
    <w:p w14:paraId="04588AF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20.1  工程保险</w:t>
      </w:r>
    </w:p>
    <w:p w14:paraId="5A2AE80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本款中的“保险金额”内容约定修改为：</w:t>
      </w:r>
    </w:p>
    <w:p w14:paraId="3C89FA2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保险金额：工程量清单第100章（不含建筑工程一切险、第三者责任险的保险费和安全生产费用）至1000章的合计金额。</w:t>
      </w:r>
    </w:p>
    <w:p w14:paraId="15A84FF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20.6  对各项保险的一般要求</w:t>
      </w:r>
    </w:p>
    <w:p w14:paraId="49C850E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20.6.1  保险凭证</w:t>
      </w:r>
    </w:p>
    <w:p w14:paraId="6C75FE3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本项约定为：</w:t>
      </w:r>
    </w:p>
    <w:p w14:paraId="01E021B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承包人向发包人提交各项保险失效的证据和保险单副本的期限：开工后28天内。</w:t>
      </w:r>
    </w:p>
    <w:p w14:paraId="6F73E62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22．违约</w:t>
      </w:r>
    </w:p>
    <w:p w14:paraId="48D98F3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22.1  承包人违约</w:t>
      </w:r>
    </w:p>
    <w:p w14:paraId="0AF7459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22.1.2  当承包人发生第22.1.1项约定的违约情况时，发包人有权向承包人课以违约金，具体约定如下：</w:t>
      </w:r>
    </w:p>
    <w:p w14:paraId="596399F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（1）违反“投标人须知”第1.3.3项关于工程质量要求必须达到合格的规定，则课以2％合同价的违约金；或</w:t>
      </w:r>
    </w:p>
    <w:p w14:paraId="7E5CDFC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违反第4.6款关于承包人人员管理的规定，或违反第6条承包人承诺提供施工配备的关键施工设备，则课以1%合同价的违约金；主要人员离开工地必须向监理人请假，并经发包人同意后才能离开。若擅自离开工地，每天课以违约金</w:t>
      </w:r>
      <w:r>
        <w:rPr>
          <w:rFonts w:hint="eastAsia" w:ascii="宋体" w:hAnsi="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rPr>
        <w:t>000元／人；若每月在工地天数不足20天（特殊情况经发包人同意例外）者，每不足一天课以违约金2000元／人；当承包人因工作安排或其它原因确需调换主要人员时，须事先得到发包人的书面批准，更换的人员资质不得低于原被替换人员的资质，经发包人批准同意更换的，按下述规定课以违约金：项目经理</w:t>
      </w:r>
      <w:r>
        <w:rPr>
          <w:rFonts w:hint="eastAsia" w:ascii="宋体" w:hAnsi="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万元/次，技术负责人</w:t>
      </w:r>
      <w:r>
        <w:rPr>
          <w:rFonts w:hint="eastAsia" w:ascii="宋体" w:hAnsi="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rPr>
        <w:t>万元/次，其他主要人员</w:t>
      </w:r>
      <w:r>
        <w:rPr>
          <w:rFonts w:hint="eastAsia" w:ascii="宋体" w:hAnsi="宋体" w:cs="宋体"/>
          <w:b w:val="0"/>
          <w:color w:val="auto"/>
          <w:sz w:val="22"/>
          <w:szCs w:val="22"/>
          <w:highlight w:val="none"/>
          <w:lang w:val="en-US" w:eastAsia="zh-CN"/>
        </w:rPr>
        <w:t>0.5</w:t>
      </w:r>
      <w:r>
        <w:rPr>
          <w:rFonts w:hint="eastAsia" w:ascii="宋体" w:hAnsi="宋体" w:eastAsia="宋体" w:cs="宋体"/>
          <w:b w:val="0"/>
          <w:color w:val="auto"/>
          <w:sz w:val="22"/>
          <w:szCs w:val="22"/>
          <w:highlight w:val="none"/>
        </w:rPr>
        <w:t>万元/次，若未经批准擅自更换的，按下述规定课以违约金：项目经理10万元/次，技术负责人8万元/次，其他主要人员5万元/ 次，或</w:t>
      </w:r>
    </w:p>
    <w:p w14:paraId="5CB6686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（3）违反第4.9款关于承包人工程价款应专款专用的规定，课以与移（挪）用资金等额的违约金；或</w:t>
      </w:r>
    </w:p>
    <w:p w14:paraId="6849B31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（4）无视监理人事先的书面警告，一贯或公然忽视履行其合同规定的义务；或</w:t>
      </w:r>
    </w:p>
    <w:p w14:paraId="76580DE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（5）在接到根据第37.3或39.1款关于修复或运走、替换不合格材料、设备的规定发出的通知或指令后的14天内不遵守该通知或指令；或</w:t>
      </w:r>
    </w:p>
    <w:p w14:paraId="1BB4261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（6）无正当理由而未能根据第41.1款规定开工；或在第46.1款规定的通知后的14天内，无正当理由未能采取措施加快进行本工程或其它关键部分的施工；或</w:t>
      </w:r>
    </w:p>
    <w:p w14:paraId="548C106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（7）发生了第4.1款规定的违规分包的情况；或</w:t>
      </w:r>
    </w:p>
    <w:p w14:paraId="5286F40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（8）违反第7.2款关于承包人未经监理人批准，不得对施工图进行修改的规定；或</w:t>
      </w:r>
    </w:p>
    <w:p w14:paraId="75F1675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（9）违反第35.1款关于要求承包人的人员和装备必须满足工程进度和质量要求的规定；或</w:t>
      </w:r>
    </w:p>
    <w:p w14:paraId="21FE776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（10）违反第4.1.10（3）目关于维护农民工合法权益，拖欠或克扣农民工工资的。</w:t>
      </w:r>
    </w:p>
    <w:p w14:paraId="6954976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若承包人在执行合同中，有本项所列情况，在发包人向承包人发出书面通知的14天内未见纠正后，发包人将按每一情况酌情向承包人课以1％合同价的违约金。上述违约金将在履约担保中索扣。</w:t>
      </w:r>
    </w:p>
    <w:p w14:paraId="2CDAF9C5">
      <w:pPr>
        <w:pageBreakBefore w:val="0"/>
        <w:wordWrap/>
        <w:topLinePunct w:val="0"/>
        <w:autoSpaceDE w:val="0"/>
        <w:autoSpaceDN w:val="0"/>
        <w:bidi w:val="0"/>
        <w:adjustRightInd w:val="0"/>
        <w:snapToGrid w:val="0"/>
        <w:spacing w:beforeAutospacing="0" w:afterAutospacing="0" w:line="24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w:t>
      </w:r>
    </w:p>
    <w:p w14:paraId="5098D792">
      <w:pPr>
        <w:pageBreakBefore w:val="0"/>
        <w:wordWrap/>
        <w:topLinePunct w:val="0"/>
        <w:autoSpaceDE w:val="0"/>
        <w:autoSpaceDN w:val="0"/>
        <w:bidi w:val="0"/>
        <w:adjustRightInd w:val="0"/>
        <w:snapToGrid w:val="0"/>
        <w:spacing w:beforeAutospacing="0" w:afterAutospacing="0" w:line="24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br w:type="page"/>
      </w:r>
      <w:r>
        <w:rPr>
          <w:rFonts w:hint="eastAsia" w:ascii="宋体" w:hAnsi="宋体" w:eastAsia="宋体" w:cs="宋体"/>
          <w:b w:val="0"/>
          <w:color w:val="auto"/>
          <w:sz w:val="22"/>
          <w:szCs w:val="22"/>
          <w:highlight w:val="none"/>
        </w:rPr>
        <w:t>第三节  合同附件格式</w:t>
      </w:r>
      <w:bookmarkStart w:id="398" w:name="_Toc233435992"/>
      <w:bookmarkStart w:id="399" w:name="_Toc233429853"/>
      <w:bookmarkStart w:id="400" w:name="_Toc282787605"/>
      <w:bookmarkStart w:id="401" w:name="_Toc282779650"/>
      <w:bookmarkStart w:id="402" w:name="_Toc283794338"/>
      <w:bookmarkStart w:id="403" w:name="_Toc288546790"/>
      <w:bookmarkStart w:id="404" w:name="_Toc287853490"/>
      <w:bookmarkStart w:id="405" w:name="_Toc288491666"/>
      <w:bookmarkStart w:id="406" w:name="_Toc282779141"/>
      <w:bookmarkStart w:id="407" w:name="_Toc233290451"/>
      <w:bookmarkStart w:id="408" w:name="_Toc233423336"/>
      <w:bookmarkStart w:id="409" w:name="_Toc233214903"/>
    </w:p>
    <w:p w14:paraId="7C631152">
      <w:pPr>
        <w:pageBreakBefore w:val="0"/>
        <w:wordWrap/>
        <w:topLinePunct w:val="0"/>
        <w:autoSpaceDE w:val="0"/>
        <w:autoSpaceDN w:val="0"/>
        <w:bidi w:val="0"/>
        <w:adjustRightInd w:val="0"/>
        <w:snapToGrid w:val="0"/>
        <w:spacing w:beforeAutospacing="0" w:afterAutospacing="0" w:line="24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2"/>
          <w:sz w:val="22"/>
          <w:szCs w:val="22"/>
          <w:highlight w:val="none"/>
        </w:rPr>
        <w:t>附件一  合同协议书</w:t>
      </w:r>
      <w:bookmarkEnd w:id="398"/>
      <w:bookmarkEnd w:id="399"/>
      <w:bookmarkEnd w:id="400"/>
      <w:bookmarkEnd w:id="401"/>
      <w:bookmarkEnd w:id="402"/>
      <w:bookmarkEnd w:id="403"/>
      <w:bookmarkEnd w:id="404"/>
      <w:bookmarkEnd w:id="405"/>
      <w:bookmarkEnd w:id="406"/>
      <w:bookmarkEnd w:id="407"/>
      <w:bookmarkEnd w:id="408"/>
      <w:bookmarkEnd w:id="409"/>
    </w:p>
    <w:p w14:paraId="028DE175">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合同协议书</w:t>
      </w:r>
    </w:p>
    <w:p w14:paraId="38064FAF">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u w:val="single"/>
        </w:rPr>
        <w:t xml:space="preserve">    （发包人名称）   </w:t>
      </w:r>
      <w:r>
        <w:rPr>
          <w:rFonts w:hint="eastAsia" w:ascii="宋体" w:hAnsi="宋体" w:eastAsia="宋体" w:cs="宋体"/>
          <w:b w:val="0"/>
          <w:bCs w:val="0"/>
          <w:color w:val="auto"/>
          <w:kern w:val="2"/>
          <w:sz w:val="22"/>
          <w:szCs w:val="22"/>
          <w:highlight w:val="none"/>
        </w:rPr>
        <w:t>（</w:t>
      </w:r>
      <w:r>
        <w:rPr>
          <w:rFonts w:hint="eastAsia" w:ascii="宋体" w:hAnsi="宋体" w:eastAsia="宋体" w:cs="宋体"/>
          <w:b w:val="0"/>
          <w:bCs w:val="0"/>
          <w:color w:val="auto"/>
          <w:sz w:val="22"/>
          <w:szCs w:val="22"/>
          <w:highlight w:val="none"/>
        </w:rPr>
        <w:t>以下简称“发包人”）</w:t>
      </w:r>
      <w:r>
        <w:rPr>
          <w:rFonts w:hint="eastAsia" w:ascii="宋体" w:hAnsi="宋体" w:eastAsia="宋体" w:cs="宋体"/>
          <w:b w:val="0"/>
          <w:bCs w:val="0"/>
          <w:color w:val="auto"/>
          <w:kern w:val="2"/>
          <w:sz w:val="22"/>
          <w:szCs w:val="22"/>
          <w:highlight w:val="none"/>
        </w:rPr>
        <w:t>为实施</w:t>
      </w:r>
      <w:r>
        <w:rPr>
          <w:rFonts w:hint="eastAsia" w:ascii="宋体" w:hAnsi="宋体" w:eastAsia="宋体" w:cs="宋体"/>
          <w:b w:val="0"/>
          <w:bCs w:val="0"/>
          <w:color w:val="auto"/>
          <w:kern w:val="2"/>
          <w:sz w:val="22"/>
          <w:szCs w:val="22"/>
          <w:highlight w:val="none"/>
          <w:u w:val="single"/>
        </w:rPr>
        <w:t xml:space="preserve">   （项目名称）  </w:t>
      </w:r>
      <w:r>
        <w:rPr>
          <w:rFonts w:hint="eastAsia" w:ascii="宋体" w:hAnsi="宋体" w:eastAsia="宋体" w:cs="宋体"/>
          <w:b w:val="0"/>
          <w:bCs w:val="0"/>
          <w:color w:val="auto"/>
          <w:kern w:val="2"/>
          <w:sz w:val="22"/>
          <w:szCs w:val="22"/>
          <w:highlight w:val="none"/>
        </w:rPr>
        <w:t>，已接受</w:t>
      </w:r>
      <w:r>
        <w:rPr>
          <w:rFonts w:hint="eastAsia" w:ascii="宋体" w:hAnsi="宋体" w:eastAsia="宋体" w:cs="宋体"/>
          <w:b w:val="0"/>
          <w:bCs w:val="0"/>
          <w:color w:val="auto"/>
          <w:kern w:val="2"/>
          <w:sz w:val="22"/>
          <w:szCs w:val="22"/>
          <w:highlight w:val="none"/>
          <w:u w:val="single"/>
        </w:rPr>
        <w:t xml:space="preserve">   （承包人名称）   </w:t>
      </w:r>
      <w:r>
        <w:rPr>
          <w:rFonts w:hint="eastAsia" w:ascii="宋体" w:hAnsi="宋体" w:eastAsia="宋体" w:cs="宋体"/>
          <w:b w:val="0"/>
          <w:bCs w:val="0"/>
          <w:color w:val="auto"/>
          <w:kern w:val="2"/>
          <w:sz w:val="22"/>
          <w:szCs w:val="22"/>
          <w:highlight w:val="none"/>
        </w:rPr>
        <w:t>，</w:t>
      </w:r>
      <w:r>
        <w:rPr>
          <w:rFonts w:hint="eastAsia" w:ascii="宋体" w:hAnsi="宋体" w:eastAsia="宋体" w:cs="宋体"/>
          <w:b w:val="0"/>
          <w:bCs w:val="0"/>
          <w:color w:val="auto"/>
          <w:sz w:val="22"/>
          <w:szCs w:val="22"/>
          <w:highlight w:val="none"/>
        </w:rPr>
        <w:t>以下简称“承包人”）</w:t>
      </w:r>
      <w:r>
        <w:rPr>
          <w:rFonts w:hint="eastAsia" w:ascii="宋体" w:hAnsi="宋体" w:eastAsia="宋体" w:cs="宋体"/>
          <w:b w:val="0"/>
          <w:bCs w:val="0"/>
          <w:color w:val="auto"/>
          <w:kern w:val="2"/>
          <w:sz w:val="22"/>
          <w:szCs w:val="22"/>
          <w:highlight w:val="none"/>
        </w:rPr>
        <w:t>对该项目</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标（路）段小修保养工程的投标。发包人和承包人共同达成如下协议。</w:t>
      </w:r>
    </w:p>
    <w:p w14:paraId="6E39F8E9">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w:t>
      </w:r>
      <w:bookmarkStart w:id="410" w:name="_Toc144974828"/>
      <w:bookmarkStart w:id="411" w:name="_Toc152042548"/>
      <w:r>
        <w:rPr>
          <w:rFonts w:hint="eastAsia" w:ascii="宋体" w:hAnsi="宋体" w:eastAsia="宋体" w:cs="宋体"/>
          <w:b w:val="0"/>
          <w:bCs w:val="0"/>
          <w:color w:val="auto"/>
          <w:kern w:val="2"/>
          <w:sz w:val="22"/>
          <w:szCs w:val="22"/>
          <w:highlight w:val="none"/>
        </w:rPr>
        <w:t>第</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标（路）段由K</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至K</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计</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km路面、桥梁</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座，计长</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m以及其它……。</w:t>
      </w:r>
    </w:p>
    <w:p w14:paraId="5A521222">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2．承包人应承诺和</w:t>
      </w:r>
      <w:r>
        <w:rPr>
          <w:rFonts w:hint="eastAsia" w:ascii="宋体" w:hAnsi="宋体" w:eastAsia="宋体" w:cs="宋体"/>
          <w:b w:val="0"/>
          <w:bCs w:val="0"/>
          <w:color w:val="auto"/>
          <w:sz w:val="22"/>
          <w:szCs w:val="22"/>
          <w:highlight w:val="none"/>
        </w:rPr>
        <w:t>承担</w:t>
      </w:r>
      <w:r>
        <w:rPr>
          <w:rFonts w:hint="eastAsia" w:ascii="宋体" w:hAnsi="宋体" w:eastAsia="宋体" w:cs="宋体"/>
          <w:b w:val="0"/>
          <w:bCs w:val="0"/>
          <w:color w:val="auto"/>
          <w:kern w:val="2"/>
          <w:sz w:val="22"/>
          <w:szCs w:val="22"/>
          <w:highlight w:val="none"/>
        </w:rPr>
        <w:t>公路日常性小修保养的主要内容如下：</w:t>
      </w:r>
      <w:bookmarkEnd w:id="410"/>
      <w:bookmarkEnd w:id="411"/>
      <w:r>
        <w:rPr>
          <w:rFonts w:hint="eastAsia" w:ascii="宋体" w:hAnsi="宋体" w:eastAsia="宋体" w:cs="宋体"/>
          <w:b w:val="0"/>
          <w:bCs w:val="0"/>
          <w:color w:val="auto"/>
          <w:kern w:val="2"/>
          <w:sz w:val="22"/>
          <w:szCs w:val="22"/>
          <w:highlight w:val="none"/>
        </w:rPr>
        <w:t xml:space="preserve"> </w:t>
      </w:r>
    </w:p>
    <w:p w14:paraId="1CB415BB">
      <w:pPr>
        <w:pageBreakBefore w:val="0"/>
        <w:wordWrap/>
        <w:topLinePunct w:val="0"/>
        <w:bidi w:val="0"/>
        <w:snapToGrid w:val="0"/>
        <w:spacing w:beforeAutospacing="0" w:afterAutospacing="0" w:line="240" w:lineRule="auto"/>
        <w:ind w:firstLine="752" w:firstLineChars="342"/>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（1）本协议书及各种合同附件（含评标期间和合同谈判过程中的澄清文件和补充资料）；</w:t>
      </w:r>
    </w:p>
    <w:p w14:paraId="519019E3">
      <w:pPr>
        <w:pageBreakBefore w:val="0"/>
        <w:wordWrap/>
        <w:topLinePunct w:val="0"/>
        <w:bidi w:val="0"/>
        <w:snapToGrid w:val="0"/>
        <w:spacing w:beforeAutospacing="0" w:afterAutospacing="0" w:line="240" w:lineRule="auto"/>
        <w:ind w:firstLine="752" w:firstLineChars="342"/>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（2）中标通知书；</w:t>
      </w:r>
    </w:p>
    <w:p w14:paraId="1B75EB9D">
      <w:pPr>
        <w:pageBreakBefore w:val="0"/>
        <w:wordWrap/>
        <w:topLinePunct w:val="0"/>
        <w:bidi w:val="0"/>
        <w:snapToGrid w:val="0"/>
        <w:spacing w:beforeAutospacing="0" w:afterAutospacing="0" w:line="240" w:lineRule="auto"/>
        <w:ind w:firstLine="752" w:firstLineChars="342"/>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（3）投标函及投标函附录；</w:t>
      </w:r>
    </w:p>
    <w:p w14:paraId="095AA5D6">
      <w:pPr>
        <w:pageBreakBefore w:val="0"/>
        <w:wordWrap/>
        <w:topLinePunct w:val="0"/>
        <w:bidi w:val="0"/>
        <w:snapToGrid w:val="0"/>
        <w:spacing w:beforeAutospacing="0" w:afterAutospacing="0" w:line="240" w:lineRule="auto"/>
        <w:ind w:firstLine="752" w:firstLineChars="342"/>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（4）项目专用合同条款；</w:t>
      </w:r>
    </w:p>
    <w:p w14:paraId="595DE9FC">
      <w:pPr>
        <w:pageBreakBefore w:val="0"/>
        <w:wordWrap/>
        <w:topLinePunct w:val="0"/>
        <w:bidi w:val="0"/>
        <w:snapToGrid w:val="0"/>
        <w:spacing w:beforeAutospacing="0" w:afterAutospacing="0" w:line="240" w:lineRule="auto"/>
        <w:ind w:firstLine="752" w:firstLineChars="342"/>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（5）通用合同条款；</w:t>
      </w:r>
    </w:p>
    <w:p w14:paraId="36AA0C8F">
      <w:pPr>
        <w:pageBreakBefore w:val="0"/>
        <w:wordWrap/>
        <w:topLinePunct w:val="0"/>
        <w:bidi w:val="0"/>
        <w:snapToGrid w:val="0"/>
        <w:spacing w:beforeAutospacing="0" w:afterAutospacing="0" w:line="240" w:lineRule="auto"/>
        <w:ind w:firstLine="752" w:firstLineChars="342"/>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（6）技术规范；</w:t>
      </w:r>
    </w:p>
    <w:p w14:paraId="10533D17">
      <w:pPr>
        <w:pageBreakBefore w:val="0"/>
        <w:wordWrap/>
        <w:topLinePunct w:val="0"/>
        <w:bidi w:val="0"/>
        <w:snapToGrid w:val="0"/>
        <w:spacing w:beforeAutospacing="0" w:afterAutospacing="0" w:line="240" w:lineRule="auto"/>
        <w:ind w:firstLine="752" w:firstLineChars="342"/>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（7）已标价工程量清单；</w:t>
      </w:r>
    </w:p>
    <w:p w14:paraId="593C84EB">
      <w:pPr>
        <w:pageBreakBefore w:val="0"/>
        <w:wordWrap/>
        <w:topLinePunct w:val="0"/>
        <w:bidi w:val="0"/>
        <w:snapToGrid w:val="0"/>
        <w:spacing w:beforeAutospacing="0" w:afterAutospacing="0" w:line="240" w:lineRule="auto"/>
        <w:ind w:firstLine="752" w:firstLineChars="342"/>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（8）其它合同文件。</w:t>
      </w:r>
    </w:p>
    <w:p w14:paraId="4FC9DCF0">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bookmarkStart w:id="412" w:name="_Toc152042549"/>
      <w:bookmarkStart w:id="413" w:name="_Toc144974829"/>
      <w:r>
        <w:rPr>
          <w:rFonts w:hint="eastAsia" w:ascii="宋体" w:hAnsi="宋体" w:eastAsia="宋体" w:cs="宋体"/>
          <w:b w:val="0"/>
          <w:bCs w:val="0"/>
          <w:color w:val="auto"/>
          <w:kern w:val="2"/>
          <w:sz w:val="22"/>
          <w:szCs w:val="22"/>
          <w:highlight w:val="none"/>
        </w:rPr>
        <w:t>3．上述文件互相补充和解释，如有不明确或不一致之处，以合同约定次序在先者为准。</w:t>
      </w:r>
      <w:bookmarkEnd w:id="412"/>
      <w:bookmarkEnd w:id="413"/>
    </w:p>
    <w:p w14:paraId="497116E6">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4．根据工程量清单所列的一、二类项目数量和单价总额价计算的签约合同价：人民币（大写）</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元（¥</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w:t>
      </w:r>
    </w:p>
    <w:p w14:paraId="4DDD702B">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5．承包人项目经理：</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；承包人项目总工：</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w:t>
      </w:r>
    </w:p>
    <w:p w14:paraId="1F02F366">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6．对承包人实施的日常巡查和养护工程考核，由发包人依据合同条款制定具体的养护质量检查考核办法，采用季度检查、年度检查相结合，综合确定年度考核评分结果，并以二类项目计价规范作为工程子目计量支付的依据。</w:t>
      </w:r>
    </w:p>
    <w:p w14:paraId="3667DF46">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7．为本合同小修保养工程实施和完成的报酬，发包人承诺按合同约定的条件、时间和方式向承包人支付合同价款。</w:t>
      </w:r>
    </w:p>
    <w:p w14:paraId="6DFB8501">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9．承包人应按照监理人指示开工，</w:t>
      </w:r>
      <w:r>
        <w:rPr>
          <w:rFonts w:hint="eastAsia" w:ascii="宋体" w:hAnsi="宋体" w:eastAsia="宋体" w:cs="宋体"/>
          <w:b w:val="0"/>
          <w:bCs w:val="0"/>
          <w:color w:val="auto"/>
          <w:kern w:val="2"/>
          <w:sz w:val="22"/>
          <w:szCs w:val="22"/>
          <w:highlight w:val="none"/>
          <w:lang w:eastAsia="zh-CN"/>
        </w:rPr>
        <w:t>总</w:t>
      </w:r>
      <w:r>
        <w:rPr>
          <w:rFonts w:hint="eastAsia" w:ascii="宋体" w:hAnsi="宋体" w:eastAsia="宋体" w:cs="宋体"/>
          <w:b w:val="0"/>
          <w:bCs w:val="0"/>
          <w:color w:val="auto"/>
          <w:kern w:val="2"/>
          <w:sz w:val="22"/>
          <w:szCs w:val="22"/>
          <w:highlight w:val="none"/>
        </w:rPr>
        <w:t>承包期</w:t>
      </w:r>
      <w:r>
        <w:rPr>
          <w:rFonts w:hint="eastAsia" w:ascii="宋体" w:hAnsi="宋体" w:cs="宋体"/>
          <w:b w:val="0"/>
          <w:bCs w:val="0"/>
          <w:color w:val="auto"/>
          <w:kern w:val="2"/>
          <w:sz w:val="22"/>
          <w:szCs w:val="22"/>
          <w:highlight w:val="none"/>
          <w:lang w:val="en-US" w:eastAsia="zh-CN"/>
        </w:rPr>
        <w:t>2年，本合同承包期为1年度，考核达标后可续签下一年度</w:t>
      </w:r>
      <w:r>
        <w:rPr>
          <w:rFonts w:hint="eastAsia" w:ascii="宋体" w:hAnsi="宋体" w:eastAsia="宋体" w:cs="宋体"/>
          <w:b w:val="0"/>
          <w:bCs w:val="0"/>
          <w:color w:val="auto"/>
          <w:kern w:val="2"/>
          <w:sz w:val="22"/>
          <w:szCs w:val="22"/>
          <w:highlight w:val="none"/>
        </w:rPr>
        <w:t>。</w:t>
      </w:r>
    </w:p>
    <w:p w14:paraId="1E552A87">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10．本协议书在承包人提供履约担保后，由双方法定代表人或其委托代理人签署并加盖单位章后生效。全部养护工程完工后经交工验收合格后失效。</w:t>
      </w:r>
    </w:p>
    <w:p w14:paraId="2FDD6A28">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 xml:space="preserve">11. </w:t>
      </w:r>
      <w:r>
        <w:rPr>
          <w:rFonts w:hint="eastAsia" w:ascii="宋体" w:hAnsi="宋体" w:eastAsia="宋体" w:cs="宋体"/>
          <w:color w:val="auto"/>
          <w:kern w:val="2"/>
          <w:sz w:val="22"/>
          <w:szCs w:val="22"/>
          <w:highlight w:val="none"/>
        </w:rPr>
        <w:t>工程量按实增减，减少部分工程量，中标单位不得另计取施工管理费及利润等费用。</w:t>
      </w:r>
    </w:p>
    <w:p w14:paraId="0A345E22">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12．本协议书正本二份、副本七份，合同双方各执正本一份，副本三份，采购中心副本一份，当正本与副本的内容不一致时，以正本为准。</w:t>
      </w:r>
    </w:p>
    <w:p w14:paraId="69ED52A3">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bookmarkStart w:id="414" w:name="_Toc152042550"/>
      <w:bookmarkStart w:id="415" w:name="_Toc144974830"/>
      <w:r>
        <w:rPr>
          <w:rFonts w:hint="eastAsia" w:ascii="宋体" w:hAnsi="宋体" w:eastAsia="宋体" w:cs="宋体"/>
          <w:b w:val="0"/>
          <w:bCs w:val="0"/>
          <w:color w:val="auto"/>
          <w:kern w:val="2"/>
          <w:sz w:val="22"/>
          <w:szCs w:val="22"/>
          <w:highlight w:val="none"/>
        </w:rPr>
        <w:t>13．合同未尽事宜，双方另行签订补充协议。补充协议是合同的组成部分。</w:t>
      </w:r>
      <w:bookmarkEnd w:id="414"/>
      <w:bookmarkEnd w:id="415"/>
    </w:p>
    <w:p w14:paraId="5FC8E037">
      <w:pPr>
        <w:pageBreakBefore w:val="0"/>
        <w:wordWrap/>
        <w:topLinePunct w:val="0"/>
        <w:bidi w:val="0"/>
        <w:snapToGrid w:val="0"/>
        <w:spacing w:beforeAutospacing="0" w:afterAutospacing="0" w:line="240" w:lineRule="auto"/>
        <w:ind w:firstLine="376" w:firstLineChars="171"/>
        <w:rPr>
          <w:rFonts w:hint="eastAsia" w:ascii="宋体" w:hAnsi="宋体" w:eastAsia="宋体" w:cs="宋体"/>
          <w:b w:val="0"/>
          <w:bCs w:val="0"/>
          <w:color w:val="auto"/>
          <w:kern w:val="2"/>
          <w:sz w:val="22"/>
          <w:szCs w:val="22"/>
          <w:highlight w:val="none"/>
        </w:rPr>
      </w:pPr>
    </w:p>
    <w:p w14:paraId="7930786F">
      <w:pPr>
        <w:pageBreakBefore w:val="0"/>
        <w:wordWrap/>
        <w:topLinePunct w:val="0"/>
        <w:bidi w:val="0"/>
        <w:snapToGrid w:val="0"/>
        <w:spacing w:beforeAutospacing="0" w:afterAutospacing="0" w:line="240" w:lineRule="auto"/>
        <w:ind w:firstLine="376" w:firstLineChars="171"/>
        <w:rPr>
          <w:rFonts w:hint="eastAsia" w:ascii="宋体" w:hAnsi="宋体" w:eastAsia="宋体" w:cs="宋体"/>
          <w:b w:val="0"/>
          <w:bCs w:val="0"/>
          <w:color w:val="auto"/>
          <w:kern w:val="2"/>
          <w:sz w:val="22"/>
          <w:szCs w:val="22"/>
          <w:highlight w:val="none"/>
        </w:rPr>
      </w:pPr>
    </w:p>
    <w:p w14:paraId="12F33C2C">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发包人：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（盖单位章）   承包人：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（盖单位章）</w:t>
      </w:r>
    </w:p>
    <w:p w14:paraId="3322DFAC">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法定代表人或其委托代理人：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（签字）  法定代表人或其委托代理人：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（签字）</w:t>
      </w:r>
    </w:p>
    <w:p w14:paraId="3E193932">
      <w:pPr>
        <w:pageBreakBefore w:val="0"/>
        <w:wordWrap/>
        <w:topLinePunct w:val="0"/>
        <w:bidi w:val="0"/>
        <w:snapToGrid w:val="0"/>
        <w:spacing w:beforeAutospacing="0" w:afterAutospacing="0" w:line="240" w:lineRule="auto"/>
        <w:ind w:firstLine="770" w:firstLineChars="35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年</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 xml:space="preserve">月 </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 xml:space="preserve"> 日             </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年</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 xml:space="preserve">月 </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日</w:t>
      </w:r>
    </w:p>
    <w:p w14:paraId="7645971C">
      <w:pPr>
        <w:keepNext/>
        <w:keepLines/>
        <w:pageBreakBefore w:val="0"/>
        <w:wordWrap/>
        <w:topLinePunct w:val="0"/>
        <w:bidi w:val="0"/>
        <w:snapToGrid w:val="0"/>
        <w:spacing w:beforeAutospacing="0" w:afterAutospacing="0" w:line="240" w:lineRule="auto"/>
        <w:outlineLvl w:val="2"/>
        <w:rPr>
          <w:rFonts w:hint="eastAsia" w:ascii="宋体" w:hAnsi="宋体" w:eastAsia="宋体" w:cs="宋体"/>
          <w:b w:val="0"/>
          <w:bCs w:val="0"/>
          <w:color w:val="auto"/>
          <w:kern w:val="2"/>
          <w:sz w:val="22"/>
          <w:szCs w:val="22"/>
          <w:highlight w:val="none"/>
        </w:rPr>
        <w:sectPr>
          <w:pgSz w:w="11906" w:h="16838"/>
          <w:pgMar w:top="1588" w:right="1418" w:bottom="1588" w:left="1418" w:header="1021" w:footer="1134" w:gutter="0"/>
          <w:cols w:space="720" w:num="1"/>
          <w:docGrid w:linePitch="312" w:charSpace="0"/>
        </w:sectPr>
      </w:pPr>
      <w:bookmarkStart w:id="416" w:name="_Toc233423337"/>
      <w:bookmarkStart w:id="417" w:name="_Toc233214904"/>
      <w:bookmarkStart w:id="418" w:name="_Toc233429854"/>
      <w:bookmarkStart w:id="419" w:name="_Toc233290452"/>
      <w:bookmarkStart w:id="420" w:name="_Toc233435993"/>
      <w:bookmarkStart w:id="421" w:name="_Toc152042551"/>
      <w:bookmarkStart w:id="422" w:name="_Toc144974831"/>
      <w:bookmarkStart w:id="423" w:name="_Toc152045769"/>
      <w:bookmarkStart w:id="424" w:name="_Toc179632787"/>
    </w:p>
    <w:p w14:paraId="08739E5D">
      <w:pPr>
        <w:pageBreakBefore w:val="0"/>
        <w:wordWrap/>
        <w:topLinePunct w:val="0"/>
        <w:autoSpaceDE w:val="0"/>
        <w:autoSpaceDN w:val="0"/>
        <w:bidi w:val="0"/>
        <w:adjustRightInd w:val="0"/>
        <w:snapToGrid w:val="0"/>
        <w:spacing w:beforeAutospacing="0" w:afterAutospacing="0" w:line="240" w:lineRule="auto"/>
        <w:textAlignment w:val="bottom"/>
        <w:rPr>
          <w:rFonts w:hint="eastAsia" w:ascii="宋体" w:hAnsi="宋体" w:eastAsia="宋体" w:cs="宋体"/>
          <w:b w:val="0"/>
          <w:color w:val="auto"/>
          <w:kern w:val="2"/>
          <w:sz w:val="22"/>
          <w:szCs w:val="22"/>
          <w:highlight w:val="none"/>
        </w:rPr>
      </w:pPr>
      <w:bookmarkStart w:id="425" w:name="_Toc288491668"/>
      <w:bookmarkStart w:id="426" w:name="_Toc282787607"/>
      <w:bookmarkStart w:id="427" w:name="_Toc283794340"/>
      <w:bookmarkStart w:id="428" w:name="_Toc287853492"/>
      <w:bookmarkStart w:id="429" w:name="_Toc282779143"/>
      <w:bookmarkStart w:id="430" w:name="_Toc288546792"/>
      <w:bookmarkStart w:id="431" w:name="_Toc282779652"/>
      <w:r>
        <w:rPr>
          <w:rFonts w:hint="eastAsia" w:ascii="宋体" w:hAnsi="宋体" w:eastAsia="宋体" w:cs="宋体"/>
          <w:b w:val="0"/>
          <w:color w:val="auto"/>
          <w:kern w:val="2"/>
          <w:sz w:val="22"/>
          <w:szCs w:val="22"/>
          <w:highlight w:val="none"/>
        </w:rPr>
        <w:t>附件二  廉政合同</w:t>
      </w:r>
      <w:bookmarkEnd w:id="416"/>
      <w:bookmarkEnd w:id="417"/>
      <w:bookmarkEnd w:id="418"/>
      <w:bookmarkEnd w:id="419"/>
      <w:bookmarkEnd w:id="420"/>
      <w:bookmarkEnd w:id="425"/>
      <w:bookmarkEnd w:id="426"/>
      <w:bookmarkEnd w:id="427"/>
      <w:bookmarkEnd w:id="428"/>
      <w:bookmarkEnd w:id="429"/>
      <w:bookmarkEnd w:id="430"/>
      <w:bookmarkEnd w:id="431"/>
    </w:p>
    <w:p w14:paraId="179361C1">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203CCD0D">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廉 政 合 同</w:t>
      </w:r>
    </w:p>
    <w:p w14:paraId="02EF86B2">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6649D0FE">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（项目名称）的项目法人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（项目法人名称，</w:t>
      </w:r>
      <w:r>
        <w:rPr>
          <w:rFonts w:hint="eastAsia" w:ascii="宋体" w:hAnsi="宋体" w:eastAsia="宋体" w:cs="宋体"/>
          <w:b w:val="0"/>
          <w:bCs w:val="0"/>
          <w:color w:val="auto"/>
          <w:sz w:val="22"/>
          <w:szCs w:val="22"/>
          <w:highlight w:val="none"/>
        </w:rPr>
        <w:t>以下简称“发包人”）</w:t>
      </w:r>
      <w:r>
        <w:rPr>
          <w:rFonts w:hint="eastAsia" w:ascii="宋体" w:hAnsi="宋体" w:eastAsia="宋体" w:cs="宋体"/>
          <w:b w:val="0"/>
          <w:bCs w:val="0"/>
          <w:color w:val="auto"/>
          <w:kern w:val="2"/>
          <w:sz w:val="22"/>
          <w:szCs w:val="22"/>
          <w:highlight w:val="none"/>
        </w:rPr>
        <w:t>与该项目</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标段的公路养护施工单位</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（施工单位名称，</w:t>
      </w:r>
      <w:r>
        <w:rPr>
          <w:rFonts w:hint="eastAsia" w:ascii="宋体" w:hAnsi="宋体" w:eastAsia="宋体" w:cs="宋体"/>
          <w:b w:val="0"/>
          <w:bCs w:val="0"/>
          <w:color w:val="auto"/>
          <w:sz w:val="22"/>
          <w:szCs w:val="22"/>
          <w:highlight w:val="none"/>
        </w:rPr>
        <w:t>以下简称“承包人”）</w:t>
      </w:r>
      <w:r>
        <w:rPr>
          <w:rFonts w:hint="eastAsia" w:ascii="宋体" w:hAnsi="宋体" w:eastAsia="宋体" w:cs="宋体"/>
          <w:b w:val="0"/>
          <w:bCs w:val="0"/>
          <w:color w:val="auto"/>
          <w:kern w:val="2"/>
          <w:sz w:val="22"/>
          <w:szCs w:val="22"/>
          <w:highlight w:val="none"/>
        </w:rPr>
        <w:t>，特订立如下合同。</w:t>
      </w:r>
    </w:p>
    <w:p w14:paraId="305C5EA1">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1．发包人和承包人双方的权利和义务</w:t>
      </w:r>
    </w:p>
    <w:p w14:paraId="43A453A9">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（1）严格遵守党的政策规定和国家有关法律及交通运输部和浙江省交通运输厅的有关规定。</w:t>
      </w:r>
    </w:p>
    <w:p w14:paraId="6B71ED90">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（2）严格执行</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（项目名称）</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标段养护工程合同文件，自觉按合同办事。</w:t>
      </w:r>
    </w:p>
    <w:p w14:paraId="7FDAC1FA">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（3）双方的业务活动坚持公开、公正、诚信、透明的原则（法律认定的商业秘密和合同文件另有规定除外），不得损害国家和集体利益，不得违反工程建设管理规章制度。</w:t>
      </w:r>
    </w:p>
    <w:p w14:paraId="74348800">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（4）建立健全廉政制度，开展廉政教育，设立廉政告示牌，公布举报电话，监督并认真查处违法违纪行为。</w:t>
      </w:r>
    </w:p>
    <w:p w14:paraId="78A575D6">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（5）发现对方在业务活动中有违反廉政规定的行为，有及时提醒对方纠正的权利和义务。</w:t>
      </w:r>
    </w:p>
    <w:p w14:paraId="13480AF1">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（6）发现对方严重违反本合同义务条款的行为，有向其上级有关部门举报、建议给予处理并要求告知处理结果的权利。</w:t>
      </w:r>
    </w:p>
    <w:p w14:paraId="1CC4AAD7">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2．发包人的义务</w:t>
      </w:r>
    </w:p>
    <w:p w14:paraId="0B713771">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（1）发包人及其工作人员不得索要或接受乙方的礼金，有价证券和贵重物品，不得让承包人报销任何应由发包人或发包人工作人员个人支付的费用等。</w:t>
      </w:r>
    </w:p>
    <w:p w14:paraId="7353203F">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（2）发包人工作人员不得参加承包人安排的超标准宴请和娱乐活动；不得接受承包人提供的通讯工具、交通工具和高档办公用品等。</w:t>
      </w:r>
    </w:p>
    <w:p w14:paraId="103CA2D0">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（3）发包人及其工作人员不得要求或者接受承包人为其住房装修、婚丧嫁娶活动、配偶子女的工作安排以及出国处境、旅游等提供方便等。</w:t>
      </w:r>
    </w:p>
    <w:p w14:paraId="6EB03D61">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（4）发包人工作人员的配偶、子女不得从事与发包人工程有关的材料设备供应、工程分包、劳务等经济活动等。</w:t>
      </w:r>
    </w:p>
    <w:p w14:paraId="173A69D1">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（5）发包人及其工作人员不得以任何理由向承包人推荐分包单位，不得要求承包人购买合同规定外的材料和设备。</w:t>
      </w:r>
    </w:p>
    <w:p w14:paraId="5C90823E">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3．承包人义务</w:t>
      </w:r>
    </w:p>
    <w:p w14:paraId="2C13D826">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（1）承包人不得以任何理由向发包人及其工作人员行贿或馈赠礼金、有价证券、贵重礼品。</w:t>
      </w:r>
    </w:p>
    <w:p w14:paraId="2CC1E839">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（2）承包人不得以任何名义为发包人及其工作人员报销由发包人单位或个人支付的任何费用。</w:t>
      </w:r>
    </w:p>
    <w:p w14:paraId="2A9883A9">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（3）承包人不得以任何理由安排发包人工作人员参加超标准宴请及娱乐活动。</w:t>
      </w:r>
    </w:p>
    <w:p w14:paraId="292A4EB1">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（4）承包人不得为发包人单位和个人购置或提供通讯工具、交通工具和高档办公用品等。</w:t>
      </w:r>
    </w:p>
    <w:p w14:paraId="334360A2">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4．违约责任</w:t>
      </w:r>
    </w:p>
    <w:p w14:paraId="7D018020">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（1）发包人及其工作人员违反本合同第1、2条，按管理权限，依据有关规定给予党纪、政纪或组织处理；涉嫌犯罪的，移交司法机关追究刑事责任；给承包人单位造成经济损失的，应予以赔偿。</w:t>
      </w:r>
    </w:p>
    <w:p w14:paraId="565C33BB">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承包人及其工作人员违反本合同第1、3条，按管理权限，依据有关规定，给予党纪、政纪或组织处理；给发包人单位造成经济损失的，应予以赔偿;情节严重的，发包人建议交通工程建设主管部门给予承包人一至三年内不得进入其主管的交通工程建设市场的处罚。</w:t>
      </w:r>
    </w:p>
    <w:p w14:paraId="53D5A133">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5．双方约定：本合同由双方上级单位的纪检监察机关负责监督执行。由发包人或发包人上级单位的纪检监察机关约请承包人或承包人上级单位纪检监察机关对本合同履行情况进行检查；提出在本合同规定范围内的裁定意见。</w:t>
      </w:r>
    </w:p>
    <w:p w14:paraId="337209C3">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6．本合同有效期为发包人和承包人签署之日起至该工程项目竣工验收后止。</w:t>
      </w:r>
    </w:p>
    <w:p w14:paraId="66D8FDEC">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7．本合同作为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（项目名称）</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标段公路养护工程施工合同的附件，与工程施工合同具有同等的法律效力，经合同双方签署立即生效。</w:t>
      </w:r>
    </w:p>
    <w:p w14:paraId="38FEFB86">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8．本合同一式四份，由发包人和承包人各执一份，送交发包人和承包人的监督单位各一份。</w:t>
      </w:r>
    </w:p>
    <w:p w14:paraId="155837EA">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p>
    <w:p w14:paraId="194C796A">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发包人：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（盖单位章）   承包人：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（盖单位章）</w:t>
      </w:r>
    </w:p>
    <w:p w14:paraId="3E3008DA">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法定代表人或其委托代理人：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（签字）  法定代表人或其委托代理人：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（签字）</w:t>
      </w:r>
    </w:p>
    <w:p w14:paraId="4F37ACCF">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年</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 xml:space="preserve">月 </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 xml:space="preserve"> 日          </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年</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 xml:space="preserve">月 </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日</w:t>
      </w:r>
    </w:p>
    <w:p w14:paraId="1E1681D1">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p>
    <w:p w14:paraId="3D688CF0">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发包人监督单位：</w:t>
      </w:r>
      <w:r>
        <w:rPr>
          <w:rFonts w:hint="eastAsia" w:ascii="宋体" w:hAnsi="宋体" w:eastAsia="宋体" w:cs="宋体"/>
          <w:b w:val="0"/>
          <w:bCs w:val="0"/>
          <w:color w:val="auto"/>
          <w:kern w:val="2"/>
          <w:sz w:val="22"/>
          <w:szCs w:val="22"/>
          <w:highlight w:val="none"/>
          <w:u w:val="single"/>
        </w:rPr>
        <w:t>（全称）（盖单位章）</w:t>
      </w:r>
      <w:r>
        <w:rPr>
          <w:rFonts w:hint="eastAsia" w:ascii="宋体" w:hAnsi="宋体" w:eastAsia="宋体" w:cs="宋体"/>
          <w:b w:val="0"/>
          <w:bCs w:val="0"/>
          <w:color w:val="auto"/>
          <w:kern w:val="2"/>
          <w:sz w:val="22"/>
          <w:szCs w:val="22"/>
          <w:highlight w:val="none"/>
        </w:rPr>
        <w:t xml:space="preserve">     承包人监督单位：</w:t>
      </w:r>
      <w:r>
        <w:rPr>
          <w:rFonts w:hint="eastAsia" w:ascii="宋体" w:hAnsi="宋体" w:eastAsia="宋体" w:cs="宋体"/>
          <w:b w:val="0"/>
          <w:bCs w:val="0"/>
          <w:color w:val="auto"/>
          <w:kern w:val="2"/>
          <w:sz w:val="22"/>
          <w:szCs w:val="22"/>
          <w:highlight w:val="none"/>
          <w:u w:val="single"/>
        </w:rPr>
        <w:t>（全称）（盖单位章）</w:t>
      </w:r>
      <w:r>
        <w:rPr>
          <w:rFonts w:hint="eastAsia" w:ascii="宋体" w:hAnsi="宋体" w:eastAsia="宋体" w:cs="宋体"/>
          <w:b w:val="0"/>
          <w:bCs w:val="0"/>
          <w:color w:val="auto"/>
          <w:kern w:val="2"/>
          <w:sz w:val="22"/>
          <w:szCs w:val="22"/>
          <w:highlight w:val="none"/>
        </w:rPr>
        <w:t xml:space="preserve">   </w:t>
      </w:r>
    </w:p>
    <w:p w14:paraId="0F65D76E">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sectPr>
          <w:pgSz w:w="11906" w:h="16838"/>
          <w:pgMar w:top="1588" w:right="1418" w:bottom="1588" w:left="1418" w:header="1021" w:footer="1134" w:gutter="0"/>
          <w:cols w:space="720" w:num="1"/>
          <w:docGrid w:linePitch="312" w:charSpace="0"/>
        </w:sectPr>
      </w:pPr>
    </w:p>
    <w:p w14:paraId="54AF1CFA">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bookmarkStart w:id="432" w:name="_Toc233435994"/>
      <w:bookmarkStart w:id="433" w:name="_Toc233214905"/>
      <w:bookmarkStart w:id="434" w:name="_Toc282787608"/>
      <w:bookmarkStart w:id="435" w:name="_Toc288491669"/>
      <w:bookmarkStart w:id="436" w:name="_Toc287853493"/>
      <w:bookmarkStart w:id="437" w:name="_Toc282779144"/>
      <w:bookmarkStart w:id="438" w:name="_Toc233423338"/>
      <w:bookmarkStart w:id="439" w:name="_Toc282779653"/>
      <w:bookmarkStart w:id="440" w:name="_Toc288546793"/>
      <w:bookmarkStart w:id="441" w:name="_Toc233429855"/>
      <w:bookmarkStart w:id="442" w:name="_Toc233290453"/>
      <w:bookmarkStart w:id="443" w:name="_Toc283794341"/>
      <w:r>
        <w:rPr>
          <w:rFonts w:hint="eastAsia" w:ascii="宋体" w:hAnsi="宋体" w:eastAsia="宋体" w:cs="宋体"/>
          <w:b w:val="0"/>
          <w:bCs w:val="0"/>
          <w:color w:val="auto"/>
          <w:kern w:val="2"/>
          <w:sz w:val="22"/>
          <w:szCs w:val="22"/>
          <w:highlight w:val="none"/>
        </w:rPr>
        <w:t>附件三  安全生产合同</w:t>
      </w:r>
      <w:bookmarkEnd w:id="432"/>
      <w:bookmarkEnd w:id="433"/>
      <w:bookmarkEnd w:id="434"/>
      <w:bookmarkEnd w:id="435"/>
      <w:bookmarkEnd w:id="436"/>
      <w:bookmarkEnd w:id="437"/>
      <w:bookmarkEnd w:id="438"/>
      <w:bookmarkEnd w:id="439"/>
      <w:bookmarkEnd w:id="440"/>
      <w:bookmarkEnd w:id="441"/>
      <w:bookmarkEnd w:id="442"/>
      <w:bookmarkEnd w:id="443"/>
    </w:p>
    <w:p w14:paraId="553D1D55">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安全生产合同</w:t>
      </w:r>
    </w:p>
    <w:p w14:paraId="59127512">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为在</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（项目名称）</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标段公路养护施工合同的实施过程中创造安全、高效的施工环境，切实搞好本项目的安全</w:t>
      </w: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HYPERLINK "http://lwcool.com/lw/showcls.asp?id=162&amp;parent=0"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val="0"/>
          <w:color w:val="auto"/>
          <w:sz w:val="22"/>
          <w:szCs w:val="22"/>
          <w:highlight w:val="none"/>
        </w:rPr>
        <w:t>管理</w: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工作，本项目发包人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（发包人名称，以下简称“发包人”）与承包人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（承包人名称，以下简称“乙方”）特此签订安全生产合同：</w:t>
      </w:r>
    </w:p>
    <w:p w14:paraId="56263C79">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1．发包人职责</w:t>
      </w:r>
    </w:p>
    <w:p w14:paraId="13205AD2">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（1）严格遵守国家有关安全生产的</w:t>
      </w: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HYPERLINK "http://lwcool.com/lw/showcls.asp?id=4&amp;parent=0"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val="0"/>
          <w:color w:val="auto"/>
          <w:sz w:val="22"/>
          <w:szCs w:val="22"/>
          <w:highlight w:val="none"/>
          <w:u w:val="single"/>
        </w:rPr>
        <w:t>法律</w: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法规，认真执行工程承包合同中的有关安全要求。</w:t>
      </w:r>
    </w:p>
    <w:p w14:paraId="13E86B1C">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（2）按照“安全第一、预防为主”和坚持“管生产必须管安全”的原则进行安全生产</w:t>
      </w: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HYPERLINK "http://lwcool.com/lw/showcls.asp?id=162&amp;parent=0"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val="0"/>
          <w:color w:val="auto"/>
          <w:sz w:val="22"/>
          <w:szCs w:val="22"/>
          <w:highlight w:val="none"/>
        </w:rPr>
        <w:t>管理</w: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，做到生产与安全工作同时</w:t>
      </w: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HYPERLINK "http://lwcool.com/gw/showcls.asp?id=3&amp;parent=0"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val="0"/>
          <w:color w:val="auto"/>
          <w:sz w:val="22"/>
          <w:szCs w:val="22"/>
          <w:highlight w:val="none"/>
        </w:rPr>
        <w:t>计划</w: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、布置、检查、</w:t>
      </w: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HYPERLINK "http://lwcool.com/gw/showcls.asp?parent=0&amp;id=4"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val="0"/>
          <w:color w:val="auto"/>
          <w:sz w:val="22"/>
          <w:szCs w:val="22"/>
          <w:highlight w:val="none"/>
        </w:rPr>
        <w:t>总结</w: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和评比。</w:t>
      </w:r>
    </w:p>
    <w:p w14:paraId="3ED7EECD">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（3）重要的安全设施必须坚持与主体工程“三同时”的原则，即：同时设计、审批，同时施工，同时验收，投入使用。</w:t>
      </w:r>
    </w:p>
    <w:p w14:paraId="480066C4">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（4）定期召开安全生产调度会，及时伟达中央及地方有关安全生产的精神。</w:t>
      </w:r>
    </w:p>
    <w:p w14:paraId="4A11CC96">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（5）组织对承包人施工现场进行安全生产检查，监督承包人及时处理发现的各种安全隐患。</w:t>
      </w:r>
    </w:p>
    <w:p w14:paraId="42E748CC">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2．承包人职责</w:t>
      </w:r>
    </w:p>
    <w:p w14:paraId="77DB6446">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（1）严格遵守《中华人民共和国安全生产法》、《建设工程安全生产管理条例》等国家有关爱情生产的的</w:t>
      </w: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HYPERLINK "http://lwcool.com/lw/showcls.asp?id=4&amp;parent=0"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val="0"/>
          <w:color w:val="auto"/>
          <w:sz w:val="22"/>
          <w:szCs w:val="22"/>
          <w:highlight w:val="none"/>
        </w:rPr>
        <w:t>法律</w: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法规、《公路水运工程安全生产监督管理办法》、《公路工程施工安全技术规程》和《公路筑养路机械操作规程》等有关安全生产的规定。认真执行工程承包合同中的有关安全要求。</w:t>
      </w:r>
    </w:p>
    <w:p w14:paraId="1E056D73">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（2）坚持“安全第一、预防为主”和“管生产必须管安全”的原则，加强安全生产宣传教育，增强全员安全生产意识，建立健全各项安全生产的</w:t>
      </w: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HYPERLINK "http://lwcool.com/lw/showcls.asp?id=162&amp;parent=0"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val="0"/>
          <w:color w:val="auto"/>
          <w:sz w:val="22"/>
          <w:szCs w:val="22"/>
          <w:highlight w:val="none"/>
        </w:rPr>
        <w:t>管理</w: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机构和安全生产</w:t>
      </w: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HYPERLINK "http://lwcool.com/lw/showcls.asp?id=162&amp;parent=0"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val="0"/>
          <w:color w:val="auto"/>
          <w:sz w:val="22"/>
          <w:szCs w:val="22"/>
          <w:highlight w:val="none"/>
        </w:rPr>
        <w:t>管理</w: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制度，配备专职及兼职安全检查人员，有组织有领导地开展安全生产活动。各级领导、工程技术人员、生产</w:t>
      </w: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HYPERLINK "http://lwcool.com/lw/showcls.asp?id=162&amp;parent=0"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val="0"/>
          <w:color w:val="auto"/>
          <w:sz w:val="22"/>
          <w:szCs w:val="22"/>
          <w:highlight w:val="none"/>
        </w:rPr>
        <w:t>管理</w: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人员和具体操作人员，必须熟悉和遵守本合同的各项规定，做到生产与安全工作同时</w:t>
      </w: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HYPERLINK "http://lwcool.com/gw/showcls.asp?id=3&amp;parent=0"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val="0"/>
          <w:color w:val="auto"/>
          <w:sz w:val="22"/>
          <w:szCs w:val="22"/>
          <w:highlight w:val="none"/>
        </w:rPr>
        <w:t>计划</w: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、布置、检查、</w:t>
      </w: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HYPERLINK "http://lwcool.com/gw/showcls.asp?parent=0&amp;id=4"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val="0"/>
          <w:color w:val="auto"/>
          <w:sz w:val="22"/>
          <w:szCs w:val="22"/>
          <w:highlight w:val="none"/>
        </w:rPr>
        <w:t>总结</w: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和评比。</w:t>
      </w:r>
    </w:p>
    <w:p w14:paraId="1CC92273">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（3）建立健全安全生产责任制。从派往项目实施的项目经理到生产工人（包括临时雇请的民工）的安全生产</w:t>
      </w: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HYPERLINK "http://lwcool.com/lw/showcls.asp?id=162&amp;parent=0"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val="0"/>
          <w:color w:val="auto"/>
          <w:sz w:val="22"/>
          <w:szCs w:val="22"/>
          <w:highlight w:val="none"/>
        </w:rPr>
        <w:t>管理</w: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BB1A72A">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（4）承包人在任何时候都应采取各种合理的预防措施，防止其员工发生任何违法、违禁、暴力或妨碍治安的行为。</w:t>
      </w:r>
    </w:p>
    <w:p w14:paraId="239E00C0">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（5）承包人必须具有劳动安全</w:t>
      </w: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HYPERLINK "http://lwcool.com/lw/showcls.asp?id=162&amp;parent=0"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val="0"/>
          <w:color w:val="auto"/>
          <w:sz w:val="22"/>
          <w:szCs w:val="22"/>
          <w:highlight w:val="none"/>
        </w:rPr>
        <w:t>管理</w: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w:t>
      </w: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HYPERLINK "http://lwcool.com/lw/showcls.asp?id=162&amp;parent=0"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val="0"/>
          <w:color w:val="auto"/>
          <w:sz w:val="22"/>
          <w:szCs w:val="22"/>
          <w:highlight w:val="none"/>
        </w:rPr>
        <w:t>管理</w: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责任。</w:t>
      </w:r>
    </w:p>
    <w:p w14:paraId="392C71C7">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对于易燃易爆的材料除应专门妥善保管之外，还应配备有足够的消防设施，所有施工人员都应该熟悉消防设备的性能和使用方法；承包人不得将任何种类的爆炸物给予、易货或以其它方式转让给任何其他人，或允许、容忍上述同样行为。</w:t>
      </w:r>
    </w:p>
    <w:p w14:paraId="00845970">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（7）操作人员上岗，必须按规定穿戴防护用品。施工负责人和安全检查员应随时检查劳动防护用品的穿戴情况，不按规定穿戴防护用品的人员不得上岗。</w:t>
      </w:r>
    </w:p>
    <w:p w14:paraId="437FD48F">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（8）所有施工机具设备和高空作业的设备均应定期检查，并有安全生产负责人的签字记录，保证其经常处于完好状态；不合格的机具、设备和劳动保护用品严禁使用。</w:t>
      </w:r>
    </w:p>
    <w:p w14:paraId="58BA8200">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（9）施工中采用新技术、新工艺、新设备、新材料时，必须制定相应的安全技术措施，施工现场必须具有相关的安全标志牌。</w:t>
      </w:r>
    </w:p>
    <w:p w14:paraId="0791E337">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32EF2078">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（11）安全生产费用按照《浙江省公路和水运建设工程安全生产费用管理暂行规定》（浙交[2009]228号）使用和管理。</w:t>
      </w:r>
    </w:p>
    <w:p w14:paraId="0AEE21D7">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3．违约责任</w:t>
      </w:r>
    </w:p>
    <w:p w14:paraId="52C57E52">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如因发包人或承包人违约造成安全事故，将依法追究责任。</w:t>
      </w:r>
    </w:p>
    <w:p w14:paraId="63C06AF2">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4．本合同由双方法定代表人或其授权的代理人签署并加盖单位章后生效，全部工程竣工验收后失效。</w:t>
      </w:r>
    </w:p>
    <w:p w14:paraId="7B8D6EAE">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sz w:val="22"/>
          <w:szCs w:val="22"/>
          <w:highlight w:val="none"/>
        </w:rPr>
        <w:t>5．本合同正本一式二份，副本</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份，合同双方各执正本一份，副本</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份。</w:t>
      </w:r>
      <w:r>
        <w:rPr>
          <w:rFonts w:hint="eastAsia" w:ascii="宋体" w:hAnsi="宋体" w:eastAsia="宋体" w:cs="宋体"/>
          <w:b w:val="0"/>
          <w:bCs w:val="0"/>
          <w:color w:val="auto"/>
          <w:kern w:val="2"/>
          <w:sz w:val="22"/>
          <w:szCs w:val="22"/>
          <w:highlight w:val="none"/>
        </w:rPr>
        <w:t>当正本与副本的内容不一致时，以正本为准。</w:t>
      </w:r>
    </w:p>
    <w:p w14:paraId="3A0D75B7">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1209C579">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发包人：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（盖单位章）   承包人：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（盖单位章）</w:t>
      </w:r>
    </w:p>
    <w:p w14:paraId="16A89A41">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法定代表人或其委托代理人：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（签字）  法定代表人或其委托代理人：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（签字）</w:t>
      </w:r>
    </w:p>
    <w:p w14:paraId="105BAF73">
      <w:pPr>
        <w:pageBreakBefore w:val="0"/>
        <w:widowControl/>
        <w:shd w:val="clear" w:color="auto" w:fill="FFFFFF"/>
        <w:wordWrap/>
        <w:topLinePunct w:val="0"/>
        <w:bidi w:val="0"/>
        <w:snapToGrid w:val="0"/>
        <w:spacing w:beforeAutospacing="0" w:afterAutospacing="0" w:line="240" w:lineRule="auto"/>
        <w:ind w:firstLine="440" w:firstLineChars="200"/>
        <w:jc w:val="left"/>
        <w:rPr>
          <w:rFonts w:hint="eastAsia" w:ascii="宋体" w:hAnsi="宋体" w:eastAsia="宋体" w:cs="宋体"/>
          <w:b w:val="0"/>
          <w:bCs w:val="0"/>
          <w:color w:val="auto"/>
          <w:sz w:val="22"/>
          <w:szCs w:val="22"/>
          <w:highlight w:val="none"/>
        </w:rPr>
        <w:sectPr>
          <w:pgSz w:w="11906" w:h="16838"/>
          <w:pgMar w:top="1588" w:right="1418" w:bottom="1588" w:left="1418" w:header="1021" w:footer="1134" w:gutter="0"/>
          <w:cols w:space="720" w:num="1"/>
          <w:docGrid w:linePitch="312" w:charSpace="0"/>
        </w:sectPr>
      </w:pP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年</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 xml:space="preserve">月 </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 xml:space="preserve"> 日             </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年</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 xml:space="preserve">月 </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日</w:t>
      </w:r>
    </w:p>
    <w:p w14:paraId="04F6D1E2">
      <w:pPr>
        <w:pageBreakBefore w:val="0"/>
        <w:tabs>
          <w:tab w:val="left" w:pos="1261"/>
        </w:tabs>
        <w:kinsoku w:val="0"/>
        <w:wordWrap/>
        <w:overflowPunct w:val="0"/>
        <w:topLinePunct w:val="0"/>
        <w:autoSpaceDE w:val="0"/>
        <w:autoSpaceDN w:val="0"/>
        <w:bidi w:val="0"/>
        <w:adjustRightInd w:val="0"/>
        <w:snapToGrid w:val="0"/>
        <w:spacing w:beforeAutospacing="0" w:afterAutospacing="0" w:line="240" w:lineRule="auto"/>
        <w:ind w:left="140"/>
        <w:jc w:val="left"/>
        <w:rPr>
          <w:rFonts w:hint="eastAsia" w:ascii="宋体" w:hAnsi="宋体" w:eastAsia="宋体" w:cs="宋体"/>
          <w:b w:val="0"/>
          <w:bCs w:val="0"/>
          <w:color w:val="auto"/>
          <w:sz w:val="22"/>
          <w:szCs w:val="22"/>
          <w:highlight w:val="none"/>
        </w:rPr>
      </w:pPr>
      <w:bookmarkStart w:id="444" w:name="_Toc288491671"/>
      <w:bookmarkStart w:id="445" w:name="_Toc282787610"/>
      <w:bookmarkStart w:id="446" w:name="_Toc282779655"/>
      <w:bookmarkStart w:id="447" w:name="_Toc288546795"/>
      <w:bookmarkStart w:id="448" w:name="_Toc282779146"/>
      <w:bookmarkStart w:id="449" w:name="_Toc233429859"/>
      <w:bookmarkStart w:id="450" w:name="_Toc233423342"/>
      <w:bookmarkStart w:id="451" w:name="_Toc287853495"/>
      <w:bookmarkStart w:id="452" w:name="_Toc283794343"/>
      <w:bookmarkStart w:id="453" w:name="_Toc233214909"/>
      <w:bookmarkStart w:id="454" w:name="_Toc233435998"/>
      <w:bookmarkStart w:id="455" w:name="_Toc233290457"/>
      <w:r>
        <w:rPr>
          <w:rFonts w:hint="eastAsia" w:ascii="宋体" w:hAnsi="宋体" w:eastAsia="宋体" w:cs="宋体"/>
          <w:b w:val="0"/>
          <w:bCs w:val="0"/>
          <w:color w:val="auto"/>
          <w:sz w:val="22"/>
          <w:szCs w:val="22"/>
          <w:highlight w:val="none"/>
        </w:rPr>
        <w:t>附件四</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其他</w:t>
      </w:r>
      <w:r>
        <w:rPr>
          <w:rFonts w:hint="eastAsia" w:ascii="宋体" w:hAnsi="宋体" w:eastAsia="宋体" w:cs="宋体"/>
          <w:b w:val="0"/>
          <w:bCs w:val="0"/>
          <w:color w:val="auto"/>
          <w:spacing w:val="-3"/>
          <w:sz w:val="22"/>
          <w:szCs w:val="22"/>
          <w:highlight w:val="none"/>
        </w:rPr>
        <w:t>主要</w:t>
      </w:r>
      <w:r>
        <w:rPr>
          <w:rFonts w:hint="eastAsia" w:ascii="宋体" w:hAnsi="宋体" w:eastAsia="宋体" w:cs="宋体"/>
          <w:b w:val="0"/>
          <w:bCs w:val="0"/>
          <w:color w:val="auto"/>
          <w:sz w:val="22"/>
          <w:szCs w:val="22"/>
          <w:highlight w:val="none"/>
        </w:rPr>
        <w:t>管理人</w:t>
      </w:r>
      <w:r>
        <w:rPr>
          <w:rFonts w:hint="eastAsia" w:ascii="宋体" w:hAnsi="宋体" w:eastAsia="宋体" w:cs="宋体"/>
          <w:b w:val="0"/>
          <w:bCs w:val="0"/>
          <w:color w:val="auto"/>
          <w:spacing w:val="-3"/>
          <w:sz w:val="22"/>
          <w:szCs w:val="22"/>
          <w:highlight w:val="none"/>
        </w:rPr>
        <w:t>员</w:t>
      </w:r>
      <w:r>
        <w:rPr>
          <w:rFonts w:hint="eastAsia" w:ascii="宋体" w:hAnsi="宋体" w:eastAsia="宋体" w:cs="宋体"/>
          <w:b w:val="0"/>
          <w:bCs w:val="0"/>
          <w:color w:val="auto"/>
          <w:sz w:val="22"/>
          <w:szCs w:val="22"/>
          <w:highlight w:val="none"/>
        </w:rPr>
        <w:t>和技</w:t>
      </w:r>
      <w:r>
        <w:rPr>
          <w:rFonts w:hint="eastAsia" w:ascii="宋体" w:hAnsi="宋体" w:eastAsia="宋体" w:cs="宋体"/>
          <w:b w:val="0"/>
          <w:bCs w:val="0"/>
          <w:color w:val="auto"/>
          <w:spacing w:val="-3"/>
          <w:sz w:val="22"/>
          <w:szCs w:val="22"/>
          <w:highlight w:val="none"/>
        </w:rPr>
        <w:t>术人</w:t>
      </w:r>
      <w:r>
        <w:rPr>
          <w:rFonts w:hint="eastAsia" w:ascii="宋体" w:hAnsi="宋体" w:eastAsia="宋体" w:cs="宋体"/>
          <w:b w:val="0"/>
          <w:bCs w:val="0"/>
          <w:color w:val="auto"/>
          <w:sz w:val="22"/>
          <w:szCs w:val="22"/>
          <w:highlight w:val="none"/>
        </w:rPr>
        <w:t>员最低要求</w:t>
      </w:r>
    </w:p>
    <w:p w14:paraId="50516283">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bl>
      <w:tblPr>
        <w:tblStyle w:val="62"/>
        <w:tblW w:w="0" w:type="auto"/>
        <w:tblInd w:w="1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23"/>
        <w:gridCol w:w="2205"/>
        <w:gridCol w:w="4899"/>
      </w:tblGrid>
      <w:tr w14:paraId="6F301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exact"/>
        </w:trPr>
        <w:tc>
          <w:tcPr>
            <w:tcW w:w="2023" w:type="dxa"/>
            <w:noWrap w:val="0"/>
            <w:vAlign w:val="center"/>
          </w:tcPr>
          <w:p w14:paraId="22789A02">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35CB2A52">
            <w:pPr>
              <w:pageBreakBefore w:val="0"/>
              <w:kinsoku w:val="0"/>
              <w:wordWrap/>
              <w:overflowPunct w:val="0"/>
              <w:topLinePunct w:val="0"/>
              <w:autoSpaceDE w:val="0"/>
              <w:autoSpaceDN w:val="0"/>
              <w:bidi w:val="0"/>
              <w:adjustRightInd w:val="0"/>
              <w:snapToGrid w:val="0"/>
              <w:spacing w:beforeAutospacing="0" w:afterAutospacing="0" w:line="240" w:lineRule="auto"/>
              <w:ind w:right="4"/>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人员</w:t>
            </w:r>
          </w:p>
        </w:tc>
        <w:tc>
          <w:tcPr>
            <w:tcW w:w="2205" w:type="dxa"/>
            <w:noWrap w:val="0"/>
            <w:vAlign w:val="center"/>
          </w:tcPr>
          <w:p w14:paraId="18ADD148">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2DA5B6CD">
            <w:pPr>
              <w:pageBreakBefore w:val="0"/>
              <w:kinsoku w:val="0"/>
              <w:wordWrap/>
              <w:overflowPunct w:val="0"/>
              <w:topLinePunct w:val="0"/>
              <w:autoSpaceDE w:val="0"/>
              <w:autoSpaceDN w:val="0"/>
              <w:bidi w:val="0"/>
              <w:adjustRightInd w:val="0"/>
              <w:snapToGrid w:val="0"/>
              <w:spacing w:beforeAutospacing="0" w:afterAutospacing="0" w:line="240" w:lineRule="auto"/>
              <w:ind w:left="2"/>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数量</w:t>
            </w:r>
          </w:p>
        </w:tc>
        <w:tc>
          <w:tcPr>
            <w:tcW w:w="4899" w:type="dxa"/>
            <w:noWrap w:val="0"/>
            <w:vAlign w:val="center"/>
          </w:tcPr>
          <w:p w14:paraId="32A7EFE6">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2B381503">
            <w:pPr>
              <w:pageBreakBefore w:val="0"/>
              <w:kinsoku w:val="0"/>
              <w:wordWrap/>
              <w:overflowPunct w:val="0"/>
              <w:topLinePunct w:val="0"/>
              <w:autoSpaceDE w:val="0"/>
              <w:autoSpaceDN w:val="0"/>
              <w:bidi w:val="0"/>
              <w:adjustRightInd w:val="0"/>
              <w:snapToGrid w:val="0"/>
              <w:spacing w:beforeAutospacing="0" w:afterAutospacing="0" w:line="240" w:lineRule="auto"/>
              <w:ind w:left="12"/>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资格</w:t>
            </w:r>
            <w:r>
              <w:rPr>
                <w:rFonts w:hint="eastAsia" w:ascii="宋体" w:hAnsi="宋体" w:eastAsia="宋体" w:cs="宋体"/>
                <w:b w:val="0"/>
                <w:bCs w:val="0"/>
                <w:color w:val="auto"/>
                <w:spacing w:val="-3"/>
                <w:sz w:val="22"/>
                <w:szCs w:val="22"/>
                <w:highlight w:val="none"/>
              </w:rPr>
              <w:t>要</w:t>
            </w:r>
            <w:r>
              <w:rPr>
                <w:rFonts w:hint="eastAsia" w:ascii="宋体" w:hAnsi="宋体" w:eastAsia="宋体" w:cs="宋体"/>
                <w:b w:val="0"/>
                <w:bCs w:val="0"/>
                <w:color w:val="auto"/>
                <w:sz w:val="22"/>
                <w:szCs w:val="22"/>
                <w:highlight w:val="none"/>
              </w:rPr>
              <w:t>求</w:t>
            </w:r>
          </w:p>
        </w:tc>
      </w:tr>
      <w:tr w14:paraId="21BB4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0" w:hRule="exact"/>
        </w:trPr>
        <w:tc>
          <w:tcPr>
            <w:tcW w:w="2023" w:type="dxa"/>
            <w:noWrap w:val="0"/>
            <w:vAlign w:val="center"/>
          </w:tcPr>
          <w:p w14:paraId="093A36C6">
            <w:pPr>
              <w:pageBreakBefore w:val="0"/>
              <w:widowControl/>
              <w:tabs>
                <w:tab w:val="left" w:pos="420"/>
              </w:tabs>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项目总工</w:t>
            </w:r>
          </w:p>
        </w:tc>
        <w:tc>
          <w:tcPr>
            <w:tcW w:w="2205" w:type="dxa"/>
            <w:noWrap w:val="0"/>
            <w:vAlign w:val="center"/>
          </w:tcPr>
          <w:p w14:paraId="3F78FCE1">
            <w:pPr>
              <w:pageBreakBefore w:val="0"/>
              <w:widowControl/>
              <w:tabs>
                <w:tab w:val="left" w:pos="420"/>
              </w:tabs>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w:t>
            </w:r>
          </w:p>
        </w:tc>
        <w:tc>
          <w:tcPr>
            <w:tcW w:w="4899" w:type="dxa"/>
            <w:noWrap w:val="0"/>
            <w:vAlign w:val="center"/>
          </w:tcPr>
          <w:p w14:paraId="193715FD">
            <w:pPr>
              <w:pageBreakBefore w:val="0"/>
              <w:widowControl/>
              <w:tabs>
                <w:tab w:val="left" w:pos="420"/>
              </w:tabs>
              <w:wordWrap/>
              <w:topLinePunct w:val="0"/>
              <w:bidi w:val="0"/>
              <w:snapToGrid w:val="0"/>
              <w:spacing w:beforeAutospacing="0" w:afterAutospacing="0" w:line="240" w:lineRule="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 xml:space="preserve">    中级及以上技术职称。</w:t>
            </w:r>
          </w:p>
        </w:tc>
      </w:tr>
      <w:tr w14:paraId="3DB00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8" w:hRule="exact"/>
        </w:trPr>
        <w:tc>
          <w:tcPr>
            <w:tcW w:w="2023" w:type="dxa"/>
            <w:noWrap w:val="0"/>
            <w:vAlign w:val="center"/>
          </w:tcPr>
          <w:p w14:paraId="5EF31C9F">
            <w:pPr>
              <w:pageBreakBefore w:val="0"/>
              <w:widowControl/>
              <w:tabs>
                <w:tab w:val="left" w:pos="420"/>
              </w:tabs>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安全生产</w:t>
            </w:r>
          </w:p>
          <w:p w14:paraId="395A7A4E">
            <w:pPr>
              <w:pageBreakBefore w:val="0"/>
              <w:widowControl/>
              <w:tabs>
                <w:tab w:val="left" w:pos="420"/>
              </w:tabs>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负责人</w:t>
            </w:r>
          </w:p>
        </w:tc>
        <w:tc>
          <w:tcPr>
            <w:tcW w:w="2205" w:type="dxa"/>
            <w:noWrap w:val="0"/>
            <w:vAlign w:val="center"/>
          </w:tcPr>
          <w:p w14:paraId="5A69F695">
            <w:pPr>
              <w:pageBreakBefore w:val="0"/>
              <w:wordWrap/>
              <w:topLinePunct w:val="0"/>
              <w:autoSpaceDE w:val="0"/>
              <w:autoSpaceDN w:val="0"/>
              <w:bidi w:val="0"/>
              <w:adjustRightInd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w:t>
            </w:r>
          </w:p>
        </w:tc>
        <w:tc>
          <w:tcPr>
            <w:tcW w:w="4899" w:type="dxa"/>
            <w:noWrap w:val="0"/>
            <w:vAlign w:val="center"/>
          </w:tcPr>
          <w:p w14:paraId="2516B5C2">
            <w:pPr>
              <w:pageBreakBefore w:val="0"/>
              <w:wordWrap/>
              <w:topLinePunct w:val="0"/>
              <w:autoSpaceDE w:val="0"/>
              <w:autoSpaceDN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具有建筑施工企业专职安全生产管理人员安全生产考核合格证</w:t>
            </w:r>
            <w:r>
              <w:rPr>
                <w:rFonts w:hint="eastAsia" w:ascii="宋体" w:hAnsi="宋体" w:eastAsia="宋体" w:cs="宋体"/>
                <w:bCs w:val="0"/>
                <w:sz w:val="22"/>
                <w:szCs w:val="22"/>
                <w:highlight w:val="none"/>
              </w:rPr>
              <w:t>C类证书</w:t>
            </w:r>
            <w:r>
              <w:rPr>
                <w:rFonts w:hint="eastAsia" w:ascii="宋体" w:hAnsi="宋体" w:eastAsia="宋体" w:cs="宋体"/>
                <w:b w:val="0"/>
                <w:bCs w:val="0"/>
                <w:sz w:val="22"/>
                <w:szCs w:val="22"/>
                <w:highlight w:val="none"/>
              </w:rPr>
              <w:t>，年龄60岁以下。</w:t>
            </w:r>
          </w:p>
        </w:tc>
      </w:tr>
      <w:tr w14:paraId="70ED2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8" w:hRule="exact"/>
        </w:trPr>
        <w:tc>
          <w:tcPr>
            <w:tcW w:w="2023" w:type="dxa"/>
            <w:noWrap w:val="0"/>
            <w:vAlign w:val="center"/>
          </w:tcPr>
          <w:p w14:paraId="48534938">
            <w:pPr>
              <w:pageBreakBefore w:val="0"/>
              <w:wordWrap/>
              <w:topLinePunct w:val="0"/>
              <w:autoSpaceDE w:val="0"/>
              <w:autoSpaceDN w:val="0"/>
              <w:bidi w:val="0"/>
              <w:adjustRightInd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质检负责人</w:t>
            </w:r>
          </w:p>
        </w:tc>
        <w:tc>
          <w:tcPr>
            <w:tcW w:w="2205" w:type="dxa"/>
            <w:noWrap w:val="0"/>
            <w:vAlign w:val="center"/>
          </w:tcPr>
          <w:p w14:paraId="383B2608">
            <w:pPr>
              <w:pageBreakBefore w:val="0"/>
              <w:widowControl/>
              <w:tabs>
                <w:tab w:val="left" w:pos="420"/>
              </w:tabs>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w:t>
            </w:r>
          </w:p>
        </w:tc>
        <w:tc>
          <w:tcPr>
            <w:tcW w:w="4899" w:type="dxa"/>
            <w:noWrap w:val="0"/>
            <w:vAlign w:val="center"/>
          </w:tcPr>
          <w:p w14:paraId="065D16BF">
            <w:pPr>
              <w:pageBreakBefore w:val="0"/>
              <w:wordWrap/>
              <w:topLinePunct w:val="0"/>
              <w:autoSpaceDE w:val="0"/>
              <w:autoSpaceDN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具有</w:t>
            </w:r>
            <w:r>
              <w:rPr>
                <w:rFonts w:hint="eastAsia" w:ascii="宋体" w:hAnsi="宋体" w:eastAsia="宋体" w:cs="宋体"/>
                <w:b w:val="0"/>
                <w:bCs w:val="0"/>
                <w:color w:val="auto"/>
                <w:sz w:val="22"/>
                <w:szCs w:val="22"/>
                <w:highlight w:val="none"/>
              </w:rPr>
              <w:t>公路工程</w:t>
            </w:r>
            <w:r>
              <w:rPr>
                <w:rFonts w:hint="eastAsia" w:ascii="宋体" w:hAnsi="宋体" w:eastAsia="宋体" w:cs="宋体"/>
                <w:b w:val="0"/>
                <w:bCs w:val="0"/>
                <w:sz w:val="22"/>
                <w:szCs w:val="22"/>
                <w:highlight w:val="none"/>
              </w:rPr>
              <w:t>质量检验工作1年(含)以上，技术员及以上技术职称，并有</w:t>
            </w:r>
            <w:r>
              <w:rPr>
                <w:rFonts w:hint="eastAsia" w:ascii="宋体" w:hAnsi="宋体" w:eastAsia="宋体" w:cs="宋体"/>
                <w:bCs w:val="0"/>
                <w:sz w:val="22"/>
                <w:szCs w:val="22"/>
                <w:highlight w:val="none"/>
              </w:rPr>
              <w:t>质检（量）岗位证书</w:t>
            </w:r>
            <w:r>
              <w:rPr>
                <w:rFonts w:hint="eastAsia" w:ascii="宋体" w:hAnsi="宋体" w:eastAsia="宋体" w:cs="宋体"/>
                <w:b w:val="0"/>
                <w:bCs w:val="0"/>
                <w:sz w:val="22"/>
                <w:szCs w:val="22"/>
                <w:highlight w:val="none"/>
              </w:rPr>
              <w:t>或质检（量）岗位培训证书，年龄60岁以下。</w:t>
            </w:r>
          </w:p>
        </w:tc>
      </w:tr>
      <w:tr w14:paraId="62950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exact"/>
        </w:trPr>
        <w:tc>
          <w:tcPr>
            <w:tcW w:w="2023" w:type="dxa"/>
            <w:noWrap w:val="0"/>
            <w:vAlign w:val="top"/>
          </w:tcPr>
          <w:p w14:paraId="206E532D">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2205" w:type="dxa"/>
            <w:noWrap w:val="0"/>
            <w:vAlign w:val="top"/>
          </w:tcPr>
          <w:p w14:paraId="48D7C71A">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4899" w:type="dxa"/>
            <w:noWrap w:val="0"/>
            <w:vAlign w:val="top"/>
          </w:tcPr>
          <w:p w14:paraId="7FFB620E">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r>
      <w:tr w14:paraId="4D031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exact"/>
        </w:trPr>
        <w:tc>
          <w:tcPr>
            <w:tcW w:w="2023" w:type="dxa"/>
            <w:noWrap w:val="0"/>
            <w:vAlign w:val="top"/>
          </w:tcPr>
          <w:p w14:paraId="38AF38B3">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2205" w:type="dxa"/>
            <w:noWrap w:val="0"/>
            <w:vAlign w:val="top"/>
          </w:tcPr>
          <w:p w14:paraId="34332C61">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4899" w:type="dxa"/>
            <w:noWrap w:val="0"/>
            <w:vAlign w:val="top"/>
          </w:tcPr>
          <w:p w14:paraId="0FFA4C99">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r>
      <w:tr w14:paraId="6052A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exact"/>
        </w:trPr>
        <w:tc>
          <w:tcPr>
            <w:tcW w:w="2023" w:type="dxa"/>
            <w:noWrap w:val="0"/>
            <w:vAlign w:val="top"/>
          </w:tcPr>
          <w:p w14:paraId="20FD31B5">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2205" w:type="dxa"/>
            <w:noWrap w:val="0"/>
            <w:vAlign w:val="top"/>
          </w:tcPr>
          <w:p w14:paraId="14447726">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4899" w:type="dxa"/>
            <w:noWrap w:val="0"/>
            <w:vAlign w:val="top"/>
          </w:tcPr>
          <w:p w14:paraId="6A194650">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r>
      <w:tr w14:paraId="0EB69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exact"/>
        </w:trPr>
        <w:tc>
          <w:tcPr>
            <w:tcW w:w="2023" w:type="dxa"/>
            <w:noWrap w:val="0"/>
            <w:vAlign w:val="top"/>
          </w:tcPr>
          <w:p w14:paraId="1938A0E4">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2205" w:type="dxa"/>
            <w:noWrap w:val="0"/>
            <w:vAlign w:val="top"/>
          </w:tcPr>
          <w:p w14:paraId="61359214">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4899" w:type="dxa"/>
            <w:noWrap w:val="0"/>
            <w:vAlign w:val="top"/>
          </w:tcPr>
          <w:p w14:paraId="7E9E3B3D">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r>
      <w:tr w14:paraId="65854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exact"/>
        </w:trPr>
        <w:tc>
          <w:tcPr>
            <w:tcW w:w="2023" w:type="dxa"/>
            <w:noWrap w:val="0"/>
            <w:vAlign w:val="top"/>
          </w:tcPr>
          <w:p w14:paraId="0D96798C">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2205" w:type="dxa"/>
            <w:noWrap w:val="0"/>
            <w:vAlign w:val="top"/>
          </w:tcPr>
          <w:p w14:paraId="5577F7FB">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4899" w:type="dxa"/>
            <w:noWrap w:val="0"/>
            <w:vAlign w:val="top"/>
          </w:tcPr>
          <w:p w14:paraId="6F5145BC">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r>
      <w:tr w14:paraId="3E5EB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trPr>
        <w:tc>
          <w:tcPr>
            <w:tcW w:w="2023" w:type="dxa"/>
            <w:noWrap w:val="0"/>
            <w:vAlign w:val="top"/>
          </w:tcPr>
          <w:p w14:paraId="6F21FB65">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2205" w:type="dxa"/>
            <w:noWrap w:val="0"/>
            <w:vAlign w:val="top"/>
          </w:tcPr>
          <w:p w14:paraId="355672CC">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4899" w:type="dxa"/>
            <w:noWrap w:val="0"/>
            <w:vAlign w:val="top"/>
          </w:tcPr>
          <w:p w14:paraId="47FAB4C1">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r>
      <w:tr w14:paraId="45672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exact"/>
        </w:trPr>
        <w:tc>
          <w:tcPr>
            <w:tcW w:w="2023" w:type="dxa"/>
            <w:noWrap w:val="0"/>
            <w:vAlign w:val="top"/>
          </w:tcPr>
          <w:p w14:paraId="73655F88">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2205" w:type="dxa"/>
            <w:noWrap w:val="0"/>
            <w:vAlign w:val="top"/>
          </w:tcPr>
          <w:p w14:paraId="3C59694A">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4899" w:type="dxa"/>
            <w:noWrap w:val="0"/>
            <w:vAlign w:val="top"/>
          </w:tcPr>
          <w:p w14:paraId="7DB91973">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r>
      <w:tr w14:paraId="6C0B1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exact"/>
        </w:trPr>
        <w:tc>
          <w:tcPr>
            <w:tcW w:w="2023" w:type="dxa"/>
            <w:noWrap w:val="0"/>
            <w:vAlign w:val="top"/>
          </w:tcPr>
          <w:p w14:paraId="65B29A4A">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2205" w:type="dxa"/>
            <w:noWrap w:val="0"/>
            <w:vAlign w:val="top"/>
          </w:tcPr>
          <w:p w14:paraId="794A4AC6">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4899" w:type="dxa"/>
            <w:noWrap w:val="0"/>
            <w:vAlign w:val="top"/>
          </w:tcPr>
          <w:p w14:paraId="63F28696">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r>
      <w:tr w14:paraId="3ADF7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exact"/>
        </w:trPr>
        <w:tc>
          <w:tcPr>
            <w:tcW w:w="2023" w:type="dxa"/>
            <w:noWrap w:val="0"/>
            <w:vAlign w:val="top"/>
          </w:tcPr>
          <w:p w14:paraId="46805FF5">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2205" w:type="dxa"/>
            <w:noWrap w:val="0"/>
            <w:vAlign w:val="top"/>
          </w:tcPr>
          <w:p w14:paraId="29CBC95E">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c>
          <w:tcPr>
            <w:tcW w:w="4899" w:type="dxa"/>
            <w:noWrap w:val="0"/>
            <w:vAlign w:val="top"/>
          </w:tcPr>
          <w:p w14:paraId="77768CDF">
            <w:pPr>
              <w:pageBreakBefore w:val="0"/>
              <w:wordWrap/>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c>
      </w:tr>
    </w:tbl>
    <w:p w14:paraId="4EDCBDCE">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0D876E48">
      <w:pPr>
        <w:pageBreakBefore w:val="0"/>
        <w:wordWrap/>
        <w:topLinePunct w:val="0"/>
        <w:bidi w:val="0"/>
        <w:snapToGrid w:val="0"/>
        <w:spacing w:beforeAutospacing="0" w:afterAutospacing="0" w:line="240" w:lineRule="auto"/>
        <w:ind w:left="210" w:leftChars="100" w:firstLine="220" w:firstLineChars="100"/>
        <w:rPr>
          <w:rFonts w:hint="eastAsia" w:ascii="宋体" w:hAnsi="宋体" w:eastAsia="宋体" w:cs="宋体"/>
          <w:b w:val="0"/>
          <w:bCs w:val="0"/>
          <w:kern w:val="2"/>
          <w:sz w:val="22"/>
          <w:szCs w:val="22"/>
          <w:highlight w:val="none"/>
        </w:rPr>
      </w:pPr>
      <w:r>
        <w:rPr>
          <w:rFonts w:hint="eastAsia" w:ascii="宋体" w:hAnsi="宋体" w:eastAsia="宋体" w:cs="宋体"/>
          <w:b w:val="0"/>
          <w:bCs w:val="0"/>
          <w:kern w:val="2"/>
          <w:sz w:val="22"/>
          <w:szCs w:val="22"/>
          <w:highlight w:val="none"/>
        </w:rPr>
        <w:t>招标人将在发出中标通知书之前要求中标人按照本表的最低要求填报派驻本标段的其他主要管理人员和技术人员，在经招标人审批后作为拟派驻本标段的项目管理机构主要人员且不允许更换。</w:t>
      </w:r>
    </w:p>
    <w:p w14:paraId="52A35082">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191BF2C8">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5B164A41">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7731850C">
      <w:pPr>
        <w:pageBreakBefore w:val="0"/>
        <w:tabs>
          <w:tab w:val="left" w:pos="1261"/>
        </w:tabs>
        <w:kinsoku w:val="0"/>
        <w:wordWrap/>
        <w:overflowPunct w:val="0"/>
        <w:topLinePunct w:val="0"/>
        <w:autoSpaceDE w:val="0"/>
        <w:autoSpaceDN w:val="0"/>
        <w:bidi w:val="0"/>
        <w:adjustRightInd w:val="0"/>
        <w:snapToGrid w:val="0"/>
        <w:spacing w:beforeAutospacing="0" w:afterAutospacing="0" w:line="240" w:lineRule="auto"/>
        <w:ind w:left="140"/>
        <w:jc w:val="left"/>
        <w:rPr>
          <w:rFonts w:hint="eastAsia" w:ascii="宋体" w:hAnsi="宋体" w:eastAsia="宋体" w:cs="宋体"/>
          <w:b w:val="0"/>
          <w:bCs w:val="0"/>
          <w:color w:val="auto"/>
          <w:sz w:val="22"/>
          <w:szCs w:val="22"/>
          <w:highlight w:val="none"/>
        </w:rPr>
      </w:pPr>
    </w:p>
    <w:p w14:paraId="61352326">
      <w:pPr>
        <w:pageBreakBefore w:val="0"/>
        <w:tabs>
          <w:tab w:val="left" w:pos="1261"/>
        </w:tabs>
        <w:kinsoku w:val="0"/>
        <w:wordWrap/>
        <w:overflowPunct w:val="0"/>
        <w:topLinePunct w:val="0"/>
        <w:autoSpaceDE w:val="0"/>
        <w:autoSpaceDN w:val="0"/>
        <w:bidi w:val="0"/>
        <w:adjustRightInd w:val="0"/>
        <w:snapToGrid w:val="0"/>
        <w:spacing w:beforeAutospacing="0" w:afterAutospacing="0" w:line="240" w:lineRule="auto"/>
        <w:ind w:left="140"/>
        <w:jc w:val="left"/>
        <w:rPr>
          <w:rFonts w:hint="eastAsia" w:ascii="宋体" w:hAnsi="宋体" w:eastAsia="宋体" w:cs="宋体"/>
          <w:b w:val="0"/>
          <w:bCs w:val="0"/>
          <w:color w:val="auto"/>
          <w:sz w:val="22"/>
          <w:szCs w:val="22"/>
          <w:highlight w:val="none"/>
        </w:rPr>
      </w:pPr>
    </w:p>
    <w:p w14:paraId="3344E208">
      <w:pPr>
        <w:pageBreakBefore w:val="0"/>
        <w:tabs>
          <w:tab w:val="left" w:pos="1261"/>
        </w:tabs>
        <w:kinsoku w:val="0"/>
        <w:wordWrap/>
        <w:overflowPunct w:val="0"/>
        <w:topLinePunct w:val="0"/>
        <w:autoSpaceDE w:val="0"/>
        <w:autoSpaceDN w:val="0"/>
        <w:bidi w:val="0"/>
        <w:adjustRightInd w:val="0"/>
        <w:snapToGrid w:val="0"/>
        <w:spacing w:beforeAutospacing="0" w:afterAutospacing="0" w:line="240" w:lineRule="auto"/>
        <w:ind w:left="140"/>
        <w:jc w:val="left"/>
        <w:rPr>
          <w:rFonts w:hint="eastAsia" w:ascii="宋体" w:hAnsi="宋体" w:eastAsia="宋体" w:cs="宋体"/>
          <w:b w:val="0"/>
          <w:bCs w:val="0"/>
          <w:color w:val="auto"/>
          <w:sz w:val="22"/>
          <w:szCs w:val="22"/>
          <w:highlight w:val="none"/>
        </w:rPr>
      </w:pPr>
    </w:p>
    <w:p w14:paraId="3998D7AF">
      <w:pPr>
        <w:pageBreakBefore w:val="0"/>
        <w:tabs>
          <w:tab w:val="left" w:pos="1261"/>
        </w:tabs>
        <w:kinsoku w:val="0"/>
        <w:wordWrap/>
        <w:overflowPunct w:val="0"/>
        <w:topLinePunct w:val="0"/>
        <w:autoSpaceDE w:val="0"/>
        <w:autoSpaceDN w:val="0"/>
        <w:bidi w:val="0"/>
        <w:adjustRightInd w:val="0"/>
        <w:snapToGrid w:val="0"/>
        <w:spacing w:beforeAutospacing="0" w:afterAutospacing="0" w:line="240" w:lineRule="auto"/>
        <w:ind w:left="14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附件五</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主要</w:t>
      </w:r>
      <w:r>
        <w:rPr>
          <w:rFonts w:hint="eastAsia" w:ascii="宋体" w:hAnsi="宋体" w:eastAsia="宋体" w:cs="宋体"/>
          <w:b w:val="0"/>
          <w:bCs w:val="0"/>
          <w:color w:val="auto"/>
          <w:spacing w:val="-3"/>
          <w:sz w:val="22"/>
          <w:szCs w:val="22"/>
          <w:highlight w:val="none"/>
        </w:rPr>
        <w:t>机械</w:t>
      </w:r>
      <w:r>
        <w:rPr>
          <w:rFonts w:hint="eastAsia" w:ascii="宋体" w:hAnsi="宋体" w:eastAsia="宋体" w:cs="宋体"/>
          <w:b w:val="0"/>
          <w:bCs w:val="0"/>
          <w:color w:val="auto"/>
          <w:sz w:val="22"/>
          <w:szCs w:val="22"/>
          <w:highlight w:val="none"/>
        </w:rPr>
        <w:t>设备和</w:t>
      </w:r>
      <w:r>
        <w:rPr>
          <w:rFonts w:hint="eastAsia" w:ascii="宋体" w:hAnsi="宋体" w:eastAsia="宋体" w:cs="宋体"/>
          <w:b w:val="0"/>
          <w:bCs w:val="0"/>
          <w:color w:val="auto"/>
          <w:spacing w:val="-3"/>
          <w:sz w:val="22"/>
          <w:szCs w:val="22"/>
          <w:highlight w:val="none"/>
        </w:rPr>
        <w:t>试</w:t>
      </w:r>
      <w:r>
        <w:rPr>
          <w:rFonts w:hint="eastAsia" w:ascii="宋体" w:hAnsi="宋体" w:eastAsia="宋体" w:cs="宋体"/>
          <w:b w:val="0"/>
          <w:bCs w:val="0"/>
          <w:color w:val="auto"/>
          <w:sz w:val="22"/>
          <w:szCs w:val="22"/>
          <w:highlight w:val="none"/>
        </w:rPr>
        <w:t>验检</w:t>
      </w:r>
      <w:r>
        <w:rPr>
          <w:rFonts w:hint="eastAsia" w:ascii="宋体" w:hAnsi="宋体" w:eastAsia="宋体" w:cs="宋体"/>
          <w:b w:val="0"/>
          <w:bCs w:val="0"/>
          <w:color w:val="auto"/>
          <w:spacing w:val="-3"/>
          <w:sz w:val="22"/>
          <w:szCs w:val="22"/>
          <w:highlight w:val="none"/>
        </w:rPr>
        <w:t>测设</w:t>
      </w:r>
      <w:r>
        <w:rPr>
          <w:rFonts w:hint="eastAsia" w:ascii="宋体" w:hAnsi="宋体" w:eastAsia="宋体" w:cs="宋体"/>
          <w:b w:val="0"/>
          <w:bCs w:val="0"/>
          <w:color w:val="auto"/>
          <w:sz w:val="22"/>
          <w:szCs w:val="22"/>
          <w:highlight w:val="none"/>
        </w:rPr>
        <w:t>备最低要求</w:t>
      </w:r>
      <w:r>
        <w:rPr>
          <w:rFonts w:hint="eastAsia" w:ascii="宋体" w:hAnsi="宋体" w:eastAsia="宋体" w:cs="宋体"/>
          <w:b w:val="0"/>
          <w:bCs w:val="0"/>
          <w:color w:val="auto"/>
          <w:spacing w:val="-66"/>
          <w:sz w:val="22"/>
          <w:szCs w:val="22"/>
          <w:highlight w:val="none"/>
        </w:rPr>
        <w:t xml:space="preserve"> </w:t>
      </w:r>
    </w:p>
    <w:p w14:paraId="76C5E6D5">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57422B0B">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tbl>
      <w:tblPr>
        <w:tblStyle w:val="62"/>
        <w:tblW w:w="9060" w:type="dxa"/>
        <w:tblInd w:w="1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0"/>
        <w:gridCol w:w="3568"/>
        <w:gridCol w:w="1155"/>
        <w:gridCol w:w="2417"/>
      </w:tblGrid>
      <w:tr w14:paraId="11614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exact"/>
        </w:trPr>
        <w:tc>
          <w:tcPr>
            <w:tcW w:w="1920" w:type="dxa"/>
            <w:noWrap w:val="0"/>
            <w:vAlign w:val="center"/>
          </w:tcPr>
          <w:p w14:paraId="4CF59F5F">
            <w:pPr>
              <w:pageBreakBefore w:val="0"/>
              <w:kinsoku w:val="0"/>
              <w:wordWrap/>
              <w:overflowPunct w:val="0"/>
              <w:topLinePunct w:val="0"/>
              <w:autoSpaceDE w:val="0"/>
              <w:autoSpaceDN w:val="0"/>
              <w:bidi w:val="0"/>
              <w:adjustRightInd w:val="0"/>
              <w:snapToGrid w:val="0"/>
              <w:spacing w:beforeAutospacing="0" w:afterAutospacing="0" w:line="240" w:lineRule="auto"/>
              <w:ind w:left="524"/>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设备</w:t>
            </w:r>
            <w:r>
              <w:rPr>
                <w:rFonts w:hint="eastAsia" w:ascii="宋体" w:hAnsi="宋体" w:eastAsia="宋体" w:cs="宋体"/>
                <w:b w:val="0"/>
                <w:bCs w:val="0"/>
                <w:color w:val="auto"/>
                <w:spacing w:val="-3"/>
                <w:sz w:val="22"/>
                <w:szCs w:val="22"/>
                <w:highlight w:val="none"/>
              </w:rPr>
              <w:t>名</w:t>
            </w:r>
            <w:r>
              <w:rPr>
                <w:rFonts w:hint="eastAsia" w:ascii="宋体" w:hAnsi="宋体" w:eastAsia="宋体" w:cs="宋体"/>
                <w:b w:val="0"/>
                <w:bCs w:val="0"/>
                <w:color w:val="auto"/>
                <w:sz w:val="22"/>
                <w:szCs w:val="22"/>
                <w:highlight w:val="none"/>
              </w:rPr>
              <w:t>称</w:t>
            </w:r>
          </w:p>
        </w:tc>
        <w:tc>
          <w:tcPr>
            <w:tcW w:w="3568" w:type="dxa"/>
            <w:noWrap w:val="0"/>
            <w:vAlign w:val="center"/>
          </w:tcPr>
          <w:p w14:paraId="1188B690">
            <w:pPr>
              <w:pageBreakBefore w:val="0"/>
              <w:kinsoku w:val="0"/>
              <w:wordWrap/>
              <w:overflowPunct w:val="0"/>
              <w:topLinePunct w:val="0"/>
              <w:autoSpaceDE w:val="0"/>
              <w:autoSpaceDN w:val="0"/>
              <w:bidi w:val="0"/>
              <w:adjustRightInd w:val="0"/>
              <w:snapToGrid w:val="0"/>
              <w:spacing w:beforeAutospacing="0" w:afterAutospacing="0" w:line="240" w:lineRule="auto"/>
              <w:ind w:firstLine="440" w:firstLineChars="20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规格</w:t>
            </w:r>
            <w:r>
              <w:rPr>
                <w:rFonts w:hint="eastAsia" w:ascii="宋体" w:hAnsi="宋体" w:eastAsia="宋体" w:cs="宋体"/>
                <w:b w:val="0"/>
                <w:bCs w:val="0"/>
                <w:color w:val="auto"/>
                <w:spacing w:val="-3"/>
                <w:sz w:val="22"/>
                <w:szCs w:val="22"/>
                <w:highlight w:val="none"/>
              </w:rPr>
              <w:t>、</w:t>
            </w:r>
            <w:r>
              <w:rPr>
                <w:rFonts w:hint="eastAsia" w:ascii="宋体" w:hAnsi="宋体" w:eastAsia="宋体" w:cs="宋体"/>
                <w:b w:val="0"/>
                <w:bCs w:val="0"/>
                <w:color w:val="auto"/>
                <w:sz w:val="22"/>
                <w:szCs w:val="22"/>
                <w:highlight w:val="none"/>
              </w:rPr>
              <w:t>功</w:t>
            </w:r>
            <w:r>
              <w:rPr>
                <w:rFonts w:hint="eastAsia" w:ascii="宋体" w:hAnsi="宋体" w:eastAsia="宋体" w:cs="宋体"/>
                <w:b w:val="0"/>
                <w:bCs w:val="0"/>
                <w:color w:val="auto"/>
                <w:spacing w:val="-3"/>
                <w:sz w:val="22"/>
                <w:szCs w:val="22"/>
                <w:highlight w:val="none"/>
              </w:rPr>
              <w:t>能</w:t>
            </w:r>
            <w:r>
              <w:rPr>
                <w:rFonts w:hint="eastAsia" w:ascii="宋体" w:hAnsi="宋体" w:eastAsia="宋体" w:cs="宋体"/>
                <w:b w:val="0"/>
                <w:bCs w:val="0"/>
                <w:color w:val="auto"/>
                <w:sz w:val="22"/>
                <w:szCs w:val="22"/>
                <w:highlight w:val="none"/>
              </w:rPr>
              <w:t>及</w:t>
            </w:r>
            <w:r>
              <w:rPr>
                <w:rFonts w:hint="eastAsia" w:ascii="宋体" w:hAnsi="宋体" w:eastAsia="宋体" w:cs="宋体"/>
                <w:b w:val="0"/>
                <w:bCs w:val="0"/>
                <w:color w:val="auto"/>
                <w:spacing w:val="-3"/>
                <w:sz w:val="22"/>
                <w:szCs w:val="22"/>
                <w:highlight w:val="none"/>
              </w:rPr>
              <w:t>容</w:t>
            </w:r>
            <w:r>
              <w:rPr>
                <w:rFonts w:hint="eastAsia" w:ascii="宋体" w:hAnsi="宋体" w:eastAsia="宋体" w:cs="宋体"/>
                <w:b w:val="0"/>
                <w:bCs w:val="0"/>
                <w:color w:val="auto"/>
                <w:sz w:val="22"/>
                <w:szCs w:val="22"/>
                <w:highlight w:val="none"/>
              </w:rPr>
              <w:t>量</w:t>
            </w:r>
          </w:p>
        </w:tc>
        <w:tc>
          <w:tcPr>
            <w:tcW w:w="1155" w:type="dxa"/>
            <w:noWrap w:val="0"/>
            <w:vAlign w:val="center"/>
          </w:tcPr>
          <w:p w14:paraId="044F3B12">
            <w:pPr>
              <w:pageBreakBefore w:val="0"/>
              <w:kinsoku w:val="0"/>
              <w:wordWrap/>
              <w:overflowPunct w:val="0"/>
              <w:topLinePunct w:val="0"/>
              <w:autoSpaceDE w:val="0"/>
              <w:autoSpaceDN w:val="0"/>
              <w:bidi w:val="0"/>
              <w:adjustRightInd w:val="0"/>
              <w:snapToGrid w:val="0"/>
              <w:spacing w:beforeAutospacing="0" w:afterAutospacing="0" w:line="240" w:lineRule="auto"/>
              <w:ind w:left="359"/>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单位</w:t>
            </w:r>
          </w:p>
        </w:tc>
        <w:tc>
          <w:tcPr>
            <w:tcW w:w="2417" w:type="dxa"/>
            <w:noWrap w:val="0"/>
            <w:vAlign w:val="center"/>
          </w:tcPr>
          <w:p w14:paraId="167830F3">
            <w:pPr>
              <w:pageBreakBefore w:val="0"/>
              <w:kinsoku w:val="0"/>
              <w:wordWrap/>
              <w:overflowPunct w:val="0"/>
              <w:topLinePunct w:val="0"/>
              <w:autoSpaceDE w:val="0"/>
              <w:autoSpaceDN w:val="0"/>
              <w:bidi w:val="0"/>
              <w:adjustRightInd w:val="0"/>
              <w:snapToGrid w:val="0"/>
              <w:spacing w:beforeAutospacing="0" w:afterAutospacing="0" w:line="240" w:lineRule="auto"/>
              <w:ind w:left="57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最低</w:t>
            </w:r>
            <w:r>
              <w:rPr>
                <w:rFonts w:hint="eastAsia" w:ascii="宋体" w:hAnsi="宋体" w:eastAsia="宋体" w:cs="宋体"/>
                <w:b w:val="0"/>
                <w:bCs w:val="0"/>
                <w:color w:val="auto"/>
                <w:spacing w:val="-3"/>
                <w:sz w:val="22"/>
                <w:szCs w:val="22"/>
                <w:highlight w:val="none"/>
              </w:rPr>
              <w:t>数</w:t>
            </w:r>
            <w:r>
              <w:rPr>
                <w:rFonts w:hint="eastAsia" w:ascii="宋体" w:hAnsi="宋体" w:eastAsia="宋体" w:cs="宋体"/>
                <w:b w:val="0"/>
                <w:bCs w:val="0"/>
                <w:color w:val="auto"/>
                <w:sz w:val="22"/>
                <w:szCs w:val="22"/>
                <w:highlight w:val="none"/>
              </w:rPr>
              <w:t>量</w:t>
            </w:r>
            <w:r>
              <w:rPr>
                <w:rFonts w:hint="eastAsia" w:ascii="宋体" w:hAnsi="宋体" w:eastAsia="宋体" w:cs="宋体"/>
                <w:b w:val="0"/>
                <w:bCs w:val="0"/>
                <w:color w:val="auto"/>
                <w:spacing w:val="-3"/>
                <w:sz w:val="22"/>
                <w:szCs w:val="22"/>
                <w:highlight w:val="none"/>
              </w:rPr>
              <w:t>要</w:t>
            </w:r>
            <w:r>
              <w:rPr>
                <w:rFonts w:hint="eastAsia" w:ascii="宋体" w:hAnsi="宋体" w:eastAsia="宋体" w:cs="宋体"/>
                <w:b w:val="0"/>
                <w:bCs w:val="0"/>
                <w:color w:val="auto"/>
                <w:sz w:val="22"/>
                <w:szCs w:val="22"/>
                <w:highlight w:val="none"/>
              </w:rPr>
              <w:t>求</w:t>
            </w:r>
          </w:p>
        </w:tc>
      </w:tr>
      <w:tr w14:paraId="1D78A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exact"/>
        </w:trPr>
        <w:tc>
          <w:tcPr>
            <w:tcW w:w="1920" w:type="dxa"/>
            <w:noWrap w:val="0"/>
            <w:vAlign w:val="center"/>
          </w:tcPr>
          <w:p w14:paraId="45094B08">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灌缝机（灌缝车）</w:t>
            </w:r>
          </w:p>
        </w:tc>
        <w:tc>
          <w:tcPr>
            <w:tcW w:w="3568" w:type="dxa"/>
            <w:noWrap w:val="0"/>
            <w:vAlign w:val="center"/>
          </w:tcPr>
          <w:p w14:paraId="3D91641B">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p>
        </w:tc>
        <w:tc>
          <w:tcPr>
            <w:tcW w:w="1155" w:type="dxa"/>
            <w:noWrap w:val="0"/>
            <w:vAlign w:val="center"/>
          </w:tcPr>
          <w:p w14:paraId="591F06CB">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台</w:t>
            </w:r>
          </w:p>
        </w:tc>
        <w:tc>
          <w:tcPr>
            <w:tcW w:w="2417" w:type="dxa"/>
            <w:noWrap w:val="0"/>
            <w:vAlign w:val="center"/>
          </w:tcPr>
          <w:p w14:paraId="74505677">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w:t>
            </w:r>
          </w:p>
        </w:tc>
      </w:tr>
      <w:tr w14:paraId="5142C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exact"/>
        </w:trPr>
        <w:tc>
          <w:tcPr>
            <w:tcW w:w="1920" w:type="dxa"/>
            <w:noWrap w:val="0"/>
            <w:vAlign w:val="center"/>
          </w:tcPr>
          <w:p w14:paraId="07DBEFB7">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空压机或吹风机</w:t>
            </w:r>
          </w:p>
        </w:tc>
        <w:tc>
          <w:tcPr>
            <w:tcW w:w="3568" w:type="dxa"/>
            <w:noWrap w:val="0"/>
            <w:vAlign w:val="center"/>
          </w:tcPr>
          <w:p w14:paraId="5C2207F9">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p>
        </w:tc>
        <w:tc>
          <w:tcPr>
            <w:tcW w:w="1155" w:type="dxa"/>
            <w:noWrap w:val="0"/>
            <w:vAlign w:val="center"/>
          </w:tcPr>
          <w:p w14:paraId="6AF7BD3C">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台</w:t>
            </w:r>
          </w:p>
        </w:tc>
        <w:tc>
          <w:tcPr>
            <w:tcW w:w="2417" w:type="dxa"/>
            <w:noWrap w:val="0"/>
            <w:vAlign w:val="center"/>
          </w:tcPr>
          <w:p w14:paraId="58C08227">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w:t>
            </w:r>
          </w:p>
        </w:tc>
      </w:tr>
      <w:tr w14:paraId="5B721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exact"/>
        </w:trPr>
        <w:tc>
          <w:tcPr>
            <w:tcW w:w="1920" w:type="dxa"/>
            <w:noWrap w:val="0"/>
            <w:vAlign w:val="center"/>
          </w:tcPr>
          <w:p w14:paraId="062D92B7">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加热喷枪</w:t>
            </w:r>
          </w:p>
        </w:tc>
        <w:tc>
          <w:tcPr>
            <w:tcW w:w="3568" w:type="dxa"/>
            <w:noWrap w:val="0"/>
            <w:vAlign w:val="center"/>
          </w:tcPr>
          <w:p w14:paraId="1B4F7ECB">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p>
        </w:tc>
        <w:tc>
          <w:tcPr>
            <w:tcW w:w="1155" w:type="dxa"/>
            <w:noWrap w:val="0"/>
            <w:vAlign w:val="center"/>
          </w:tcPr>
          <w:p w14:paraId="2C57383E">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个</w:t>
            </w:r>
          </w:p>
        </w:tc>
        <w:tc>
          <w:tcPr>
            <w:tcW w:w="2417" w:type="dxa"/>
            <w:noWrap w:val="0"/>
            <w:vAlign w:val="center"/>
          </w:tcPr>
          <w:p w14:paraId="2AA6E32C">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w:t>
            </w:r>
          </w:p>
        </w:tc>
      </w:tr>
      <w:tr w14:paraId="78A3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exact"/>
        </w:trPr>
        <w:tc>
          <w:tcPr>
            <w:tcW w:w="1920" w:type="dxa"/>
            <w:noWrap w:val="0"/>
            <w:vAlign w:val="center"/>
          </w:tcPr>
          <w:p w14:paraId="3023426D">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清缝机（开槽机）</w:t>
            </w:r>
          </w:p>
        </w:tc>
        <w:tc>
          <w:tcPr>
            <w:tcW w:w="3568" w:type="dxa"/>
            <w:noWrap w:val="0"/>
            <w:vAlign w:val="center"/>
          </w:tcPr>
          <w:p w14:paraId="7A189545">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p>
        </w:tc>
        <w:tc>
          <w:tcPr>
            <w:tcW w:w="1155" w:type="dxa"/>
            <w:noWrap w:val="0"/>
            <w:vAlign w:val="center"/>
          </w:tcPr>
          <w:p w14:paraId="3BA847C5">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台</w:t>
            </w:r>
          </w:p>
        </w:tc>
        <w:tc>
          <w:tcPr>
            <w:tcW w:w="2417" w:type="dxa"/>
            <w:noWrap w:val="0"/>
            <w:vAlign w:val="center"/>
          </w:tcPr>
          <w:p w14:paraId="14835943">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w:t>
            </w:r>
          </w:p>
        </w:tc>
      </w:tr>
      <w:tr w14:paraId="3CD58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exact"/>
        </w:trPr>
        <w:tc>
          <w:tcPr>
            <w:tcW w:w="1920" w:type="dxa"/>
            <w:noWrap w:val="0"/>
            <w:vAlign w:val="center"/>
          </w:tcPr>
          <w:p w14:paraId="6B8E2BF2">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铁丝刷</w:t>
            </w:r>
          </w:p>
        </w:tc>
        <w:tc>
          <w:tcPr>
            <w:tcW w:w="3568" w:type="dxa"/>
            <w:noWrap w:val="0"/>
            <w:vAlign w:val="center"/>
          </w:tcPr>
          <w:p w14:paraId="05A112E0">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p>
        </w:tc>
        <w:tc>
          <w:tcPr>
            <w:tcW w:w="1155" w:type="dxa"/>
            <w:noWrap w:val="0"/>
            <w:vAlign w:val="center"/>
          </w:tcPr>
          <w:p w14:paraId="60B8328E">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把</w:t>
            </w:r>
          </w:p>
        </w:tc>
        <w:tc>
          <w:tcPr>
            <w:tcW w:w="2417" w:type="dxa"/>
            <w:noWrap w:val="0"/>
            <w:vAlign w:val="center"/>
          </w:tcPr>
          <w:p w14:paraId="32E2D86F">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若干</w:t>
            </w:r>
          </w:p>
        </w:tc>
      </w:tr>
      <w:tr w14:paraId="5AB21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exact"/>
        </w:trPr>
        <w:tc>
          <w:tcPr>
            <w:tcW w:w="1920" w:type="dxa"/>
            <w:noWrap w:val="0"/>
            <w:vAlign w:val="center"/>
          </w:tcPr>
          <w:p w14:paraId="0E87147F">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扫帚</w:t>
            </w:r>
          </w:p>
        </w:tc>
        <w:tc>
          <w:tcPr>
            <w:tcW w:w="3568" w:type="dxa"/>
            <w:noWrap w:val="0"/>
            <w:vAlign w:val="center"/>
          </w:tcPr>
          <w:p w14:paraId="06790969">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p>
        </w:tc>
        <w:tc>
          <w:tcPr>
            <w:tcW w:w="1155" w:type="dxa"/>
            <w:noWrap w:val="0"/>
            <w:vAlign w:val="center"/>
          </w:tcPr>
          <w:p w14:paraId="61DC0F63">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把</w:t>
            </w:r>
          </w:p>
        </w:tc>
        <w:tc>
          <w:tcPr>
            <w:tcW w:w="2417" w:type="dxa"/>
            <w:noWrap w:val="0"/>
            <w:vAlign w:val="center"/>
          </w:tcPr>
          <w:p w14:paraId="4881B798">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若干</w:t>
            </w:r>
          </w:p>
        </w:tc>
      </w:tr>
      <w:tr w14:paraId="60FAB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exact"/>
        </w:trPr>
        <w:tc>
          <w:tcPr>
            <w:tcW w:w="1920" w:type="dxa"/>
            <w:noWrap w:val="0"/>
            <w:vAlign w:val="center"/>
          </w:tcPr>
          <w:p w14:paraId="58F59105">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小货车</w:t>
            </w:r>
          </w:p>
        </w:tc>
        <w:tc>
          <w:tcPr>
            <w:tcW w:w="3568" w:type="dxa"/>
            <w:noWrap w:val="0"/>
            <w:vAlign w:val="center"/>
          </w:tcPr>
          <w:p w14:paraId="717CFD7C">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p>
        </w:tc>
        <w:tc>
          <w:tcPr>
            <w:tcW w:w="1155" w:type="dxa"/>
            <w:noWrap w:val="0"/>
            <w:vAlign w:val="center"/>
          </w:tcPr>
          <w:p w14:paraId="2B6B3B50">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辆</w:t>
            </w:r>
          </w:p>
        </w:tc>
        <w:tc>
          <w:tcPr>
            <w:tcW w:w="2417" w:type="dxa"/>
            <w:noWrap w:val="0"/>
            <w:vAlign w:val="center"/>
          </w:tcPr>
          <w:p w14:paraId="7779DCDC">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w:t>
            </w:r>
          </w:p>
        </w:tc>
      </w:tr>
      <w:tr w14:paraId="67F10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exact"/>
        </w:trPr>
        <w:tc>
          <w:tcPr>
            <w:tcW w:w="1920" w:type="dxa"/>
            <w:noWrap w:val="0"/>
            <w:vAlign w:val="center"/>
          </w:tcPr>
          <w:p w14:paraId="15BECAA2">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安全警示设施</w:t>
            </w:r>
          </w:p>
        </w:tc>
        <w:tc>
          <w:tcPr>
            <w:tcW w:w="3568" w:type="dxa"/>
            <w:noWrap w:val="0"/>
            <w:vAlign w:val="center"/>
          </w:tcPr>
          <w:p w14:paraId="7AA6EC8D">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p>
        </w:tc>
        <w:tc>
          <w:tcPr>
            <w:tcW w:w="1155" w:type="dxa"/>
            <w:noWrap w:val="0"/>
            <w:vAlign w:val="center"/>
          </w:tcPr>
          <w:p w14:paraId="135F7B87">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个</w:t>
            </w:r>
          </w:p>
        </w:tc>
        <w:tc>
          <w:tcPr>
            <w:tcW w:w="2417" w:type="dxa"/>
            <w:noWrap w:val="0"/>
            <w:vAlign w:val="center"/>
          </w:tcPr>
          <w:p w14:paraId="2D6D3359">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若干</w:t>
            </w:r>
          </w:p>
        </w:tc>
      </w:tr>
      <w:tr w14:paraId="12D53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exact"/>
        </w:trPr>
        <w:tc>
          <w:tcPr>
            <w:tcW w:w="1920" w:type="dxa"/>
            <w:noWrap w:val="0"/>
            <w:vAlign w:val="center"/>
          </w:tcPr>
          <w:p w14:paraId="26A6AA1E">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w:t>
            </w:r>
          </w:p>
        </w:tc>
        <w:tc>
          <w:tcPr>
            <w:tcW w:w="3568" w:type="dxa"/>
            <w:noWrap w:val="0"/>
            <w:vAlign w:val="center"/>
          </w:tcPr>
          <w:p w14:paraId="03A922D4">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p>
        </w:tc>
        <w:tc>
          <w:tcPr>
            <w:tcW w:w="1155" w:type="dxa"/>
            <w:noWrap w:val="0"/>
            <w:vAlign w:val="center"/>
          </w:tcPr>
          <w:p w14:paraId="427D6A64">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p>
        </w:tc>
        <w:tc>
          <w:tcPr>
            <w:tcW w:w="2417" w:type="dxa"/>
            <w:noWrap w:val="0"/>
            <w:vAlign w:val="center"/>
          </w:tcPr>
          <w:p w14:paraId="6E4817CE">
            <w:pPr>
              <w:pageBreakBefore w:val="0"/>
              <w:wordWrap/>
              <w:topLinePunct w:val="0"/>
              <w:bidi w:val="0"/>
              <w:snapToGrid w:val="0"/>
              <w:spacing w:beforeAutospacing="0" w:afterAutospacing="0" w:line="240" w:lineRule="auto"/>
              <w:jc w:val="center"/>
              <w:rPr>
                <w:rFonts w:hint="eastAsia" w:ascii="宋体" w:hAnsi="宋体" w:eastAsia="宋体" w:cs="宋体"/>
                <w:b w:val="0"/>
                <w:bCs w:val="0"/>
                <w:sz w:val="22"/>
                <w:szCs w:val="22"/>
                <w:highlight w:val="none"/>
              </w:rPr>
            </w:pPr>
          </w:p>
        </w:tc>
      </w:tr>
    </w:tbl>
    <w:p w14:paraId="6DE804ED">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3897D527">
      <w:pPr>
        <w:pageBreakBefore w:val="0"/>
        <w:tabs>
          <w:tab w:val="left" w:pos="1221"/>
        </w:tabs>
        <w:kinsoku w:val="0"/>
        <w:wordWrap/>
        <w:overflowPunct w:val="0"/>
        <w:topLinePunct w:val="0"/>
        <w:autoSpaceDE w:val="0"/>
        <w:autoSpaceDN w:val="0"/>
        <w:bidi w:val="0"/>
        <w:adjustRightInd w:val="0"/>
        <w:snapToGrid w:val="0"/>
        <w:spacing w:beforeAutospacing="0" w:afterAutospacing="0" w:line="240" w:lineRule="auto"/>
        <w:ind w:left="100"/>
        <w:jc w:val="left"/>
        <w:rPr>
          <w:rFonts w:hint="eastAsia" w:ascii="宋体" w:hAnsi="宋体" w:eastAsia="宋体" w:cs="宋体"/>
          <w:b w:val="0"/>
          <w:bCs w:val="0"/>
          <w:color w:val="auto"/>
          <w:sz w:val="22"/>
          <w:szCs w:val="22"/>
          <w:highlight w:val="none"/>
        </w:rPr>
      </w:pPr>
    </w:p>
    <w:p w14:paraId="01FDA57C">
      <w:pPr>
        <w:pageBreakBefore w:val="0"/>
        <w:tabs>
          <w:tab w:val="left" w:pos="1221"/>
        </w:tabs>
        <w:kinsoku w:val="0"/>
        <w:wordWrap/>
        <w:overflowPunct w:val="0"/>
        <w:topLinePunct w:val="0"/>
        <w:autoSpaceDE w:val="0"/>
        <w:autoSpaceDN w:val="0"/>
        <w:bidi w:val="0"/>
        <w:adjustRightInd w:val="0"/>
        <w:snapToGrid w:val="0"/>
        <w:spacing w:beforeAutospacing="0" w:afterAutospacing="0" w:line="240" w:lineRule="auto"/>
        <w:ind w:left="100"/>
        <w:jc w:val="left"/>
        <w:rPr>
          <w:rFonts w:hint="eastAsia" w:ascii="宋体" w:hAnsi="宋体" w:eastAsia="宋体" w:cs="宋体"/>
          <w:b w:val="0"/>
          <w:bCs w:val="0"/>
          <w:color w:val="auto"/>
          <w:sz w:val="22"/>
          <w:szCs w:val="22"/>
          <w:highlight w:val="none"/>
        </w:rPr>
      </w:pPr>
    </w:p>
    <w:p w14:paraId="4B7481ED">
      <w:pPr>
        <w:pageBreakBefore w:val="0"/>
        <w:tabs>
          <w:tab w:val="left" w:pos="1221"/>
        </w:tabs>
        <w:kinsoku w:val="0"/>
        <w:wordWrap/>
        <w:overflowPunct w:val="0"/>
        <w:topLinePunct w:val="0"/>
        <w:autoSpaceDE w:val="0"/>
        <w:autoSpaceDN w:val="0"/>
        <w:bidi w:val="0"/>
        <w:adjustRightInd w:val="0"/>
        <w:snapToGrid w:val="0"/>
        <w:spacing w:beforeAutospacing="0" w:afterAutospacing="0" w:line="240" w:lineRule="auto"/>
        <w:ind w:left="100"/>
        <w:jc w:val="left"/>
        <w:rPr>
          <w:rFonts w:hint="eastAsia" w:ascii="宋体" w:hAnsi="宋体" w:eastAsia="宋体" w:cs="宋体"/>
          <w:b w:val="0"/>
          <w:bCs w:val="0"/>
          <w:color w:val="auto"/>
          <w:sz w:val="22"/>
          <w:szCs w:val="22"/>
          <w:highlight w:val="none"/>
        </w:rPr>
      </w:pPr>
    </w:p>
    <w:p w14:paraId="210994AB">
      <w:pPr>
        <w:pageBreakBefore w:val="0"/>
        <w:tabs>
          <w:tab w:val="left" w:pos="1221"/>
        </w:tabs>
        <w:kinsoku w:val="0"/>
        <w:wordWrap/>
        <w:overflowPunct w:val="0"/>
        <w:topLinePunct w:val="0"/>
        <w:autoSpaceDE w:val="0"/>
        <w:autoSpaceDN w:val="0"/>
        <w:bidi w:val="0"/>
        <w:adjustRightInd w:val="0"/>
        <w:snapToGrid w:val="0"/>
        <w:spacing w:beforeAutospacing="0" w:afterAutospacing="0" w:line="240" w:lineRule="auto"/>
        <w:ind w:left="100"/>
        <w:jc w:val="left"/>
        <w:rPr>
          <w:rFonts w:hint="eastAsia" w:ascii="宋体" w:hAnsi="宋体" w:eastAsia="宋体" w:cs="宋体"/>
          <w:b w:val="0"/>
          <w:bCs w:val="0"/>
          <w:color w:val="auto"/>
          <w:sz w:val="22"/>
          <w:szCs w:val="22"/>
          <w:highlight w:val="none"/>
        </w:rPr>
      </w:pPr>
    </w:p>
    <w:p w14:paraId="47158F6C">
      <w:pPr>
        <w:pageBreakBefore w:val="0"/>
        <w:tabs>
          <w:tab w:val="left" w:pos="1221"/>
        </w:tabs>
        <w:kinsoku w:val="0"/>
        <w:wordWrap/>
        <w:overflowPunct w:val="0"/>
        <w:topLinePunct w:val="0"/>
        <w:autoSpaceDE w:val="0"/>
        <w:autoSpaceDN w:val="0"/>
        <w:bidi w:val="0"/>
        <w:adjustRightInd w:val="0"/>
        <w:snapToGrid w:val="0"/>
        <w:spacing w:beforeAutospacing="0" w:afterAutospacing="0" w:line="240" w:lineRule="auto"/>
        <w:ind w:left="100"/>
        <w:jc w:val="left"/>
        <w:rPr>
          <w:rFonts w:hint="eastAsia" w:ascii="宋体" w:hAnsi="宋体" w:eastAsia="宋体" w:cs="宋体"/>
          <w:b w:val="0"/>
          <w:bCs w:val="0"/>
          <w:color w:val="auto"/>
          <w:sz w:val="22"/>
          <w:szCs w:val="22"/>
          <w:highlight w:val="none"/>
        </w:rPr>
      </w:pPr>
    </w:p>
    <w:p w14:paraId="7BA40252">
      <w:pPr>
        <w:pageBreakBefore w:val="0"/>
        <w:tabs>
          <w:tab w:val="left" w:pos="1221"/>
        </w:tabs>
        <w:kinsoku w:val="0"/>
        <w:wordWrap/>
        <w:overflowPunct w:val="0"/>
        <w:topLinePunct w:val="0"/>
        <w:autoSpaceDE w:val="0"/>
        <w:autoSpaceDN w:val="0"/>
        <w:bidi w:val="0"/>
        <w:adjustRightInd w:val="0"/>
        <w:snapToGrid w:val="0"/>
        <w:spacing w:beforeAutospacing="0" w:afterAutospacing="0" w:line="240" w:lineRule="auto"/>
        <w:ind w:left="100"/>
        <w:jc w:val="left"/>
        <w:rPr>
          <w:rFonts w:hint="eastAsia" w:ascii="宋体" w:hAnsi="宋体" w:eastAsia="宋体" w:cs="宋体"/>
          <w:b w:val="0"/>
          <w:bCs w:val="0"/>
          <w:color w:val="auto"/>
          <w:sz w:val="22"/>
          <w:szCs w:val="22"/>
          <w:highlight w:val="none"/>
        </w:rPr>
      </w:pPr>
    </w:p>
    <w:p w14:paraId="2D3A529D">
      <w:pPr>
        <w:pageBreakBefore w:val="0"/>
        <w:tabs>
          <w:tab w:val="left" w:pos="1221"/>
        </w:tabs>
        <w:kinsoku w:val="0"/>
        <w:wordWrap/>
        <w:overflowPunct w:val="0"/>
        <w:topLinePunct w:val="0"/>
        <w:autoSpaceDE w:val="0"/>
        <w:autoSpaceDN w:val="0"/>
        <w:bidi w:val="0"/>
        <w:adjustRightInd w:val="0"/>
        <w:snapToGrid w:val="0"/>
        <w:spacing w:beforeAutospacing="0" w:afterAutospacing="0" w:line="240" w:lineRule="auto"/>
        <w:ind w:left="100"/>
        <w:jc w:val="left"/>
        <w:rPr>
          <w:rFonts w:hint="eastAsia" w:ascii="宋体" w:hAnsi="宋体" w:eastAsia="宋体" w:cs="宋体"/>
          <w:b w:val="0"/>
          <w:bCs w:val="0"/>
          <w:color w:val="auto"/>
          <w:sz w:val="22"/>
          <w:szCs w:val="22"/>
          <w:highlight w:val="none"/>
        </w:rPr>
      </w:pPr>
    </w:p>
    <w:p w14:paraId="7919316A">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14A76175">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386EFD3F">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5483AFFC">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08763C73">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0DCE3D8D">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071CD604">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45EFD6D9">
      <w:pPr>
        <w:pageBreakBefore w:val="0"/>
        <w:tabs>
          <w:tab w:val="left" w:pos="1221"/>
        </w:tabs>
        <w:kinsoku w:val="0"/>
        <w:wordWrap/>
        <w:overflowPunct w:val="0"/>
        <w:topLinePunct w:val="0"/>
        <w:autoSpaceDE w:val="0"/>
        <w:autoSpaceDN w:val="0"/>
        <w:bidi w:val="0"/>
        <w:adjustRightInd w:val="0"/>
        <w:snapToGrid w:val="0"/>
        <w:spacing w:beforeAutospacing="0" w:afterAutospacing="0" w:line="240" w:lineRule="auto"/>
        <w:ind w:left="100"/>
        <w:jc w:val="left"/>
        <w:rPr>
          <w:rFonts w:hint="eastAsia" w:ascii="宋体" w:hAnsi="宋体" w:eastAsia="宋体" w:cs="宋体"/>
          <w:b w:val="0"/>
          <w:bCs w:val="0"/>
          <w:color w:val="auto"/>
          <w:sz w:val="22"/>
          <w:szCs w:val="22"/>
          <w:highlight w:val="none"/>
        </w:rPr>
      </w:pPr>
    </w:p>
    <w:p w14:paraId="3D26304D">
      <w:pPr>
        <w:pageBreakBefore w:val="0"/>
        <w:tabs>
          <w:tab w:val="left" w:pos="1221"/>
        </w:tabs>
        <w:kinsoku w:val="0"/>
        <w:wordWrap/>
        <w:overflowPunct w:val="0"/>
        <w:topLinePunct w:val="0"/>
        <w:autoSpaceDE w:val="0"/>
        <w:autoSpaceDN w:val="0"/>
        <w:bidi w:val="0"/>
        <w:adjustRightInd w:val="0"/>
        <w:snapToGrid w:val="0"/>
        <w:spacing w:beforeAutospacing="0" w:afterAutospacing="0" w:line="240" w:lineRule="auto"/>
        <w:ind w:left="1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br w:type="page"/>
      </w:r>
      <w:r>
        <w:rPr>
          <w:rFonts w:hint="eastAsia" w:ascii="宋体" w:hAnsi="宋体" w:eastAsia="宋体" w:cs="宋体"/>
          <w:b w:val="0"/>
          <w:bCs w:val="0"/>
          <w:color w:val="auto"/>
          <w:sz w:val="22"/>
          <w:szCs w:val="22"/>
          <w:highlight w:val="none"/>
        </w:rPr>
        <w:t>附件六</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项目</w:t>
      </w:r>
      <w:r>
        <w:rPr>
          <w:rFonts w:hint="eastAsia" w:ascii="宋体" w:hAnsi="宋体" w:eastAsia="宋体" w:cs="宋体"/>
          <w:b w:val="0"/>
          <w:bCs w:val="0"/>
          <w:color w:val="auto"/>
          <w:spacing w:val="-3"/>
          <w:sz w:val="22"/>
          <w:szCs w:val="22"/>
          <w:highlight w:val="none"/>
        </w:rPr>
        <w:t>经理</w:t>
      </w:r>
      <w:r>
        <w:rPr>
          <w:rFonts w:hint="eastAsia" w:ascii="宋体" w:hAnsi="宋体" w:eastAsia="宋体" w:cs="宋体"/>
          <w:b w:val="0"/>
          <w:bCs w:val="0"/>
          <w:color w:val="auto"/>
          <w:sz w:val="22"/>
          <w:szCs w:val="22"/>
          <w:highlight w:val="none"/>
        </w:rPr>
        <w:t>委任书</w:t>
      </w:r>
    </w:p>
    <w:p w14:paraId="48F3149B">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242C8341">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663E55B6">
      <w:pPr>
        <w:pageBreakBefore w:val="0"/>
        <w:kinsoku w:val="0"/>
        <w:wordWrap/>
        <w:overflowPunct w:val="0"/>
        <w:topLinePunct w:val="0"/>
        <w:autoSpaceDE w:val="0"/>
        <w:autoSpaceDN w:val="0"/>
        <w:bidi w:val="0"/>
        <w:adjustRightInd w:val="0"/>
        <w:snapToGrid w:val="0"/>
        <w:spacing w:beforeAutospacing="0" w:afterAutospacing="0" w:line="240" w:lineRule="auto"/>
        <w:ind w:firstLine="1404" w:firstLineChars="65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2"/>
          <w:sz w:val="22"/>
          <w:szCs w:val="22"/>
          <w:highlight w:val="none"/>
          <w:u w:val="single"/>
        </w:rPr>
        <w:t>(</w:t>
      </w:r>
      <w:r>
        <w:rPr>
          <w:rFonts w:hint="eastAsia" w:ascii="宋体" w:hAnsi="宋体" w:eastAsia="宋体" w:cs="宋体"/>
          <w:b w:val="0"/>
          <w:bCs w:val="0"/>
          <w:color w:val="auto"/>
          <w:sz w:val="22"/>
          <w:szCs w:val="22"/>
          <w:highlight w:val="none"/>
          <w:u w:val="single"/>
        </w:rPr>
        <w:t>承包人全</w:t>
      </w:r>
      <w:r>
        <w:rPr>
          <w:rFonts w:hint="eastAsia" w:ascii="宋体" w:hAnsi="宋体" w:eastAsia="宋体" w:cs="宋体"/>
          <w:b w:val="0"/>
          <w:bCs w:val="0"/>
          <w:color w:val="auto"/>
          <w:spacing w:val="-1"/>
          <w:sz w:val="22"/>
          <w:szCs w:val="22"/>
          <w:highlight w:val="none"/>
          <w:u w:val="single"/>
        </w:rPr>
        <w:t>称</w:t>
      </w:r>
      <w:r>
        <w:rPr>
          <w:rFonts w:hint="eastAsia" w:ascii="宋体" w:hAnsi="宋体" w:eastAsia="宋体" w:cs="宋体"/>
          <w:b w:val="0"/>
          <w:bCs w:val="0"/>
          <w:color w:val="auto"/>
          <w:sz w:val="22"/>
          <w:szCs w:val="22"/>
          <w:highlight w:val="none"/>
          <w:u w:val="single"/>
        </w:rPr>
        <w:t>)</w:t>
      </w:r>
      <w:r>
        <w:rPr>
          <w:rFonts w:hint="eastAsia" w:ascii="宋体" w:hAnsi="宋体" w:eastAsia="宋体" w:cs="宋体"/>
          <w:b w:val="0"/>
          <w:bCs w:val="0"/>
          <w:color w:val="auto"/>
          <w:sz w:val="22"/>
          <w:szCs w:val="22"/>
          <w:highlight w:val="none"/>
        </w:rPr>
        <w:t xml:space="preserve"> </w:t>
      </w:r>
      <w:r>
        <w:rPr>
          <w:rFonts w:hint="eastAsia" w:ascii="宋体" w:hAnsi="宋体" w:eastAsia="宋体" w:cs="宋体"/>
          <w:b w:val="0"/>
          <w:bCs w:val="0"/>
          <w:color w:val="auto"/>
          <w:spacing w:val="-2"/>
          <w:sz w:val="22"/>
          <w:szCs w:val="22"/>
          <w:highlight w:val="none"/>
          <w:u w:val="single"/>
        </w:rPr>
        <w:t>(</w:t>
      </w:r>
      <w:r>
        <w:rPr>
          <w:rFonts w:hint="eastAsia" w:ascii="宋体" w:hAnsi="宋体" w:eastAsia="宋体" w:cs="宋体"/>
          <w:b w:val="0"/>
          <w:bCs w:val="0"/>
          <w:color w:val="auto"/>
          <w:sz w:val="22"/>
          <w:szCs w:val="22"/>
          <w:highlight w:val="none"/>
          <w:u w:val="single"/>
        </w:rPr>
        <w:t>合同工程</w:t>
      </w:r>
      <w:r>
        <w:rPr>
          <w:rFonts w:hint="eastAsia" w:ascii="宋体" w:hAnsi="宋体" w:eastAsia="宋体" w:cs="宋体"/>
          <w:b w:val="0"/>
          <w:bCs w:val="0"/>
          <w:color w:val="auto"/>
          <w:spacing w:val="-3"/>
          <w:sz w:val="22"/>
          <w:szCs w:val="22"/>
          <w:highlight w:val="none"/>
          <w:u w:val="single"/>
        </w:rPr>
        <w:t>名</w:t>
      </w:r>
      <w:r>
        <w:rPr>
          <w:rFonts w:hint="eastAsia" w:ascii="宋体" w:hAnsi="宋体" w:eastAsia="宋体" w:cs="宋体"/>
          <w:b w:val="0"/>
          <w:bCs w:val="0"/>
          <w:color w:val="auto"/>
          <w:sz w:val="22"/>
          <w:szCs w:val="22"/>
          <w:highlight w:val="none"/>
          <w:u w:val="single"/>
        </w:rPr>
        <w:t>称</w:t>
      </w:r>
      <w:r>
        <w:rPr>
          <w:rFonts w:hint="eastAsia" w:ascii="宋体" w:hAnsi="宋体" w:eastAsia="宋体" w:cs="宋体"/>
          <w:b w:val="0"/>
          <w:bCs w:val="0"/>
          <w:color w:val="auto"/>
          <w:spacing w:val="-2"/>
          <w:sz w:val="22"/>
          <w:szCs w:val="22"/>
          <w:highlight w:val="none"/>
          <w:u w:val="single"/>
        </w:rPr>
        <w:t>)</w:t>
      </w:r>
      <w:r>
        <w:rPr>
          <w:rFonts w:hint="eastAsia" w:ascii="宋体" w:hAnsi="宋体" w:eastAsia="宋体" w:cs="宋体"/>
          <w:b w:val="0"/>
          <w:bCs w:val="0"/>
          <w:color w:val="auto"/>
          <w:spacing w:val="-3"/>
          <w:sz w:val="22"/>
          <w:szCs w:val="22"/>
          <w:highlight w:val="none"/>
        </w:rPr>
        <w:t>项</w:t>
      </w:r>
      <w:r>
        <w:rPr>
          <w:rFonts w:hint="eastAsia" w:ascii="宋体" w:hAnsi="宋体" w:eastAsia="宋体" w:cs="宋体"/>
          <w:b w:val="0"/>
          <w:bCs w:val="0"/>
          <w:color w:val="auto"/>
          <w:sz w:val="22"/>
          <w:szCs w:val="22"/>
          <w:highlight w:val="none"/>
        </w:rPr>
        <w:t>目经理</w:t>
      </w:r>
      <w:r>
        <w:rPr>
          <w:rFonts w:hint="eastAsia" w:ascii="宋体" w:hAnsi="宋体" w:eastAsia="宋体" w:cs="宋体"/>
          <w:b w:val="0"/>
          <w:bCs w:val="0"/>
          <w:color w:val="auto"/>
          <w:spacing w:val="-3"/>
          <w:sz w:val="22"/>
          <w:szCs w:val="22"/>
          <w:highlight w:val="none"/>
        </w:rPr>
        <w:t>委</w:t>
      </w:r>
      <w:r>
        <w:rPr>
          <w:rFonts w:hint="eastAsia" w:ascii="宋体" w:hAnsi="宋体" w:eastAsia="宋体" w:cs="宋体"/>
          <w:b w:val="0"/>
          <w:bCs w:val="0"/>
          <w:color w:val="auto"/>
          <w:sz w:val="22"/>
          <w:szCs w:val="22"/>
          <w:highlight w:val="none"/>
        </w:rPr>
        <w:t>任书</w:t>
      </w:r>
    </w:p>
    <w:p w14:paraId="15DF0E3C">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3E044399">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43FDF208">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618DCC32">
      <w:pPr>
        <w:pageBreakBefore w:val="0"/>
        <w:kinsoku w:val="0"/>
        <w:wordWrap/>
        <w:overflowPunct w:val="0"/>
        <w:topLinePunct w:val="0"/>
        <w:autoSpaceDE w:val="0"/>
        <w:autoSpaceDN w:val="0"/>
        <w:bidi w:val="0"/>
        <w:adjustRightInd w:val="0"/>
        <w:snapToGrid w:val="0"/>
        <w:spacing w:beforeAutospacing="0" w:afterAutospacing="0" w:line="240" w:lineRule="auto"/>
        <w:ind w:left="1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致：</w:t>
      </w:r>
      <w:r>
        <w:rPr>
          <w:rFonts w:hint="eastAsia" w:ascii="宋体" w:hAnsi="宋体" w:eastAsia="宋体" w:cs="宋体"/>
          <w:b w:val="0"/>
          <w:bCs w:val="0"/>
          <w:color w:val="auto"/>
          <w:spacing w:val="-3"/>
          <w:sz w:val="22"/>
          <w:szCs w:val="22"/>
          <w:highlight w:val="none"/>
          <w:u w:val="single"/>
        </w:rPr>
        <w:t>(</w:t>
      </w:r>
      <w:r>
        <w:rPr>
          <w:rFonts w:hint="eastAsia" w:ascii="宋体" w:hAnsi="宋体" w:eastAsia="宋体" w:cs="宋体"/>
          <w:b w:val="0"/>
          <w:bCs w:val="0"/>
          <w:color w:val="auto"/>
          <w:sz w:val="22"/>
          <w:szCs w:val="22"/>
          <w:highlight w:val="none"/>
          <w:u w:val="single"/>
        </w:rPr>
        <w:t>发</w:t>
      </w:r>
      <w:r>
        <w:rPr>
          <w:rFonts w:hint="eastAsia" w:ascii="宋体" w:hAnsi="宋体" w:eastAsia="宋体" w:cs="宋体"/>
          <w:b w:val="0"/>
          <w:bCs w:val="0"/>
          <w:color w:val="auto"/>
          <w:spacing w:val="-3"/>
          <w:sz w:val="22"/>
          <w:szCs w:val="22"/>
          <w:highlight w:val="none"/>
          <w:u w:val="single"/>
        </w:rPr>
        <w:t>包</w:t>
      </w:r>
      <w:r>
        <w:rPr>
          <w:rFonts w:hint="eastAsia" w:ascii="宋体" w:hAnsi="宋体" w:eastAsia="宋体" w:cs="宋体"/>
          <w:b w:val="0"/>
          <w:bCs w:val="0"/>
          <w:color w:val="auto"/>
          <w:sz w:val="22"/>
          <w:szCs w:val="22"/>
          <w:highlight w:val="none"/>
          <w:u w:val="single"/>
        </w:rPr>
        <w:t>人</w:t>
      </w:r>
      <w:r>
        <w:rPr>
          <w:rFonts w:hint="eastAsia" w:ascii="宋体" w:hAnsi="宋体" w:eastAsia="宋体" w:cs="宋体"/>
          <w:b w:val="0"/>
          <w:bCs w:val="0"/>
          <w:color w:val="auto"/>
          <w:spacing w:val="-3"/>
          <w:sz w:val="22"/>
          <w:szCs w:val="22"/>
          <w:highlight w:val="none"/>
          <w:u w:val="single"/>
        </w:rPr>
        <w:t>全</w:t>
      </w:r>
      <w:r>
        <w:rPr>
          <w:rFonts w:hint="eastAsia" w:ascii="宋体" w:hAnsi="宋体" w:eastAsia="宋体" w:cs="宋体"/>
          <w:b w:val="0"/>
          <w:bCs w:val="0"/>
          <w:color w:val="auto"/>
          <w:spacing w:val="-1"/>
          <w:sz w:val="22"/>
          <w:szCs w:val="22"/>
          <w:highlight w:val="none"/>
          <w:u w:val="single"/>
        </w:rPr>
        <w:t>称</w:t>
      </w:r>
      <w:r>
        <w:rPr>
          <w:rFonts w:hint="eastAsia" w:ascii="宋体" w:hAnsi="宋体" w:eastAsia="宋体" w:cs="宋体"/>
          <w:b w:val="0"/>
          <w:bCs w:val="0"/>
          <w:color w:val="auto"/>
          <w:sz w:val="22"/>
          <w:szCs w:val="22"/>
          <w:highlight w:val="none"/>
          <w:u w:val="single"/>
        </w:rPr>
        <w:t>)</w:t>
      </w:r>
    </w:p>
    <w:p w14:paraId="6627AD22">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1B27DF6F">
      <w:pPr>
        <w:pageBreakBefore w:val="0"/>
        <w:kinsoku w:val="0"/>
        <w:wordWrap/>
        <w:overflowPunct w:val="0"/>
        <w:topLinePunct w:val="0"/>
        <w:autoSpaceDE w:val="0"/>
        <w:autoSpaceDN w:val="0"/>
        <w:bidi w:val="0"/>
        <w:adjustRightInd w:val="0"/>
        <w:snapToGrid w:val="0"/>
        <w:spacing w:beforeAutospacing="0" w:afterAutospacing="0" w:line="240" w:lineRule="auto"/>
        <w:ind w:left="52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u w:val="single"/>
        </w:rPr>
        <w:t>(承</w:t>
      </w:r>
      <w:r>
        <w:rPr>
          <w:rFonts w:hint="eastAsia" w:ascii="宋体" w:hAnsi="宋体" w:eastAsia="宋体" w:cs="宋体"/>
          <w:b w:val="0"/>
          <w:bCs w:val="0"/>
          <w:color w:val="auto"/>
          <w:spacing w:val="-3"/>
          <w:sz w:val="22"/>
          <w:szCs w:val="22"/>
          <w:highlight w:val="none"/>
          <w:u w:val="single"/>
        </w:rPr>
        <w:t>包</w:t>
      </w:r>
      <w:r>
        <w:rPr>
          <w:rFonts w:hint="eastAsia" w:ascii="宋体" w:hAnsi="宋体" w:eastAsia="宋体" w:cs="宋体"/>
          <w:b w:val="0"/>
          <w:bCs w:val="0"/>
          <w:color w:val="auto"/>
          <w:sz w:val="22"/>
          <w:szCs w:val="22"/>
          <w:highlight w:val="none"/>
          <w:u w:val="single"/>
        </w:rPr>
        <w:t>人</w:t>
      </w:r>
      <w:r>
        <w:rPr>
          <w:rFonts w:hint="eastAsia" w:ascii="宋体" w:hAnsi="宋体" w:eastAsia="宋体" w:cs="宋体"/>
          <w:b w:val="0"/>
          <w:bCs w:val="0"/>
          <w:color w:val="auto"/>
          <w:spacing w:val="-3"/>
          <w:sz w:val="22"/>
          <w:szCs w:val="22"/>
          <w:highlight w:val="none"/>
          <w:u w:val="single"/>
        </w:rPr>
        <w:t>全</w:t>
      </w:r>
      <w:r>
        <w:rPr>
          <w:rFonts w:hint="eastAsia" w:ascii="宋体" w:hAnsi="宋体" w:eastAsia="宋体" w:cs="宋体"/>
          <w:b w:val="0"/>
          <w:bCs w:val="0"/>
          <w:color w:val="auto"/>
          <w:spacing w:val="-1"/>
          <w:sz w:val="22"/>
          <w:szCs w:val="22"/>
          <w:highlight w:val="none"/>
          <w:u w:val="single"/>
        </w:rPr>
        <w:t>称</w:t>
      </w:r>
      <w:r>
        <w:rPr>
          <w:rFonts w:hint="eastAsia" w:ascii="宋体" w:hAnsi="宋体" w:eastAsia="宋体" w:cs="宋体"/>
          <w:b w:val="0"/>
          <w:bCs w:val="0"/>
          <w:color w:val="auto"/>
          <w:sz w:val="22"/>
          <w:szCs w:val="22"/>
          <w:highlight w:val="none"/>
          <w:u w:val="single"/>
        </w:rPr>
        <w:t>)</w:t>
      </w:r>
      <w:r>
        <w:rPr>
          <w:rFonts w:hint="eastAsia" w:ascii="宋体" w:hAnsi="宋体" w:eastAsia="宋体" w:cs="宋体"/>
          <w:b w:val="0"/>
          <w:bCs w:val="0"/>
          <w:color w:val="auto"/>
          <w:spacing w:val="-3"/>
          <w:sz w:val="22"/>
          <w:szCs w:val="22"/>
          <w:highlight w:val="none"/>
        </w:rPr>
        <w:t>法</w:t>
      </w:r>
      <w:r>
        <w:rPr>
          <w:rFonts w:hint="eastAsia" w:ascii="宋体" w:hAnsi="宋体" w:eastAsia="宋体" w:cs="宋体"/>
          <w:b w:val="0"/>
          <w:bCs w:val="0"/>
          <w:color w:val="auto"/>
          <w:sz w:val="22"/>
          <w:szCs w:val="22"/>
          <w:highlight w:val="none"/>
        </w:rPr>
        <w:t>定</w:t>
      </w:r>
      <w:r>
        <w:rPr>
          <w:rFonts w:hint="eastAsia" w:ascii="宋体" w:hAnsi="宋体" w:eastAsia="宋体" w:cs="宋体"/>
          <w:b w:val="0"/>
          <w:bCs w:val="0"/>
          <w:color w:val="auto"/>
          <w:spacing w:val="-3"/>
          <w:sz w:val="22"/>
          <w:szCs w:val="22"/>
          <w:highlight w:val="none"/>
        </w:rPr>
        <w:t>代</w:t>
      </w:r>
      <w:r>
        <w:rPr>
          <w:rFonts w:hint="eastAsia" w:ascii="宋体" w:hAnsi="宋体" w:eastAsia="宋体" w:cs="宋体"/>
          <w:b w:val="0"/>
          <w:bCs w:val="0"/>
          <w:color w:val="auto"/>
          <w:sz w:val="22"/>
          <w:szCs w:val="22"/>
          <w:highlight w:val="none"/>
        </w:rPr>
        <w:t>表</w:t>
      </w:r>
      <w:r>
        <w:rPr>
          <w:rFonts w:hint="eastAsia" w:ascii="宋体" w:hAnsi="宋体" w:eastAsia="宋体" w:cs="宋体"/>
          <w:b w:val="0"/>
          <w:bCs w:val="0"/>
          <w:color w:val="auto"/>
          <w:spacing w:val="-3"/>
          <w:sz w:val="22"/>
          <w:szCs w:val="22"/>
          <w:highlight w:val="none"/>
        </w:rPr>
        <w:t>人</w:t>
      </w:r>
      <w:r>
        <w:rPr>
          <w:rFonts w:hint="eastAsia" w:ascii="宋体" w:hAnsi="宋体" w:eastAsia="宋体" w:cs="宋体"/>
          <w:b w:val="0"/>
          <w:bCs w:val="0"/>
          <w:color w:val="auto"/>
          <w:spacing w:val="-3"/>
          <w:sz w:val="22"/>
          <w:szCs w:val="22"/>
          <w:highlight w:val="none"/>
          <w:u w:val="single"/>
        </w:rPr>
        <w:t>(</w:t>
      </w:r>
      <w:r>
        <w:rPr>
          <w:rFonts w:hint="eastAsia" w:ascii="宋体" w:hAnsi="宋体" w:eastAsia="宋体" w:cs="宋体"/>
          <w:b w:val="0"/>
          <w:bCs w:val="0"/>
          <w:color w:val="auto"/>
          <w:sz w:val="22"/>
          <w:szCs w:val="22"/>
          <w:highlight w:val="none"/>
          <w:u w:val="single"/>
        </w:rPr>
        <w:t>职务</w:t>
      </w:r>
      <w:r>
        <w:rPr>
          <w:rFonts w:hint="eastAsia" w:ascii="宋体" w:hAnsi="宋体" w:eastAsia="宋体" w:cs="宋体"/>
          <w:b w:val="0"/>
          <w:bCs w:val="0"/>
          <w:color w:val="auto"/>
          <w:spacing w:val="-32"/>
          <w:sz w:val="22"/>
          <w:szCs w:val="22"/>
          <w:highlight w:val="none"/>
          <w:u w:val="single"/>
        </w:rPr>
        <w:t>、</w:t>
      </w:r>
      <w:r>
        <w:rPr>
          <w:rFonts w:hint="eastAsia" w:ascii="宋体" w:hAnsi="宋体" w:eastAsia="宋体" w:cs="宋体"/>
          <w:b w:val="0"/>
          <w:bCs w:val="0"/>
          <w:color w:val="auto"/>
          <w:sz w:val="22"/>
          <w:szCs w:val="22"/>
          <w:highlight w:val="none"/>
          <w:u w:val="single"/>
        </w:rPr>
        <w:t>姓名</w:t>
      </w:r>
      <w:r>
        <w:rPr>
          <w:rFonts w:hint="eastAsia" w:ascii="宋体" w:hAnsi="宋体" w:eastAsia="宋体" w:cs="宋体"/>
          <w:b w:val="0"/>
          <w:bCs w:val="0"/>
          <w:color w:val="auto"/>
          <w:spacing w:val="-3"/>
          <w:sz w:val="22"/>
          <w:szCs w:val="22"/>
          <w:highlight w:val="none"/>
          <w:u w:val="single"/>
        </w:rPr>
        <w:t>)</w:t>
      </w:r>
      <w:r>
        <w:rPr>
          <w:rFonts w:hint="eastAsia" w:ascii="宋体" w:hAnsi="宋体" w:eastAsia="宋体" w:cs="宋体"/>
          <w:b w:val="0"/>
          <w:bCs w:val="0"/>
          <w:color w:val="auto"/>
          <w:sz w:val="22"/>
          <w:szCs w:val="22"/>
          <w:highlight w:val="none"/>
        </w:rPr>
        <w:t>代</w:t>
      </w:r>
      <w:r>
        <w:rPr>
          <w:rFonts w:hint="eastAsia" w:ascii="宋体" w:hAnsi="宋体" w:eastAsia="宋体" w:cs="宋体"/>
          <w:b w:val="0"/>
          <w:bCs w:val="0"/>
          <w:color w:val="auto"/>
          <w:spacing w:val="-3"/>
          <w:sz w:val="22"/>
          <w:szCs w:val="22"/>
          <w:highlight w:val="none"/>
        </w:rPr>
        <w:t>表</w:t>
      </w:r>
      <w:r>
        <w:rPr>
          <w:rFonts w:hint="eastAsia" w:ascii="宋体" w:hAnsi="宋体" w:eastAsia="宋体" w:cs="宋体"/>
          <w:b w:val="0"/>
          <w:bCs w:val="0"/>
          <w:color w:val="auto"/>
          <w:sz w:val="22"/>
          <w:szCs w:val="22"/>
          <w:highlight w:val="none"/>
        </w:rPr>
        <w:t>本</w:t>
      </w:r>
      <w:r>
        <w:rPr>
          <w:rFonts w:hint="eastAsia" w:ascii="宋体" w:hAnsi="宋体" w:eastAsia="宋体" w:cs="宋体"/>
          <w:b w:val="0"/>
          <w:bCs w:val="0"/>
          <w:color w:val="auto"/>
          <w:spacing w:val="-3"/>
          <w:sz w:val="22"/>
          <w:szCs w:val="22"/>
          <w:highlight w:val="none"/>
        </w:rPr>
        <w:t>单</w:t>
      </w:r>
      <w:r>
        <w:rPr>
          <w:rFonts w:hint="eastAsia" w:ascii="宋体" w:hAnsi="宋体" w:eastAsia="宋体" w:cs="宋体"/>
          <w:b w:val="0"/>
          <w:bCs w:val="0"/>
          <w:color w:val="auto"/>
          <w:sz w:val="22"/>
          <w:szCs w:val="22"/>
          <w:highlight w:val="none"/>
        </w:rPr>
        <w:t>位</w:t>
      </w:r>
      <w:r>
        <w:rPr>
          <w:rFonts w:hint="eastAsia" w:ascii="宋体" w:hAnsi="宋体" w:eastAsia="宋体" w:cs="宋体"/>
          <w:b w:val="0"/>
          <w:bCs w:val="0"/>
          <w:color w:val="auto"/>
          <w:spacing w:val="-3"/>
          <w:sz w:val="22"/>
          <w:szCs w:val="22"/>
          <w:highlight w:val="none"/>
        </w:rPr>
        <w:t>委</w:t>
      </w:r>
      <w:r>
        <w:rPr>
          <w:rFonts w:hint="eastAsia" w:ascii="宋体" w:hAnsi="宋体" w:eastAsia="宋体" w:cs="宋体"/>
          <w:b w:val="0"/>
          <w:bCs w:val="0"/>
          <w:color w:val="auto"/>
          <w:spacing w:val="-1"/>
          <w:sz w:val="22"/>
          <w:szCs w:val="22"/>
          <w:highlight w:val="none"/>
        </w:rPr>
        <w:t>任</w:t>
      </w:r>
      <w:r>
        <w:rPr>
          <w:rFonts w:hint="eastAsia" w:ascii="宋体" w:hAnsi="宋体" w:eastAsia="宋体" w:cs="宋体"/>
          <w:b w:val="0"/>
          <w:bCs w:val="0"/>
          <w:color w:val="auto"/>
          <w:sz w:val="22"/>
          <w:szCs w:val="22"/>
          <w:highlight w:val="none"/>
          <w:u w:val="single"/>
        </w:rPr>
        <w:t>(</w:t>
      </w:r>
      <w:r>
        <w:rPr>
          <w:rFonts w:hint="eastAsia" w:ascii="宋体" w:hAnsi="宋体" w:eastAsia="宋体" w:cs="宋体"/>
          <w:b w:val="0"/>
          <w:bCs w:val="0"/>
          <w:color w:val="auto"/>
          <w:spacing w:val="-3"/>
          <w:sz w:val="22"/>
          <w:szCs w:val="22"/>
          <w:highlight w:val="none"/>
          <w:u w:val="single"/>
        </w:rPr>
        <w:t>职</w:t>
      </w:r>
      <w:r>
        <w:rPr>
          <w:rFonts w:hint="eastAsia" w:ascii="宋体" w:hAnsi="宋体" w:eastAsia="宋体" w:cs="宋体"/>
          <w:b w:val="0"/>
          <w:bCs w:val="0"/>
          <w:color w:val="auto"/>
          <w:sz w:val="22"/>
          <w:szCs w:val="22"/>
          <w:highlight w:val="none"/>
          <w:u w:val="single"/>
        </w:rPr>
        <w:t>务</w:t>
      </w:r>
      <w:r>
        <w:rPr>
          <w:rFonts w:hint="eastAsia" w:ascii="宋体" w:hAnsi="宋体" w:eastAsia="宋体" w:cs="宋体"/>
          <w:b w:val="0"/>
          <w:bCs w:val="0"/>
          <w:color w:val="auto"/>
          <w:spacing w:val="-29"/>
          <w:sz w:val="22"/>
          <w:szCs w:val="22"/>
          <w:highlight w:val="none"/>
          <w:u w:val="single"/>
        </w:rPr>
        <w:t>、</w:t>
      </w:r>
      <w:r>
        <w:rPr>
          <w:rFonts w:hint="eastAsia" w:ascii="宋体" w:hAnsi="宋体" w:eastAsia="宋体" w:cs="宋体"/>
          <w:b w:val="0"/>
          <w:bCs w:val="0"/>
          <w:color w:val="auto"/>
          <w:spacing w:val="-3"/>
          <w:sz w:val="22"/>
          <w:szCs w:val="22"/>
          <w:highlight w:val="none"/>
          <w:u w:val="single"/>
        </w:rPr>
        <w:t>姓</w:t>
      </w:r>
      <w:r>
        <w:rPr>
          <w:rFonts w:hint="eastAsia" w:ascii="宋体" w:hAnsi="宋体" w:eastAsia="宋体" w:cs="宋体"/>
          <w:b w:val="0"/>
          <w:bCs w:val="0"/>
          <w:color w:val="auto"/>
          <w:spacing w:val="-1"/>
          <w:sz w:val="22"/>
          <w:szCs w:val="22"/>
          <w:highlight w:val="none"/>
          <w:u w:val="single"/>
        </w:rPr>
        <w:t>名</w:t>
      </w:r>
      <w:r>
        <w:rPr>
          <w:rFonts w:hint="eastAsia" w:ascii="宋体" w:hAnsi="宋体" w:eastAsia="宋体" w:cs="宋体"/>
          <w:b w:val="0"/>
          <w:bCs w:val="0"/>
          <w:color w:val="auto"/>
          <w:spacing w:val="-3"/>
          <w:sz w:val="22"/>
          <w:szCs w:val="22"/>
          <w:highlight w:val="none"/>
          <w:u w:val="single"/>
        </w:rPr>
        <w:t>)</w:t>
      </w:r>
      <w:r>
        <w:rPr>
          <w:rFonts w:hint="eastAsia" w:ascii="宋体" w:hAnsi="宋体" w:eastAsia="宋体" w:cs="宋体"/>
          <w:b w:val="0"/>
          <w:bCs w:val="0"/>
          <w:color w:val="auto"/>
          <w:sz w:val="22"/>
          <w:szCs w:val="22"/>
          <w:highlight w:val="none"/>
        </w:rPr>
        <w:t>为</w:t>
      </w:r>
      <w:r>
        <w:rPr>
          <w:rFonts w:hint="eastAsia" w:ascii="宋体" w:hAnsi="宋体" w:eastAsia="宋体" w:cs="宋体"/>
          <w:b w:val="0"/>
          <w:bCs w:val="0"/>
          <w:color w:val="auto"/>
          <w:sz w:val="22"/>
          <w:szCs w:val="22"/>
          <w:highlight w:val="none"/>
          <w:u w:val="single"/>
        </w:rPr>
        <w:t>(</w:t>
      </w:r>
      <w:r>
        <w:rPr>
          <w:rFonts w:hint="eastAsia" w:ascii="宋体" w:hAnsi="宋体" w:eastAsia="宋体" w:cs="宋体"/>
          <w:b w:val="0"/>
          <w:bCs w:val="0"/>
          <w:color w:val="auto"/>
          <w:spacing w:val="-3"/>
          <w:sz w:val="22"/>
          <w:szCs w:val="22"/>
          <w:highlight w:val="none"/>
          <w:u w:val="single"/>
        </w:rPr>
        <w:t>合</w:t>
      </w:r>
      <w:r>
        <w:rPr>
          <w:rFonts w:hint="eastAsia" w:ascii="宋体" w:hAnsi="宋体" w:eastAsia="宋体" w:cs="宋体"/>
          <w:b w:val="0"/>
          <w:bCs w:val="0"/>
          <w:color w:val="auto"/>
          <w:sz w:val="22"/>
          <w:szCs w:val="22"/>
          <w:highlight w:val="none"/>
          <w:u w:val="single"/>
        </w:rPr>
        <w:t>同</w:t>
      </w:r>
      <w:r>
        <w:rPr>
          <w:rFonts w:hint="eastAsia" w:ascii="宋体" w:hAnsi="宋体" w:eastAsia="宋体" w:cs="宋体"/>
          <w:b w:val="0"/>
          <w:bCs w:val="0"/>
          <w:color w:val="auto"/>
          <w:spacing w:val="-3"/>
          <w:sz w:val="22"/>
          <w:szCs w:val="22"/>
          <w:highlight w:val="none"/>
          <w:u w:val="single"/>
        </w:rPr>
        <w:t>工</w:t>
      </w:r>
      <w:r>
        <w:rPr>
          <w:rFonts w:hint="eastAsia" w:ascii="宋体" w:hAnsi="宋体" w:eastAsia="宋体" w:cs="宋体"/>
          <w:b w:val="0"/>
          <w:bCs w:val="0"/>
          <w:color w:val="auto"/>
          <w:sz w:val="22"/>
          <w:szCs w:val="22"/>
          <w:highlight w:val="none"/>
          <w:u w:val="single"/>
        </w:rPr>
        <w:t>程名</w:t>
      </w:r>
      <w:r>
        <w:rPr>
          <w:rFonts w:hint="eastAsia" w:ascii="宋体" w:hAnsi="宋体" w:eastAsia="宋体" w:cs="宋体"/>
          <w:b w:val="0"/>
          <w:bCs w:val="0"/>
          <w:color w:val="auto"/>
          <w:spacing w:val="-3"/>
          <w:sz w:val="22"/>
          <w:szCs w:val="22"/>
          <w:highlight w:val="none"/>
          <w:u w:val="single"/>
        </w:rPr>
        <w:t>称</w:t>
      </w:r>
      <w:r>
        <w:rPr>
          <w:rFonts w:hint="eastAsia" w:ascii="宋体" w:hAnsi="宋体" w:eastAsia="宋体" w:cs="宋体"/>
          <w:b w:val="0"/>
          <w:bCs w:val="0"/>
          <w:color w:val="auto"/>
          <w:spacing w:val="-1"/>
          <w:sz w:val="22"/>
          <w:szCs w:val="22"/>
          <w:highlight w:val="none"/>
          <w:u w:val="single"/>
        </w:rPr>
        <w:t>)</w:t>
      </w:r>
      <w:r>
        <w:rPr>
          <w:rFonts w:hint="eastAsia" w:ascii="宋体" w:hAnsi="宋体" w:eastAsia="宋体" w:cs="宋体"/>
          <w:b w:val="0"/>
          <w:bCs w:val="0"/>
          <w:color w:val="auto"/>
          <w:spacing w:val="-3"/>
          <w:sz w:val="22"/>
          <w:szCs w:val="22"/>
          <w:highlight w:val="none"/>
        </w:rPr>
        <w:t>的</w:t>
      </w:r>
      <w:r>
        <w:rPr>
          <w:rFonts w:hint="eastAsia" w:ascii="宋体" w:hAnsi="宋体" w:eastAsia="宋体" w:cs="宋体"/>
          <w:b w:val="0"/>
          <w:bCs w:val="0"/>
          <w:color w:val="auto"/>
          <w:sz w:val="22"/>
          <w:szCs w:val="22"/>
          <w:highlight w:val="none"/>
        </w:rPr>
        <w:t>项</w:t>
      </w:r>
      <w:r>
        <w:rPr>
          <w:rFonts w:hint="eastAsia" w:ascii="宋体" w:hAnsi="宋体" w:eastAsia="宋体" w:cs="宋体"/>
          <w:b w:val="0"/>
          <w:bCs w:val="0"/>
          <w:color w:val="auto"/>
          <w:spacing w:val="-3"/>
          <w:sz w:val="22"/>
          <w:szCs w:val="22"/>
          <w:highlight w:val="none"/>
        </w:rPr>
        <w:t>目经</w:t>
      </w:r>
    </w:p>
    <w:p w14:paraId="6FB0B495">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41907CCB">
      <w:pPr>
        <w:pageBreakBefore w:val="0"/>
        <w:kinsoku w:val="0"/>
        <w:wordWrap/>
        <w:overflowPunct w:val="0"/>
        <w:topLinePunct w:val="0"/>
        <w:autoSpaceDE w:val="0"/>
        <w:autoSpaceDN w:val="0"/>
        <w:bidi w:val="0"/>
        <w:adjustRightInd w:val="0"/>
        <w:snapToGrid w:val="0"/>
        <w:spacing w:beforeAutospacing="0" w:afterAutospacing="0" w:line="240" w:lineRule="auto"/>
        <w:ind w:left="1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理。凡本合同执行中的有关技术、工程进度、现场管理、质量检验、结算与支付等方面工作，由</w:t>
      </w:r>
      <w:r>
        <w:rPr>
          <w:rFonts w:hint="eastAsia" w:ascii="宋体" w:hAnsi="宋体" w:eastAsia="宋体" w:cs="宋体"/>
          <w:b w:val="0"/>
          <w:bCs w:val="0"/>
          <w:color w:val="auto"/>
          <w:sz w:val="22"/>
          <w:szCs w:val="22"/>
          <w:highlight w:val="none"/>
          <w:u w:val="single"/>
        </w:rPr>
        <w:t>(姓</w:t>
      </w:r>
    </w:p>
    <w:p w14:paraId="71275185">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7EDD4B69">
      <w:pPr>
        <w:pageBreakBefore w:val="0"/>
        <w:kinsoku w:val="0"/>
        <w:wordWrap/>
        <w:overflowPunct w:val="0"/>
        <w:topLinePunct w:val="0"/>
        <w:autoSpaceDE w:val="0"/>
        <w:autoSpaceDN w:val="0"/>
        <w:bidi w:val="0"/>
        <w:adjustRightInd w:val="0"/>
        <w:snapToGrid w:val="0"/>
        <w:spacing w:beforeAutospacing="0" w:afterAutospacing="0" w:line="240" w:lineRule="auto"/>
        <w:ind w:left="1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u w:val="single"/>
        </w:rPr>
        <w:t>名)</w:t>
      </w:r>
      <w:r>
        <w:rPr>
          <w:rFonts w:hint="eastAsia" w:ascii="宋体" w:hAnsi="宋体" w:eastAsia="宋体" w:cs="宋体"/>
          <w:b w:val="0"/>
          <w:bCs w:val="0"/>
          <w:color w:val="auto"/>
          <w:spacing w:val="-3"/>
          <w:sz w:val="22"/>
          <w:szCs w:val="22"/>
          <w:highlight w:val="none"/>
        </w:rPr>
        <w:t>代</w:t>
      </w:r>
      <w:r>
        <w:rPr>
          <w:rFonts w:hint="eastAsia" w:ascii="宋体" w:hAnsi="宋体" w:eastAsia="宋体" w:cs="宋体"/>
          <w:b w:val="0"/>
          <w:bCs w:val="0"/>
          <w:color w:val="auto"/>
          <w:sz w:val="22"/>
          <w:szCs w:val="22"/>
          <w:highlight w:val="none"/>
        </w:rPr>
        <w:t>表</w:t>
      </w:r>
      <w:r>
        <w:rPr>
          <w:rFonts w:hint="eastAsia" w:ascii="宋体" w:hAnsi="宋体" w:eastAsia="宋体" w:cs="宋体"/>
          <w:b w:val="0"/>
          <w:bCs w:val="0"/>
          <w:color w:val="auto"/>
          <w:spacing w:val="-3"/>
          <w:sz w:val="22"/>
          <w:szCs w:val="22"/>
          <w:highlight w:val="none"/>
        </w:rPr>
        <w:t>本</w:t>
      </w:r>
      <w:r>
        <w:rPr>
          <w:rFonts w:hint="eastAsia" w:ascii="宋体" w:hAnsi="宋体" w:eastAsia="宋体" w:cs="宋体"/>
          <w:b w:val="0"/>
          <w:bCs w:val="0"/>
          <w:color w:val="auto"/>
          <w:sz w:val="22"/>
          <w:szCs w:val="22"/>
          <w:highlight w:val="none"/>
        </w:rPr>
        <w:t>单</w:t>
      </w:r>
      <w:r>
        <w:rPr>
          <w:rFonts w:hint="eastAsia" w:ascii="宋体" w:hAnsi="宋体" w:eastAsia="宋体" w:cs="宋体"/>
          <w:b w:val="0"/>
          <w:bCs w:val="0"/>
          <w:color w:val="auto"/>
          <w:spacing w:val="-3"/>
          <w:sz w:val="22"/>
          <w:szCs w:val="22"/>
          <w:highlight w:val="none"/>
        </w:rPr>
        <w:t>位</w:t>
      </w:r>
      <w:r>
        <w:rPr>
          <w:rFonts w:hint="eastAsia" w:ascii="宋体" w:hAnsi="宋体" w:eastAsia="宋体" w:cs="宋体"/>
          <w:b w:val="0"/>
          <w:bCs w:val="0"/>
          <w:color w:val="auto"/>
          <w:sz w:val="22"/>
          <w:szCs w:val="22"/>
          <w:highlight w:val="none"/>
        </w:rPr>
        <w:t>全</w:t>
      </w:r>
      <w:r>
        <w:rPr>
          <w:rFonts w:hint="eastAsia" w:ascii="宋体" w:hAnsi="宋体" w:eastAsia="宋体" w:cs="宋体"/>
          <w:b w:val="0"/>
          <w:bCs w:val="0"/>
          <w:color w:val="auto"/>
          <w:spacing w:val="-3"/>
          <w:sz w:val="22"/>
          <w:szCs w:val="22"/>
          <w:highlight w:val="none"/>
        </w:rPr>
        <w:t>面</w:t>
      </w:r>
      <w:r>
        <w:rPr>
          <w:rFonts w:hint="eastAsia" w:ascii="宋体" w:hAnsi="宋体" w:eastAsia="宋体" w:cs="宋体"/>
          <w:b w:val="0"/>
          <w:bCs w:val="0"/>
          <w:color w:val="auto"/>
          <w:spacing w:val="-1"/>
          <w:sz w:val="22"/>
          <w:szCs w:val="22"/>
          <w:highlight w:val="none"/>
        </w:rPr>
        <w:t>负</w:t>
      </w:r>
      <w:r>
        <w:rPr>
          <w:rFonts w:hint="eastAsia" w:ascii="宋体" w:hAnsi="宋体" w:eastAsia="宋体" w:cs="宋体"/>
          <w:b w:val="0"/>
          <w:bCs w:val="0"/>
          <w:color w:val="auto"/>
          <w:spacing w:val="-3"/>
          <w:sz w:val="22"/>
          <w:szCs w:val="22"/>
          <w:highlight w:val="none"/>
        </w:rPr>
        <w:t>责。</w:t>
      </w:r>
    </w:p>
    <w:p w14:paraId="63DF72F6">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4571E646">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6C146736">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228B76F7">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4849DAEE">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4554D088">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347BA1EB">
      <w:pPr>
        <w:pageBreakBefore w:val="0"/>
        <w:tabs>
          <w:tab w:val="left" w:pos="4094"/>
          <w:tab w:val="left" w:pos="4514"/>
          <w:tab w:val="left" w:pos="6928"/>
        </w:tabs>
        <w:kinsoku w:val="0"/>
        <w:wordWrap/>
        <w:overflowPunct w:val="0"/>
        <w:topLinePunct w:val="0"/>
        <w:autoSpaceDE w:val="0"/>
        <w:autoSpaceDN w:val="0"/>
        <w:bidi w:val="0"/>
        <w:adjustRightInd w:val="0"/>
        <w:snapToGrid w:val="0"/>
        <w:spacing w:beforeAutospacing="0" w:afterAutospacing="0" w:line="240" w:lineRule="auto"/>
        <w:ind w:left="3672"/>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承</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包</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pacing w:val="-3"/>
          <w:sz w:val="22"/>
          <w:szCs w:val="22"/>
          <w:highlight w:val="none"/>
        </w:rPr>
        <w:t>人</w:t>
      </w:r>
      <w:r>
        <w:rPr>
          <w:rFonts w:hint="eastAsia" w:ascii="宋体" w:hAnsi="宋体" w:eastAsia="宋体" w:cs="宋体"/>
          <w:b w:val="0"/>
          <w:bCs w:val="0"/>
          <w:color w:val="auto"/>
          <w:spacing w:val="-1"/>
          <w:sz w:val="22"/>
          <w:szCs w:val="22"/>
          <w:highlight w:val="none"/>
        </w:rPr>
        <w:t>：</w:t>
      </w:r>
      <w:r>
        <w:rPr>
          <w:rFonts w:hint="eastAsia" w:ascii="宋体" w:hAnsi="宋体" w:eastAsia="宋体" w:cs="宋体"/>
          <w:b w:val="0"/>
          <w:bCs w:val="0"/>
          <w:color w:val="auto"/>
          <w:spacing w:val="-1"/>
          <w:sz w:val="22"/>
          <w:szCs w:val="22"/>
          <w:highlight w:val="none"/>
          <w:u w:val="single"/>
        </w:rPr>
        <w:tab/>
      </w:r>
      <w:r>
        <w:rPr>
          <w:rFonts w:hint="eastAsia" w:ascii="宋体" w:hAnsi="宋体" w:eastAsia="宋体" w:cs="宋体"/>
          <w:b w:val="0"/>
          <w:bCs w:val="0"/>
          <w:color w:val="auto"/>
          <w:spacing w:val="-3"/>
          <w:sz w:val="22"/>
          <w:szCs w:val="22"/>
          <w:highlight w:val="none"/>
        </w:rPr>
        <w:t>(</w:t>
      </w:r>
      <w:r>
        <w:rPr>
          <w:rFonts w:hint="eastAsia" w:ascii="宋体" w:hAnsi="宋体" w:eastAsia="宋体" w:cs="宋体"/>
          <w:b w:val="0"/>
          <w:bCs w:val="0"/>
          <w:color w:val="auto"/>
          <w:sz w:val="22"/>
          <w:szCs w:val="22"/>
          <w:highlight w:val="none"/>
        </w:rPr>
        <w:t>盖</w:t>
      </w:r>
      <w:r>
        <w:rPr>
          <w:rFonts w:hint="eastAsia" w:ascii="宋体" w:hAnsi="宋体" w:eastAsia="宋体" w:cs="宋体"/>
          <w:b w:val="0"/>
          <w:bCs w:val="0"/>
          <w:color w:val="auto"/>
          <w:spacing w:val="-3"/>
          <w:sz w:val="22"/>
          <w:szCs w:val="22"/>
          <w:highlight w:val="none"/>
        </w:rPr>
        <w:t>单</w:t>
      </w:r>
      <w:r>
        <w:rPr>
          <w:rFonts w:hint="eastAsia" w:ascii="宋体" w:hAnsi="宋体" w:eastAsia="宋体" w:cs="宋体"/>
          <w:b w:val="0"/>
          <w:bCs w:val="0"/>
          <w:color w:val="auto"/>
          <w:sz w:val="22"/>
          <w:szCs w:val="22"/>
          <w:highlight w:val="none"/>
        </w:rPr>
        <w:t>位</w:t>
      </w:r>
      <w:r>
        <w:rPr>
          <w:rFonts w:hint="eastAsia" w:ascii="宋体" w:hAnsi="宋体" w:eastAsia="宋体" w:cs="宋体"/>
          <w:b w:val="0"/>
          <w:bCs w:val="0"/>
          <w:color w:val="auto"/>
          <w:spacing w:val="-1"/>
          <w:sz w:val="22"/>
          <w:szCs w:val="22"/>
          <w:highlight w:val="none"/>
        </w:rPr>
        <w:t>章</w:t>
      </w:r>
      <w:r>
        <w:rPr>
          <w:rFonts w:hint="eastAsia" w:ascii="宋体" w:hAnsi="宋体" w:eastAsia="宋体" w:cs="宋体"/>
          <w:b w:val="0"/>
          <w:bCs w:val="0"/>
          <w:color w:val="auto"/>
          <w:sz w:val="22"/>
          <w:szCs w:val="22"/>
          <w:highlight w:val="none"/>
        </w:rPr>
        <w:t>)</w:t>
      </w:r>
    </w:p>
    <w:p w14:paraId="5129A682">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506EC32D">
      <w:pPr>
        <w:pageBreakBefore w:val="0"/>
        <w:tabs>
          <w:tab w:val="left" w:pos="5563"/>
          <w:tab w:val="left" w:pos="6926"/>
        </w:tabs>
        <w:kinsoku w:val="0"/>
        <w:wordWrap/>
        <w:overflowPunct w:val="0"/>
        <w:topLinePunct w:val="0"/>
        <w:autoSpaceDE w:val="0"/>
        <w:autoSpaceDN w:val="0"/>
        <w:bidi w:val="0"/>
        <w:adjustRightInd w:val="0"/>
        <w:snapToGrid w:val="0"/>
        <w:spacing w:beforeAutospacing="0" w:afterAutospacing="0" w:line="240" w:lineRule="auto"/>
        <w:ind w:left="3672"/>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法定</w:t>
      </w:r>
      <w:r>
        <w:rPr>
          <w:rFonts w:hint="eastAsia" w:ascii="宋体" w:hAnsi="宋体" w:eastAsia="宋体" w:cs="宋体"/>
          <w:b w:val="0"/>
          <w:bCs w:val="0"/>
          <w:color w:val="auto"/>
          <w:spacing w:val="-3"/>
          <w:sz w:val="22"/>
          <w:szCs w:val="22"/>
          <w:highlight w:val="none"/>
        </w:rPr>
        <w:t>代</w:t>
      </w:r>
      <w:r>
        <w:rPr>
          <w:rFonts w:hint="eastAsia" w:ascii="宋体" w:hAnsi="宋体" w:eastAsia="宋体" w:cs="宋体"/>
          <w:b w:val="0"/>
          <w:bCs w:val="0"/>
          <w:color w:val="auto"/>
          <w:sz w:val="22"/>
          <w:szCs w:val="22"/>
          <w:highlight w:val="none"/>
        </w:rPr>
        <w:t>表</w:t>
      </w:r>
      <w:r>
        <w:rPr>
          <w:rFonts w:hint="eastAsia" w:ascii="宋体" w:hAnsi="宋体" w:eastAsia="宋体" w:cs="宋体"/>
          <w:b w:val="0"/>
          <w:bCs w:val="0"/>
          <w:color w:val="auto"/>
          <w:spacing w:val="-3"/>
          <w:sz w:val="22"/>
          <w:szCs w:val="22"/>
          <w:highlight w:val="none"/>
        </w:rPr>
        <w:t>人</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u w:val="single"/>
        </w:rPr>
        <w:tab/>
      </w:r>
      <w:r>
        <w:rPr>
          <w:rFonts w:hint="eastAsia" w:ascii="宋体" w:hAnsi="宋体" w:eastAsia="宋体" w:cs="宋体"/>
          <w:b w:val="0"/>
          <w:bCs w:val="0"/>
          <w:color w:val="auto"/>
          <w:sz w:val="22"/>
          <w:szCs w:val="22"/>
          <w:highlight w:val="none"/>
          <w:u w:val="single"/>
        </w:rPr>
        <w:t>(</w:t>
      </w:r>
      <w:r>
        <w:rPr>
          <w:rFonts w:hint="eastAsia" w:ascii="宋体" w:hAnsi="宋体" w:eastAsia="宋体" w:cs="宋体"/>
          <w:b w:val="0"/>
          <w:bCs w:val="0"/>
          <w:color w:val="auto"/>
          <w:spacing w:val="-3"/>
          <w:sz w:val="22"/>
          <w:szCs w:val="22"/>
          <w:highlight w:val="none"/>
          <w:u w:val="single"/>
        </w:rPr>
        <w:t>职务</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rPr>
        <w:tab/>
      </w:r>
    </w:p>
    <w:p w14:paraId="501D55F5">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5B635E49">
      <w:pPr>
        <w:pageBreakBefore w:val="0"/>
        <w:tabs>
          <w:tab w:val="left" w:pos="5563"/>
          <w:tab w:val="left" w:pos="6926"/>
        </w:tabs>
        <w:kinsoku w:val="0"/>
        <w:wordWrap/>
        <w:overflowPunct w:val="0"/>
        <w:topLinePunct w:val="0"/>
        <w:autoSpaceDE w:val="0"/>
        <w:autoSpaceDN w:val="0"/>
        <w:bidi w:val="0"/>
        <w:adjustRightInd w:val="0"/>
        <w:snapToGrid w:val="0"/>
        <w:spacing w:beforeAutospacing="0" w:afterAutospacing="0" w:line="240" w:lineRule="auto"/>
        <w:ind w:left="4932"/>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rPr>
        <w:tab/>
      </w:r>
      <w:r>
        <w:rPr>
          <w:rFonts w:hint="eastAsia" w:ascii="宋体" w:hAnsi="宋体" w:eastAsia="宋体" w:cs="宋体"/>
          <w:b w:val="0"/>
          <w:bCs w:val="0"/>
          <w:color w:val="auto"/>
          <w:sz w:val="22"/>
          <w:szCs w:val="22"/>
          <w:highlight w:val="none"/>
          <w:u w:val="single"/>
        </w:rPr>
        <w:t>(</w:t>
      </w:r>
      <w:r>
        <w:rPr>
          <w:rFonts w:hint="eastAsia" w:ascii="宋体" w:hAnsi="宋体" w:eastAsia="宋体" w:cs="宋体"/>
          <w:b w:val="0"/>
          <w:bCs w:val="0"/>
          <w:color w:val="auto"/>
          <w:spacing w:val="-3"/>
          <w:sz w:val="22"/>
          <w:szCs w:val="22"/>
          <w:highlight w:val="none"/>
          <w:u w:val="single"/>
        </w:rPr>
        <w:t>姓</w:t>
      </w:r>
      <w:r>
        <w:rPr>
          <w:rFonts w:hint="eastAsia" w:ascii="宋体" w:hAnsi="宋体" w:eastAsia="宋体" w:cs="宋体"/>
          <w:b w:val="0"/>
          <w:bCs w:val="0"/>
          <w:color w:val="auto"/>
          <w:spacing w:val="-1"/>
          <w:sz w:val="22"/>
          <w:szCs w:val="22"/>
          <w:highlight w:val="none"/>
          <w:u w:val="single"/>
        </w:rPr>
        <w:t>名</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rPr>
        <w:tab/>
      </w:r>
    </w:p>
    <w:p w14:paraId="6C1BE91A">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7D0BB332">
      <w:pPr>
        <w:pageBreakBefore w:val="0"/>
        <w:tabs>
          <w:tab w:val="left" w:pos="5563"/>
          <w:tab w:val="left" w:pos="6926"/>
        </w:tabs>
        <w:kinsoku w:val="0"/>
        <w:wordWrap/>
        <w:overflowPunct w:val="0"/>
        <w:topLinePunct w:val="0"/>
        <w:autoSpaceDE w:val="0"/>
        <w:autoSpaceDN w:val="0"/>
        <w:bidi w:val="0"/>
        <w:adjustRightInd w:val="0"/>
        <w:snapToGrid w:val="0"/>
        <w:spacing w:beforeAutospacing="0" w:afterAutospacing="0" w:line="240" w:lineRule="auto"/>
        <w:ind w:left="4932"/>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rPr>
        <w:tab/>
      </w:r>
      <w:r>
        <w:rPr>
          <w:rFonts w:hint="eastAsia" w:ascii="宋体" w:hAnsi="宋体" w:eastAsia="宋体" w:cs="宋体"/>
          <w:b w:val="0"/>
          <w:bCs w:val="0"/>
          <w:color w:val="auto"/>
          <w:sz w:val="22"/>
          <w:szCs w:val="22"/>
          <w:highlight w:val="none"/>
          <w:u w:val="single"/>
        </w:rPr>
        <w:t>(</w:t>
      </w:r>
      <w:r>
        <w:rPr>
          <w:rFonts w:hint="eastAsia" w:ascii="宋体" w:hAnsi="宋体" w:eastAsia="宋体" w:cs="宋体"/>
          <w:b w:val="0"/>
          <w:bCs w:val="0"/>
          <w:color w:val="auto"/>
          <w:spacing w:val="-3"/>
          <w:sz w:val="22"/>
          <w:szCs w:val="22"/>
          <w:highlight w:val="none"/>
          <w:u w:val="single"/>
        </w:rPr>
        <w:t>签</w:t>
      </w:r>
      <w:r>
        <w:rPr>
          <w:rFonts w:hint="eastAsia" w:ascii="宋体" w:hAnsi="宋体" w:eastAsia="宋体" w:cs="宋体"/>
          <w:b w:val="0"/>
          <w:bCs w:val="0"/>
          <w:color w:val="auto"/>
          <w:spacing w:val="-1"/>
          <w:sz w:val="22"/>
          <w:szCs w:val="22"/>
          <w:highlight w:val="none"/>
          <w:u w:val="single"/>
        </w:rPr>
        <w:t>字</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rPr>
        <w:tab/>
      </w:r>
    </w:p>
    <w:p w14:paraId="6C1F2FBF">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568CA9AC">
      <w:pPr>
        <w:pageBreakBefore w:val="0"/>
        <w:tabs>
          <w:tab w:val="left" w:pos="5599"/>
          <w:tab w:val="left" w:pos="6124"/>
          <w:tab w:val="left" w:pos="6753"/>
        </w:tabs>
        <w:kinsoku w:val="0"/>
        <w:wordWrap/>
        <w:overflowPunct w:val="0"/>
        <w:topLinePunct w:val="0"/>
        <w:autoSpaceDE w:val="0"/>
        <w:autoSpaceDN w:val="0"/>
        <w:bidi w:val="0"/>
        <w:adjustRightInd w:val="0"/>
        <w:snapToGrid w:val="0"/>
        <w:spacing w:beforeAutospacing="0" w:afterAutospacing="0" w:line="240" w:lineRule="auto"/>
        <w:ind w:left="4968"/>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rPr>
        <w:tab/>
      </w:r>
      <w:r>
        <w:rPr>
          <w:rFonts w:hint="eastAsia" w:ascii="宋体" w:hAnsi="宋体" w:eastAsia="宋体" w:cs="宋体"/>
          <w:b w:val="0"/>
          <w:bCs w:val="0"/>
          <w:color w:val="auto"/>
          <w:spacing w:val="-1"/>
          <w:sz w:val="22"/>
          <w:szCs w:val="22"/>
          <w:highlight w:val="none"/>
        </w:rPr>
        <w:t>年</w:t>
      </w:r>
      <w:r>
        <w:rPr>
          <w:rFonts w:hint="eastAsia" w:ascii="宋体" w:hAnsi="宋体" w:eastAsia="宋体" w:cs="宋体"/>
          <w:b w:val="0"/>
          <w:bCs w:val="0"/>
          <w:color w:val="auto"/>
          <w:spacing w:val="-1"/>
          <w:sz w:val="22"/>
          <w:szCs w:val="22"/>
          <w:highlight w:val="none"/>
          <w:u w:val="single"/>
        </w:rPr>
        <w:tab/>
      </w:r>
      <w:r>
        <w:rPr>
          <w:rFonts w:hint="eastAsia" w:ascii="宋体" w:hAnsi="宋体" w:eastAsia="宋体" w:cs="宋体"/>
          <w:b w:val="0"/>
          <w:bCs w:val="0"/>
          <w:color w:val="auto"/>
          <w:spacing w:val="-1"/>
          <w:sz w:val="22"/>
          <w:szCs w:val="22"/>
          <w:highlight w:val="none"/>
        </w:rPr>
        <w:t>月</w:t>
      </w:r>
      <w:r>
        <w:rPr>
          <w:rFonts w:hint="eastAsia" w:ascii="宋体" w:hAnsi="宋体" w:eastAsia="宋体" w:cs="宋体"/>
          <w:b w:val="0"/>
          <w:bCs w:val="0"/>
          <w:color w:val="auto"/>
          <w:spacing w:val="-1"/>
          <w:sz w:val="22"/>
          <w:szCs w:val="22"/>
          <w:highlight w:val="none"/>
          <w:u w:val="single"/>
        </w:rPr>
        <w:tab/>
      </w:r>
      <w:r>
        <w:rPr>
          <w:rFonts w:hint="eastAsia" w:ascii="宋体" w:hAnsi="宋体" w:eastAsia="宋体" w:cs="宋体"/>
          <w:b w:val="0"/>
          <w:bCs w:val="0"/>
          <w:color w:val="auto"/>
          <w:sz w:val="22"/>
          <w:szCs w:val="22"/>
          <w:highlight w:val="none"/>
        </w:rPr>
        <w:t>日</w:t>
      </w:r>
    </w:p>
    <w:p w14:paraId="63BEA6C0">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52629FFE">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51092A2D">
      <w:pPr>
        <w:pageBreakBefore w:val="0"/>
        <w:kinsoku w:val="0"/>
        <w:wordWrap/>
        <w:overflowPunct w:val="0"/>
        <w:topLinePunct w:val="0"/>
        <w:autoSpaceDE w:val="0"/>
        <w:autoSpaceDN w:val="0"/>
        <w:bidi w:val="0"/>
        <w:adjustRightInd w:val="0"/>
        <w:snapToGrid w:val="0"/>
        <w:spacing w:beforeAutospacing="0" w:afterAutospacing="0" w:line="240" w:lineRule="auto"/>
        <w:jc w:val="left"/>
        <w:rPr>
          <w:rFonts w:hint="eastAsia" w:ascii="宋体" w:hAnsi="宋体" w:eastAsia="宋体" w:cs="宋体"/>
          <w:b w:val="0"/>
          <w:bCs w:val="0"/>
          <w:color w:val="auto"/>
          <w:sz w:val="22"/>
          <w:szCs w:val="22"/>
          <w:highlight w:val="none"/>
        </w:rPr>
      </w:pPr>
    </w:p>
    <w:p w14:paraId="527B34B6">
      <w:pPr>
        <w:pageBreakBefore w:val="0"/>
        <w:kinsoku w:val="0"/>
        <w:wordWrap/>
        <w:overflowPunct w:val="0"/>
        <w:topLinePunct w:val="0"/>
        <w:autoSpaceDE w:val="0"/>
        <w:autoSpaceDN w:val="0"/>
        <w:bidi w:val="0"/>
        <w:adjustRightInd w:val="0"/>
        <w:snapToGrid w:val="0"/>
        <w:spacing w:beforeAutospacing="0" w:afterAutospacing="0" w:line="240" w:lineRule="auto"/>
        <w:ind w:left="1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抄送</w:t>
      </w:r>
      <w:r>
        <w:rPr>
          <w:rFonts w:hint="eastAsia" w:ascii="宋体" w:hAnsi="宋体" w:eastAsia="宋体" w:cs="宋体"/>
          <w:b w:val="0"/>
          <w:bCs w:val="0"/>
          <w:color w:val="auto"/>
          <w:spacing w:val="-3"/>
          <w:sz w:val="22"/>
          <w:szCs w:val="22"/>
          <w:highlight w:val="none"/>
        </w:rPr>
        <w:t>：</w:t>
      </w:r>
      <w:r>
        <w:rPr>
          <w:rFonts w:hint="eastAsia" w:ascii="宋体" w:hAnsi="宋体" w:eastAsia="宋体" w:cs="宋体"/>
          <w:b w:val="0"/>
          <w:bCs w:val="0"/>
          <w:color w:val="auto"/>
          <w:sz w:val="22"/>
          <w:szCs w:val="22"/>
          <w:highlight w:val="none"/>
          <w:u w:val="single"/>
        </w:rPr>
        <w:t>(</w:t>
      </w:r>
      <w:r>
        <w:rPr>
          <w:rFonts w:hint="eastAsia" w:ascii="宋体" w:hAnsi="宋体" w:eastAsia="宋体" w:cs="宋体"/>
          <w:b w:val="0"/>
          <w:bCs w:val="0"/>
          <w:color w:val="auto"/>
          <w:spacing w:val="-3"/>
          <w:sz w:val="22"/>
          <w:szCs w:val="22"/>
          <w:highlight w:val="none"/>
          <w:u w:val="single"/>
        </w:rPr>
        <w:t>监</w:t>
      </w:r>
      <w:r>
        <w:rPr>
          <w:rFonts w:hint="eastAsia" w:ascii="宋体" w:hAnsi="宋体" w:eastAsia="宋体" w:cs="宋体"/>
          <w:b w:val="0"/>
          <w:bCs w:val="0"/>
          <w:color w:val="auto"/>
          <w:sz w:val="22"/>
          <w:szCs w:val="22"/>
          <w:highlight w:val="none"/>
          <w:u w:val="single"/>
        </w:rPr>
        <w:t>理</w:t>
      </w:r>
      <w:r>
        <w:rPr>
          <w:rFonts w:hint="eastAsia" w:ascii="宋体" w:hAnsi="宋体" w:eastAsia="宋体" w:cs="宋体"/>
          <w:b w:val="0"/>
          <w:bCs w:val="0"/>
          <w:color w:val="auto"/>
          <w:spacing w:val="-1"/>
          <w:sz w:val="22"/>
          <w:szCs w:val="22"/>
          <w:highlight w:val="none"/>
          <w:u w:val="single"/>
        </w:rPr>
        <w:t>人</w:t>
      </w:r>
      <w:r>
        <w:rPr>
          <w:rFonts w:hint="eastAsia" w:ascii="宋体" w:hAnsi="宋体" w:eastAsia="宋体" w:cs="宋体"/>
          <w:b w:val="0"/>
          <w:bCs w:val="0"/>
          <w:color w:val="auto"/>
          <w:sz w:val="22"/>
          <w:szCs w:val="22"/>
          <w:highlight w:val="none"/>
          <w:u w:val="single"/>
        </w:rPr>
        <w:t>)</w:t>
      </w:r>
    </w:p>
    <w:p w14:paraId="6142382D">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5B46031E">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63C72D0D">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0CBA311F">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3CEB0F3F">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38A8CDC6">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0D149737">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0D79858F">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7738D985">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7FAA7656">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7D80B09E">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2422D078">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7FF2F034">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br w:type="page"/>
      </w:r>
      <w:r>
        <w:rPr>
          <w:rFonts w:hint="eastAsia" w:ascii="宋体" w:hAnsi="宋体" w:eastAsia="宋体" w:cs="宋体"/>
          <w:b w:val="0"/>
          <w:bCs w:val="0"/>
          <w:color w:val="auto"/>
          <w:kern w:val="2"/>
          <w:sz w:val="22"/>
          <w:szCs w:val="22"/>
          <w:highlight w:val="none"/>
        </w:rPr>
        <w:t>附件七  履约担保格式</w:t>
      </w:r>
      <w:bookmarkEnd w:id="421"/>
      <w:bookmarkEnd w:id="422"/>
      <w:bookmarkEnd w:id="423"/>
      <w:bookmarkEnd w:id="424"/>
      <w:bookmarkEnd w:id="444"/>
      <w:bookmarkEnd w:id="445"/>
      <w:bookmarkEnd w:id="446"/>
      <w:bookmarkEnd w:id="447"/>
      <w:bookmarkEnd w:id="448"/>
      <w:bookmarkEnd w:id="449"/>
      <w:bookmarkEnd w:id="450"/>
      <w:bookmarkEnd w:id="451"/>
      <w:bookmarkEnd w:id="452"/>
      <w:bookmarkEnd w:id="453"/>
      <w:bookmarkEnd w:id="454"/>
      <w:bookmarkEnd w:id="455"/>
    </w:p>
    <w:p w14:paraId="64D0D8C7">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p w14:paraId="17D41837">
      <w:pPr>
        <w:pageBreakBefore w:val="0"/>
        <w:wordWrap/>
        <w:topLinePunct w:val="0"/>
        <w:bidi w:val="0"/>
        <w:snapToGrid w:val="0"/>
        <w:spacing w:beforeAutospacing="0" w:afterAutospacing="0" w:line="240" w:lineRule="auto"/>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履 约 担 保</w:t>
      </w:r>
    </w:p>
    <w:p w14:paraId="07544BCD">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5B790AAC">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u w:val="single"/>
        </w:rPr>
        <w:tab/>
      </w:r>
      <w:r>
        <w:rPr>
          <w:rFonts w:hint="eastAsia" w:ascii="宋体" w:hAnsi="宋体" w:eastAsia="宋体" w:cs="宋体"/>
          <w:b w:val="0"/>
          <w:bCs w:val="0"/>
          <w:color w:val="auto"/>
          <w:kern w:val="2"/>
          <w:sz w:val="22"/>
          <w:szCs w:val="22"/>
          <w:highlight w:val="none"/>
          <w:u w:val="single"/>
        </w:rPr>
        <w:tab/>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 xml:space="preserve">  ：</w:t>
      </w:r>
    </w:p>
    <w:p w14:paraId="5BF91FF0">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0501B233">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鉴于</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（发包人名称，</w:t>
      </w:r>
      <w:r>
        <w:rPr>
          <w:rFonts w:hint="eastAsia" w:ascii="宋体" w:hAnsi="宋体" w:eastAsia="宋体" w:cs="宋体"/>
          <w:b w:val="0"/>
          <w:bCs w:val="0"/>
          <w:color w:val="auto"/>
          <w:sz w:val="22"/>
          <w:szCs w:val="22"/>
          <w:highlight w:val="none"/>
        </w:rPr>
        <w:t>以下简称“发包人”）</w:t>
      </w:r>
      <w:r>
        <w:rPr>
          <w:rFonts w:hint="eastAsia" w:ascii="宋体" w:hAnsi="宋体" w:eastAsia="宋体" w:cs="宋体"/>
          <w:b w:val="0"/>
          <w:bCs w:val="0"/>
          <w:color w:val="auto"/>
          <w:kern w:val="2"/>
          <w:sz w:val="22"/>
          <w:szCs w:val="22"/>
          <w:highlight w:val="none"/>
        </w:rPr>
        <w:t xml:space="preserve">接受 </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（承包人名称）（</w:t>
      </w:r>
      <w:r>
        <w:rPr>
          <w:rFonts w:hint="eastAsia" w:ascii="宋体" w:hAnsi="宋体" w:eastAsia="宋体" w:cs="宋体"/>
          <w:b w:val="0"/>
          <w:bCs w:val="0"/>
          <w:color w:val="auto"/>
          <w:sz w:val="22"/>
          <w:szCs w:val="22"/>
          <w:highlight w:val="none"/>
        </w:rPr>
        <w:t>以下简称“承包人”）</w:t>
      </w:r>
      <w:r>
        <w:rPr>
          <w:rFonts w:hint="eastAsia" w:ascii="宋体" w:hAnsi="宋体" w:eastAsia="宋体" w:cs="宋体"/>
          <w:b w:val="0"/>
          <w:bCs w:val="0"/>
          <w:color w:val="auto"/>
          <w:kern w:val="2"/>
          <w:sz w:val="22"/>
          <w:szCs w:val="22"/>
          <w:highlight w:val="none"/>
        </w:rPr>
        <w:t>于</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年</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月</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日参加</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（项目名称）</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 xml:space="preserve">标段公路养护工程施工的投标。我方愿意无条件地、不可撤销地就承包人履行与你方订立的合同，向你方提供担保。 </w:t>
      </w:r>
    </w:p>
    <w:p w14:paraId="6FBF0FCB">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1．担保金额人民币（大写）</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元（</w:t>
      </w:r>
      <w:r>
        <w:rPr>
          <w:rFonts w:hint="eastAsia" w:ascii="宋体" w:hAnsi="宋体" w:eastAsia="宋体" w:cs="宋体"/>
          <w:b w:val="0"/>
          <w:bCs w:val="0"/>
          <w:i/>
          <w:color w:val="auto"/>
          <w:kern w:val="2"/>
          <w:sz w:val="22"/>
          <w:szCs w:val="22"/>
          <w:highlight w:val="none"/>
        </w:rPr>
        <w:t>¥</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w:t>
      </w:r>
    </w:p>
    <w:p w14:paraId="079A3045">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2．担保有效期自发包人与承包人签订的合同生效之日起至发包人签发工程接收证书之日止。</w:t>
      </w:r>
    </w:p>
    <w:p w14:paraId="1FD7116D">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3．在本担保有效期内，因承包人违反合同约定的义务给你方造成经济损失时，我方在收到你方以书面形式提出的在担保金额内的赔偿要求后，在7天内无条件支付，无须你方出具证明或陈述理由。</w:t>
      </w:r>
    </w:p>
    <w:p w14:paraId="40BD4FDB">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4．发包人和承包人按合同条款第15条变更合同时，我方承担本担保规定的义务不变。</w:t>
      </w:r>
    </w:p>
    <w:p w14:paraId="63C61144">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5D5D9468">
      <w:pPr>
        <w:pageBreakBefore w:val="0"/>
        <w:wordWrap/>
        <w:topLinePunct w:val="0"/>
        <w:bidi w:val="0"/>
        <w:snapToGrid w:val="0"/>
        <w:spacing w:beforeAutospacing="0" w:afterAutospacing="0" w:line="240" w:lineRule="auto"/>
        <w:ind w:firstLine="3581" w:firstLineChars="1628"/>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担 保 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（盖单位章）</w:t>
      </w:r>
    </w:p>
    <w:p w14:paraId="42422777">
      <w:pPr>
        <w:pageBreakBefore w:val="0"/>
        <w:wordWrap/>
        <w:topLinePunct w:val="0"/>
        <w:bidi w:val="0"/>
        <w:snapToGrid w:val="0"/>
        <w:spacing w:beforeAutospacing="0" w:afterAutospacing="0" w:line="240" w:lineRule="auto"/>
        <w:ind w:firstLine="3581" w:firstLineChars="1628"/>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法定代表人或其委托代理人：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（签字）</w:t>
      </w:r>
    </w:p>
    <w:p w14:paraId="70F306A3">
      <w:pPr>
        <w:pageBreakBefore w:val="0"/>
        <w:wordWrap/>
        <w:topLinePunct w:val="0"/>
        <w:bidi w:val="0"/>
        <w:snapToGrid w:val="0"/>
        <w:spacing w:beforeAutospacing="0" w:afterAutospacing="0" w:line="240" w:lineRule="auto"/>
        <w:ind w:firstLine="3581" w:firstLineChars="1628"/>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地    址：</w:t>
      </w:r>
      <w:r>
        <w:rPr>
          <w:rFonts w:hint="eastAsia" w:ascii="宋体" w:hAnsi="宋体" w:eastAsia="宋体" w:cs="宋体"/>
          <w:b w:val="0"/>
          <w:bCs w:val="0"/>
          <w:color w:val="auto"/>
          <w:kern w:val="2"/>
          <w:sz w:val="22"/>
          <w:szCs w:val="22"/>
          <w:highlight w:val="none"/>
          <w:u w:val="single"/>
        </w:rPr>
        <w:t xml:space="preserve">                                </w:t>
      </w:r>
    </w:p>
    <w:p w14:paraId="5A5F0B7B">
      <w:pPr>
        <w:pageBreakBefore w:val="0"/>
        <w:wordWrap/>
        <w:topLinePunct w:val="0"/>
        <w:bidi w:val="0"/>
        <w:snapToGrid w:val="0"/>
        <w:spacing w:beforeAutospacing="0" w:afterAutospacing="0" w:line="240" w:lineRule="auto"/>
        <w:ind w:firstLine="3581" w:firstLineChars="1628"/>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邮政编码：</w:t>
      </w:r>
      <w:r>
        <w:rPr>
          <w:rFonts w:hint="eastAsia" w:ascii="宋体" w:hAnsi="宋体" w:eastAsia="宋体" w:cs="宋体"/>
          <w:b w:val="0"/>
          <w:bCs w:val="0"/>
          <w:color w:val="auto"/>
          <w:kern w:val="2"/>
          <w:sz w:val="22"/>
          <w:szCs w:val="22"/>
          <w:highlight w:val="none"/>
          <w:u w:val="single"/>
        </w:rPr>
        <w:tab/>
      </w:r>
      <w:r>
        <w:rPr>
          <w:rFonts w:hint="eastAsia" w:ascii="宋体" w:hAnsi="宋体" w:eastAsia="宋体" w:cs="宋体"/>
          <w:b w:val="0"/>
          <w:bCs w:val="0"/>
          <w:color w:val="auto"/>
          <w:kern w:val="2"/>
          <w:sz w:val="22"/>
          <w:szCs w:val="22"/>
          <w:highlight w:val="none"/>
          <w:u w:val="single"/>
        </w:rPr>
        <w:tab/>
      </w:r>
      <w:r>
        <w:rPr>
          <w:rFonts w:hint="eastAsia" w:ascii="宋体" w:hAnsi="宋体" w:eastAsia="宋体" w:cs="宋体"/>
          <w:b w:val="0"/>
          <w:bCs w:val="0"/>
          <w:color w:val="auto"/>
          <w:kern w:val="2"/>
          <w:sz w:val="22"/>
          <w:szCs w:val="22"/>
          <w:highlight w:val="none"/>
          <w:u w:val="single"/>
        </w:rPr>
        <w:tab/>
      </w:r>
      <w:r>
        <w:rPr>
          <w:rFonts w:hint="eastAsia" w:ascii="宋体" w:hAnsi="宋体" w:eastAsia="宋体" w:cs="宋体"/>
          <w:b w:val="0"/>
          <w:bCs w:val="0"/>
          <w:color w:val="auto"/>
          <w:kern w:val="2"/>
          <w:sz w:val="22"/>
          <w:szCs w:val="22"/>
          <w:highlight w:val="none"/>
          <w:u w:val="single"/>
        </w:rPr>
        <w:tab/>
      </w:r>
      <w:r>
        <w:rPr>
          <w:rFonts w:hint="eastAsia" w:ascii="宋体" w:hAnsi="宋体" w:eastAsia="宋体" w:cs="宋体"/>
          <w:b w:val="0"/>
          <w:bCs w:val="0"/>
          <w:color w:val="auto"/>
          <w:kern w:val="2"/>
          <w:sz w:val="22"/>
          <w:szCs w:val="22"/>
          <w:highlight w:val="none"/>
          <w:u w:val="single"/>
        </w:rPr>
        <w:tab/>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u w:val="single"/>
        </w:rPr>
        <w:tab/>
      </w:r>
      <w:r>
        <w:rPr>
          <w:rFonts w:hint="eastAsia" w:ascii="宋体" w:hAnsi="宋体" w:eastAsia="宋体" w:cs="宋体"/>
          <w:b w:val="0"/>
          <w:bCs w:val="0"/>
          <w:color w:val="auto"/>
          <w:kern w:val="2"/>
          <w:sz w:val="22"/>
          <w:szCs w:val="22"/>
          <w:highlight w:val="none"/>
          <w:u w:val="single"/>
        </w:rPr>
        <w:tab/>
      </w:r>
      <w:r>
        <w:rPr>
          <w:rFonts w:hint="eastAsia" w:ascii="宋体" w:hAnsi="宋体" w:eastAsia="宋体" w:cs="宋体"/>
          <w:b w:val="0"/>
          <w:bCs w:val="0"/>
          <w:color w:val="auto"/>
          <w:kern w:val="2"/>
          <w:sz w:val="22"/>
          <w:szCs w:val="22"/>
          <w:highlight w:val="none"/>
          <w:u w:val="single"/>
        </w:rPr>
        <w:t xml:space="preserve"> </w:t>
      </w:r>
    </w:p>
    <w:p w14:paraId="3C0ACE2D">
      <w:pPr>
        <w:pageBreakBefore w:val="0"/>
        <w:wordWrap/>
        <w:topLinePunct w:val="0"/>
        <w:bidi w:val="0"/>
        <w:snapToGrid w:val="0"/>
        <w:spacing w:beforeAutospacing="0" w:afterAutospacing="0" w:line="240" w:lineRule="auto"/>
        <w:ind w:firstLine="3581" w:firstLineChars="1628"/>
        <w:rPr>
          <w:rFonts w:hint="eastAsia" w:ascii="宋体" w:hAnsi="宋体" w:eastAsia="宋体" w:cs="宋体"/>
          <w:b w:val="0"/>
          <w:bCs w:val="0"/>
          <w:color w:val="auto"/>
          <w:kern w:val="2"/>
          <w:sz w:val="22"/>
          <w:szCs w:val="22"/>
          <w:highlight w:val="none"/>
          <w:u w:val="single"/>
        </w:rPr>
      </w:pPr>
      <w:r>
        <w:rPr>
          <w:rFonts w:hint="eastAsia" w:ascii="宋体" w:hAnsi="宋体" w:eastAsia="宋体" w:cs="宋体"/>
          <w:b w:val="0"/>
          <w:bCs w:val="0"/>
          <w:color w:val="auto"/>
          <w:kern w:val="2"/>
          <w:sz w:val="22"/>
          <w:szCs w:val="22"/>
          <w:highlight w:val="none"/>
        </w:rPr>
        <w:t>电    话：</w:t>
      </w:r>
      <w:r>
        <w:rPr>
          <w:rFonts w:hint="eastAsia" w:ascii="宋体" w:hAnsi="宋体" w:eastAsia="宋体" w:cs="宋体"/>
          <w:b w:val="0"/>
          <w:bCs w:val="0"/>
          <w:color w:val="auto"/>
          <w:kern w:val="2"/>
          <w:sz w:val="22"/>
          <w:szCs w:val="22"/>
          <w:highlight w:val="none"/>
          <w:u w:val="single"/>
        </w:rPr>
        <w:t xml:space="preserve">                                </w:t>
      </w:r>
    </w:p>
    <w:p w14:paraId="7A84066F">
      <w:pPr>
        <w:pageBreakBefore w:val="0"/>
        <w:wordWrap/>
        <w:topLinePunct w:val="0"/>
        <w:bidi w:val="0"/>
        <w:snapToGrid w:val="0"/>
        <w:spacing w:beforeAutospacing="0" w:afterAutospacing="0" w:line="240" w:lineRule="auto"/>
        <w:ind w:firstLine="3581" w:firstLineChars="1628"/>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传    真：</w:t>
      </w:r>
      <w:r>
        <w:rPr>
          <w:rFonts w:hint="eastAsia" w:ascii="宋体" w:hAnsi="宋体" w:eastAsia="宋体" w:cs="宋体"/>
          <w:b w:val="0"/>
          <w:bCs w:val="0"/>
          <w:color w:val="auto"/>
          <w:kern w:val="2"/>
          <w:sz w:val="22"/>
          <w:szCs w:val="22"/>
          <w:highlight w:val="none"/>
          <w:u w:val="single"/>
        </w:rPr>
        <w:t xml:space="preserve">                                </w:t>
      </w:r>
    </w:p>
    <w:p w14:paraId="6C815DC5">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 xml:space="preserve"> </w:t>
      </w:r>
    </w:p>
    <w:p w14:paraId="130DF142">
      <w:pPr>
        <w:pageBreakBefore w:val="0"/>
        <w:wordWrap/>
        <w:topLinePunct w:val="0"/>
        <w:bidi w:val="0"/>
        <w:snapToGrid w:val="0"/>
        <w:spacing w:beforeAutospacing="0" w:afterAutospacing="0" w:line="240" w:lineRule="auto"/>
        <w:ind w:firstLine="5170" w:firstLineChars="235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年</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月</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日</w:t>
      </w:r>
    </w:p>
    <w:p w14:paraId="7AB609BF">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50211916">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4F085664">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338DCAA2">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593DF146">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31AC699B">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6CA24409">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5628C735">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p>
    <w:p w14:paraId="3B224526">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bookmarkStart w:id="456" w:name="_Toc282779657"/>
      <w:bookmarkStart w:id="457" w:name="_Toc288546798"/>
      <w:bookmarkStart w:id="458" w:name="_Toc287853498"/>
      <w:bookmarkStart w:id="459" w:name="_Toc283794345"/>
      <w:bookmarkStart w:id="460" w:name="_Toc282787612"/>
      <w:bookmarkStart w:id="461" w:name="_Toc288491674"/>
      <w:bookmarkStart w:id="462" w:name="_Toc282779148"/>
      <w:r>
        <w:rPr>
          <w:rFonts w:hint="eastAsia" w:ascii="宋体" w:hAnsi="宋体" w:eastAsia="宋体" w:cs="宋体"/>
          <w:bCs w:val="0"/>
          <w:sz w:val="22"/>
          <w:szCs w:val="22"/>
          <w:highlight w:val="none"/>
        </w:rPr>
        <w:br w:type="page"/>
      </w:r>
      <w:r>
        <w:rPr>
          <w:rFonts w:hint="eastAsia" w:ascii="宋体" w:hAnsi="宋体" w:eastAsia="宋体" w:cs="宋体"/>
          <w:bCs w:val="0"/>
          <w:sz w:val="22"/>
          <w:szCs w:val="22"/>
          <w:highlight w:val="none"/>
        </w:rPr>
        <w:t>附件八  农民工劳动合同格式</w:t>
      </w:r>
      <w:bookmarkEnd w:id="456"/>
      <w:bookmarkEnd w:id="457"/>
      <w:bookmarkEnd w:id="458"/>
      <w:bookmarkEnd w:id="459"/>
      <w:bookmarkEnd w:id="460"/>
      <w:bookmarkEnd w:id="461"/>
      <w:bookmarkEnd w:id="462"/>
    </w:p>
    <w:p w14:paraId="38951C98">
      <w:pPr>
        <w:pageBreakBefore w:val="0"/>
        <w:wordWrap/>
        <w:topLinePunct w:val="0"/>
        <w:bidi w:val="0"/>
        <w:snapToGrid w:val="0"/>
        <w:spacing w:beforeAutospacing="0" w:afterAutospacing="0" w:line="240" w:lineRule="auto"/>
        <w:ind w:right="84"/>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浙江省交通建设领域企业农民工劳动合同</w:t>
      </w:r>
    </w:p>
    <w:p w14:paraId="1607F793">
      <w:pPr>
        <w:pageBreakBefore w:val="0"/>
        <w:wordWrap/>
        <w:topLinePunct w:val="0"/>
        <w:bidi w:val="0"/>
        <w:snapToGrid w:val="0"/>
        <w:spacing w:beforeAutospacing="0" w:afterAutospacing="0" w:line="240" w:lineRule="auto"/>
        <w:ind w:right="564" w:firstLine="6054" w:firstLineChars="2752"/>
        <w:rPr>
          <w:rFonts w:hint="eastAsia" w:ascii="宋体" w:hAnsi="宋体" w:eastAsia="宋体" w:cs="宋体"/>
          <w:b w:val="0"/>
          <w:bCs w:val="0"/>
          <w:color w:val="auto"/>
          <w:kern w:val="2"/>
          <w:sz w:val="22"/>
          <w:szCs w:val="22"/>
          <w:highlight w:val="none"/>
          <w:u w:val="single"/>
        </w:rPr>
      </w:pPr>
      <w:r>
        <w:rPr>
          <w:rFonts w:hint="eastAsia" w:ascii="宋体" w:hAnsi="宋体" w:eastAsia="宋体" w:cs="宋体"/>
          <w:b w:val="0"/>
          <w:bCs w:val="0"/>
          <w:color w:val="auto"/>
          <w:kern w:val="2"/>
          <w:sz w:val="22"/>
          <w:szCs w:val="22"/>
          <w:highlight w:val="none"/>
        </w:rPr>
        <w:t>合同编号：</w:t>
      </w:r>
      <w:r>
        <w:rPr>
          <w:rFonts w:hint="eastAsia" w:ascii="宋体" w:hAnsi="宋体" w:eastAsia="宋体" w:cs="宋体"/>
          <w:b w:val="0"/>
          <w:bCs w:val="0"/>
          <w:color w:val="auto"/>
          <w:kern w:val="2"/>
          <w:sz w:val="22"/>
          <w:szCs w:val="22"/>
          <w:highlight w:val="none"/>
          <w:u w:val="single"/>
        </w:rPr>
        <w:t xml:space="preserve">       </w:t>
      </w:r>
    </w:p>
    <w:p w14:paraId="6B31DB8C">
      <w:pPr>
        <w:pageBreakBefore w:val="0"/>
        <w:wordWrap/>
        <w:topLinePunct w:val="0"/>
        <w:bidi w:val="0"/>
        <w:snapToGrid w:val="0"/>
        <w:spacing w:beforeAutospacing="0" w:afterAutospacing="0" w:line="240" w:lineRule="auto"/>
        <w:ind w:right="84"/>
        <w:rPr>
          <w:rFonts w:hint="eastAsia" w:ascii="宋体" w:hAnsi="宋体" w:eastAsia="宋体" w:cs="宋体"/>
          <w:b w:val="0"/>
          <w:bCs w:val="0"/>
          <w:color w:val="auto"/>
          <w:kern w:val="2"/>
          <w:sz w:val="22"/>
          <w:szCs w:val="22"/>
          <w:highlight w:val="none"/>
          <w:u w:val="single"/>
        </w:rPr>
      </w:pPr>
      <w:r>
        <w:rPr>
          <w:rFonts w:hint="eastAsia" w:ascii="宋体" w:hAnsi="宋体" w:eastAsia="宋体" w:cs="宋体"/>
          <w:b w:val="0"/>
          <w:bCs w:val="0"/>
          <w:color w:val="auto"/>
          <w:kern w:val="2"/>
          <w:sz w:val="22"/>
          <w:szCs w:val="22"/>
          <w:highlight w:val="none"/>
        </w:rPr>
        <w:t>甲方（用人单位）全称：</w:t>
      </w:r>
      <w:r>
        <w:rPr>
          <w:rFonts w:hint="eastAsia" w:ascii="宋体" w:hAnsi="宋体" w:eastAsia="宋体" w:cs="宋体"/>
          <w:b w:val="0"/>
          <w:bCs w:val="0"/>
          <w:color w:val="auto"/>
          <w:kern w:val="2"/>
          <w:sz w:val="22"/>
          <w:szCs w:val="22"/>
          <w:highlight w:val="none"/>
          <w:u w:val="single"/>
        </w:rPr>
        <w:t xml:space="preserve">                         </w:t>
      </w:r>
    </w:p>
    <w:p w14:paraId="3480B6CF">
      <w:pPr>
        <w:pageBreakBefore w:val="0"/>
        <w:tabs>
          <w:tab w:val="left" w:pos="510"/>
        </w:tabs>
        <w:wordWrap/>
        <w:topLinePunct w:val="0"/>
        <w:bidi w:val="0"/>
        <w:snapToGrid w:val="0"/>
        <w:spacing w:beforeAutospacing="0" w:afterAutospacing="0" w:line="240" w:lineRule="auto"/>
        <w:ind w:right="84" w:firstLine="440" w:firstLineChars="200"/>
        <w:jc w:val="left"/>
        <w:rPr>
          <w:rFonts w:hint="eastAsia" w:ascii="宋体" w:hAnsi="宋体" w:eastAsia="宋体" w:cs="宋体"/>
          <w:b w:val="0"/>
          <w:bCs w:val="0"/>
          <w:color w:val="auto"/>
          <w:kern w:val="2"/>
          <w:sz w:val="22"/>
          <w:szCs w:val="22"/>
          <w:highlight w:val="none"/>
          <w:u w:val="single"/>
        </w:rPr>
      </w:pPr>
      <w:r>
        <w:rPr>
          <w:rFonts w:hint="eastAsia" w:ascii="宋体" w:hAnsi="宋体" w:eastAsia="宋体" w:cs="宋体"/>
          <w:b w:val="0"/>
          <w:bCs w:val="0"/>
          <w:color w:val="auto"/>
          <w:kern w:val="2"/>
          <w:sz w:val="22"/>
          <w:szCs w:val="22"/>
          <w:highlight w:val="none"/>
        </w:rPr>
        <w:t>法定代表人：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，单位地址：</w:t>
      </w:r>
      <w:r>
        <w:rPr>
          <w:rFonts w:hint="eastAsia" w:ascii="宋体" w:hAnsi="宋体" w:eastAsia="宋体" w:cs="宋体"/>
          <w:b w:val="0"/>
          <w:bCs w:val="0"/>
          <w:color w:val="auto"/>
          <w:kern w:val="2"/>
          <w:sz w:val="22"/>
          <w:szCs w:val="22"/>
          <w:highlight w:val="none"/>
          <w:u w:val="single"/>
        </w:rPr>
        <w:t xml:space="preserve">                                      </w:t>
      </w:r>
    </w:p>
    <w:p w14:paraId="62E127BE">
      <w:pPr>
        <w:pageBreakBefore w:val="0"/>
        <w:tabs>
          <w:tab w:val="left" w:pos="510"/>
        </w:tabs>
        <w:wordWrap/>
        <w:topLinePunct w:val="0"/>
        <w:bidi w:val="0"/>
        <w:snapToGrid w:val="0"/>
        <w:spacing w:beforeAutospacing="0" w:afterAutospacing="0" w:line="240" w:lineRule="auto"/>
        <w:ind w:right="84"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委托代理人：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，本市（县、区）办公地址：</w:t>
      </w:r>
      <w:r>
        <w:rPr>
          <w:rFonts w:hint="eastAsia" w:ascii="宋体" w:hAnsi="宋体" w:eastAsia="宋体" w:cs="宋体"/>
          <w:b w:val="0"/>
          <w:bCs w:val="0"/>
          <w:color w:val="auto"/>
          <w:kern w:val="2"/>
          <w:sz w:val="22"/>
          <w:szCs w:val="22"/>
          <w:highlight w:val="none"/>
          <w:u w:val="single"/>
        </w:rPr>
        <w:t xml:space="preserve">                        </w:t>
      </w:r>
    </w:p>
    <w:p w14:paraId="1656E1A6">
      <w:pPr>
        <w:pageBreakBefore w:val="0"/>
        <w:tabs>
          <w:tab w:val="left" w:pos="510"/>
        </w:tabs>
        <w:wordWrap/>
        <w:topLinePunct w:val="0"/>
        <w:bidi w:val="0"/>
        <w:snapToGrid w:val="0"/>
        <w:spacing w:beforeAutospacing="0" w:afterAutospacing="0" w:line="240" w:lineRule="auto"/>
        <w:ind w:right="84"/>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乙方（劳动者）姓名：</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，居民身份证号码：</w:t>
      </w:r>
      <w:r>
        <w:rPr>
          <w:rFonts w:hint="eastAsia" w:ascii="宋体" w:hAnsi="宋体" w:eastAsia="宋体" w:cs="宋体"/>
          <w:b w:val="0"/>
          <w:bCs w:val="0"/>
          <w:color w:val="auto"/>
          <w:kern w:val="2"/>
          <w:sz w:val="22"/>
          <w:szCs w:val="22"/>
          <w:highlight w:val="none"/>
          <w:u w:val="single"/>
        </w:rPr>
        <w:t xml:space="preserve">                           </w:t>
      </w:r>
    </w:p>
    <w:p w14:paraId="19EA3C62">
      <w:pPr>
        <w:pageBreakBefore w:val="0"/>
        <w:tabs>
          <w:tab w:val="left" w:pos="510"/>
        </w:tabs>
        <w:wordWrap/>
        <w:topLinePunct w:val="0"/>
        <w:bidi w:val="0"/>
        <w:snapToGrid w:val="0"/>
        <w:spacing w:beforeAutospacing="0" w:afterAutospacing="0" w:line="240" w:lineRule="auto"/>
        <w:ind w:right="84"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户籍所在地：</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省（自治区、市）</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市</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县（区）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乡（镇）</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村（街）本市（县、区）住址：</w:t>
      </w:r>
      <w:r>
        <w:rPr>
          <w:rFonts w:hint="eastAsia" w:ascii="宋体" w:hAnsi="宋体" w:eastAsia="宋体" w:cs="宋体"/>
          <w:b w:val="0"/>
          <w:bCs w:val="0"/>
          <w:color w:val="auto"/>
          <w:kern w:val="2"/>
          <w:sz w:val="22"/>
          <w:szCs w:val="22"/>
          <w:highlight w:val="none"/>
          <w:u w:val="single"/>
        </w:rPr>
        <w:t xml:space="preserve">                                                  </w:t>
      </w:r>
    </w:p>
    <w:p w14:paraId="16A495C1">
      <w:pPr>
        <w:pageBreakBefore w:val="0"/>
        <w:wordWrap/>
        <w:topLinePunct w:val="0"/>
        <w:bidi w:val="0"/>
        <w:adjustRightInd w:val="0"/>
        <w:snapToGrid w:val="0"/>
        <w:spacing w:beforeAutospacing="0" w:afterAutospacing="0" w:line="240" w:lineRule="auto"/>
        <w:ind w:firstLine="416" w:firstLineChars="200"/>
        <w:rPr>
          <w:rFonts w:hint="eastAsia" w:ascii="宋体" w:hAnsi="宋体" w:eastAsia="宋体" w:cs="宋体"/>
          <w:b w:val="0"/>
          <w:bCs w:val="0"/>
          <w:color w:val="auto"/>
          <w:spacing w:val="-6"/>
          <w:kern w:val="2"/>
          <w:sz w:val="22"/>
          <w:szCs w:val="22"/>
          <w:highlight w:val="none"/>
        </w:rPr>
      </w:pPr>
      <w:r>
        <w:rPr>
          <w:rFonts w:hint="eastAsia" w:ascii="宋体" w:hAnsi="宋体" w:eastAsia="宋体" w:cs="宋体"/>
          <w:b w:val="0"/>
          <w:bCs w:val="0"/>
          <w:color w:val="auto"/>
          <w:spacing w:val="-6"/>
          <w:kern w:val="2"/>
          <w:sz w:val="22"/>
          <w:szCs w:val="22"/>
          <w:highlight w:val="none"/>
        </w:rPr>
        <w:t>根据《中华人民共和国劳动法》、《浙江省劳动合同办法》等有关规定，甲乙双方在平等自愿的基础上，经协商一致订立本合同。</w:t>
      </w:r>
    </w:p>
    <w:p w14:paraId="79F1C6CA">
      <w:pPr>
        <w:pageBreakBefore w:val="0"/>
        <w:tabs>
          <w:tab w:val="left" w:pos="510"/>
        </w:tabs>
        <w:wordWrap/>
        <w:topLinePunct w:val="0"/>
        <w:bidi w:val="0"/>
        <w:adjustRightInd w:val="0"/>
        <w:snapToGrid w:val="0"/>
        <w:spacing w:beforeAutospacing="0" w:afterAutospacing="0" w:line="240" w:lineRule="auto"/>
        <w:ind w:right="84" w:firstLine="48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一、合同期限</w:t>
      </w:r>
    </w:p>
    <w:p w14:paraId="0118F0B0">
      <w:pPr>
        <w:pageBreakBefore w:val="0"/>
        <w:tabs>
          <w:tab w:val="left" w:pos="510"/>
        </w:tabs>
        <w:wordWrap/>
        <w:topLinePunct w:val="0"/>
        <w:bidi w:val="0"/>
        <w:adjustRightInd w:val="0"/>
        <w:snapToGrid w:val="0"/>
        <w:spacing w:beforeAutospacing="0" w:afterAutospacing="0" w:line="240" w:lineRule="auto"/>
        <w:ind w:right="84" w:firstLine="482"/>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第一条</w:t>
      </w:r>
      <w:r>
        <w:rPr>
          <w:rFonts w:hint="eastAsia" w:ascii="宋体" w:hAnsi="宋体" w:eastAsia="宋体" w:cs="宋体"/>
          <w:b w:val="0"/>
          <w:bCs w:val="0"/>
          <w:color w:val="auto"/>
          <w:kern w:val="2"/>
          <w:sz w:val="22"/>
          <w:szCs w:val="22"/>
          <w:highlight w:val="none"/>
        </w:rPr>
        <w:t xml:space="preserve"> 本合同期限为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（从下列A、B中选择）：</w:t>
      </w:r>
    </w:p>
    <w:p w14:paraId="50E1C9B2">
      <w:pPr>
        <w:pageBreakBefore w:val="0"/>
        <w:tabs>
          <w:tab w:val="left" w:pos="-105"/>
        </w:tabs>
        <w:wordWrap/>
        <w:topLinePunct w:val="0"/>
        <w:bidi w:val="0"/>
        <w:adjustRightInd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A．有固定期限的劳动合同。合同期自</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年</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月</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日起，至</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年</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月</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日止；</w:t>
      </w:r>
    </w:p>
    <w:p w14:paraId="269EA439">
      <w:pPr>
        <w:pageBreakBefore w:val="0"/>
        <w:tabs>
          <w:tab w:val="left" w:pos="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u w:val="single"/>
        </w:rPr>
      </w:pPr>
      <w:r>
        <w:rPr>
          <w:rFonts w:hint="eastAsia" w:ascii="宋体" w:hAnsi="宋体" w:eastAsia="宋体" w:cs="宋体"/>
          <w:b w:val="0"/>
          <w:bCs w:val="0"/>
          <w:color w:val="auto"/>
          <w:kern w:val="2"/>
          <w:sz w:val="22"/>
          <w:szCs w:val="22"/>
          <w:highlight w:val="none"/>
        </w:rPr>
        <w:t>B．以完成一定的工作为期限的劳动合同。双方的具体约定为：</w:t>
      </w:r>
      <w:r>
        <w:rPr>
          <w:rFonts w:hint="eastAsia" w:ascii="宋体" w:hAnsi="宋体" w:eastAsia="宋体" w:cs="宋体"/>
          <w:b w:val="0"/>
          <w:bCs w:val="0"/>
          <w:color w:val="auto"/>
          <w:kern w:val="2"/>
          <w:sz w:val="22"/>
          <w:szCs w:val="22"/>
          <w:highlight w:val="none"/>
          <w:u w:val="single"/>
        </w:rPr>
        <w:t xml:space="preserve">                 </w:t>
      </w:r>
    </w:p>
    <w:p w14:paraId="18FB4358">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A．无试用期；</w:t>
      </w:r>
    </w:p>
    <w:p w14:paraId="67D0EC6D">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B．试用期自</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年</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月</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日起，至</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年</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月</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日止。</w:t>
      </w:r>
    </w:p>
    <w:p w14:paraId="21BE4060">
      <w:pPr>
        <w:pageBreakBefore w:val="0"/>
        <w:tabs>
          <w:tab w:val="left" w:pos="510"/>
        </w:tabs>
        <w:wordWrap/>
        <w:topLinePunct w:val="0"/>
        <w:bidi w:val="0"/>
        <w:adjustRightInd w:val="0"/>
        <w:snapToGrid w:val="0"/>
        <w:spacing w:beforeAutospacing="0" w:afterAutospacing="0" w:line="240" w:lineRule="auto"/>
        <w:ind w:right="84" w:firstLine="48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二、劳动岗位和工作内容</w:t>
      </w:r>
    </w:p>
    <w:p w14:paraId="31189BFC">
      <w:pPr>
        <w:pageBreakBefore w:val="0"/>
        <w:tabs>
          <w:tab w:val="left" w:pos="510"/>
        </w:tabs>
        <w:wordWrap/>
        <w:topLinePunct w:val="0"/>
        <w:bidi w:val="0"/>
        <w:adjustRightInd w:val="0"/>
        <w:snapToGrid w:val="0"/>
        <w:spacing w:beforeAutospacing="0" w:afterAutospacing="0" w:line="240" w:lineRule="auto"/>
        <w:ind w:right="84" w:firstLine="482"/>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第三条</w:t>
      </w:r>
      <w:r>
        <w:rPr>
          <w:rFonts w:hint="eastAsia" w:ascii="宋体" w:hAnsi="宋体" w:eastAsia="宋体" w:cs="宋体"/>
          <w:b w:val="0"/>
          <w:bCs w:val="0"/>
          <w:color w:val="auto"/>
          <w:kern w:val="2"/>
          <w:sz w:val="22"/>
          <w:szCs w:val="22"/>
          <w:highlight w:val="none"/>
        </w:rPr>
        <w:t xml:space="preserve">  甲方安排乙方从事</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工种（岗位）。根据生产经营的需要，在乙方能够胜任的前提下，甲方可以合理变更乙方的工作岗位和任务。乙方应完成甲方合理分配的生产任务。</w:t>
      </w:r>
    </w:p>
    <w:p w14:paraId="53BEFA66">
      <w:pPr>
        <w:pageBreakBefore w:val="0"/>
        <w:tabs>
          <w:tab w:val="left" w:pos="510"/>
        </w:tabs>
        <w:wordWrap/>
        <w:topLinePunct w:val="0"/>
        <w:bidi w:val="0"/>
        <w:adjustRightInd w:val="0"/>
        <w:snapToGrid w:val="0"/>
        <w:spacing w:beforeAutospacing="0" w:afterAutospacing="0" w:line="240" w:lineRule="auto"/>
        <w:ind w:right="84" w:firstLine="48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三、劳动报酬</w:t>
      </w:r>
    </w:p>
    <w:p w14:paraId="26BA27D5">
      <w:pPr>
        <w:pageBreakBefore w:val="0"/>
        <w:tabs>
          <w:tab w:val="left" w:pos="510"/>
        </w:tabs>
        <w:wordWrap/>
        <w:topLinePunct w:val="0"/>
        <w:bidi w:val="0"/>
        <w:adjustRightInd w:val="0"/>
        <w:snapToGrid w:val="0"/>
        <w:spacing w:beforeAutospacing="0" w:afterAutospacing="0" w:line="240" w:lineRule="auto"/>
        <w:ind w:right="84" w:firstLine="482"/>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 xml:space="preserve">第四条 </w:t>
      </w:r>
      <w:r>
        <w:rPr>
          <w:rFonts w:hint="eastAsia" w:ascii="宋体" w:hAnsi="宋体" w:eastAsia="宋体" w:cs="宋体"/>
          <w:b w:val="0"/>
          <w:bCs w:val="0"/>
          <w:color w:val="auto"/>
          <w:kern w:val="2"/>
          <w:sz w:val="22"/>
          <w:szCs w:val="22"/>
          <w:highlight w:val="none"/>
        </w:rPr>
        <w:t xml:space="preserve"> 甲方根据国家有关规定和乙方工作岗位，确定乙方工资标准为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（从下列A、B、C中选择；无论采用何种标准，每月工资总额均不得低于项目所在地政府规定的最低工资标准）：</w:t>
      </w:r>
    </w:p>
    <w:p w14:paraId="24FE73D4">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A．按月工资标准计算劳动报酬，每月工资为</w:t>
      </w:r>
      <w:r>
        <w:rPr>
          <w:rFonts w:hint="eastAsia" w:ascii="宋体" w:hAnsi="宋体" w:eastAsia="宋体" w:cs="宋体"/>
          <w:b w:val="0"/>
          <w:bCs w:val="0"/>
          <w:i/>
          <w:color w:val="auto"/>
          <w:kern w:val="2"/>
          <w:sz w:val="22"/>
          <w:szCs w:val="22"/>
          <w:highlight w:val="none"/>
        </w:rPr>
        <w:t>¥</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元（人民币大写：</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w:t>
      </w:r>
    </w:p>
    <w:p w14:paraId="19950199">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B．按工日工资标准（1工日＝8小时）、根据乙方实际工作时间计算劳动报酬，每工日工资为</w:t>
      </w:r>
      <w:r>
        <w:rPr>
          <w:rFonts w:hint="eastAsia" w:ascii="宋体" w:hAnsi="宋体" w:eastAsia="宋体" w:cs="宋体"/>
          <w:b w:val="0"/>
          <w:bCs w:val="0"/>
          <w:i/>
          <w:color w:val="auto"/>
          <w:kern w:val="2"/>
          <w:sz w:val="22"/>
          <w:szCs w:val="22"/>
          <w:highlight w:val="none"/>
        </w:rPr>
        <w:t>¥</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元（人民币大写：</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w:t>
      </w:r>
    </w:p>
    <w:p w14:paraId="4F325BAB">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u w:val="single"/>
        </w:rPr>
      </w:pPr>
      <w:r>
        <w:rPr>
          <w:rFonts w:hint="eastAsia" w:ascii="宋体" w:hAnsi="宋体" w:eastAsia="宋体" w:cs="宋体"/>
          <w:b w:val="0"/>
          <w:bCs w:val="0"/>
          <w:color w:val="auto"/>
          <w:kern w:val="2"/>
          <w:sz w:val="22"/>
          <w:szCs w:val="22"/>
          <w:highlight w:val="none"/>
        </w:rPr>
        <w:t>C．根据乙方完成工作量计算劳动报酬，具体标准为：</w:t>
      </w:r>
      <w:r>
        <w:rPr>
          <w:rFonts w:hint="eastAsia" w:ascii="宋体" w:hAnsi="宋体" w:eastAsia="宋体" w:cs="宋体"/>
          <w:b w:val="0"/>
          <w:bCs w:val="0"/>
          <w:color w:val="auto"/>
          <w:kern w:val="2"/>
          <w:sz w:val="22"/>
          <w:szCs w:val="22"/>
          <w:highlight w:val="none"/>
          <w:u w:val="single"/>
        </w:rPr>
        <w:t xml:space="preserve">                                                              </w:t>
      </w:r>
    </w:p>
    <w:p w14:paraId="024D696F">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 xml:space="preserve">第五条 </w:t>
      </w:r>
      <w:r>
        <w:rPr>
          <w:rFonts w:hint="eastAsia" w:ascii="宋体" w:hAnsi="宋体" w:eastAsia="宋体" w:cs="宋体"/>
          <w:b w:val="0"/>
          <w:bCs w:val="0"/>
          <w:color w:val="auto"/>
          <w:kern w:val="2"/>
          <w:sz w:val="22"/>
          <w:szCs w:val="22"/>
          <w:highlight w:val="none"/>
        </w:rPr>
        <w:t xml:space="preserve"> 甲方应按本合同附件样式制作记工考勤卡，交乙方保管，作为计算工资的原始凭证。甲方应指定专人作为记工员，对乙方每天工作内容、工作时间（工作量）等在记工考勤卡上予以记录；甲方项目部应当每月对记工考勤卡上的记录进行审核、确认。</w:t>
      </w:r>
    </w:p>
    <w:p w14:paraId="7B032639">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第六条</w:t>
      </w:r>
      <w:r>
        <w:rPr>
          <w:rFonts w:hint="eastAsia" w:ascii="宋体" w:hAnsi="宋体" w:eastAsia="宋体" w:cs="宋体"/>
          <w:b w:val="0"/>
          <w:bCs w:val="0"/>
          <w:color w:val="auto"/>
          <w:kern w:val="2"/>
          <w:sz w:val="22"/>
          <w:szCs w:val="22"/>
          <w:highlight w:val="none"/>
        </w:rPr>
        <w:t xml:space="preserve">  对于乙方非因本人原因而全天不能工作的，甲方按每天</w:t>
      </w:r>
      <w:r>
        <w:rPr>
          <w:rFonts w:hint="eastAsia" w:ascii="宋体" w:hAnsi="宋体" w:eastAsia="宋体" w:cs="宋体"/>
          <w:b w:val="0"/>
          <w:bCs w:val="0"/>
          <w:i/>
          <w:color w:val="auto"/>
          <w:kern w:val="2"/>
          <w:sz w:val="22"/>
          <w:szCs w:val="22"/>
          <w:highlight w:val="none"/>
        </w:rPr>
        <w:t>¥</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元（人民币大写：</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）的标准计算误工费，列入当月工资支付给乙方。</w:t>
      </w:r>
    </w:p>
    <w:p w14:paraId="4F05E169">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第七条</w:t>
      </w:r>
      <w:r>
        <w:rPr>
          <w:rFonts w:hint="eastAsia" w:ascii="宋体" w:hAnsi="宋体" w:eastAsia="宋体" w:cs="宋体"/>
          <w:b w:val="0"/>
          <w:bCs w:val="0"/>
          <w:color w:val="auto"/>
          <w:kern w:val="2"/>
          <w:sz w:val="22"/>
          <w:szCs w:val="22"/>
          <w:highlight w:val="none"/>
        </w:rPr>
        <w:t xml:space="preserve">  工资按月支付，具体支付、结算方式为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（从下列A、B中选择；无论采用何种支付、结算方式，每月支付额均不得低于项目所在地政府规定的最低工资标准）：</w:t>
      </w:r>
    </w:p>
    <w:p w14:paraId="715BE56D">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A．每月</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日前结算付清上月工资；</w:t>
      </w:r>
    </w:p>
    <w:p w14:paraId="5CE73D85">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u w:val="single"/>
        </w:rPr>
      </w:pPr>
      <w:r>
        <w:rPr>
          <w:rFonts w:hint="eastAsia" w:ascii="宋体" w:hAnsi="宋体" w:eastAsia="宋体" w:cs="宋体"/>
          <w:b w:val="0"/>
          <w:bCs w:val="0"/>
          <w:color w:val="auto"/>
          <w:kern w:val="2"/>
          <w:sz w:val="22"/>
          <w:szCs w:val="22"/>
          <w:highlight w:val="none"/>
        </w:rPr>
        <w:t>B．每月</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日前支付</w:t>
      </w:r>
      <w:r>
        <w:rPr>
          <w:rFonts w:hint="eastAsia" w:ascii="宋体" w:hAnsi="宋体" w:eastAsia="宋体" w:cs="宋体"/>
          <w:b w:val="0"/>
          <w:bCs w:val="0"/>
          <w:i/>
          <w:color w:val="auto"/>
          <w:kern w:val="2"/>
          <w:sz w:val="22"/>
          <w:szCs w:val="22"/>
          <w:highlight w:val="none"/>
        </w:rPr>
        <w:t>¥</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元（人民币大写：</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），余款按如下约定结算支付：</w:t>
      </w:r>
      <w:r>
        <w:rPr>
          <w:rFonts w:hint="eastAsia" w:ascii="宋体" w:hAnsi="宋体" w:eastAsia="宋体" w:cs="宋体"/>
          <w:b w:val="0"/>
          <w:bCs w:val="0"/>
          <w:color w:val="auto"/>
          <w:kern w:val="2"/>
          <w:sz w:val="22"/>
          <w:szCs w:val="22"/>
          <w:highlight w:val="none"/>
          <w:u w:val="single"/>
        </w:rPr>
        <w:t xml:space="preserve">                                                        </w:t>
      </w:r>
    </w:p>
    <w:p w14:paraId="56030010">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 xml:space="preserve">第八条 </w:t>
      </w:r>
      <w:r>
        <w:rPr>
          <w:rFonts w:hint="eastAsia" w:ascii="宋体" w:hAnsi="宋体" w:eastAsia="宋体" w:cs="宋体"/>
          <w:b w:val="0"/>
          <w:bCs w:val="0"/>
          <w:color w:val="auto"/>
          <w:kern w:val="2"/>
          <w:sz w:val="22"/>
          <w:szCs w:val="22"/>
          <w:highlight w:val="none"/>
        </w:rPr>
        <w:t xml:space="preserve"> 工资发放方式为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（从下列A、B中选择）：</w:t>
      </w:r>
    </w:p>
    <w:p w14:paraId="1C81061F">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A．银行代发：甲方为乙方在银行开立工资结算账户，工资发放均通过此账户进行；</w:t>
      </w:r>
    </w:p>
    <w:p w14:paraId="3B1F779E">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B．现金发放：甲方直接向乙方发放现金，乙方本人凭身份证原件领取并签名确认。</w:t>
      </w:r>
    </w:p>
    <w:p w14:paraId="5D5AC0EB">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四、工作时间</w:t>
      </w:r>
    </w:p>
    <w:p w14:paraId="0E934353">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 xml:space="preserve">第九条 </w:t>
      </w:r>
      <w:r>
        <w:rPr>
          <w:rFonts w:hint="eastAsia" w:ascii="宋体" w:hAnsi="宋体" w:eastAsia="宋体" w:cs="宋体"/>
          <w:b w:val="0"/>
          <w:bCs w:val="0"/>
          <w:color w:val="auto"/>
          <w:kern w:val="2"/>
          <w:sz w:val="22"/>
          <w:szCs w:val="22"/>
          <w:highlight w:val="none"/>
        </w:rPr>
        <w:t xml:space="preserve"> 工作时间为</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（从下列A、B中选择）：</w:t>
      </w:r>
    </w:p>
    <w:p w14:paraId="7FE21DE2">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A．实行标准工时制。乙方每天工作8小时，每周工作40小时，休息2天。</w:t>
      </w:r>
    </w:p>
    <w:p w14:paraId="06024381">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B．甲方根据企业生产特点实行不定时工作制或综合计算工时工作制等其它工作和休息办法，并报劳动部门备案。甲方应按照国家法律、法规和我省有关规定，合理安排乙方的工作和休息时间。</w:t>
      </w:r>
    </w:p>
    <w:p w14:paraId="7CBC7D0C">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五、社会保险和福利待遇</w:t>
      </w:r>
    </w:p>
    <w:p w14:paraId="299CC726">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Cs w:val="0"/>
          <w:color w:val="auto"/>
          <w:kern w:val="2"/>
          <w:sz w:val="22"/>
          <w:szCs w:val="22"/>
          <w:highlight w:val="none"/>
          <w:u w:val="single"/>
        </w:rPr>
      </w:pPr>
      <w:r>
        <w:rPr>
          <w:rFonts w:hint="eastAsia" w:ascii="宋体" w:hAnsi="宋体" w:eastAsia="宋体" w:cs="宋体"/>
          <w:bCs w:val="0"/>
          <w:color w:val="auto"/>
          <w:kern w:val="2"/>
          <w:sz w:val="22"/>
          <w:szCs w:val="22"/>
          <w:highlight w:val="none"/>
        </w:rPr>
        <w:t xml:space="preserve">第十条  </w:t>
      </w:r>
      <w:r>
        <w:rPr>
          <w:rFonts w:hint="eastAsia" w:ascii="宋体" w:hAnsi="宋体" w:eastAsia="宋体" w:cs="宋体"/>
          <w:b w:val="0"/>
          <w:bCs w:val="0"/>
          <w:color w:val="auto"/>
          <w:kern w:val="2"/>
          <w:sz w:val="22"/>
          <w:szCs w:val="22"/>
          <w:highlight w:val="none"/>
        </w:rPr>
        <w:t>甲方依法参加工伤社会保险，按规定缴纳工伤保险费。其它保险和福利待遇按国家和我省有关规定以及双方约定执行，具体如下：</w:t>
      </w:r>
      <w:r>
        <w:rPr>
          <w:rFonts w:hint="eastAsia" w:ascii="宋体" w:hAnsi="宋体" w:eastAsia="宋体" w:cs="宋体"/>
          <w:b w:val="0"/>
          <w:bCs w:val="0"/>
          <w:color w:val="auto"/>
          <w:kern w:val="2"/>
          <w:sz w:val="22"/>
          <w:szCs w:val="22"/>
          <w:highlight w:val="none"/>
          <w:u w:val="single"/>
        </w:rPr>
        <w:t xml:space="preserve">                                                                    </w:t>
      </w:r>
    </w:p>
    <w:p w14:paraId="558BD104">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六、劳动保护</w:t>
      </w:r>
    </w:p>
    <w:p w14:paraId="348AB5AA">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 xml:space="preserve">第十一条  </w:t>
      </w:r>
      <w:r>
        <w:rPr>
          <w:rFonts w:hint="eastAsia" w:ascii="宋体" w:hAnsi="宋体" w:eastAsia="宋体" w:cs="宋体"/>
          <w:b w:val="0"/>
          <w:bCs w:val="0"/>
          <w:color w:val="auto"/>
          <w:kern w:val="2"/>
          <w:sz w:val="22"/>
          <w:szCs w:val="22"/>
          <w:highlight w:val="none"/>
        </w:rPr>
        <w:t>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14:paraId="712DFA70">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第十二条</w:t>
      </w:r>
      <w:r>
        <w:rPr>
          <w:rFonts w:hint="eastAsia" w:ascii="宋体" w:hAnsi="宋体" w:eastAsia="宋体" w:cs="宋体"/>
          <w:b w:val="0"/>
          <w:bCs w:val="0"/>
          <w:color w:val="auto"/>
          <w:kern w:val="2"/>
          <w:sz w:val="22"/>
          <w:szCs w:val="22"/>
          <w:highlight w:val="none"/>
        </w:rPr>
        <w:t xml:space="preserve">  甲方应对乙方进行上岗前安全生产教育。乙方从事特种作业的必须经过专门培训并取得特种作业资格后持证上岗。</w:t>
      </w:r>
    </w:p>
    <w:p w14:paraId="74E26BCD">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第十三条</w:t>
      </w:r>
      <w:r>
        <w:rPr>
          <w:rFonts w:hint="eastAsia" w:ascii="宋体" w:hAnsi="宋体" w:eastAsia="宋体" w:cs="宋体"/>
          <w:b w:val="0"/>
          <w:bCs w:val="0"/>
          <w:color w:val="auto"/>
          <w:kern w:val="2"/>
          <w:sz w:val="22"/>
          <w:szCs w:val="22"/>
          <w:highlight w:val="none"/>
        </w:rPr>
        <w:t xml:space="preserve">  甲方为乙方提供的宿舍、食堂、饮用水、洗浴、公厕等基本生活条件应达到安全、卫生要求。</w:t>
      </w:r>
    </w:p>
    <w:p w14:paraId="243F0CED">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第十四条</w:t>
      </w:r>
      <w:r>
        <w:rPr>
          <w:rFonts w:hint="eastAsia" w:ascii="宋体" w:hAnsi="宋体" w:eastAsia="宋体" w:cs="宋体"/>
          <w:b w:val="0"/>
          <w:bCs w:val="0"/>
          <w:color w:val="auto"/>
          <w:kern w:val="2"/>
          <w:sz w:val="22"/>
          <w:szCs w:val="22"/>
          <w:highlight w:val="none"/>
        </w:rPr>
        <w:t xml:space="preserve">  乙方在劳动过程中应严格遵守安全生产、文明施工等制度和各项操作规程，有权拒绝违章指挥和冒险作业，对甲方管理人员漠视职工安全和健康的行为有权进行检举和控告。</w:t>
      </w:r>
    </w:p>
    <w:p w14:paraId="3993D237">
      <w:pPr>
        <w:pageBreakBefore w:val="0"/>
        <w:wordWrap/>
        <w:topLinePunct w:val="0"/>
        <w:bidi w:val="0"/>
        <w:snapToGrid w:val="0"/>
        <w:spacing w:beforeAutospacing="0" w:afterAutospacing="0" w:line="240" w:lineRule="auto"/>
        <w:ind w:firstLine="440" w:firstLineChars="200"/>
        <w:rPr>
          <w:rFonts w:hint="eastAsia" w:ascii="宋体" w:hAnsi="宋体" w:eastAsia="宋体" w:cs="宋体"/>
          <w:bCs w:val="0"/>
          <w:color w:val="auto"/>
          <w:kern w:val="2"/>
          <w:sz w:val="22"/>
          <w:szCs w:val="22"/>
          <w:highlight w:val="none"/>
        </w:rPr>
      </w:pPr>
      <w:r>
        <w:rPr>
          <w:rFonts w:hint="eastAsia" w:ascii="宋体" w:hAnsi="宋体" w:eastAsia="宋体" w:cs="宋体"/>
          <w:b w:val="0"/>
          <w:bCs w:val="0"/>
          <w:color w:val="auto"/>
          <w:kern w:val="2"/>
          <w:sz w:val="22"/>
          <w:szCs w:val="22"/>
          <w:highlight w:val="none"/>
        </w:rPr>
        <w:t>七、劳动纪律</w:t>
      </w:r>
    </w:p>
    <w:p w14:paraId="286C4CDE">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第十五条</w:t>
      </w:r>
      <w:r>
        <w:rPr>
          <w:rFonts w:hint="eastAsia" w:ascii="宋体" w:hAnsi="宋体" w:eastAsia="宋体" w:cs="宋体"/>
          <w:b w:val="0"/>
          <w:bCs w:val="0"/>
          <w:color w:val="auto"/>
          <w:kern w:val="2"/>
          <w:sz w:val="22"/>
          <w:szCs w:val="22"/>
          <w:highlight w:val="none"/>
        </w:rPr>
        <w:t xml:space="preserve">  甲方可以依法制定企业规章制度和劳动纪律对乙方实行管理，已经制定的规章制度和劳动纪律应当及时告知乙方。乙方应严格遵守甲方依法制定的各项规章制度和劳动纪律。</w:t>
      </w:r>
    </w:p>
    <w:p w14:paraId="0C221F3C">
      <w:pPr>
        <w:pageBreakBefore w:val="0"/>
        <w:wordWrap/>
        <w:topLinePunct w:val="0"/>
        <w:bidi w:val="0"/>
        <w:snapToGrid w:val="0"/>
        <w:spacing w:beforeAutospacing="0" w:afterAutospacing="0" w:line="240" w:lineRule="auto"/>
        <w:ind w:firstLine="440" w:firstLineChars="200"/>
        <w:rPr>
          <w:rFonts w:hint="eastAsia" w:ascii="宋体" w:hAnsi="宋体" w:eastAsia="宋体" w:cs="宋体"/>
          <w:bCs w:val="0"/>
          <w:color w:val="auto"/>
          <w:kern w:val="2"/>
          <w:sz w:val="22"/>
          <w:szCs w:val="22"/>
          <w:highlight w:val="none"/>
        </w:rPr>
      </w:pPr>
      <w:r>
        <w:rPr>
          <w:rFonts w:hint="eastAsia" w:ascii="宋体" w:hAnsi="宋体" w:eastAsia="宋体" w:cs="宋体"/>
          <w:b w:val="0"/>
          <w:bCs w:val="0"/>
          <w:color w:val="auto"/>
          <w:kern w:val="2"/>
          <w:sz w:val="22"/>
          <w:szCs w:val="22"/>
          <w:highlight w:val="none"/>
        </w:rPr>
        <w:t>八、本合同的解除、变更、终止</w:t>
      </w:r>
    </w:p>
    <w:p w14:paraId="26836EBD">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第十六条</w:t>
      </w:r>
      <w:r>
        <w:rPr>
          <w:rFonts w:hint="eastAsia" w:ascii="宋体" w:hAnsi="宋体" w:eastAsia="宋体" w:cs="宋体"/>
          <w:b w:val="0"/>
          <w:bCs w:val="0"/>
          <w:color w:val="auto"/>
          <w:kern w:val="2"/>
          <w:sz w:val="22"/>
          <w:szCs w:val="22"/>
          <w:highlight w:val="none"/>
        </w:rPr>
        <w:t xml:space="preserve">  经甲乙双方协商一致，本合同可以变更或解除。</w:t>
      </w:r>
    </w:p>
    <w:p w14:paraId="6826BD00">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 xml:space="preserve">第十七条 </w:t>
      </w:r>
      <w:r>
        <w:rPr>
          <w:rFonts w:hint="eastAsia" w:ascii="宋体" w:hAnsi="宋体" w:eastAsia="宋体" w:cs="宋体"/>
          <w:b w:val="0"/>
          <w:bCs w:val="0"/>
          <w:color w:val="auto"/>
          <w:kern w:val="2"/>
          <w:sz w:val="22"/>
          <w:szCs w:val="22"/>
          <w:highlight w:val="none"/>
        </w:rPr>
        <w:t xml:space="preserve"> 有下列情况之一的，甲方可以随时解除本合同：</w:t>
      </w:r>
    </w:p>
    <w:p w14:paraId="24669C83">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1．乙方在试用期间被证明不符合招用条件的；</w:t>
      </w:r>
    </w:p>
    <w:p w14:paraId="2E9BF968">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2．乙方提供虚假身份证、资格证、上岗证、劳动关系状况证明的；</w:t>
      </w:r>
    </w:p>
    <w:p w14:paraId="4BA0278C">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3．乙方严重违反甲方劳动纪律或规章制度的；</w:t>
      </w:r>
    </w:p>
    <w:p w14:paraId="007226C5">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4．乙方有偷窃、打架斗殴、赌博等行为，经教育仍不悔改的；</w:t>
      </w:r>
    </w:p>
    <w:p w14:paraId="714B2A24">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5．乙方严重失职、营私舞弊，给甲方利益造成重大损害的；</w:t>
      </w:r>
    </w:p>
    <w:p w14:paraId="2EBF6167">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6．乙方被依法追究刑事责任的。</w:t>
      </w:r>
    </w:p>
    <w:p w14:paraId="1E8B90F8">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 xml:space="preserve">第十八条  </w:t>
      </w:r>
      <w:r>
        <w:rPr>
          <w:rFonts w:hint="eastAsia" w:ascii="宋体" w:hAnsi="宋体" w:eastAsia="宋体" w:cs="宋体"/>
          <w:b w:val="0"/>
          <w:bCs w:val="0"/>
          <w:color w:val="auto"/>
          <w:kern w:val="2"/>
          <w:sz w:val="22"/>
          <w:szCs w:val="22"/>
          <w:highlight w:val="none"/>
        </w:rPr>
        <w:t>有下列情况之一的，乙方可以随时通知甲方解除本合同：</w:t>
      </w:r>
    </w:p>
    <w:p w14:paraId="391C36A2">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1．在试用期内的；</w:t>
      </w:r>
    </w:p>
    <w:p w14:paraId="491B29AF">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2．甲方以暴力、威胁或者非法限制人身自由的手段强迫劳动的；</w:t>
      </w:r>
    </w:p>
    <w:p w14:paraId="5B44C8E6">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3．甲方不能按照劳动合同约定支付劳动报酬的；</w:t>
      </w:r>
    </w:p>
    <w:p w14:paraId="208307AB">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4．甲方不能按照国家规定和本合同约定确保劳动条件的。</w:t>
      </w:r>
    </w:p>
    <w:p w14:paraId="6F373301">
      <w:pPr>
        <w:pageBreakBefore w:val="0"/>
        <w:wordWrap/>
        <w:topLinePunct w:val="0"/>
        <w:bidi w:val="0"/>
        <w:adjustRightInd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第十九条</w:t>
      </w:r>
      <w:r>
        <w:rPr>
          <w:rFonts w:hint="eastAsia" w:ascii="宋体" w:hAnsi="宋体" w:eastAsia="宋体" w:cs="宋体"/>
          <w:b w:val="0"/>
          <w:bCs w:val="0"/>
          <w:color w:val="auto"/>
          <w:kern w:val="2"/>
          <w:sz w:val="22"/>
          <w:szCs w:val="22"/>
          <w:highlight w:val="none"/>
        </w:rPr>
        <w:t xml:space="preserve">  有下列情况之一的，劳动合同终止：</w:t>
      </w:r>
    </w:p>
    <w:p w14:paraId="7FCB8983">
      <w:pPr>
        <w:pageBreakBefore w:val="0"/>
        <w:wordWrap/>
        <w:topLinePunct w:val="0"/>
        <w:bidi w:val="0"/>
        <w:adjustRightInd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1．固定期限的劳动合同，合同期满甲乙双方任何一方不再续订的；</w:t>
      </w:r>
    </w:p>
    <w:p w14:paraId="09B93773">
      <w:pPr>
        <w:pageBreakBefore w:val="0"/>
        <w:wordWrap/>
        <w:topLinePunct w:val="0"/>
        <w:bidi w:val="0"/>
        <w:adjustRightInd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2．以完成一定的工作为期限的劳动合同，工作完成的。</w:t>
      </w:r>
    </w:p>
    <w:p w14:paraId="56047F00">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 xml:space="preserve">第二十条 </w:t>
      </w:r>
      <w:r>
        <w:rPr>
          <w:rFonts w:hint="eastAsia" w:ascii="宋体" w:hAnsi="宋体" w:eastAsia="宋体" w:cs="宋体"/>
          <w:b w:val="0"/>
          <w:bCs w:val="0"/>
          <w:color w:val="auto"/>
          <w:kern w:val="2"/>
          <w:sz w:val="22"/>
          <w:szCs w:val="22"/>
          <w:highlight w:val="none"/>
        </w:rPr>
        <w:t xml:space="preserve"> 本合同解除或终止之日起5日内，甲方要与乙方进行工资结算，并一次性付清所有未发放工资。</w:t>
      </w:r>
    </w:p>
    <w:p w14:paraId="4B41CB64">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九、违约责任</w:t>
      </w:r>
    </w:p>
    <w:p w14:paraId="1E2C703C">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第二十一条</w:t>
      </w:r>
      <w:r>
        <w:rPr>
          <w:rFonts w:hint="eastAsia" w:ascii="宋体" w:hAnsi="宋体" w:eastAsia="宋体" w:cs="宋体"/>
          <w:b w:val="0"/>
          <w:bCs w:val="0"/>
          <w:color w:val="auto"/>
          <w:kern w:val="2"/>
          <w:sz w:val="22"/>
          <w:szCs w:val="22"/>
          <w:highlight w:val="none"/>
        </w:rPr>
        <w:t xml:space="preserve">  违约责任规定如下：</w:t>
      </w:r>
    </w:p>
    <w:p w14:paraId="73DC529A">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1．甲方未按本合同规定期限发放工资，且未征得乙方同意的，除须全额补发工资外，还应按每天</w:t>
      </w:r>
      <w:r>
        <w:rPr>
          <w:rFonts w:hint="eastAsia" w:ascii="宋体" w:hAnsi="宋体" w:eastAsia="宋体" w:cs="宋体"/>
          <w:b w:val="0"/>
          <w:bCs w:val="0"/>
          <w:i/>
          <w:color w:val="auto"/>
          <w:kern w:val="2"/>
          <w:sz w:val="22"/>
          <w:szCs w:val="22"/>
          <w:highlight w:val="none"/>
        </w:rPr>
        <w:t>¥</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元（人民币大写：</w:t>
      </w:r>
      <w:r>
        <w:rPr>
          <w:rFonts w:hint="eastAsia" w:ascii="宋体" w:hAnsi="宋体" w:eastAsia="宋体" w:cs="宋体"/>
          <w:b w:val="0"/>
          <w:bCs w:val="0"/>
          <w:color w:val="auto"/>
          <w:kern w:val="2"/>
          <w:sz w:val="22"/>
          <w:szCs w:val="22"/>
          <w:highlight w:val="none"/>
          <w:u w:val="single"/>
        </w:rPr>
        <w:t xml:space="preserve">                        </w:t>
      </w:r>
      <w:r>
        <w:rPr>
          <w:rFonts w:hint="eastAsia" w:ascii="宋体" w:hAnsi="宋体" w:eastAsia="宋体" w:cs="宋体"/>
          <w:b w:val="0"/>
          <w:bCs w:val="0"/>
          <w:color w:val="auto"/>
          <w:kern w:val="2"/>
          <w:sz w:val="22"/>
          <w:szCs w:val="22"/>
          <w:highlight w:val="none"/>
        </w:rPr>
        <w:t>）的标准向乙方支付违约金（自本合同第七条约定的发放期限届满之日起算）。</w:t>
      </w:r>
    </w:p>
    <w:p w14:paraId="4185FFE0">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2．任何一方违反本合同给对方造成损失的，应予赔偿。</w:t>
      </w:r>
    </w:p>
    <w:p w14:paraId="5AD78CFF">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u w:val="single"/>
        </w:rPr>
      </w:pPr>
      <w:r>
        <w:rPr>
          <w:rFonts w:hint="eastAsia" w:ascii="宋体" w:hAnsi="宋体" w:eastAsia="宋体" w:cs="宋体"/>
          <w:b w:val="0"/>
          <w:bCs w:val="0"/>
          <w:color w:val="auto"/>
          <w:kern w:val="2"/>
          <w:sz w:val="22"/>
          <w:szCs w:val="22"/>
          <w:highlight w:val="none"/>
        </w:rPr>
        <w:t>3．其它：</w:t>
      </w:r>
      <w:r>
        <w:rPr>
          <w:rFonts w:hint="eastAsia" w:ascii="宋体" w:hAnsi="宋体" w:eastAsia="宋体" w:cs="宋体"/>
          <w:b w:val="0"/>
          <w:bCs w:val="0"/>
          <w:color w:val="auto"/>
          <w:kern w:val="2"/>
          <w:sz w:val="22"/>
          <w:szCs w:val="22"/>
          <w:highlight w:val="none"/>
          <w:u w:val="single"/>
        </w:rPr>
        <w:t xml:space="preserve">                                                               </w:t>
      </w:r>
    </w:p>
    <w:p w14:paraId="048661F2">
      <w:pPr>
        <w:pageBreakBefore w:val="0"/>
        <w:wordWrap/>
        <w:topLinePunct w:val="0"/>
        <w:bidi w:val="0"/>
        <w:snapToGrid w:val="0"/>
        <w:spacing w:beforeAutospacing="0" w:afterAutospacing="0" w:line="240" w:lineRule="auto"/>
        <w:ind w:firstLine="440" w:firstLineChars="200"/>
        <w:rPr>
          <w:rFonts w:hint="eastAsia" w:ascii="宋体" w:hAnsi="宋体" w:eastAsia="宋体" w:cs="宋体"/>
          <w:bCs w:val="0"/>
          <w:color w:val="auto"/>
          <w:kern w:val="2"/>
          <w:sz w:val="22"/>
          <w:szCs w:val="22"/>
          <w:highlight w:val="none"/>
        </w:rPr>
      </w:pPr>
      <w:r>
        <w:rPr>
          <w:rFonts w:hint="eastAsia" w:ascii="宋体" w:hAnsi="宋体" w:eastAsia="宋体" w:cs="宋体"/>
          <w:b w:val="0"/>
          <w:bCs w:val="0"/>
          <w:color w:val="auto"/>
          <w:kern w:val="2"/>
          <w:sz w:val="22"/>
          <w:szCs w:val="22"/>
          <w:highlight w:val="none"/>
        </w:rPr>
        <w:t>十、双方约定的其它事项</w:t>
      </w:r>
    </w:p>
    <w:p w14:paraId="0D375B90">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u w:val="single"/>
        </w:rPr>
      </w:pPr>
      <w:r>
        <w:rPr>
          <w:rFonts w:hint="eastAsia" w:ascii="宋体" w:hAnsi="宋体" w:eastAsia="宋体" w:cs="宋体"/>
          <w:bCs w:val="0"/>
          <w:color w:val="auto"/>
          <w:kern w:val="2"/>
          <w:sz w:val="22"/>
          <w:szCs w:val="22"/>
          <w:highlight w:val="none"/>
        </w:rPr>
        <w:t>第二十二条</w:t>
      </w:r>
      <w:r>
        <w:rPr>
          <w:rFonts w:hint="eastAsia" w:ascii="宋体" w:hAnsi="宋体" w:eastAsia="宋体" w:cs="宋体"/>
          <w:b w:val="0"/>
          <w:bCs w:val="0"/>
          <w:color w:val="auto"/>
          <w:kern w:val="2"/>
          <w:sz w:val="22"/>
          <w:szCs w:val="22"/>
          <w:highlight w:val="none"/>
        </w:rPr>
        <w:t xml:space="preserve">  双方约定：</w:t>
      </w:r>
      <w:r>
        <w:rPr>
          <w:rFonts w:hint="eastAsia" w:ascii="宋体" w:hAnsi="宋体" w:eastAsia="宋体" w:cs="宋体"/>
          <w:b w:val="0"/>
          <w:bCs w:val="0"/>
          <w:color w:val="auto"/>
          <w:kern w:val="2"/>
          <w:sz w:val="22"/>
          <w:szCs w:val="22"/>
          <w:highlight w:val="none"/>
          <w:u w:val="single"/>
        </w:rPr>
        <w:t xml:space="preserve">                                                          </w:t>
      </w:r>
    </w:p>
    <w:p w14:paraId="366BA34A">
      <w:pPr>
        <w:pageBreakBefore w:val="0"/>
        <w:wordWrap/>
        <w:topLinePunct w:val="0"/>
        <w:bidi w:val="0"/>
        <w:snapToGrid w:val="0"/>
        <w:spacing w:beforeAutospacing="0" w:afterAutospacing="0" w:line="240" w:lineRule="auto"/>
        <w:ind w:firstLine="440" w:firstLineChars="200"/>
        <w:rPr>
          <w:rFonts w:hint="eastAsia" w:ascii="宋体" w:hAnsi="宋体" w:eastAsia="宋体" w:cs="宋体"/>
          <w:bCs w:val="0"/>
          <w:color w:val="auto"/>
          <w:kern w:val="2"/>
          <w:sz w:val="22"/>
          <w:szCs w:val="22"/>
          <w:highlight w:val="none"/>
        </w:rPr>
      </w:pPr>
      <w:r>
        <w:rPr>
          <w:rFonts w:hint="eastAsia" w:ascii="宋体" w:hAnsi="宋体" w:eastAsia="宋体" w:cs="宋体"/>
          <w:b w:val="0"/>
          <w:bCs w:val="0"/>
          <w:color w:val="auto"/>
          <w:kern w:val="2"/>
          <w:sz w:val="22"/>
          <w:szCs w:val="22"/>
          <w:highlight w:val="none"/>
        </w:rPr>
        <w:t>十一、劳动争议处理</w:t>
      </w:r>
    </w:p>
    <w:p w14:paraId="16D40D5D">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第二十三条</w:t>
      </w:r>
      <w:r>
        <w:rPr>
          <w:rFonts w:hint="eastAsia" w:ascii="宋体" w:hAnsi="宋体" w:eastAsia="宋体" w:cs="宋体"/>
          <w:b w:val="0"/>
          <w:bCs w:val="0"/>
          <w:color w:val="auto"/>
          <w:kern w:val="2"/>
          <w:sz w:val="22"/>
          <w:szCs w:val="22"/>
          <w:highlight w:val="none"/>
        </w:rPr>
        <w:t xml:space="preserve"> 甲乙双方因执行本合同发生劳动争议时，可协商解决；协商不成的，任何一方可以在劳动争议发生之日起60日内向项目所在地劳动争议仲裁委员会提出书面仲裁申请。任何一方对仲裁裁决不服的，可以自收到仲裁裁决书之日起15日内向人民法院提起诉讼。</w:t>
      </w:r>
    </w:p>
    <w:p w14:paraId="5427D8C9">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十二、其它事项</w:t>
      </w:r>
    </w:p>
    <w:p w14:paraId="25D54E08">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第二十四条</w:t>
      </w:r>
      <w:r>
        <w:rPr>
          <w:rFonts w:hint="eastAsia" w:ascii="宋体" w:hAnsi="宋体" w:eastAsia="宋体" w:cs="宋体"/>
          <w:b w:val="0"/>
          <w:bCs w:val="0"/>
          <w:color w:val="auto"/>
          <w:kern w:val="2"/>
          <w:sz w:val="22"/>
          <w:szCs w:val="22"/>
          <w:highlight w:val="none"/>
        </w:rPr>
        <w:t xml:space="preserve">  本合同未尽事宜，或与现行法律法规、本省规定有抵触的内容，按法律法规和本省规定执行。</w:t>
      </w:r>
    </w:p>
    <w:p w14:paraId="601078DC">
      <w:pPr>
        <w:pageBreakBefore w:val="0"/>
        <w:tabs>
          <w:tab w:val="left" w:pos="510"/>
        </w:tabs>
        <w:wordWrap/>
        <w:topLinePunct w:val="0"/>
        <w:bidi w:val="0"/>
        <w:adjustRightInd w:val="0"/>
        <w:snapToGrid w:val="0"/>
        <w:spacing w:beforeAutospacing="0" w:afterAutospacing="0" w:line="240" w:lineRule="auto"/>
        <w:ind w:firstLine="440" w:firstLineChars="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Cs w:val="0"/>
          <w:color w:val="auto"/>
          <w:kern w:val="2"/>
          <w:sz w:val="22"/>
          <w:szCs w:val="22"/>
          <w:highlight w:val="none"/>
        </w:rPr>
        <w:t>第二十五条</w:t>
      </w:r>
      <w:r>
        <w:rPr>
          <w:rFonts w:hint="eastAsia" w:ascii="宋体" w:hAnsi="宋体" w:eastAsia="宋体" w:cs="宋体"/>
          <w:b w:val="0"/>
          <w:bCs w:val="0"/>
          <w:color w:val="auto"/>
          <w:kern w:val="2"/>
          <w:sz w:val="22"/>
          <w:szCs w:val="22"/>
          <w:highlight w:val="none"/>
        </w:rPr>
        <w:t xml:space="preserve">  本合同经甲乙双方签字盖章后生效，双方必须严格遵守执行。本合同一式三份，甲乙双方各执一份，一份报劳动部门备案。</w:t>
      </w:r>
    </w:p>
    <w:p w14:paraId="58865E22">
      <w:pPr>
        <w:pageBreakBefore w:val="0"/>
        <w:tabs>
          <w:tab w:val="left" w:pos="510"/>
        </w:tabs>
        <w:wordWrap/>
        <w:topLinePunct w:val="0"/>
        <w:bidi w:val="0"/>
        <w:snapToGrid w:val="0"/>
        <w:spacing w:beforeAutospacing="0" w:afterAutospacing="0" w:line="240" w:lineRule="auto"/>
        <w:ind w:right="84"/>
        <w:jc w:val="left"/>
        <w:rPr>
          <w:rFonts w:hint="eastAsia" w:ascii="宋体" w:hAnsi="宋体" w:eastAsia="宋体" w:cs="宋体"/>
          <w:b w:val="0"/>
          <w:bCs w:val="0"/>
          <w:color w:val="auto"/>
          <w:kern w:val="2"/>
          <w:sz w:val="22"/>
          <w:szCs w:val="22"/>
          <w:highlight w:val="none"/>
        </w:rPr>
      </w:pPr>
    </w:p>
    <w:p w14:paraId="38E55474">
      <w:pPr>
        <w:pageBreakBefore w:val="0"/>
        <w:tabs>
          <w:tab w:val="left" w:pos="510"/>
        </w:tabs>
        <w:wordWrap/>
        <w:topLinePunct w:val="0"/>
        <w:bidi w:val="0"/>
        <w:snapToGrid w:val="0"/>
        <w:spacing w:beforeAutospacing="0" w:afterAutospacing="0" w:line="240" w:lineRule="auto"/>
        <w:ind w:right="84" w:firstLine="48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甲方（盖章）：                             乙方（签字）：</w:t>
      </w:r>
    </w:p>
    <w:p w14:paraId="3CA5805B">
      <w:pPr>
        <w:pageBreakBefore w:val="0"/>
        <w:tabs>
          <w:tab w:val="left" w:pos="510"/>
        </w:tabs>
        <w:wordWrap/>
        <w:topLinePunct w:val="0"/>
        <w:bidi w:val="0"/>
        <w:snapToGrid w:val="0"/>
        <w:spacing w:beforeAutospacing="0" w:afterAutospacing="0" w:line="240" w:lineRule="auto"/>
        <w:ind w:right="84" w:firstLine="48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甲方法定代表人（委托代理人）：</w:t>
      </w:r>
    </w:p>
    <w:p w14:paraId="7B1E427D">
      <w:pPr>
        <w:pageBreakBefore w:val="0"/>
        <w:wordWrap/>
        <w:topLinePunct w:val="0"/>
        <w:bidi w:val="0"/>
        <w:snapToGrid w:val="0"/>
        <w:spacing w:beforeAutospacing="0" w:afterAutospacing="0" w:line="240" w:lineRule="auto"/>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 xml:space="preserve">     （签字或盖章）</w:t>
      </w:r>
    </w:p>
    <w:p w14:paraId="1F25E475">
      <w:pPr>
        <w:pageBreakBefore w:val="0"/>
        <w:tabs>
          <w:tab w:val="left" w:pos="510"/>
        </w:tabs>
        <w:wordWrap/>
        <w:topLinePunct w:val="0"/>
        <w:bidi w:val="0"/>
        <w:snapToGrid w:val="0"/>
        <w:spacing w:beforeAutospacing="0" w:afterAutospacing="0" w:line="240" w:lineRule="auto"/>
        <w:ind w:right="84" w:firstLine="1200"/>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年   月   日                             年   月   日</w:t>
      </w:r>
    </w:p>
    <w:p w14:paraId="3DE6D11A">
      <w:pPr>
        <w:pageBreakBefore w:val="0"/>
        <w:tabs>
          <w:tab w:val="left" w:pos="510"/>
        </w:tabs>
        <w:wordWrap/>
        <w:topLinePunct w:val="0"/>
        <w:bidi w:val="0"/>
        <w:snapToGrid w:val="0"/>
        <w:spacing w:beforeAutospacing="0" w:afterAutospacing="0" w:line="240" w:lineRule="auto"/>
        <w:ind w:right="84" w:firstLine="1200"/>
        <w:jc w:val="left"/>
        <w:rPr>
          <w:rFonts w:hint="eastAsia" w:ascii="宋体" w:hAnsi="宋体" w:eastAsia="宋体" w:cs="宋体"/>
          <w:b w:val="0"/>
          <w:bCs w:val="0"/>
          <w:color w:val="auto"/>
          <w:kern w:val="2"/>
          <w:sz w:val="22"/>
          <w:szCs w:val="22"/>
          <w:highlight w:val="none"/>
        </w:rPr>
      </w:pPr>
    </w:p>
    <w:p w14:paraId="704E870A">
      <w:pPr>
        <w:pageBreakBefore w:val="0"/>
        <w:tabs>
          <w:tab w:val="left" w:pos="510"/>
        </w:tabs>
        <w:wordWrap/>
        <w:topLinePunct w:val="0"/>
        <w:bidi w:val="0"/>
        <w:snapToGrid w:val="0"/>
        <w:spacing w:beforeAutospacing="0" w:afterAutospacing="0" w:line="240" w:lineRule="auto"/>
        <w:ind w:right="84"/>
        <w:jc w:val="center"/>
        <w:rPr>
          <w:rFonts w:hint="eastAsia" w:ascii="宋体" w:hAnsi="宋体" w:eastAsia="宋体" w:cs="宋体"/>
          <w:b w:val="0"/>
          <w:bCs w:val="0"/>
          <w:color w:val="auto"/>
          <w:kern w:val="2"/>
          <w:sz w:val="22"/>
          <w:szCs w:val="22"/>
          <w:highlight w:val="none"/>
        </w:rPr>
      </w:pPr>
    </w:p>
    <w:p w14:paraId="518A4DC9">
      <w:pPr>
        <w:pageBreakBefore w:val="0"/>
        <w:tabs>
          <w:tab w:val="left" w:pos="7395"/>
        </w:tabs>
        <w:wordWrap/>
        <w:topLinePunct w:val="0"/>
        <w:bidi w:val="0"/>
        <w:snapToGrid w:val="0"/>
        <w:spacing w:beforeAutospacing="0" w:afterAutospacing="0" w:line="240" w:lineRule="auto"/>
        <w:rPr>
          <w:rFonts w:hint="eastAsia" w:ascii="宋体" w:hAnsi="宋体" w:eastAsia="宋体" w:cs="宋体"/>
          <w:b w:val="0"/>
          <w:bCs w:val="0"/>
          <w:sz w:val="22"/>
          <w:szCs w:val="22"/>
          <w:highlight w:val="none"/>
        </w:rPr>
      </w:pPr>
    </w:p>
    <w:p w14:paraId="589FEF40">
      <w:pPr>
        <w:pageBreakBefore w:val="0"/>
        <w:tabs>
          <w:tab w:val="left" w:pos="7395"/>
        </w:tabs>
        <w:wordWrap/>
        <w:topLinePunct w:val="0"/>
        <w:bidi w:val="0"/>
        <w:snapToGrid w:val="0"/>
        <w:spacing w:beforeAutospacing="0" w:afterAutospacing="0" w:line="240" w:lineRule="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br w:type="page"/>
      </w:r>
      <w:r>
        <w:rPr>
          <w:rFonts w:hint="eastAsia" w:ascii="宋体" w:hAnsi="宋体" w:eastAsia="宋体" w:cs="宋体"/>
          <w:b w:val="0"/>
          <w:bCs w:val="0"/>
          <w:sz w:val="22"/>
          <w:szCs w:val="22"/>
          <w:highlight w:val="none"/>
        </w:rPr>
        <w:t xml:space="preserve">附件九    </w:t>
      </w:r>
      <w:r>
        <w:rPr>
          <w:rFonts w:hint="eastAsia" w:ascii="宋体" w:hAnsi="宋体" w:cs="宋体"/>
          <w:b w:val="0"/>
          <w:bCs w:val="0"/>
          <w:sz w:val="22"/>
          <w:szCs w:val="22"/>
          <w:highlight w:val="none"/>
          <w:lang w:val="en-US" w:eastAsia="zh-CN"/>
        </w:rPr>
        <w:t xml:space="preserve">      </w:t>
      </w:r>
      <w:r>
        <w:rPr>
          <w:rFonts w:hint="eastAsia" w:ascii="宋体" w:hAnsi="宋体" w:eastAsia="宋体" w:cs="宋体"/>
          <w:b w:val="0"/>
          <w:bCs w:val="0"/>
          <w:sz w:val="22"/>
          <w:szCs w:val="22"/>
          <w:highlight w:val="none"/>
        </w:rPr>
        <w:t xml:space="preserve"> </w:t>
      </w:r>
      <w:r>
        <w:rPr>
          <w:rFonts w:hint="eastAsia" w:ascii="宋体" w:hAnsi="宋体" w:cs="宋体"/>
          <w:b w:val="0"/>
          <w:bCs w:val="0"/>
          <w:sz w:val="22"/>
          <w:szCs w:val="22"/>
          <w:highlight w:val="none"/>
          <w:lang w:eastAsia="zh-CN"/>
        </w:rPr>
        <w:t xml:space="preserve"> 2024年永嘉县路面灌缝、路面砂浆修复项目</w:t>
      </w:r>
      <w:r>
        <w:rPr>
          <w:rFonts w:hint="eastAsia" w:ascii="宋体" w:hAnsi="宋体" w:eastAsia="宋体" w:cs="宋体"/>
          <w:b w:val="0"/>
          <w:bCs w:val="0"/>
          <w:sz w:val="22"/>
          <w:szCs w:val="22"/>
          <w:highlight w:val="none"/>
        </w:rPr>
        <w:t>管理考核办法</w:t>
      </w:r>
    </w:p>
    <w:p w14:paraId="7860FF58">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sz w:val="22"/>
          <w:szCs w:val="22"/>
          <w:highlight w:val="none"/>
        </w:rPr>
      </w:pPr>
    </w:p>
    <w:p w14:paraId="3185DD6A">
      <w:pPr>
        <w:pageBreakBefore w:val="0"/>
        <w:wordWrap/>
        <w:topLinePunct w:val="0"/>
        <w:bidi w:val="0"/>
        <w:snapToGrid w:val="0"/>
        <w:spacing w:beforeAutospacing="0" w:afterAutospacing="0" w:line="240" w:lineRule="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一、</w:t>
      </w:r>
      <w:r>
        <w:rPr>
          <w:rFonts w:hint="eastAsia" w:ascii="宋体" w:hAnsi="宋体" w:eastAsia="宋体" w:cs="宋体"/>
          <w:bCs w:val="0"/>
          <w:sz w:val="22"/>
          <w:szCs w:val="22"/>
          <w:highlight w:val="none"/>
        </w:rPr>
        <w:t>具体如下</w:t>
      </w:r>
      <w:r>
        <w:rPr>
          <w:rFonts w:hint="eastAsia" w:ascii="宋体" w:hAnsi="宋体" w:eastAsia="宋体" w:cs="宋体"/>
          <w:b w:val="0"/>
          <w:bCs w:val="0"/>
          <w:sz w:val="22"/>
          <w:szCs w:val="22"/>
          <w:highlight w:val="none"/>
        </w:rPr>
        <w:t>：</w:t>
      </w:r>
    </w:p>
    <w:p w14:paraId="6AB6E218">
      <w:pPr>
        <w:pageBreakBefore w:val="0"/>
        <w:wordWrap/>
        <w:topLinePunct w:val="0"/>
        <w:bidi w:val="0"/>
        <w:snapToGrid w:val="0"/>
        <w:spacing w:beforeAutospacing="0" w:afterAutospacing="0" w:line="240" w:lineRule="auto"/>
        <w:ind w:firstLine="440" w:firstLineChars="200"/>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1、本工程考核办法采取</w:t>
      </w:r>
      <w:r>
        <w:rPr>
          <w:rFonts w:hint="eastAsia" w:ascii="宋体" w:hAnsi="宋体" w:eastAsia="宋体" w:cs="宋体"/>
          <w:b/>
          <w:bCs/>
          <w:kern w:val="2"/>
          <w:sz w:val="22"/>
          <w:szCs w:val="22"/>
          <w:highlight w:val="none"/>
          <w:u w:val="single"/>
        </w:rPr>
        <w:t>日常随机巡查</w:t>
      </w:r>
      <w:r>
        <w:rPr>
          <w:rFonts w:hint="eastAsia" w:ascii="宋体" w:hAnsi="宋体" w:cs="宋体"/>
          <w:b/>
          <w:bCs/>
          <w:kern w:val="2"/>
          <w:sz w:val="22"/>
          <w:szCs w:val="22"/>
          <w:highlight w:val="none"/>
          <w:u w:val="single"/>
          <w:lang w:val="en-US" w:eastAsia="zh-CN"/>
        </w:rPr>
        <w:t>考核</w:t>
      </w:r>
      <w:r>
        <w:rPr>
          <w:rFonts w:hint="eastAsia" w:ascii="宋体" w:hAnsi="宋体" w:eastAsia="宋体" w:cs="宋体"/>
          <w:b w:val="0"/>
          <w:bCs w:val="0"/>
          <w:kern w:val="2"/>
          <w:sz w:val="22"/>
          <w:szCs w:val="22"/>
          <w:highlight w:val="none"/>
        </w:rPr>
        <w:t>与</w:t>
      </w:r>
      <w:r>
        <w:rPr>
          <w:rFonts w:hint="eastAsia" w:ascii="宋体" w:hAnsi="宋体" w:eastAsia="宋体" w:cs="宋体"/>
          <w:b/>
          <w:bCs/>
          <w:kern w:val="2"/>
          <w:sz w:val="22"/>
          <w:szCs w:val="22"/>
          <w:highlight w:val="none"/>
          <w:u w:val="single"/>
        </w:rPr>
        <w:t>季考核</w:t>
      </w:r>
      <w:r>
        <w:rPr>
          <w:rFonts w:hint="eastAsia" w:ascii="宋体" w:hAnsi="宋体" w:eastAsia="宋体" w:cs="宋体"/>
          <w:b w:val="0"/>
          <w:bCs w:val="0"/>
          <w:kern w:val="2"/>
          <w:sz w:val="22"/>
          <w:szCs w:val="22"/>
          <w:highlight w:val="none"/>
        </w:rPr>
        <w:t>相结合的办法对路面灌缝质量进行考核。</w:t>
      </w:r>
    </w:p>
    <w:p w14:paraId="743156DA">
      <w:pPr>
        <w:pageBreakBefore w:val="0"/>
        <w:wordWrap/>
        <w:topLinePunct w:val="0"/>
        <w:bidi w:val="0"/>
        <w:snapToGrid w:val="0"/>
        <w:spacing w:beforeAutospacing="0" w:afterAutospacing="0" w:line="240" w:lineRule="auto"/>
        <w:ind w:firstLine="440" w:firstLineChars="200"/>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2、考核人员由</w:t>
      </w:r>
      <w:r>
        <w:rPr>
          <w:rFonts w:hint="eastAsia" w:ascii="宋体" w:hAnsi="宋体" w:eastAsia="宋体" w:cs="宋体"/>
          <w:b w:val="0"/>
          <w:bCs w:val="0"/>
          <w:kern w:val="2"/>
          <w:sz w:val="22"/>
          <w:szCs w:val="22"/>
          <w:highlight w:val="none"/>
          <w:lang w:eastAsia="zh-CN"/>
        </w:rPr>
        <w:t>永嘉县公路与运输管理中心</w:t>
      </w:r>
      <w:r>
        <w:rPr>
          <w:rFonts w:hint="eastAsia" w:ascii="宋体" w:hAnsi="宋体" w:eastAsia="宋体" w:cs="宋体"/>
          <w:b w:val="0"/>
          <w:bCs w:val="0"/>
          <w:kern w:val="2"/>
          <w:sz w:val="22"/>
          <w:szCs w:val="22"/>
          <w:highlight w:val="none"/>
        </w:rPr>
        <w:t>组织实施，人员不得少于3人。考核小组成员随时都可以检查路面灌缝质量，反馈项目存在问题及整改落实情况，由考核小组成员进行评分。考核成员需在考核完第二天将考核结果书面材料发给</w:t>
      </w:r>
      <w:r>
        <w:rPr>
          <w:rFonts w:hint="eastAsia" w:ascii="宋体" w:hAnsi="宋体" w:eastAsia="宋体" w:cs="宋体"/>
          <w:b w:val="0"/>
          <w:bCs w:val="0"/>
          <w:kern w:val="2"/>
          <w:sz w:val="22"/>
          <w:szCs w:val="22"/>
          <w:highlight w:val="none"/>
          <w:lang w:eastAsia="zh-CN"/>
        </w:rPr>
        <w:t>永嘉县公路与运输管理中心</w:t>
      </w:r>
      <w:r>
        <w:rPr>
          <w:rFonts w:hint="eastAsia" w:ascii="宋体" w:hAnsi="宋体" w:eastAsia="宋体" w:cs="宋体"/>
          <w:b w:val="0"/>
          <w:bCs w:val="0"/>
          <w:kern w:val="2"/>
          <w:sz w:val="22"/>
          <w:szCs w:val="22"/>
          <w:highlight w:val="none"/>
        </w:rPr>
        <w:t>。</w:t>
      </w:r>
    </w:p>
    <w:p w14:paraId="501D2278">
      <w:pPr>
        <w:pageBreakBefore w:val="0"/>
        <w:wordWrap/>
        <w:topLinePunct w:val="0"/>
        <w:bidi w:val="0"/>
        <w:snapToGrid w:val="0"/>
        <w:spacing w:beforeAutospacing="0" w:afterAutospacing="0" w:line="240" w:lineRule="auto"/>
        <w:ind w:firstLine="440" w:firstLineChars="200"/>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3、考核次数、时间：每月不定期进行</w:t>
      </w:r>
      <w:r>
        <w:rPr>
          <w:rFonts w:hint="eastAsia" w:ascii="宋体" w:hAnsi="宋体" w:eastAsia="宋体" w:cs="宋体"/>
          <w:b/>
          <w:bCs/>
          <w:kern w:val="2"/>
          <w:sz w:val="22"/>
          <w:szCs w:val="22"/>
          <w:highlight w:val="none"/>
          <w:u w:val="single"/>
        </w:rPr>
        <w:t>日常随机巡查考核</w:t>
      </w:r>
      <w:r>
        <w:rPr>
          <w:rFonts w:hint="eastAsia" w:ascii="宋体" w:hAnsi="宋体" w:eastAsia="宋体" w:cs="宋体"/>
          <w:b w:val="0"/>
          <w:bCs w:val="0"/>
          <w:kern w:val="2"/>
          <w:sz w:val="22"/>
          <w:szCs w:val="22"/>
          <w:highlight w:val="none"/>
        </w:rPr>
        <w:t>，在</w:t>
      </w:r>
      <w:r>
        <w:rPr>
          <w:rFonts w:hint="eastAsia" w:ascii="宋体" w:hAnsi="宋体" w:cs="宋体"/>
          <w:b w:val="0"/>
          <w:bCs w:val="0"/>
          <w:kern w:val="2"/>
          <w:sz w:val="22"/>
          <w:szCs w:val="22"/>
          <w:highlight w:val="none"/>
          <w:lang w:val="en-US" w:eastAsia="zh-CN"/>
        </w:rPr>
        <w:t>每季末</w:t>
      </w:r>
      <w:r>
        <w:rPr>
          <w:rFonts w:hint="eastAsia" w:ascii="宋体" w:hAnsi="宋体" w:eastAsia="宋体" w:cs="宋体"/>
          <w:b w:val="0"/>
          <w:bCs w:val="0"/>
          <w:kern w:val="2"/>
          <w:sz w:val="22"/>
          <w:szCs w:val="22"/>
          <w:highlight w:val="none"/>
        </w:rPr>
        <w:t>25日～31日进行</w:t>
      </w:r>
      <w:r>
        <w:rPr>
          <w:rFonts w:hint="eastAsia" w:ascii="宋体" w:hAnsi="宋体" w:cs="宋体"/>
          <w:b/>
          <w:bCs/>
          <w:kern w:val="2"/>
          <w:sz w:val="22"/>
          <w:szCs w:val="22"/>
          <w:highlight w:val="none"/>
          <w:lang w:val="en-US" w:eastAsia="zh-CN"/>
        </w:rPr>
        <w:t>季</w:t>
      </w:r>
      <w:r>
        <w:rPr>
          <w:rFonts w:hint="eastAsia" w:ascii="宋体" w:hAnsi="宋体" w:eastAsia="宋体" w:cs="宋体"/>
          <w:b/>
          <w:bCs/>
          <w:kern w:val="2"/>
          <w:sz w:val="22"/>
          <w:szCs w:val="22"/>
          <w:highlight w:val="none"/>
        </w:rPr>
        <w:t>考核</w:t>
      </w:r>
      <w:r>
        <w:rPr>
          <w:rFonts w:hint="eastAsia" w:ascii="宋体" w:hAnsi="宋体" w:eastAsia="宋体" w:cs="宋体"/>
          <w:b w:val="0"/>
          <w:bCs w:val="0"/>
          <w:kern w:val="2"/>
          <w:sz w:val="22"/>
          <w:szCs w:val="22"/>
          <w:highlight w:val="none"/>
        </w:rPr>
        <w:t>。</w:t>
      </w:r>
    </w:p>
    <w:p w14:paraId="4DB175CF">
      <w:pPr>
        <w:pageBreakBefore w:val="0"/>
        <w:wordWrap/>
        <w:topLinePunct w:val="0"/>
        <w:bidi w:val="0"/>
        <w:snapToGrid w:val="0"/>
        <w:spacing w:beforeAutospacing="0" w:afterAutospacing="0" w:line="240" w:lineRule="auto"/>
        <w:ind w:firstLine="440" w:firstLineChars="200"/>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4、考核办法：由</w:t>
      </w:r>
      <w:r>
        <w:rPr>
          <w:rFonts w:hint="eastAsia" w:ascii="宋体" w:hAnsi="宋体" w:eastAsia="宋体" w:cs="宋体"/>
          <w:b w:val="0"/>
          <w:bCs w:val="0"/>
          <w:kern w:val="2"/>
          <w:sz w:val="22"/>
          <w:szCs w:val="22"/>
          <w:highlight w:val="none"/>
          <w:lang w:eastAsia="zh-CN"/>
        </w:rPr>
        <w:t>永嘉县公路与运输管理中心</w:t>
      </w:r>
      <w:r>
        <w:rPr>
          <w:rFonts w:hint="eastAsia" w:ascii="宋体" w:hAnsi="宋体" w:eastAsia="宋体" w:cs="宋体"/>
          <w:b w:val="0"/>
          <w:bCs w:val="0"/>
          <w:kern w:val="2"/>
          <w:sz w:val="22"/>
          <w:szCs w:val="22"/>
          <w:highlight w:val="none"/>
        </w:rPr>
        <w:t>现场抽出已施工完成的不少于30％工程量作为</w:t>
      </w:r>
      <w:r>
        <w:rPr>
          <w:rFonts w:hint="eastAsia" w:ascii="宋体" w:hAnsi="宋体" w:cs="宋体"/>
          <w:b/>
          <w:bCs/>
          <w:kern w:val="2"/>
          <w:sz w:val="22"/>
          <w:szCs w:val="22"/>
          <w:highlight w:val="none"/>
          <w:u w:val="single"/>
          <w:lang w:val="en-US" w:eastAsia="zh-CN"/>
        </w:rPr>
        <w:t>季考核</w:t>
      </w:r>
      <w:r>
        <w:rPr>
          <w:rFonts w:hint="eastAsia" w:ascii="宋体" w:hAnsi="宋体" w:eastAsia="宋体" w:cs="宋体"/>
          <w:b w:val="0"/>
          <w:bCs w:val="0"/>
          <w:kern w:val="2"/>
          <w:sz w:val="22"/>
          <w:szCs w:val="22"/>
          <w:highlight w:val="none"/>
        </w:rPr>
        <w:t>的指标，</w:t>
      </w:r>
      <w:r>
        <w:rPr>
          <w:rFonts w:hint="eastAsia" w:ascii="宋体" w:hAnsi="宋体" w:eastAsia="宋体" w:cs="宋体"/>
          <w:b/>
          <w:bCs/>
          <w:kern w:val="2"/>
          <w:sz w:val="22"/>
          <w:szCs w:val="22"/>
          <w:highlight w:val="none"/>
          <w:u w:val="single"/>
        </w:rPr>
        <w:t>日常随机巡查考核</w:t>
      </w:r>
      <w:r>
        <w:rPr>
          <w:rFonts w:hint="eastAsia" w:ascii="宋体" w:hAnsi="宋体" w:eastAsia="宋体" w:cs="宋体"/>
          <w:b w:val="0"/>
          <w:bCs w:val="0"/>
          <w:kern w:val="2"/>
          <w:sz w:val="22"/>
          <w:szCs w:val="22"/>
          <w:highlight w:val="none"/>
        </w:rPr>
        <w:t>为全面实地考核。</w:t>
      </w:r>
    </w:p>
    <w:p w14:paraId="46D21A46">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kern w:val="2"/>
          <w:sz w:val="22"/>
          <w:szCs w:val="22"/>
          <w:highlight w:val="none"/>
        </w:rPr>
      </w:pPr>
      <w:r>
        <w:rPr>
          <w:rFonts w:hint="eastAsia" w:ascii="宋体" w:hAnsi="宋体" w:eastAsia="宋体" w:cs="宋体"/>
          <w:b w:val="0"/>
          <w:bCs w:val="0"/>
          <w:kern w:val="2"/>
          <w:sz w:val="22"/>
          <w:szCs w:val="22"/>
          <w:highlight w:val="none"/>
        </w:rPr>
        <w:t>5、考核分数的计算：考核分数采取百分制，其中</w:t>
      </w:r>
      <w:r>
        <w:rPr>
          <w:rFonts w:hint="eastAsia" w:ascii="宋体" w:hAnsi="宋体" w:eastAsia="宋体" w:cs="宋体"/>
          <w:b/>
          <w:bCs/>
          <w:kern w:val="2"/>
          <w:sz w:val="22"/>
          <w:szCs w:val="22"/>
          <w:highlight w:val="none"/>
          <w:u w:val="single"/>
        </w:rPr>
        <w:t>季考核</w:t>
      </w:r>
      <w:r>
        <w:rPr>
          <w:rFonts w:hint="eastAsia" w:ascii="宋体" w:hAnsi="宋体" w:eastAsia="宋体" w:cs="宋体"/>
          <w:b w:val="0"/>
          <w:bCs w:val="0"/>
          <w:kern w:val="2"/>
          <w:sz w:val="22"/>
          <w:szCs w:val="22"/>
          <w:highlight w:val="none"/>
        </w:rPr>
        <w:t>分数占</w:t>
      </w:r>
      <w:r>
        <w:rPr>
          <w:rFonts w:hint="eastAsia" w:ascii="宋体" w:hAnsi="宋体" w:cs="宋体"/>
          <w:b w:val="0"/>
          <w:bCs w:val="0"/>
          <w:kern w:val="2"/>
          <w:sz w:val="22"/>
          <w:szCs w:val="22"/>
          <w:highlight w:val="none"/>
          <w:lang w:val="en-US" w:eastAsia="zh-CN"/>
        </w:rPr>
        <w:t>60</w:t>
      </w:r>
      <w:r>
        <w:rPr>
          <w:rFonts w:hint="eastAsia" w:ascii="宋体" w:hAnsi="宋体" w:eastAsia="宋体" w:cs="宋体"/>
          <w:b w:val="0"/>
          <w:bCs w:val="0"/>
          <w:kern w:val="2"/>
          <w:sz w:val="22"/>
          <w:szCs w:val="22"/>
          <w:highlight w:val="none"/>
        </w:rPr>
        <w:t>％；</w:t>
      </w:r>
      <w:r>
        <w:rPr>
          <w:rFonts w:hint="eastAsia" w:ascii="宋体" w:hAnsi="宋体" w:eastAsia="宋体" w:cs="宋体"/>
          <w:b/>
          <w:bCs/>
          <w:kern w:val="2"/>
          <w:sz w:val="22"/>
          <w:szCs w:val="22"/>
          <w:highlight w:val="none"/>
          <w:u w:val="single"/>
        </w:rPr>
        <w:t>日常随机巡查考核</w:t>
      </w:r>
      <w:r>
        <w:rPr>
          <w:rFonts w:hint="eastAsia" w:ascii="宋体" w:hAnsi="宋体" w:eastAsia="宋体" w:cs="宋体"/>
          <w:b w:val="0"/>
          <w:bCs w:val="0"/>
          <w:kern w:val="2"/>
          <w:sz w:val="22"/>
          <w:szCs w:val="22"/>
          <w:highlight w:val="none"/>
        </w:rPr>
        <w:t>分数占</w:t>
      </w:r>
      <w:r>
        <w:rPr>
          <w:rFonts w:hint="eastAsia" w:ascii="宋体" w:hAnsi="宋体" w:cs="宋体"/>
          <w:b w:val="0"/>
          <w:bCs w:val="0"/>
          <w:kern w:val="2"/>
          <w:sz w:val="22"/>
          <w:szCs w:val="22"/>
          <w:highlight w:val="none"/>
          <w:lang w:val="en-US" w:eastAsia="zh-CN"/>
        </w:rPr>
        <w:t>40</w:t>
      </w:r>
      <w:r>
        <w:rPr>
          <w:rFonts w:hint="eastAsia" w:ascii="宋体" w:hAnsi="宋体" w:eastAsia="宋体" w:cs="宋体"/>
          <w:b w:val="0"/>
          <w:bCs w:val="0"/>
          <w:kern w:val="2"/>
          <w:sz w:val="22"/>
          <w:szCs w:val="22"/>
          <w:highlight w:val="none"/>
        </w:rPr>
        <w:t>％。</w:t>
      </w:r>
    </w:p>
    <w:p w14:paraId="6F3D9555">
      <w:pPr>
        <w:pageBreakBefore w:val="0"/>
        <w:wordWrap/>
        <w:topLinePunct w:val="0"/>
        <w:bidi w:val="0"/>
        <w:snapToGrid w:val="0"/>
        <w:spacing w:beforeAutospacing="0" w:afterAutospacing="0"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二、考核奖惩制度</w:t>
      </w:r>
    </w:p>
    <w:p w14:paraId="7641C5ED">
      <w:pPr>
        <w:pageBreakBefore w:val="0"/>
        <w:wordWrap/>
        <w:topLinePunct w:val="0"/>
        <w:bidi w:val="0"/>
        <w:snapToGrid w:val="0"/>
        <w:spacing w:beforeAutospacing="0" w:afterAutospacing="0" w:line="240" w:lineRule="auto"/>
        <w:ind w:firstLine="440" w:firstLineChars="200"/>
        <w:rPr>
          <w:rFonts w:hint="eastAsia" w:ascii="宋体" w:hAnsi="宋体" w:eastAsia="宋体" w:cs="宋体"/>
          <w:bCs w:val="0"/>
          <w:sz w:val="22"/>
          <w:szCs w:val="22"/>
          <w:highlight w:val="none"/>
        </w:rPr>
      </w:pPr>
      <w:r>
        <w:rPr>
          <w:rFonts w:hint="eastAsia" w:ascii="宋体" w:hAnsi="宋体" w:eastAsia="宋体" w:cs="宋体"/>
          <w:b w:val="0"/>
          <w:bCs w:val="0"/>
          <w:sz w:val="22"/>
          <w:szCs w:val="22"/>
          <w:highlight w:val="none"/>
        </w:rPr>
        <w:t>1、小修保养期内，</w:t>
      </w:r>
      <w:r>
        <w:rPr>
          <w:rFonts w:hint="eastAsia" w:ascii="宋体" w:hAnsi="宋体" w:cs="宋体"/>
          <w:b w:val="0"/>
          <w:bCs w:val="0"/>
          <w:sz w:val="22"/>
          <w:szCs w:val="22"/>
          <w:highlight w:val="none"/>
          <w:lang w:val="en-US" w:eastAsia="zh-CN"/>
        </w:rPr>
        <w:t>季</w:t>
      </w:r>
      <w:r>
        <w:rPr>
          <w:rFonts w:hint="eastAsia" w:ascii="宋体" w:hAnsi="宋体" w:eastAsia="宋体" w:cs="宋体"/>
          <w:b w:val="0"/>
          <w:bCs w:val="0"/>
          <w:sz w:val="22"/>
          <w:szCs w:val="22"/>
          <w:highlight w:val="none"/>
        </w:rPr>
        <w:t>平均考核达</w:t>
      </w:r>
      <w:r>
        <w:rPr>
          <w:rFonts w:hint="eastAsia" w:ascii="宋体" w:hAnsi="宋体" w:cs="宋体"/>
          <w:b w:val="0"/>
          <w:bCs w:val="0"/>
          <w:sz w:val="22"/>
          <w:szCs w:val="22"/>
          <w:highlight w:val="none"/>
          <w:lang w:val="en-US" w:eastAsia="zh-CN"/>
        </w:rPr>
        <w:t>80</w:t>
      </w:r>
      <w:r>
        <w:rPr>
          <w:rFonts w:hint="eastAsia" w:ascii="宋体" w:hAnsi="宋体" w:eastAsia="宋体" w:cs="宋体"/>
          <w:b w:val="0"/>
          <w:bCs w:val="0"/>
          <w:sz w:val="22"/>
          <w:szCs w:val="22"/>
          <w:highlight w:val="none"/>
        </w:rPr>
        <w:t>分（含</w:t>
      </w:r>
      <w:r>
        <w:rPr>
          <w:rFonts w:hint="eastAsia" w:ascii="宋体" w:hAnsi="宋体" w:cs="宋体"/>
          <w:b w:val="0"/>
          <w:bCs w:val="0"/>
          <w:sz w:val="22"/>
          <w:szCs w:val="22"/>
          <w:highlight w:val="none"/>
          <w:lang w:val="en-US" w:eastAsia="zh-CN"/>
        </w:rPr>
        <w:t>80</w:t>
      </w:r>
      <w:r>
        <w:rPr>
          <w:rFonts w:hint="eastAsia" w:ascii="宋体" w:hAnsi="宋体" w:eastAsia="宋体" w:cs="宋体"/>
          <w:b w:val="0"/>
          <w:bCs w:val="0"/>
          <w:sz w:val="22"/>
          <w:szCs w:val="22"/>
          <w:highlight w:val="none"/>
        </w:rPr>
        <w:t>分）以上者可续签该项目承包合同壹年，续签合同的条款按照新的壹年有关条款执行。</w:t>
      </w:r>
    </w:p>
    <w:p w14:paraId="0FF3BABA">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2、小修保养期内，连续二次得分或累计一年内三次在7</w:t>
      </w:r>
      <w:r>
        <w:rPr>
          <w:rFonts w:hint="eastAsia" w:ascii="宋体" w:hAnsi="宋体" w:cs="宋体"/>
          <w:b w:val="0"/>
          <w:bCs w:val="0"/>
          <w:sz w:val="22"/>
          <w:szCs w:val="22"/>
          <w:highlight w:val="none"/>
          <w:lang w:val="en-US" w:eastAsia="zh-CN"/>
        </w:rPr>
        <w:t>0</w:t>
      </w:r>
      <w:r>
        <w:rPr>
          <w:rFonts w:hint="eastAsia" w:ascii="宋体" w:hAnsi="宋体" w:eastAsia="宋体" w:cs="宋体"/>
          <w:b w:val="0"/>
          <w:bCs w:val="0"/>
          <w:sz w:val="22"/>
          <w:szCs w:val="22"/>
          <w:highlight w:val="none"/>
        </w:rPr>
        <w:t>分（不含7</w:t>
      </w:r>
      <w:r>
        <w:rPr>
          <w:rFonts w:hint="eastAsia" w:ascii="宋体" w:hAnsi="宋体" w:cs="宋体"/>
          <w:b w:val="0"/>
          <w:bCs w:val="0"/>
          <w:sz w:val="22"/>
          <w:szCs w:val="22"/>
          <w:highlight w:val="none"/>
          <w:lang w:val="en-US" w:eastAsia="zh-CN"/>
        </w:rPr>
        <w:t>0</w:t>
      </w:r>
      <w:r>
        <w:rPr>
          <w:rFonts w:hint="eastAsia" w:ascii="宋体" w:hAnsi="宋体" w:eastAsia="宋体" w:cs="宋体"/>
          <w:b w:val="0"/>
          <w:bCs w:val="0"/>
          <w:sz w:val="22"/>
          <w:szCs w:val="22"/>
          <w:highlight w:val="none"/>
        </w:rPr>
        <w:t>分）以下的，终止养护合同。</w:t>
      </w:r>
    </w:p>
    <w:p w14:paraId="2AB565B5">
      <w:pPr>
        <w:pageBreakBefore w:val="0"/>
        <w:wordWrap/>
        <w:topLinePunct w:val="0"/>
        <w:bidi w:val="0"/>
        <w:snapToGrid w:val="0"/>
        <w:spacing w:beforeAutospacing="0" w:afterAutospacing="0" w:line="240" w:lineRule="auto"/>
        <w:ind w:firstLine="440" w:firstLineChars="200"/>
        <w:rPr>
          <w:rFonts w:hint="eastAsia" w:ascii="宋体" w:hAnsi="宋体" w:eastAsia="宋体" w:cs="宋体"/>
          <w:bCs w:val="0"/>
          <w:sz w:val="22"/>
          <w:szCs w:val="22"/>
          <w:highlight w:val="none"/>
        </w:rPr>
      </w:pPr>
      <w:r>
        <w:rPr>
          <w:rFonts w:hint="eastAsia" w:ascii="宋体" w:hAnsi="宋体" w:eastAsia="宋体" w:cs="宋体"/>
          <w:b w:val="0"/>
          <w:bCs w:val="0"/>
          <w:sz w:val="22"/>
          <w:szCs w:val="22"/>
          <w:highlight w:val="none"/>
        </w:rPr>
        <w:t>3、小修保养期内，承包公司在永嘉县范围内从事养护工作的养护业绩、信誉、实力等将作为该企业的信用档案，并上报相关部门备案，作为今后企业年检和工程招投标的综合评分依据。</w:t>
      </w:r>
    </w:p>
    <w:p w14:paraId="4EA629C7">
      <w:pPr>
        <w:pageBreakBefore w:val="0"/>
        <w:wordWrap/>
        <w:topLinePunct w:val="0"/>
        <w:bidi w:val="0"/>
        <w:snapToGrid w:val="0"/>
        <w:spacing w:beforeAutospacing="0" w:afterAutospacing="0" w:line="240" w:lineRule="auto"/>
        <w:ind w:firstLine="440" w:firstLineChars="200"/>
        <w:rPr>
          <w:rFonts w:hint="eastAsia" w:ascii="宋体" w:hAnsi="宋体" w:eastAsia="宋体" w:cs="宋体"/>
          <w:bCs w:val="0"/>
          <w:sz w:val="22"/>
          <w:szCs w:val="22"/>
          <w:highlight w:val="none"/>
        </w:rPr>
      </w:pPr>
      <w:r>
        <w:rPr>
          <w:rFonts w:hint="eastAsia" w:ascii="宋体" w:hAnsi="宋体" w:eastAsia="宋体" w:cs="宋体"/>
          <w:b w:val="0"/>
          <w:bCs w:val="0"/>
          <w:sz w:val="22"/>
          <w:szCs w:val="22"/>
          <w:highlight w:val="none"/>
        </w:rPr>
        <w:t>4、在小修保养期间发生如下情况，甲方有权终止合同：</w:t>
      </w:r>
    </w:p>
    <w:p w14:paraId="472F1B50">
      <w:pPr>
        <w:pageBreakBefore w:val="0"/>
        <w:wordWrap/>
        <w:topLinePunct w:val="0"/>
        <w:bidi w:val="0"/>
        <w:snapToGrid w:val="0"/>
        <w:spacing w:beforeAutospacing="0" w:afterAutospacing="0" w:line="240" w:lineRule="auto"/>
        <w:ind w:firstLine="330" w:firstLineChars="150"/>
        <w:rPr>
          <w:rFonts w:hint="eastAsia" w:ascii="宋体" w:hAnsi="宋体" w:eastAsia="宋体" w:cs="宋体"/>
          <w:bCs w:val="0"/>
          <w:sz w:val="22"/>
          <w:szCs w:val="22"/>
          <w:highlight w:val="none"/>
        </w:rPr>
      </w:pPr>
      <w:r>
        <w:rPr>
          <w:rFonts w:hint="eastAsia" w:ascii="宋体" w:hAnsi="宋体" w:eastAsia="宋体" w:cs="宋体"/>
          <w:b w:val="0"/>
          <w:bCs w:val="0"/>
          <w:sz w:val="22"/>
          <w:szCs w:val="22"/>
          <w:highlight w:val="none"/>
        </w:rPr>
        <w:t>（1）月平均考核低于7</w:t>
      </w:r>
      <w:r>
        <w:rPr>
          <w:rFonts w:hint="eastAsia" w:ascii="宋体" w:hAnsi="宋体" w:cs="宋体"/>
          <w:b w:val="0"/>
          <w:bCs w:val="0"/>
          <w:sz w:val="22"/>
          <w:szCs w:val="22"/>
          <w:highlight w:val="none"/>
          <w:lang w:val="en-US" w:eastAsia="zh-CN"/>
        </w:rPr>
        <w:t>0</w:t>
      </w:r>
      <w:r>
        <w:rPr>
          <w:rFonts w:hint="eastAsia" w:ascii="宋体" w:hAnsi="宋体" w:eastAsia="宋体" w:cs="宋体"/>
          <w:b w:val="0"/>
          <w:bCs w:val="0"/>
          <w:sz w:val="22"/>
          <w:szCs w:val="22"/>
          <w:highlight w:val="none"/>
        </w:rPr>
        <w:t>分的；</w:t>
      </w:r>
    </w:p>
    <w:p w14:paraId="5394E808">
      <w:pPr>
        <w:pageBreakBefore w:val="0"/>
        <w:wordWrap/>
        <w:topLinePunct w:val="0"/>
        <w:bidi w:val="0"/>
        <w:snapToGrid w:val="0"/>
        <w:spacing w:beforeAutospacing="0" w:afterAutospacing="0" w:line="240" w:lineRule="auto"/>
        <w:ind w:firstLine="330" w:firstLineChars="150"/>
        <w:rPr>
          <w:rFonts w:hint="eastAsia" w:ascii="宋体" w:hAnsi="宋体" w:eastAsia="宋体" w:cs="宋体"/>
          <w:bCs w:val="0"/>
          <w:sz w:val="22"/>
          <w:szCs w:val="22"/>
          <w:highlight w:val="none"/>
        </w:rPr>
      </w:pPr>
      <w:r>
        <w:rPr>
          <w:rFonts w:hint="eastAsia" w:ascii="宋体" w:hAnsi="宋体" w:eastAsia="宋体" w:cs="宋体"/>
          <w:b w:val="0"/>
          <w:bCs w:val="0"/>
          <w:sz w:val="22"/>
          <w:szCs w:val="22"/>
          <w:highlight w:val="none"/>
        </w:rPr>
        <w:t>（2）在小修保养期间发生安全责任事故的；</w:t>
      </w:r>
    </w:p>
    <w:p w14:paraId="7CAD6833">
      <w:pPr>
        <w:pageBreakBefore w:val="0"/>
        <w:wordWrap/>
        <w:topLinePunct w:val="0"/>
        <w:bidi w:val="0"/>
        <w:snapToGrid w:val="0"/>
        <w:spacing w:beforeAutospacing="0" w:afterAutospacing="0" w:line="240" w:lineRule="auto"/>
        <w:ind w:firstLine="330" w:firstLineChars="150"/>
        <w:rPr>
          <w:rFonts w:hint="eastAsia" w:ascii="宋体" w:hAnsi="宋体" w:eastAsia="宋体" w:cs="宋体"/>
          <w:bCs w:val="0"/>
          <w:kern w:val="2"/>
          <w:sz w:val="22"/>
          <w:szCs w:val="22"/>
          <w:highlight w:val="none"/>
        </w:rPr>
      </w:pPr>
      <w:r>
        <w:rPr>
          <w:rFonts w:hint="eastAsia" w:ascii="宋体" w:hAnsi="宋体" w:eastAsia="宋体" w:cs="宋体"/>
          <w:b w:val="0"/>
          <w:bCs w:val="0"/>
          <w:sz w:val="22"/>
          <w:szCs w:val="22"/>
          <w:highlight w:val="none"/>
        </w:rPr>
        <w:t>（</w:t>
      </w:r>
      <w:r>
        <w:rPr>
          <w:rFonts w:hint="eastAsia" w:ascii="宋体" w:hAnsi="宋体" w:cs="宋体"/>
          <w:b w:val="0"/>
          <w:bCs w:val="0"/>
          <w:sz w:val="22"/>
          <w:szCs w:val="22"/>
          <w:highlight w:val="none"/>
          <w:lang w:val="en-US" w:eastAsia="zh-CN"/>
        </w:rPr>
        <w:t>3</w:t>
      </w:r>
      <w:r>
        <w:rPr>
          <w:rFonts w:hint="eastAsia" w:ascii="宋体" w:hAnsi="宋体" w:eastAsia="宋体" w:cs="宋体"/>
          <w:b w:val="0"/>
          <w:bCs w:val="0"/>
          <w:sz w:val="22"/>
          <w:szCs w:val="22"/>
          <w:highlight w:val="none"/>
        </w:rPr>
        <w:t>）养护单位在小修保养期内私自转包的以及其他行为给业主造成严重不良影响的；</w:t>
      </w:r>
    </w:p>
    <w:p w14:paraId="01705A63">
      <w:pPr>
        <w:pageBreakBefore w:val="0"/>
        <w:wordWrap/>
        <w:topLinePunct w:val="0"/>
        <w:bidi w:val="0"/>
        <w:snapToGrid w:val="0"/>
        <w:spacing w:beforeAutospacing="0" w:afterAutospacing="0" w:line="240" w:lineRule="auto"/>
        <w:ind w:firstLine="330" w:firstLineChars="150"/>
        <w:rPr>
          <w:rFonts w:hint="eastAsia" w:ascii="宋体" w:hAnsi="宋体" w:cs="宋体"/>
          <w:b w:val="0"/>
          <w:bCs w:val="0"/>
          <w:kern w:val="2"/>
          <w:sz w:val="22"/>
          <w:szCs w:val="22"/>
          <w:highlight w:val="none"/>
          <w:lang w:eastAsia="zh-CN"/>
        </w:rPr>
      </w:pPr>
      <w:r>
        <w:rPr>
          <w:rFonts w:hint="eastAsia" w:ascii="宋体" w:hAnsi="宋体" w:eastAsia="宋体" w:cs="宋体"/>
          <w:b w:val="0"/>
          <w:bCs w:val="0"/>
          <w:kern w:val="2"/>
          <w:sz w:val="22"/>
          <w:szCs w:val="22"/>
          <w:highlight w:val="none"/>
        </w:rPr>
        <w:t>（</w:t>
      </w:r>
      <w:r>
        <w:rPr>
          <w:rFonts w:hint="eastAsia" w:ascii="宋体" w:hAnsi="宋体" w:cs="宋体"/>
          <w:b w:val="0"/>
          <w:bCs w:val="0"/>
          <w:kern w:val="2"/>
          <w:sz w:val="22"/>
          <w:szCs w:val="22"/>
          <w:highlight w:val="none"/>
          <w:lang w:val="en-US" w:eastAsia="zh-CN"/>
        </w:rPr>
        <w:t>4</w:t>
      </w:r>
      <w:r>
        <w:rPr>
          <w:rFonts w:hint="eastAsia" w:ascii="宋体" w:hAnsi="宋体" w:eastAsia="宋体" w:cs="宋体"/>
          <w:b w:val="0"/>
          <w:bCs w:val="0"/>
          <w:kern w:val="2"/>
          <w:sz w:val="22"/>
          <w:szCs w:val="22"/>
          <w:highlight w:val="none"/>
        </w:rPr>
        <w:t>）在小修保养期内，因裂缝质量问题，造成甲方被上级主管部门通报批评或扣分的</w:t>
      </w:r>
      <w:r>
        <w:rPr>
          <w:rFonts w:hint="eastAsia" w:ascii="宋体" w:hAnsi="宋体" w:cs="宋体"/>
          <w:b w:val="0"/>
          <w:bCs w:val="0"/>
          <w:kern w:val="2"/>
          <w:sz w:val="22"/>
          <w:szCs w:val="22"/>
          <w:highlight w:val="none"/>
          <w:lang w:eastAsia="zh-CN"/>
        </w:rPr>
        <w:t>；</w:t>
      </w:r>
    </w:p>
    <w:p w14:paraId="636292EA">
      <w:pPr>
        <w:pageBreakBefore w:val="0"/>
        <w:wordWrap/>
        <w:topLinePunct w:val="0"/>
        <w:bidi w:val="0"/>
        <w:snapToGrid w:val="0"/>
        <w:spacing w:beforeAutospacing="0" w:afterAutospacing="0" w:line="240" w:lineRule="auto"/>
        <w:ind w:firstLine="330" w:firstLineChars="150"/>
        <w:rPr>
          <w:rFonts w:hint="default"/>
          <w:highlight w:val="none"/>
          <w:lang w:val="en-US" w:eastAsia="zh-CN"/>
        </w:rPr>
      </w:pPr>
      <w:r>
        <w:rPr>
          <w:rFonts w:hint="eastAsia" w:ascii="宋体" w:hAnsi="宋体" w:cs="宋体"/>
          <w:b w:val="0"/>
          <w:bCs w:val="0"/>
          <w:kern w:val="2"/>
          <w:sz w:val="22"/>
          <w:szCs w:val="22"/>
          <w:highlight w:val="none"/>
          <w:lang w:eastAsia="zh-CN"/>
        </w:rPr>
        <w:t>（</w:t>
      </w:r>
      <w:r>
        <w:rPr>
          <w:rFonts w:hint="eastAsia" w:ascii="宋体" w:hAnsi="宋体" w:cs="宋体"/>
          <w:b w:val="0"/>
          <w:bCs w:val="0"/>
          <w:kern w:val="2"/>
          <w:sz w:val="22"/>
          <w:szCs w:val="22"/>
          <w:highlight w:val="none"/>
          <w:lang w:val="en-US" w:eastAsia="zh-CN"/>
        </w:rPr>
        <w:t>5</w:t>
      </w:r>
      <w:r>
        <w:rPr>
          <w:rFonts w:hint="eastAsia" w:ascii="宋体" w:hAnsi="宋体" w:cs="宋体"/>
          <w:b w:val="0"/>
          <w:bCs w:val="0"/>
          <w:kern w:val="2"/>
          <w:sz w:val="22"/>
          <w:szCs w:val="22"/>
          <w:highlight w:val="none"/>
          <w:lang w:eastAsia="zh-CN"/>
        </w:rPr>
        <w:t>）在小修保养期内，</w:t>
      </w:r>
      <w:r>
        <w:rPr>
          <w:rFonts w:hint="eastAsia" w:ascii="宋体" w:hAnsi="宋体" w:cs="宋体"/>
          <w:b w:val="0"/>
          <w:bCs w:val="0"/>
          <w:kern w:val="2"/>
          <w:sz w:val="22"/>
          <w:szCs w:val="22"/>
          <w:highlight w:val="none"/>
          <w:lang w:val="en-US" w:eastAsia="zh-CN"/>
        </w:rPr>
        <w:t>每期工程量经审核后核减超10%达两次及以上的。</w:t>
      </w:r>
    </w:p>
    <w:p w14:paraId="686A8046">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kern w:val="2"/>
          <w:sz w:val="22"/>
          <w:szCs w:val="22"/>
          <w:highlight w:val="none"/>
        </w:rPr>
      </w:pPr>
    </w:p>
    <w:p w14:paraId="3772B909">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kern w:val="2"/>
          <w:sz w:val="22"/>
          <w:szCs w:val="22"/>
          <w:highlight w:val="none"/>
        </w:rPr>
      </w:pPr>
    </w:p>
    <w:p w14:paraId="57447979">
      <w:pPr>
        <w:pageBreakBefore w:val="0"/>
        <w:wordWrap/>
        <w:topLinePunct w:val="0"/>
        <w:bidi w:val="0"/>
        <w:snapToGrid w:val="0"/>
        <w:spacing w:beforeAutospacing="0" w:afterAutospacing="0" w:line="240" w:lineRule="auto"/>
        <w:ind w:firstLine="440" w:firstLineChars="200"/>
        <w:rPr>
          <w:rFonts w:hint="eastAsia" w:ascii="宋体" w:hAnsi="宋体" w:eastAsia="宋体" w:cs="宋体"/>
          <w:b w:val="0"/>
          <w:bCs w:val="0"/>
          <w:kern w:val="2"/>
          <w:sz w:val="22"/>
          <w:szCs w:val="22"/>
          <w:highlight w:val="none"/>
        </w:rPr>
      </w:pPr>
    </w:p>
    <w:p w14:paraId="28970FB4">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Cs w:val="0"/>
          <w:kern w:val="2"/>
          <w:sz w:val="22"/>
          <w:szCs w:val="22"/>
          <w:highlight w:val="none"/>
        </w:rPr>
        <w:br w:type="page"/>
      </w:r>
      <w:r>
        <w:rPr>
          <w:rFonts w:hint="eastAsia" w:ascii="宋体" w:hAnsi="宋体" w:eastAsia="宋体" w:cs="宋体"/>
          <w:bCs w:val="0"/>
          <w:kern w:val="2"/>
          <w:sz w:val="22"/>
          <w:szCs w:val="22"/>
          <w:highlight w:val="none"/>
        </w:rPr>
        <w:t>附件十：</w:t>
      </w:r>
      <w:r>
        <w:rPr>
          <w:rFonts w:hint="eastAsia" w:ascii="宋体" w:hAnsi="宋体" w:cs="宋体"/>
          <w:bCs w:val="0"/>
          <w:kern w:val="2"/>
          <w:sz w:val="22"/>
          <w:szCs w:val="22"/>
          <w:highlight w:val="none"/>
          <w:lang w:eastAsia="zh-CN"/>
        </w:rPr>
        <w:t xml:space="preserve"> 2024年永嘉县路面灌缝、路面砂浆修复项目</w:t>
      </w:r>
      <w:r>
        <w:rPr>
          <w:rFonts w:hint="eastAsia" w:ascii="宋体" w:hAnsi="宋体" w:eastAsia="宋体" w:cs="宋体"/>
          <w:bCs w:val="0"/>
          <w:kern w:val="2"/>
          <w:sz w:val="22"/>
          <w:szCs w:val="22"/>
          <w:highlight w:val="none"/>
        </w:rPr>
        <w:t>考核评分细则</w:t>
      </w:r>
    </w:p>
    <w:p w14:paraId="48E70001">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p>
    <w:p w14:paraId="2BDA0FA5">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Cs w:val="0"/>
          <w:kern w:val="2"/>
          <w:sz w:val="22"/>
          <w:szCs w:val="22"/>
          <w:highlight w:val="none"/>
        </w:rPr>
        <w:t>路面灌缝项目考核细则（日常随机巡查）</w:t>
      </w:r>
    </w:p>
    <w:p w14:paraId="3BB0009D">
      <w:pPr>
        <w:pageBreakBefore w:val="0"/>
        <w:wordWrap/>
        <w:topLinePunct w:val="0"/>
        <w:bidi w:val="0"/>
        <w:snapToGrid w:val="0"/>
        <w:spacing w:beforeAutospacing="0" w:afterAutospacing="0" w:line="240" w:lineRule="auto"/>
        <w:ind w:firstLine="107" w:firstLineChars="49"/>
        <w:rPr>
          <w:rFonts w:hint="eastAsia" w:ascii="宋体" w:hAnsi="宋体" w:eastAsia="宋体" w:cs="宋体"/>
          <w:b w:val="0"/>
          <w:bCs w:val="0"/>
          <w:kern w:val="2"/>
          <w:sz w:val="22"/>
          <w:szCs w:val="22"/>
          <w:highlight w:val="none"/>
        </w:rPr>
      </w:pPr>
    </w:p>
    <w:p w14:paraId="1651F847">
      <w:pPr>
        <w:pageBreakBefore w:val="0"/>
        <w:wordWrap/>
        <w:topLinePunct w:val="0"/>
        <w:bidi w:val="0"/>
        <w:snapToGrid w:val="0"/>
        <w:spacing w:beforeAutospacing="0" w:afterAutospacing="0" w:line="240" w:lineRule="auto"/>
        <w:ind w:firstLine="107" w:firstLineChars="49"/>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xml:space="preserve">项目名称：                                                                </w:t>
      </w:r>
    </w:p>
    <w:tbl>
      <w:tblPr>
        <w:tblStyle w:val="62"/>
        <w:tblW w:w="9720" w:type="dxa"/>
        <w:tblInd w:w="0" w:type="dxa"/>
        <w:tblLayout w:type="fixed"/>
        <w:tblCellMar>
          <w:top w:w="0" w:type="dxa"/>
          <w:left w:w="108" w:type="dxa"/>
          <w:bottom w:w="0" w:type="dxa"/>
          <w:right w:w="108" w:type="dxa"/>
        </w:tblCellMar>
      </w:tblPr>
      <w:tblGrid>
        <w:gridCol w:w="577"/>
        <w:gridCol w:w="3394"/>
        <w:gridCol w:w="973"/>
        <w:gridCol w:w="3669"/>
        <w:gridCol w:w="1107"/>
      </w:tblGrid>
      <w:tr w14:paraId="655901AA">
        <w:tblPrEx>
          <w:tblCellMar>
            <w:top w:w="0" w:type="dxa"/>
            <w:left w:w="108" w:type="dxa"/>
            <w:bottom w:w="0" w:type="dxa"/>
            <w:right w:w="108" w:type="dxa"/>
          </w:tblCellMar>
        </w:tblPrEx>
        <w:trPr>
          <w:trHeight w:val="567" w:hRule="atLeast"/>
        </w:trPr>
        <w:tc>
          <w:tcPr>
            <w:tcW w:w="577" w:type="dxa"/>
            <w:vMerge w:val="restart"/>
            <w:tcBorders>
              <w:top w:val="single" w:color="auto" w:sz="4" w:space="0"/>
              <w:left w:val="single" w:color="auto" w:sz="4" w:space="0"/>
              <w:bottom w:val="single" w:color="auto" w:sz="4" w:space="0"/>
              <w:right w:val="single" w:color="auto" w:sz="4" w:space="0"/>
            </w:tcBorders>
            <w:noWrap w:val="0"/>
            <w:vAlign w:val="center"/>
          </w:tcPr>
          <w:p w14:paraId="105B557E">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序号</w:t>
            </w:r>
          </w:p>
        </w:tc>
        <w:tc>
          <w:tcPr>
            <w:tcW w:w="3394" w:type="dxa"/>
            <w:vMerge w:val="restart"/>
            <w:tcBorders>
              <w:top w:val="single" w:color="auto" w:sz="4" w:space="0"/>
              <w:left w:val="nil"/>
              <w:bottom w:val="single" w:color="auto" w:sz="4" w:space="0"/>
              <w:right w:val="single" w:color="auto" w:sz="4" w:space="0"/>
            </w:tcBorders>
            <w:noWrap w:val="0"/>
            <w:vAlign w:val="center"/>
          </w:tcPr>
          <w:p w14:paraId="20FCF999">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考核标准</w:t>
            </w:r>
          </w:p>
        </w:tc>
        <w:tc>
          <w:tcPr>
            <w:tcW w:w="973" w:type="dxa"/>
            <w:vMerge w:val="restart"/>
            <w:tcBorders>
              <w:top w:val="single" w:color="auto" w:sz="4" w:space="0"/>
              <w:left w:val="nil"/>
              <w:bottom w:val="single" w:color="auto" w:sz="4" w:space="0"/>
              <w:right w:val="single" w:color="auto" w:sz="4" w:space="0"/>
            </w:tcBorders>
            <w:noWrap w:val="0"/>
            <w:vAlign w:val="center"/>
          </w:tcPr>
          <w:p w14:paraId="0A1C61F0">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标准分</w:t>
            </w:r>
          </w:p>
        </w:tc>
        <w:tc>
          <w:tcPr>
            <w:tcW w:w="3669" w:type="dxa"/>
            <w:vMerge w:val="restart"/>
            <w:tcBorders>
              <w:top w:val="single" w:color="auto" w:sz="4" w:space="0"/>
              <w:left w:val="nil"/>
              <w:bottom w:val="single" w:color="auto" w:sz="4" w:space="0"/>
              <w:right w:val="single" w:color="auto" w:sz="4" w:space="0"/>
            </w:tcBorders>
            <w:noWrap w:val="0"/>
            <w:vAlign w:val="center"/>
          </w:tcPr>
          <w:p w14:paraId="5B7073CF">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考核办法</w:t>
            </w:r>
          </w:p>
        </w:tc>
        <w:tc>
          <w:tcPr>
            <w:tcW w:w="1107" w:type="dxa"/>
            <w:vMerge w:val="restart"/>
            <w:tcBorders>
              <w:top w:val="single" w:color="auto" w:sz="4" w:space="0"/>
              <w:left w:val="nil"/>
              <w:bottom w:val="single" w:color="000000" w:sz="4" w:space="0"/>
              <w:right w:val="single" w:color="auto" w:sz="4" w:space="0"/>
            </w:tcBorders>
            <w:noWrap w:val="0"/>
            <w:vAlign w:val="center"/>
          </w:tcPr>
          <w:p w14:paraId="45E8EE41">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实际得分</w:t>
            </w:r>
          </w:p>
        </w:tc>
      </w:tr>
      <w:tr w14:paraId="37B4471C">
        <w:tblPrEx>
          <w:tblCellMar>
            <w:top w:w="0" w:type="dxa"/>
            <w:left w:w="108" w:type="dxa"/>
            <w:bottom w:w="0" w:type="dxa"/>
            <w:right w:w="108" w:type="dxa"/>
          </w:tblCellMar>
        </w:tblPrEx>
        <w:trPr>
          <w:trHeight w:val="567" w:hRule="atLeast"/>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22A80448">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c>
          <w:tcPr>
            <w:tcW w:w="3394" w:type="dxa"/>
            <w:vMerge w:val="continue"/>
            <w:tcBorders>
              <w:top w:val="single" w:color="auto" w:sz="4" w:space="0"/>
              <w:left w:val="nil"/>
              <w:bottom w:val="single" w:color="auto" w:sz="4" w:space="0"/>
              <w:right w:val="single" w:color="auto" w:sz="4" w:space="0"/>
            </w:tcBorders>
            <w:noWrap w:val="0"/>
            <w:vAlign w:val="center"/>
          </w:tcPr>
          <w:p w14:paraId="030E2FC6">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c>
          <w:tcPr>
            <w:tcW w:w="973" w:type="dxa"/>
            <w:vMerge w:val="continue"/>
            <w:tcBorders>
              <w:top w:val="single" w:color="auto" w:sz="4" w:space="0"/>
              <w:left w:val="nil"/>
              <w:bottom w:val="single" w:color="auto" w:sz="4" w:space="0"/>
              <w:right w:val="single" w:color="auto" w:sz="4" w:space="0"/>
            </w:tcBorders>
            <w:noWrap w:val="0"/>
            <w:vAlign w:val="center"/>
          </w:tcPr>
          <w:p w14:paraId="43558CF2">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c>
          <w:tcPr>
            <w:tcW w:w="3669" w:type="dxa"/>
            <w:vMerge w:val="continue"/>
            <w:tcBorders>
              <w:top w:val="single" w:color="auto" w:sz="4" w:space="0"/>
              <w:left w:val="nil"/>
              <w:bottom w:val="single" w:color="auto" w:sz="4" w:space="0"/>
              <w:right w:val="single" w:color="auto" w:sz="4" w:space="0"/>
            </w:tcBorders>
            <w:noWrap w:val="0"/>
            <w:vAlign w:val="center"/>
          </w:tcPr>
          <w:p w14:paraId="7BB4A000">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c>
          <w:tcPr>
            <w:tcW w:w="1107" w:type="dxa"/>
            <w:vMerge w:val="continue"/>
            <w:tcBorders>
              <w:top w:val="single" w:color="auto" w:sz="4" w:space="0"/>
              <w:left w:val="nil"/>
              <w:bottom w:val="single" w:color="000000" w:sz="4" w:space="0"/>
              <w:right w:val="single" w:color="auto" w:sz="4" w:space="0"/>
            </w:tcBorders>
            <w:noWrap w:val="0"/>
            <w:vAlign w:val="center"/>
          </w:tcPr>
          <w:p w14:paraId="295D7525">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r>
      <w:tr w14:paraId="53AB9948">
        <w:tblPrEx>
          <w:tblCellMar>
            <w:top w:w="0" w:type="dxa"/>
            <w:left w:w="108" w:type="dxa"/>
            <w:bottom w:w="0" w:type="dxa"/>
            <w:right w:w="108" w:type="dxa"/>
          </w:tblCellMar>
        </w:tblPrEx>
        <w:trPr>
          <w:trHeight w:val="870" w:hRule="atLeast"/>
        </w:trPr>
        <w:tc>
          <w:tcPr>
            <w:tcW w:w="577" w:type="dxa"/>
            <w:tcBorders>
              <w:top w:val="nil"/>
              <w:left w:val="single" w:color="auto" w:sz="4" w:space="0"/>
              <w:bottom w:val="single" w:color="auto" w:sz="4" w:space="0"/>
              <w:right w:val="single" w:color="auto" w:sz="4" w:space="0"/>
            </w:tcBorders>
            <w:noWrap w:val="0"/>
            <w:vAlign w:val="center"/>
          </w:tcPr>
          <w:p w14:paraId="65D43E9D">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1</w:t>
            </w:r>
          </w:p>
        </w:tc>
        <w:tc>
          <w:tcPr>
            <w:tcW w:w="3394" w:type="dxa"/>
            <w:tcBorders>
              <w:top w:val="single" w:color="auto" w:sz="4" w:space="0"/>
              <w:left w:val="nil"/>
              <w:bottom w:val="single" w:color="auto" w:sz="4" w:space="0"/>
              <w:right w:val="single" w:color="000000" w:sz="4" w:space="0"/>
            </w:tcBorders>
            <w:noWrap w:val="0"/>
            <w:vAlign w:val="center"/>
          </w:tcPr>
          <w:p w14:paraId="59666D57">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按照养护管理标准规范操作及按每日养护计划实施。</w:t>
            </w:r>
          </w:p>
        </w:tc>
        <w:tc>
          <w:tcPr>
            <w:tcW w:w="973" w:type="dxa"/>
            <w:tcBorders>
              <w:top w:val="nil"/>
              <w:left w:val="nil"/>
              <w:bottom w:val="single" w:color="auto" w:sz="4" w:space="0"/>
              <w:right w:val="single" w:color="auto" w:sz="4" w:space="0"/>
            </w:tcBorders>
            <w:noWrap w:val="0"/>
            <w:vAlign w:val="center"/>
          </w:tcPr>
          <w:p w14:paraId="0A746646">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cs="宋体"/>
                <w:b w:val="0"/>
                <w:bCs w:val="0"/>
                <w:kern w:val="2"/>
                <w:sz w:val="22"/>
                <w:szCs w:val="22"/>
                <w:highlight w:val="none"/>
                <w:lang w:val="en-US" w:eastAsia="zh-CN"/>
              </w:rPr>
              <w:t>10</w:t>
            </w:r>
            <w:r>
              <w:rPr>
                <w:rFonts w:hint="eastAsia" w:ascii="宋体" w:hAnsi="宋体" w:eastAsia="宋体" w:cs="宋体"/>
                <w:b w:val="0"/>
                <w:bCs w:val="0"/>
                <w:kern w:val="2"/>
                <w:sz w:val="22"/>
                <w:szCs w:val="22"/>
                <w:highlight w:val="none"/>
              </w:rPr>
              <w:t>分</w:t>
            </w:r>
          </w:p>
        </w:tc>
        <w:tc>
          <w:tcPr>
            <w:tcW w:w="3669" w:type="dxa"/>
            <w:tcBorders>
              <w:top w:val="single" w:color="auto" w:sz="4" w:space="0"/>
              <w:left w:val="nil"/>
              <w:bottom w:val="single" w:color="auto" w:sz="4" w:space="0"/>
              <w:right w:val="single" w:color="auto" w:sz="4" w:space="0"/>
            </w:tcBorders>
            <w:noWrap w:val="0"/>
            <w:vAlign w:val="center"/>
          </w:tcPr>
          <w:p w14:paraId="7A686914">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无日养护计划</w:t>
            </w:r>
            <w:r>
              <w:rPr>
                <w:rFonts w:hint="eastAsia" w:ascii="宋体" w:hAnsi="宋体" w:cs="宋体"/>
                <w:b w:val="0"/>
                <w:bCs w:val="0"/>
                <w:kern w:val="2"/>
                <w:sz w:val="22"/>
                <w:szCs w:val="22"/>
                <w:highlight w:val="none"/>
                <w:lang w:val="en-US" w:eastAsia="zh-CN"/>
              </w:rPr>
              <w:t>每项</w:t>
            </w:r>
            <w:r>
              <w:rPr>
                <w:rFonts w:hint="eastAsia" w:ascii="宋体" w:hAnsi="宋体" w:eastAsia="宋体" w:cs="宋体"/>
                <w:b w:val="0"/>
                <w:bCs w:val="0"/>
                <w:kern w:val="2"/>
                <w:sz w:val="22"/>
                <w:szCs w:val="22"/>
                <w:highlight w:val="none"/>
              </w:rPr>
              <w:t>扣</w:t>
            </w:r>
            <w:r>
              <w:rPr>
                <w:rFonts w:hint="eastAsia" w:ascii="宋体" w:hAnsi="宋体" w:cs="宋体"/>
                <w:b w:val="0"/>
                <w:bCs w:val="0"/>
                <w:kern w:val="2"/>
                <w:sz w:val="22"/>
                <w:szCs w:val="22"/>
                <w:highlight w:val="none"/>
                <w:lang w:val="en-US" w:eastAsia="zh-CN"/>
              </w:rPr>
              <w:t>1</w:t>
            </w:r>
            <w:r>
              <w:rPr>
                <w:rFonts w:hint="eastAsia" w:ascii="宋体" w:hAnsi="宋体" w:eastAsia="宋体" w:cs="宋体"/>
                <w:b w:val="0"/>
                <w:bCs w:val="0"/>
                <w:kern w:val="2"/>
                <w:sz w:val="22"/>
                <w:szCs w:val="22"/>
                <w:highlight w:val="none"/>
              </w:rPr>
              <w:t>分；无按管养标准及养护计划实施</w:t>
            </w:r>
            <w:r>
              <w:rPr>
                <w:rFonts w:hint="eastAsia" w:ascii="宋体" w:hAnsi="宋体" w:cs="宋体"/>
                <w:b w:val="0"/>
                <w:bCs w:val="0"/>
                <w:kern w:val="2"/>
                <w:sz w:val="22"/>
                <w:szCs w:val="22"/>
                <w:highlight w:val="none"/>
                <w:lang w:val="en-US" w:eastAsia="zh-CN"/>
              </w:rPr>
              <w:t>每项</w:t>
            </w:r>
            <w:r>
              <w:rPr>
                <w:rFonts w:hint="eastAsia" w:ascii="宋体" w:hAnsi="宋体" w:eastAsia="宋体" w:cs="宋体"/>
                <w:b w:val="0"/>
                <w:bCs w:val="0"/>
                <w:kern w:val="2"/>
                <w:sz w:val="22"/>
                <w:szCs w:val="22"/>
                <w:highlight w:val="none"/>
              </w:rPr>
              <w:t>扣</w:t>
            </w:r>
            <w:r>
              <w:rPr>
                <w:rFonts w:hint="eastAsia" w:ascii="宋体" w:hAnsi="宋体" w:cs="宋体"/>
                <w:b w:val="0"/>
                <w:bCs w:val="0"/>
                <w:kern w:val="2"/>
                <w:sz w:val="22"/>
                <w:szCs w:val="22"/>
                <w:highlight w:val="none"/>
                <w:lang w:val="en-US" w:eastAsia="zh-CN"/>
              </w:rPr>
              <w:t>2</w:t>
            </w:r>
            <w:r>
              <w:rPr>
                <w:rFonts w:hint="eastAsia" w:ascii="宋体" w:hAnsi="宋体" w:eastAsia="宋体" w:cs="宋体"/>
                <w:b w:val="0"/>
                <w:bCs w:val="0"/>
                <w:kern w:val="2"/>
                <w:sz w:val="22"/>
                <w:szCs w:val="22"/>
                <w:highlight w:val="none"/>
              </w:rPr>
              <w:t>分。</w:t>
            </w:r>
          </w:p>
        </w:tc>
        <w:tc>
          <w:tcPr>
            <w:tcW w:w="1107" w:type="dxa"/>
            <w:tcBorders>
              <w:top w:val="nil"/>
              <w:left w:val="nil"/>
              <w:bottom w:val="single" w:color="auto" w:sz="4" w:space="0"/>
              <w:right w:val="single" w:color="auto" w:sz="4" w:space="0"/>
            </w:tcBorders>
            <w:noWrap w:val="0"/>
            <w:vAlign w:val="center"/>
          </w:tcPr>
          <w:p w14:paraId="53EC4C16">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w:t>
            </w:r>
          </w:p>
        </w:tc>
      </w:tr>
      <w:tr w14:paraId="4E447F9C">
        <w:tblPrEx>
          <w:tblCellMar>
            <w:top w:w="0" w:type="dxa"/>
            <w:left w:w="108" w:type="dxa"/>
            <w:bottom w:w="0" w:type="dxa"/>
            <w:right w:w="108" w:type="dxa"/>
          </w:tblCellMar>
        </w:tblPrEx>
        <w:trPr>
          <w:trHeight w:val="567" w:hRule="atLeast"/>
        </w:trPr>
        <w:tc>
          <w:tcPr>
            <w:tcW w:w="577" w:type="dxa"/>
            <w:tcBorders>
              <w:top w:val="nil"/>
              <w:left w:val="single" w:color="auto" w:sz="4" w:space="0"/>
              <w:bottom w:val="single" w:color="auto" w:sz="4" w:space="0"/>
              <w:right w:val="single" w:color="auto" w:sz="4" w:space="0"/>
            </w:tcBorders>
            <w:noWrap w:val="0"/>
            <w:vAlign w:val="center"/>
          </w:tcPr>
          <w:p w14:paraId="497B4956">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2</w:t>
            </w:r>
          </w:p>
        </w:tc>
        <w:tc>
          <w:tcPr>
            <w:tcW w:w="3394" w:type="dxa"/>
            <w:tcBorders>
              <w:top w:val="single" w:color="auto" w:sz="4" w:space="0"/>
              <w:left w:val="nil"/>
              <w:bottom w:val="single" w:color="auto" w:sz="4" w:space="0"/>
              <w:right w:val="single" w:color="000000" w:sz="4" w:space="0"/>
            </w:tcBorders>
            <w:noWrap w:val="0"/>
            <w:vAlign w:val="center"/>
          </w:tcPr>
          <w:p w14:paraId="74DDF452">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按</w:t>
            </w:r>
            <w:r>
              <w:rPr>
                <w:rFonts w:hint="eastAsia" w:ascii="宋体" w:hAnsi="宋体" w:cs="宋体"/>
                <w:b w:val="0"/>
                <w:bCs w:val="0"/>
                <w:kern w:val="2"/>
                <w:sz w:val="22"/>
                <w:szCs w:val="22"/>
                <w:highlight w:val="none"/>
                <w:lang w:val="en-US" w:eastAsia="zh-CN"/>
              </w:rPr>
              <w:t>养护现场</w:t>
            </w:r>
            <w:r>
              <w:rPr>
                <w:rFonts w:hint="eastAsia" w:ascii="宋体" w:hAnsi="宋体" w:eastAsia="宋体" w:cs="宋体"/>
                <w:b w:val="0"/>
                <w:bCs w:val="0"/>
                <w:kern w:val="2"/>
                <w:sz w:val="22"/>
                <w:szCs w:val="22"/>
                <w:highlight w:val="none"/>
              </w:rPr>
              <w:t>规定要求配制的人员及养护机械、作业车辆，车辆、人员安全作业规范操作；交通干道及必要路段须做好现场及个人安全警示措施。</w:t>
            </w:r>
          </w:p>
        </w:tc>
        <w:tc>
          <w:tcPr>
            <w:tcW w:w="973" w:type="dxa"/>
            <w:tcBorders>
              <w:top w:val="nil"/>
              <w:left w:val="nil"/>
              <w:bottom w:val="single" w:color="auto" w:sz="4" w:space="0"/>
              <w:right w:val="single" w:color="auto" w:sz="4" w:space="0"/>
            </w:tcBorders>
            <w:noWrap w:val="0"/>
            <w:vAlign w:val="center"/>
          </w:tcPr>
          <w:p w14:paraId="359890DB">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10分</w:t>
            </w:r>
          </w:p>
        </w:tc>
        <w:tc>
          <w:tcPr>
            <w:tcW w:w="3669" w:type="dxa"/>
            <w:tcBorders>
              <w:top w:val="single" w:color="auto" w:sz="4" w:space="0"/>
              <w:left w:val="nil"/>
              <w:bottom w:val="single" w:color="auto" w:sz="4" w:space="0"/>
              <w:right w:val="single" w:color="auto" w:sz="4" w:space="0"/>
            </w:tcBorders>
            <w:noWrap w:val="0"/>
            <w:vAlign w:val="center"/>
          </w:tcPr>
          <w:p w14:paraId="2BEF1EB9">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人员配制少于</w:t>
            </w:r>
            <w:r>
              <w:rPr>
                <w:rFonts w:hint="eastAsia" w:ascii="宋体" w:hAnsi="宋体" w:cs="宋体"/>
                <w:b w:val="0"/>
                <w:bCs w:val="0"/>
                <w:kern w:val="2"/>
                <w:sz w:val="22"/>
                <w:szCs w:val="22"/>
                <w:highlight w:val="none"/>
                <w:lang w:val="en-US" w:eastAsia="zh-CN"/>
              </w:rPr>
              <w:t>85</w:t>
            </w:r>
            <w:r>
              <w:rPr>
                <w:rFonts w:hint="eastAsia" w:ascii="宋体" w:hAnsi="宋体" w:eastAsia="宋体" w:cs="宋体"/>
                <w:b w:val="0"/>
                <w:bCs w:val="0"/>
                <w:kern w:val="2"/>
                <w:sz w:val="22"/>
                <w:szCs w:val="22"/>
                <w:highlight w:val="none"/>
              </w:rPr>
              <w:t>%扣</w:t>
            </w:r>
            <w:r>
              <w:rPr>
                <w:rFonts w:hint="eastAsia" w:ascii="宋体" w:hAnsi="宋体" w:cs="宋体"/>
                <w:b w:val="0"/>
                <w:bCs w:val="0"/>
                <w:kern w:val="2"/>
                <w:sz w:val="22"/>
                <w:szCs w:val="22"/>
                <w:highlight w:val="none"/>
                <w:lang w:val="en-US" w:eastAsia="zh-CN"/>
              </w:rPr>
              <w:t>0.5</w:t>
            </w:r>
            <w:r>
              <w:rPr>
                <w:rFonts w:hint="eastAsia" w:ascii="宋体" w:hAnsi="宋体" w:eastAsia="宋体" w:cs="宋体"/>
                <w:b w:val="0"/>
                <w:bCs w:val="0"/>
                <w:kern w:val="2"/>
                <w:sz w:val="22"/>
                <w:szCs w:val="22"/>
                <w:highlight w:val="none"/>
              </w:rPr>
              <w:t>分,少于7</w:t>
            </w:r>
            <w:r>
              <w:rPr>
                <w:rFonts w:hint="eastAsia" w:ascii="宋体" w:hAnsi="宋体" w:cs="宋体"/>
                <w:b w:val="0"/>
                <w:bCs w:val="0"/>
                <w:kern w:val="2"/>
                <w:sz w:val="22"/>
                <w:szCs w:val="22"/>
                <w:highlight w:val="none"/>
                <w:lang w:val="en-US" w:eastAsia="zh-CN"/>
              </w:rPr>
              <w:t>5</w:t>
            </w:r>
            <w:r>
              <w:rPr>
                <w:rFonts w:hint="eastAsia" w:ascii="宋体" w:hAnsi="宋体" w:eastAsia="宋体" w:cs="宋体"/>
                <w:b w:val="0"/>
                <w:bCs w:val="0"/>
                <w:kern w:val="2"/>
                <w:sz w:val="22"/>
                <w:szCs w:val="22"/>
                <w:highlight w:val="none"/>
              </w:rPr>
              <w:t>%的扣</w:t>
            </w:r>
            <w:r>
              <w:rPr>
                <w:rFonts w:hint="eastAsia" w:ascii="宋体" w:hAnsi="宋体" w:cs="宋体"/>
                <w:b w:val="0"/>
                <w:bCs w:val="0"/>
                <w:kern w:val="2"/>
                <w:sz w:val="22"/>
                <w:szCs w:val="22"/>
                <w:highlight w:val="none"/>
                <w:lang w:val="en-US" w:eastAsia="zh-CN"/>
              </w:rPr>
              <w:t>1</w:t>
            </w:r>
            <w:r>
              <w:rPr>
                <w:rFonts w:hint="eastAsia" w:ascii="宋体" w:hAnsi="宋体" w:eastAsia="宋体" w:cs="宋体"/>
                <w:b w:val="0"/>
                <w:bCs w:val="0"/>
                <w:kern w:val="2"/>
                <w:sz w:val="22"/>
                <w:szCs w:val="22"/>
                <w:highlight w:val="none"/>
              </w:rPr>
              <w:t>分,少于50%扣</w:t>
            </w:r>
            <w:r>
              <w:rPr>
                <w:rFonts w:hint="eastAsia" w:ascii="宋体" w:hAnsi="宋体" w:cs="宋体"/>
                <w:b w:val="0"/>
                <w:bCs w:val="0"/>
                <w:kern w:val="2"/>
                <w:sz w:val="22"/>
                <w:szCs w:val="22"/>
                <w:highlight w:val="none"/>
                <w:lang w:val="en-US" w:eastAsia="zh-CN"/>
              </w:rPr>
              <w:t>3</w:t>
            </w:r>
            <w:r>
              <w:rPr>
                <w:rFonts w:hint="eastAsia" w:ascii="宋体" w:hAnsi="宋体" w:eastAsia="宋体" w:cs="宋体"/>
                <w:b w:val="0"/>
                <w:bCs w:val="0"/>
                <w:kern w:val="2"/>
                <w:sz w:val="22"/>
                <w:szCs w:val="22"/>
                <w:highlight w:val="none"/>
              </w:rPr>
              <w:t>分</w:t>
            </w:r>
            <w:r>
              <w:rPr>
                <w:rFonts w:hint="eastAsia" w:ascii="宋体" w:hAnsi="宋体" w:cs="宋体"/>
                <w:b w:val="0"/>
                <w:bCs w:val="0"/>
                <w:kern w:val="2"/>
                <w:sz w:val="22"/>
                <w:szCs w:val="22"/>
                <w:highlight w:val="none"/>
                <w:lang w:eastAsia="zh-CN"/>
              </w:rPr>
              <w:t>；</w:t>
            </w:r>
            <w:r>
              <w:rPr>
                <w:rFonts w:hint="eastAsia" w:ascii="宋体" w:hAnsi="宋体" w:eastAsia="宋体" w:cs="宋体"/>
                <w:b w:val="0"/>
                <w:bCs w:val="0"/>
                <w:kern w:val="2"/>
                <w:sz w:val="22"/>
                <w:szCs w:val="22"/>
                <w:highlight w:val="none"/>
              </w:rPr>
              <w:t>未按规定配制作业车辆的扣1分</w:t>
            </w:r>
            <w:r>
              <w:rPr>
                <w:rFonts w:hint="eastAsia" w:ascii="宋体" w:hAnsi="宋体" w:cs="宋体"/>
                <w:b w:val="0"/>
                <w:bCs w:val="0"/>
                <w:kern w:val="2"/>
                <w:sz w:val="22"/>
                <w:szCs w:val="22"/>
                <w:highlight w:val="none"/>
                <w:lang w:eastAsia="zh-CN"/>
              </w:rPr>
              <w:t>；</w:t>
            </w:r>
            <w:r>
              <w:rPr>
                <w:rFonts w:hint="eastAsia" w:ascii="宋体" w:hAnsi="宋体" w:eastAsia="宋体" w:cs="宋体"/>
                <w:b w:val="0"/>
                <w:bCs w:val="0"/>
                <w:kern w:val="2"/>
                <w:sz w:val="22"/>
                <w:szCs w:val="22"/>
                <w:highlight w:val="none"/>
              </w:rPr>
              <w:t>发现一人违反安全作业扣</w:t>
            </w:r>
            <w:r>
              <w:rPr>
                <w:rFonts w:hint="eastAsia" w:ascii="宋体" w:hAnsi="宋体" w:cs="宋体"/>
                <w:b w:val="0"/>
                <w:bCs w:val="0"/>
                <w:kern w:val="2"/>
                <w:sz w:val="22"/>
                <w:szCs w:val="22"/>
                <w:highlight w:val="none"/>
                <w:lang w:val="en-US" w:eastAsia="zh-CN"/>
              </w:rPr>
              <w:t>0.5</w:t>
            </w:r>
            <w:r>
              <w:rPr>
                <w:rFonts w:hint="eastAsia" w:ascii="宋体" w:hAnsi="宋体" w:eastAsia="宋体" w:cs="宋体"/>
                <w:b w:val="0"/>
                <w:bCs w:val="0"/>
                <w:kern w:val="2"/>
                <w:sz w:val="22"/>
                <w:szCs w:val="22"/>
                <w:highlight w:val="none"/>
              </w:rPr>
              <w:t>分；交通干道及必要路段现场秩序及个人无安全警示措施的扣3分。</w:t>
            </w:r>
          </w:p>
        </w:tc>
        <w:tc>
          <w:tcPr>
            <w:tcW w:w="1107" w:type="dxa"/>
            <w:tcBorders>
              <w:top w:val="nil"/>
              <w:left w:val="nil"/>
              <w:bottom w:val="single" w:color="auto" w:sz="4" w:space="0"/>
              <w:right w:val="single" w:color="auto" w:sz="4" w:space="0"/>
            </w:tcBorders>
            <w:noWrap w:val="0"/>
            <w:vAlign w:val="center"/>
          </w:tcPr>
          <w:p w14:paraId="4EFCE1FD">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w:t>
            </w:r>
          </w:p>
        </w:tc>
      </w:tr>
      <w:tr w14:paraId="23770753">
        <w:tblPrEx>
          <w:tblCellMar>
            <w:top w:w="0" w:type="dxa"/>
            <w:left w:w="108" w:type="dxa"/>
            <w:bottom w:w="0" w:type="dxa"/>
            <w:right w:w="108" w:type="dxa"/>
          </w:tblCellMar>
        </w:tblPrEx>
        <w:trPr>
          <w:trHeight w:val="844" w:hRule="atLeast"/>
        </w:trPr>
        <w:tc>
          <w:tcPr>
            <w:tcW w:w="577" w:type="dxa"/>
            <w:tcBorders>
              <w:top w:val="nil"/>
              <w:left w:val="single" w:color="auto" w:sz="4" w:space="0"/>
              <w:bottom w:val="single" w:color="auto" w:sz="4" w:space="0"/>
              <w:right w:val="single" w:color="auto" w:sz="4" w:space="0"/>
            </w:tcBorders>
            <w:noWrap w:val="0"/>
            <w:vAlign w:val="center"/>
          </w:tcPr>
          <w:p w14:paraId="5E8AE5C8">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3</w:t>
            </w:r>
          </w:p>
        </w:tc>
        <w:tc>
          <w:tcPr>
            <w:tcW w:w="3394" w:type="dxa"/>
            <w:tcBorders>
              <w:top w:val="single" w:color="auto" w:sz="4" w:space="0"/>
              <w:left w:val="nil"/>
              <w:bottom w:val="single" w:color="auto" w:sz="4" w:space="0"/>
              <w:right w:val="single" w:color="000000" w:sz="4" w:space="0"/>
            </w:tcBorders>
            <w:noWrap w:val="0"/>
            <w:vAlign w:val="center"/>
          </w:tcPr>
          <w:p w14:paraId="10336ED0">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环境保护措施、及时清理施工生产垃圾。</w:t>
            </w:r>
          </w:p>
        </w:tc>
        <w:tc>
          <w:tcPr>
            <w:tcW w:w="973" w:type="dxa"/>
            <w:tcBorders>
              <w:top w:val="nil"/>
              <w:left w:val="nil"/>
              <w:bottom w:val="single" w:color="auto" w:sz="4" w:space="0"/>
              <w:right w:val="single" w:color="auto" w:sz="4" w:space="0"/>
            </w:tcBorders>
            <w:noWrap w:val="0"/>
            <w:vAlign w:val="center"/>
          </w:tcPr>
          <w:p w14:paraId="1F154C82">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10分</w:t>
            </w:r>
          </w:p>
        </w:tc>
        <w:tc>
          <w:tcPr>
            <w:tcW w:w="3669" w:type="dxa"/>
            <w:tcBorders>
              <w:top w:val="single" w:color="auto" w:sz="4" w:space="0"/>
              <w:left w:val="nil"/>
              <w:bottom w:val="single" w:color="auto" w:sz="4" w:space="0"/>
              <w:right w:val="single" w:color="auto" w:sz="4" w:space="0"/>
            </w:tcBorders>
            <w:noWrap w:val="0"/>
            <w:vAlign w:val="center"/>
          </w:tcPr>
          <w:p w14:paraId="3CE28B8C">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未及时清理施工生产垃圾、生产垃圾过夜，每处扣</w:t>
            </w:r>
            <w:r>
              <w:rPr>
                <w:rFonts w:hint="eastAsia" w:ascii="宋体" w:hAnsi="宋体" w:cs="宋体"/>
                <w:b w:val="0"/>
                <w:bCs w:val="0"/>
                <w:kern w:val="2"/>
                <w:sz w:val="22"/>
                <w:szCs w:val="22"/>
                <w:highlight w:val="none"/>
                <w:lang w:val="en-US" w:eastAsia="zh-CN"/>
              </w:rPr>
              <w:t>1</w:t>
            </w:r>
            <w:r>
              <w:rPr>
                <w:rFonts w:hint="eastAsia" w:ascii="宋体" w:hAnsi="宋体" w:eastAsia="宋体" w:cs="宋体"/>
                <w:b w:val="0"/>
                <w:bCs w:val="0"/>
                <w:kern w:val="2"/>
                <w:sz w:val="22"/>
                <w:szCs w:val="22"/>
                <w:highlight w:val="none"/>
              </w:rPr>
              <w:t>分</w:t>
            </w:r>
            <w:r>
              <w:rPr>
                <w:rFonts w:hint="eastAsia" w:ascii="宋体" w:hAnsi="宋体" w:cs="宋体"/>
                <w:b w:val="0"/>
                <w:bCs w:val="0"/>
                <w:kern w:val="2"/>
                <w:sz w:val="22"/>
                <w:szCs w:val="22"/>
                <w:highlight w:val="none"/>
                <w:lang w:val="en-US" w:eastAsia="zh-CN"/>
              </w:rPr>
              <w:t>。</w:t>
            </w:r>
            <w:r>
              <w:rPr>
                <w:rFonts w:hint="eastAsia" w:ascii="宋体" w:hAnsi="宋体" w:eastAsia="宋体" w:cs="宋体"/>
                <w:b w:val="0"/>
                <w:bCs w:val="0"/>
                <w:kern w:val="2"/>
                <w:sz w:val="22"/>
                <w:szCs w:val="22"/>
                <w:highlight w:val="none"/>
              </w:rPr>
              <w:t xml:space="preserve">                                </w:t>
            </w:r>
          </w:p>
        </w:tc>
        <w:tc>
          <w:tcPr>
            <w:tcW w:w="1107" w:type="dxa"/>
            <w:tcBorders>
              <w:top w:val="nil"/>
              <w:left w:val="nil"/>
              <w:bottom w:val="single" w:color="auto" w:sz="4" w:space="0"/>
              <w:right w:val="single" w:color="auto" w:sz="4" w:space="0"/>
            </w:tcBorders>
            <w:noWrap w:val="0"/>
            <w:vAlign w:val="center"/>
          </w:tcPr>
          <w:p w14:paraId="53F3FCCA">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w:t>
            </w:r>
          </w:p>
        </w:tc>
      </w:tr>
      <w:tr w14:paraId="494BC205">
        <w:tblPrEx>
          <w:tblCellMar>
            <w:top w:w="0" w:type="dxa"/>
            <w:left w:w="108" w:type="dxa"/>
            <w:bottom w:w="0" w:type="dxa"/>
            <w:right w:w="108" w:type="dxa"/>
          </w:tblCellMar>
        </w:tblPrEx>
        <w:trPr>
          <w:trHeight w:val="567" w:hRule="atLeast"/>
        </w:trPr>
        <w:tc>
          <w:tcPr>
            <w:tcW w:w="577" w:type="dxa"/>
            <w:tcBorders>
              <w:top w:val="nil"/>
              <w:left w:val="single" w:color="auto" w:sz="4" w:space="0"/>
              <w:bottom w:val="single" w:color="auto" w:sz="4" w:space="0"/>
              <w:right w:val="single" w:color="auto" w:sz="4" w:space="0"/>
            </w:tcBorders>
            <w:noWrap w:val="0"/>
            <w:vAlign w:val="center"/>
          </w:tcPr>
          <w:p w14:paraId="3CCBD234">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4</w:t>
            </w:r>
          </w:p>
        </w:tc>
        <w:tc>
          <w:tcPr>
            <w:tcW w:w="3394" w:type="dxa"/>
            <w:tcBorders>
              <w:top w:val="single" w:color="auto" w:sz="4" w:space="0"/>
              <w:left w:val="nil"/>
              <w:bottom w:val="single" w:color="auto" w:sz="4" w:space="0"/>
              <w:right w:val="single" w:color="000000" w:sz="4" w:space="0"/>
            </w:tcBorders>
            <w:noWrap w:val="0"/>
            <w:vAlign w:val="center"/>
          </w:tcPr>
          <w:p w14:paraId="577410B1">
            <w:pPr>
              <w:pageBreakBefore w:val="0"/>
              <w:wordWrap/>
              <w:topLinePunct w:val="0"/>
              <w:bidi w:val="0"/>
              <w:snapToGrid w:val="0"/>
              <w:spacing w:beforeAutospacing="0" w:afterAutospacing="0" w:line="240" w:lineRule="auto"/>
              <w:rPr>
                <w:rFonts w:hint="eastAsia" w:ascii="宋体" w:hAnsi="宋体" w:eastAsia="宋体" w:cs="宋体"/>
                <w:b w:val="0"/>
                <w:bCs w:val="0"/>
                <w:kern w:val="2"/>
                <w:sz w:val="22"/>
                <w:szCs w:val="22"/>
                <w:highlight w:val="none"/>
              </w:rPr>
            </w:pPr>
            <w:r>
              <w:rPr>
                <w:rFonts w:hint="eastAsia" w:ascii="宋体" w:hAnsi="宋体" w:eastAsia="宋体" w:cs="宋体"/>
                <w:b w:val="0"/>
                <w:bCs w:val="0"/>
                <w:kern w:val="2"/>
                <w:sz w:val="22"/>
                <w:szCs w:val="22"/>
                <w:highlight w:val="none"/>
              </w:rPr>
              <w:t>施工组织、现场布置材料供应、资金流量、保道路畅通，质量保证措施，进度措施，安全措施等</w:t>
            </w:r>
          </w:p>
          <w:p w14:paraId="7CCD1A7C">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p>
        </w:tc>
        <w:tc>
          <w:tcPr>
            <w:tcW w:w="973" w:type="dxa"/>
            <w:tcBorders>
              <w:top w:val="nil"/>
              <w:left w:val="nil"/>
              <w:bottom w:val="single" w:color="auto" w:sz="4" w:space="0"/>
              <w:right w:val="single" w:color="auto" w:sz="4" w:space="0"/>
            </w:tcBorders>
            <w:noWrap w:val="0"/>
            <w:vAlign w:val="center"/>
          </w:tcPr>
          <w:p w14:paraId="7806A74F">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cs="宋体"/>
                <w:b w:val="0"/>
                <w:bCs w:val="0"/>
                <w:kern w:val="2"/>
                <w:sz w:val="22"/>
                <w:szCs w:val="22"/>
                <w:highlight w:val="none"/>
                <w:lang w:val="en-US" w:eastAsia="zh-CN"/>
              </w:rPr>
              <w:t>50</w:t>
            </w:r>
            <w:r>
              <w:rPr>
                <w:rFonts w:hint="eastAsia" w:ascii="宋体" w:hAnsi="宋体" w:eastAsia="宋体" w:cs="宋体"/>
                <w:b w:val="0"/>
                <w:bCs w:val="0"/>
                <w:kern w:val="2"/>
                <w:sz w:val="22"/>
                <w:szCs w:val="22"/>
                <w:highlight w:val="none"/>
              </w:rPr>
              <w:t>分</w:t>
            </w:r>
          </w:p>
        </w:tc>
        <w:tc>
          <w:tcPr>
            <w:tcW w:w="3669" w:type="dxa"/>
            <w:tcBorders>
              <w:top w:val="single" w:color="auto" w:sz="4" w:space="0"/>
              <w:left w:val="nil"/>
              <w:bottom w:val="single" w:color="auto" w:sz="4" w:space="0"/>
              <w:right w:val="single" w:color="auto" w:sz="4" w:space="0"/>
            </w:tcBorders>
            <w:noWrap w:val="0"/>
            <w:vAlign w:val="center"/>
          </w:tcPr>
          <w:p w14:paraId="09E3C933">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没有按照养护标准实施的酌情扣分：并就上述问题发出整改通知，如因同样问题未整改再发出整改通知书，每项将予2倍扣分。</w:t>
            </w:r>
          </w:p>
        </w:tc>
        <w:tc>
          <w:tcPr>
            <w:tcW w:w="1107" w:type="dxa"/>
            <w:tcBorders>
              <w:top w:val="nil"/>
              <w:left w:val="nil"/>
              <w:bottom w:val="single" w:color="auto" w:sz="4" w:space="0"/>
              <w:right w:val="single" w:color="auto" w:sz="4" w:space="0"/>
            </w:tcBorders>
            <w:noWrap w:val="0"/>
            <w:vAlign w:val="center"/>
          </w:tcPr>
          <w:p w14:paraId="4384191E">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w:t>
            </w:r>
          </w:p>
        </w:tc>
      </w:tr>
      <w:tr w14:paraId="2E6BFEAE">
        <w:tblPrEx>
          <w:tblCellMar>
            <w:top w:w="0" w:type="dxa"/>
            <w:left w:w="108" w:type="dxa"/>
            <w:bottom w:w="0" w:type="dxa"/>
            <w:right w:w="108" w:type="dxa"/>
          </w:tblCellMar>
        </w:tblPrEx>
        <w:trPr>
          <w:trHeight w:val="2454"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14:paraId="5E4B8A23">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5</w:t>
            </w:r>
          </w:p>
        </w:tc>
        <w:tc>
          <w:tcPr>
            <w:tcW w:w="3394" w:type="dxa"/>
            <w:tcBorders>
              <w:top w:val="single" w:color="auto" w:sz="4" w:space="0"/>
              <w:left w:val="nil"/>
              <w:bottom w:val="single" w:color="auto" w:sz="4" w:space="0"/>
              <w:right w:val="single" w:color="000000" w:sz="4" w:space="0"/>
            </w:tcBorders>
            <w:noWrap w:val="0"/>
            <w:vAlign w:val="center"/>
          </w:tcPr>
          <w:p w14:paraId="1CA4AA2A">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整改通知执行情况：能按时按质按量完成。</w:t>
            </w:r>
          </w:p>
        </w:tc>
        <w:tc>
          <w:tcPr>
            <w:tcW w:w="973" w:type="dxa"/>
            <w:tcBorders>
              <w:top w:val="single" w:color="auto" w:sz="4" w:space="0"/>
              <w:left w:val="nil"/>
              <w:bottom w:val="single" w:color="auto" w:sz="4" w:space="0"/>
              <w:right w:val="single" w:color="auto" w:sz="4" w:space="0"/>
            </w:tcBorders>
            <w:noWrap w:val="0"/>
            <w:vAlign w:val="center"/>
          </w:tcPr>
          <w:p w14:paraId="41429A6B">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15分</w:t>
            </w:r>
          </w:p>
        </w:tc>
        <w:tc>
          <w:tcPr>
            <w:tcW w:w="3669" w:type="dxa"/>
            <w:tcBorders>
              <w:top w:val="single" w:color="auto" w:sz="4" w:space="0"/>
              <w:left w:val="nil"/>
              <w:bottom w:val="single" w:color="auto" w:sz="4" w:space="0"/>
              <w:right w:val="single" w:color="auto" w:sz="4" w:space="0"/>
            </w:tcBorders>
            <w:noWrap w:val="0"/>
            <w:vAlign w:val="center"/>
          </w:tcPr>
          <w:p w14:paraId="72C092BC">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未予执行的扣</w:t>
            </w:r>
            <w:r>
              <w:rPr>
                <w:rFonts w:hint="eastAsia" w:ascii="宋体" w:hAnsi="宋体" w:cs="宋体"/>
                <w:b w:val="0"/>
                <w:bCs w:val="0"/>
                <w:kern w:val="2"/>
                <w:sz w:val="22"/>
                <w:szCs w:val="22"/>
                <w:highlight w:val="none"/>
                <w:lang w:val="en-US" w:eastAsia="zh-CN"/>
              </w:rPr>
              <w:t>10</w:t>
            </w:r>
            <w:r>
              <w:rPr>
                <w:rFonts w:hint="eastAsia" w:ascii="宋体" w:hAnsi="宋体" w:eastAsia="宋体" w:cs="宋体"/>
                <w:b w:val="0"/>
                <w:bCs w:val="0"/>
                <w:kern w:val="2"/>
                <w:sz w:val="22"/>
                <w:szCs w:val="22"/>
                <w:highlight w:val="none"/>
              </w:rPr>
              <w:t>分；未完成或未达到要求一次扣</w:t>
            </w:r>
            <w:r>
              <w:rPr>
                <w:rFonts w:hint="eastAsia" w:ascii="宋体" w:hAnsi="宋体" w:cs="宋体"/>
                <w:b w:val="0"/>
                <w:bCs w:val="0"/>
                <w:kern w:val="2"/>
                <w:sz w:val="22"/>
                <w:szCs w:val="22"/>
                <w:highlight w:val="none"/>
                <w:lang w:val="en-US" w:eastAsia="zh-CN"/>
              </w:rPr>
              <w:t>3</w:t>
            </w:r>
            <w:r>
              <w:rPr>
                <w:rFonts w:hint="eastAsia" w:ascii="宋体" w:hAnsi="宋体" w:eastAsia="宋体" w:cs="宋体"/>
                <w:b w:val="0"/>
                <w:bCs w:val="0"/>
                <w:kern w:val="2"/>
                <w:sz w:val="22"/>
                <w:szCs w:val="22"/>
                <w:highlight w:val="none"/>
              </w:rPr>
              <w:t>分,两次以上整改未达要求扣</w:t>
            </w:r>
            <w:r>
              <w:rPr>
                <w:rFonts w:hint="eastAsia" w:ascii="宋体" w:hAnsi="宋体" w:cs="宋体"/>
                <w:b w:val="0"/>
                <w:bCs w:val="0"/>
                <w:kern w:val="2"/>
                <w:sz w:val="22"/>
                <w:szCs w:val="22"/>
                <w:highlight w:val="none"/>
                <w:lang w:val="en-US" w:eastAsia="zh-CN"/>
              </w:rPr>
              <w:t>5</w:t>
            </w:r>
            <w:r>
              <w:rPr>
                <w:rFonts w:hint="eastAsia" w:ascii="宋体" w:hAnsi="宋体" w:eastAsia="宋体" w:cs="宋体"/>
                <w:b w:val="0"/>
                <w:bCs w:val="0"/>
                <w:kern w:val="2"/>
                <w:sz w:val="22"/>
                <w:szCs w:val="22"/>
                <w:highlight w:val="none"/>
              </w:rPr>
              <w:t>分。（第一次日常考核考核上个月考核发出整改通知的执行情况；第二次日常考核考核第一次日考核发出整改通知的执行情况；月考核考核第二次日常考核发出整改通知的执行情况。）</w:t>
            </w:r>
          </w:p>
        </w:tc>
        <w:tc>
          <w:tcPr>
            <w:tcW w:w="1107" w:type="dxa"/>
            <w:tcBorders>
              <w:top w:val="single" w:color="auto" w:sz="4" w:space="0"/>
              <w:left w:val="nil"/>
              <w:bottom w:val="single" w:color="auto" w:sz="4" w:space="0"/>
              <w:right w:val="single" w:color="auto" w:sz="4" w:space="0"/>
            </w:tcBorders>
            <w:noWrap w:val="0"/>
            <w:vAlign w:val="center"/>
          </w:tcPr>
          <w:p w14:paraId="5CE9F911">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w:t>
            </w:r>
          </w:p>
        </w:tc>
      </w:tr>
      <w:tr w14:paraId="2A3081C3">
        <w:tblPrEx>
          <w:tblCellMar>
            <w:top w:w="0" w:type="dxa"/>
            <w:left w:w="108" w:type="dxa"/>
            <w:bottom w:w="0" w:type="dxa"/>
            <w:right w:w="108" w:type="dxa"/>
          </w:tblCellMar>
        </w:tblPrEx>
        <w:trPr>
          <w:trHeight w:val="567" w:hRule="atLeast"/>
        </w:trPr>
        <w:tc>
          <w:tcPr>
            <w:tcW w:w="577" w:type="dxa"/>
            <w:tcBorders>
              <w:top w:val="nil"/>
              <w:left w:val="single" w:color="auto" w:sz="4" w:space="0"/>
              <w:bottom w:val="single" w:color="auto" w:sz="4" w:space="0"/>
              <w:right w:val="single" w:color="auto" w:sz="4" w:space="0"/>
            </w:tcBorders>
            <w:noWrap w:val="0"/>
            <w:vAlign w:val="center"/>
          </w:tcPr>
          <w:p w14:paraId="6B440A13">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6</w:t>
            </w:r>
          </w:p>
        </w:tc>
        <w:tc>
          <w:tcPr>
            <w:tcW w:w="3394" w:type="dxa"/>
            <w:tcBorders>
              <w:top w:val="single" w:color="auto" w:sz="4" w:space="0"/>
              <w:left w:val="nil"/>
              <w:bottom w:val="single" w:color="auto" w:sz="4" w:space="0"/>
              <w:right w:val="single" w:color="000000" w:sz="4" w:space="0"/>
            </w:tcBorders>
            <w:noWrap w:val="0"/>
            <w:vAlign w:val="center"/>
          </w:tcPr>
          <w:p w14:paraId="02FFF13A">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作业时间对损坏公路设施、污染破坏花草树木、构筑物的行为不能有效制止。</w:t>
            </w:r>
          </w:p>
        </w:tc>
        <w:tc>
          <w:tcPr>
            <w:tcW w:w="973" w:type="dxa"/>
            <w:tcBorders>
              <w:top w:val="nil"/>
              <w:left w:val="nil"/>
              <w:bottom w:val="single" w:color="auto" w:sz="4" w:space="0"/>
              <w:right w:val="single" w:color="auto" w:sz="4" w:space="0"/>
            </w:tcBorders>
            <w:noWrap w:val="0"/>
            <w:vAlign w:val="center"/>
          </w:tcPr>
          <w:p w14:paraId="00504BFD">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5分</w:t>
            </w:r>
          </w:p>
        </w:tc>
        <w:tc>
          <w:tcPr>
            <w:tcW w:w="3669" w:type="dxa"/>
            <w:tcBorders>
              <w:top w:val="single" w:color="auto" w:sz="4" w:space="0"/>
              <w:left w:val="nil"/>
              <w:bottom w:val="single" w:color="auto" w:sz="4" w:space="0"/>
              <w:right w:val="single" w:color="auto" w:sz="4" w:space="0"/>
            </w:tcBorders>
            <w:noWrap w:val="0"/>
            <w:vAlign w:val="center"/>
          </w:tcPr>
          <w:p w14:paraId="5DD35A77">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发现一处扣1分。</w:t>
            </w:r>
          </w:p>
        </w:tc>
        <w:tc>
          <w:tcPr>
            <w:tcW w:w="1107" w:type="dxa"/>
            <w:tcBorders>
              <w:top w:val="nil"/>
              <w:left w:val="nil"/>
              <w:bottom w:val="single" w:color="auto" w:sz="4" w:space="0"/>
              <w:right w:val="single" w:color="auto" w:sz="4" w:space="0"/>
            </w:tcBorders>
            <w:noWrap w:val="0"/>
            <w:vAlign w:val="center"/>
          </w:tcPr>
          <w:p w14:paraId="34D16111">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w:t>
            </w:r>
          </w:p>
        </w:tc>
      </w:tr>
      <w:tr w14:paraId="607C91A8">
        <w:tblPrEx>
          <w:tblCellMar>
            <w:top w:w="0" w:type="dxa"/>
            <w:left w:w="108" w:type="dxa"/>
            <w:bottom w:w="0" w:type="dxa"/>
            <w:right w:w="108" w:type="dxa"/>
          </w:tblCellMar>
        </w:tblPrEx>
        <w:trPr>
          <w:trHeight w:val="753" w:hRule="atLeast"/>
        </w:trPr>
        <w:tc>
          <w:tcPr>
            <w:tcW w:w="577" w:type="dxa"/>
            <w:tcBorders>
              <w:top w:val="nil"/>
              <w:left w:val="single" w:color="auto" w:sz="4" w:space="0"/>
              <w:bottom w:val="single" w:color="auto" w:sz="4" w:space="0"/>
              <w:right w:val="single" w:color="auto" w:sz="4" w:space="0"/>
            </w:tcBorders>
            <w:noWrap w:val="0"/>
            <w:vAlign w:val="center"/>
          </w:tcPr>
          <w:p w14:paraId="4B43BE6C">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合计</w:t>
            </w:r>
          </w:p>
        </w:tc>
        <w:tc>
          <w:tcPr>
            <w:tcW w:w="8036" w:type="dxa"/>
            <w:gridSpan w:val="3"/>
            <w:tcBorders>
              <w:top w:val="single" w:color="auto" w:sz="4" w:space="0"/>
              <w:left w:val="nil"/>
              <w:bottom w:val="single" w:color="auto" w:sz="4" w:space="0"/>
              <w:right w:val="single" w:color="auto" w:sz="4" w:space="0"/>
            </w:tcBorders>
            <w:noWrap w:val="0"/>
            <w:vAlign w:val="center"/>
          </w:tcPr>
          <w:p w14:paraId="1A484449">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p>
        </w:tc>
        <w:tc>
          <w:tcPr>
            <w:tcW w:w="1107" w:type="dxa"/>
            <w:tcBorders>
              <w:top w:val="nil"/>
              <w:left w:val="nil"/>
              <w:bottom w:val="single" w:color="auto" w:sz="4" w:space="0"/>
              <w:right w:val="single" w:color="auto" w:sz="4" w:space="0"/>
            </w:tcBorders>
            <w:noWrap w:val="0"/>
            <w:vAlign w:val="center"/>
          </w:tcPr>
          <w:p w14:paraId="79C23C8A">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p>
        </w:tc>
      </w:tr>
      <w:tr w14:paraId="24E26559">
        <w:tblPrEx>
          <w:tblCellMar>
            <w:top w:w="0" w:type="dxa"/>
            <w:left w:w="108" w:type="dxa"/>
            <w:bottom w:w="0" w:type="dxa"/>
            <w:right w:w="108" w:type="dxa"/>
          </w:tblCellMar>
        </w:tblPrEx>
        <w:trPr>
          <w:trHeight w:val="642" w:hRule="atLeast"/>
        </w:trPr>
        <w:tc>
          <w:tcPr>
            <w:tcW w:w="9720" w:type="dxa"/>
            <w:gridSpan w:val="5"/>
            <w:tcBorders>
              <w:top w:val="nil"/>
              <w:left w:val="single" w:color="auto" w:sz="4" w:space="0"/>
              <w:bottom w:val="single" w:color="auto" w:sz="4" w:space="0"/>
              <w:right w:val="single" w:color="auto" w:sz="4" w:space="0"/>
            </w:tcBorders>
            <w:noWrap w:val="0"/>
            <w:vAlign w:val="center"/>
          </w:tcPr>
          <w:p w14:paraId="06992366">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Cs w:val="0"/>
                <w:kern w:val="2"/>
                <w:sz w:val="22"/>
                <w:szCs w:val="22"/>
                <w:highlight w:val="none"/>
              </w:rPr>
              <w:t>养护公司需每月向</w:t>
            </w:r>
            <w:r>
              <w:rPr>
                <w:rFonts w:hint="eastAsia" w:ascii="宋体" w:hAnsi="宋体" w:eastAsia="宋体" w:cs="宋体"/>
                <w:bCs w:val="0"/>
                <w:kern w:val="2"/>
                <w:sz w:val="22"/>
                <w:szCs w:val="22"/>
                <w:highlight w:val="none"/>
                <w:lang w:eastAsia="zh-CN"/>
              </w:rPr>
              <w:t>永嘉县公路与运输管理中心</w:t>
            </w:r>
            <w:r>
              <w:rPr>
                <w:rFonts w:hint="eastAsia" w:ascii="宋体" w:hAnsi="宋体" w:eastAsia="宋体" w:cs="宋体"/>
                <w:bCs w:val="0"/>
                <w:kern w:val="2"/>
                <w:sz w:val="22"/>
                <w:szCs w:val="22"/>
                <w:highlight w:val="none"/>
              </w:rPr>
              <w:t>提供养护日志。</w:t>
            </w:r>
          </w:p>
        </w:tc>
      </w:tr>
    </w:tbl>
    <w:p w14:paraId="76B29BE1">
      <w:pPr>
        <w:pageBreakBefore w:val="0"/>
        <w:wordWrap/>
        <w:topLinePunct w:val="0"/>
        <w:bidi w:val="0"/>
        <w:adjustRightInd w:val="0"/>
        <w:snapToGrid w:val="0"/>
        <w:spacing w:beforeAutospacing="0" w:afterAutospacing="0" w:line="240" w:lineRule="auto"/>
        <w:rPr>
          <w:rFonts w:hint="eastAsia" w:ascii="宋体" w:hAnsi="宋体" w:eastAsia="宋体" w:cs="宋体"/>
          <w:b w:val="0"/>
          <w:bCs w:val="0"/>
          <w:kern w:val="2"/>
          <w:sz w:val="22"/>
          <w:szCs w:val="22"/>
          <w:highlight w:val="none"/>
        </w:rPr>
      </w:pPr>
      <w:r>
        <w:rPr>
          <w:rFonts w:hint="eastAsia" w:ascii="宋体" w:hAnsi="宋体" w:eastAsia="宋体" w:cs="宋体"/>
          <w:b w:val="0"/>
          <w:bCs w:val="0"/>
          <w:kern w:val="2"/>
          <w:sz w:val="22"/>
          <w:szCs w:val="22"/>
          <w:highlight w:val="none"/>
        </w:rPr>
        <w:t>考核人员：                                         日期：</w:t>
      </w:r>
    </w:p>
    <w:p w14:paraId="09DF58C3">
      <w:pPr>
        <w:pageBreakBefore w:val="0"/>
        <w:wordWrap/>
        <w:topLinePunct w:val="0"/>
        <w:bidi w:val="0"/>
        <w:adjustRightInd w:val="0"/>
        <w:snapToGrid w:val="0"/>
        <w:spacing w:beforeAutospacing="0" w:afterAutospacing="0" w:line="240" w:lineRule="auto"/>
        <w:rPr>
          <w:rFonts w:hint="eastAsia" w:ascii="宋体" w:hAnsi="宋体" w:eastAsia="宋体" w:cs="宋体"/>
          <w:bCs w:val="0"/>
          <w:kern w:val="2"/>
          <w:sz w:val="22"/>
          <w:szCs w:val="22"/>
          <w:highlight w:val="none"/>
        </w:rPr>
      </w:pPr>
    </w:p>
    <w:p w14:paraId="023121E7">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p>
    <w:p w14:paraId="29BED2B7">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p>
    <w:p w14:paraId="023F1685">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Cs w:val="0"/>
          <w:kern w:val="2"/>
          <w:sz w:val="22"/>
          <w:szCs w:val="22"/>
          <w:highlight w:val="none"/>
        </w:rPr>
        <w:br w:type="page"/>
      </w:r>
      <w:r>
        <w:rPr>
          <w:rFonts w:hint="eastAsia" w:ascii="宋体" w:hAnsi="宋体" w:eastAsia="宋体" w:cs="宋体"/>
          <w:bCs w:val="0"/>
          <w:kern w:val="2"/>
          <w:sz w:val="22"/>
          <w:szCs w:val="22"/>
          <w:highlight w:val="none"/>
        </w:rPr>
        <w:t>路面灌缝项目考核细则（</w:t>
      </w:r>
      <w:r>
        <w:rPr>
          <w:rFonts w:hint="eastAsia" w:ascii="宋体" w:hAnsi="宋体" w:cs="宋体"/>
          <w:bCs w:val="0"/>
          <w:kern w:val="2"/>
          <w:sz w:val="22"/>
          <w:szCs w:val="22"/>
          <w:highlight w:val="none"/>
          <w:lang w:val="en-US" w:eastAsia="zh-CN"/>
        </w:rPr>
        <w:t>季</w:t>
      </w:r>
      <w:r>
        <w:rPr>
          <w:rFonts w:hint="eastAsia" w:ascii="宋体" w:hAnsi="宋体" w:eastAsia="宋体" w:cs="宋体"/>
          <w:bCs w:val="0"/>
          <w:kern w:val="2"/>
          <w:sz w:val="22"/>
          <w:szCs w:val="22"/>
          <w:highlight w:val="none"/>
        </w:rPr>
        <w:t>）</w:t>
      </w:r>
    </w:p>
    <w:p w14:paraId="15EA6FCB">
      <w:pPr>
        <w:pageBreakBefore w:val="0"/>
        <w:wordWrap/>
        <w:topLinePunct w:val="0"/>
        <w:bidi w:val="0"/>
        <w:snapToGrid w:val="0"/>
        <w:spacing w:beforeAutospacing="0" w:afterAutospacing="0" w:line="240" w:lineRule="auto"/>
        <w:ind w:firstLine="107" w:firstLineChars="49"/>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xml:space="preserve">项目名称：                                                            </w:t>
      </w:r>
    </w:p>
    <w:tbl>
      <w:tblPr>
        <w:tblStyle w:val="62"/>
        <w:tblW w:w="9600" w:type="dxa"/>
        <w:tblInd w:w="108" w:type="dxa"/>
        <w:tblLayout w:type="fixed"/>
        <w:tblCellMar>
          <w:top w:w="0" w:type="dxa"/>
          <w:left w:w="108" w:type="dxa"/>
          <w:bottom w:w="0" w:type="dxa"/>
          <w:right w:w="108" w:type="dxa"/>
        </w:tblCellMar>
      </w:tblPr>
      <w:tblGrid>
        <w:gridCol w:w="993"/>
        <w:gridCol w:w="3595"/>
        <w:gridCol w:w="727"/>
        <w:gridCol w:w="3667"/>
        <w:gridCol w:w="618"/>
      </w:tblGrid>
      <w:tr w14:paraId="4FBE389A">
        <w:tblPrEx>
          <w:tblCellMar>
            <w:top w:w="0" w:type="dxa"/>
            <w:left w:w="108" w:type="dxa"/>
            <w:bottom w:w="0" w:type="dxa"/>
            <w:right w:w="108" w:type="dxa"/>
          </w:tblCellMar>
        </w:tblPrEx>
        <w:trPr>
          <w:trHeight w:val="312" w:hRule="atLeast"/>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21313D73">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序号</w:t>
            </w:r>
          </w:p>
        </w:tc>
        <w:tc>
          <w:tcPr>
            <w:tcW w:w="3595" w:type="dxa"/>
            <w:vMerge w:val="restart"/>
            <w:tcBorders>
              <w:top w:val="single" w:color="auto" w:sz="4" w:space="0"/>
              <w:left w:val="nil"/>
              <w:bottom w:val="single" w:color="auto" w:sz="4" w:space="0"/>
              <w:right w:val="single" w:color="auto" w:sz="4" w:space="0"/>
            </w:tcBorders>
            <w:noWrap w:val="0"/>
            <w:vAlign w:val="center"/>
          </w:tcPr>
          <w:p w14:paraId="13B27D51">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考核标准</w:t>
            </w:r>
          </w:p>
        </w:tc>
        <w:tc>
          <w:tcPr>
            <w:tcW w:w="727" w:type="dxa"/>
            <w:vMerge w:val="restart"/>
            <w:tcBorders>
              <w:top w:val="single" w:color="auto" w:sz="4" w:space="0"/>
              <w:left w:val="nil"/>
              <w:bottom w:val="single" w:color="auto" w:sz="4" w:space="0"/>
              <w:right w:val="single" w:color="auto" w:sz="4" w:space="0"/>
            </w:tcBorders>
            <w:noWrap w:val="0"/>
            <w:vAlign w:val="center"/>
          </w:tcPr>
          <w:p w14:paraId="51B5433E">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标准分</w:t>
            </w:r>
          </w:p>
        </w:tc>
        <w:tc>
          <w:tcPr>
            <w:tcW w:w="3667" w:type="dxa"/>
            <w:vMerge w:val="restart"/>
            <w:tcBorders>
              <w:top w:val="single" w:color="auto" w:sz="4" w:space="0"/>
              <w:left w:val="nil"/>
              <w:bottom w:val="single" w:color="auto" w:sz="4" w:space="0"/>
              <w:right w:val="single" w:color="auto" w:sz="4" w:space="0"/>
            </w:tcBorders>
            <w:noWrap w:val="0"/>
            <w:vAlign w:val="center"/>
          </w:tcPr>
          <w:p w14:paraId="0FB57BE5">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考核办法</w:t>
            </w:r>
          </w:p>
        </w:tc>
        <w:tc>
          <w:tcPr>
            <w:tcW w:w="618" w:type="dxa"/>
            <w:vMerge w:val="restart"/>
            <w:tcBorders>
              <w:top w:val="single" w:color="auto" w:sz="4" w:space="0"/>
              <w:left w:val="nil"/>
              <w:bottom w:val="single" w:color="000000" w:sz="4" w:space="0"/>
              <w:right w:val="single" w:color="auto" w:sz="4" w:space="0"/>
            </w:tcBorders>
            <w:noWrap w:val="0"/>
            <w:vAlign w:val="center"/>
          </w:tcPr>
          <w:p w14:paraId="776DA9C5">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实际</w:t>
            </w:r>
          </w:p>
          <w:p w14:paraId="63B365D8">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得分</w:t>
            </w:r>
          </w:p>
        </w:tc>
      </w:tr>
      <w:tr w14:paraId="09DFF045">
        <w:tblPrEx>
          <w:tblCellMar>
            <w:top w:w="0" w:type="dxa"/>
            <w:left w:w="108" w:type="dxa"/>
            <w:bottom w:w="0" w:type="dxa"/>
            <w:right w:w="108" w:type="dxa"/>
          </w:tblCellMar>
        </w:tblPrEx>
        <w:trPr>
          <w:trHeight w:val="312" w:hRule="atLeast"/>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356054F0">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c>
          <w:tcPr>
            <w:tcW w:w="3595" w:type="dxa"/>
            <w:vMerge w:val="continue"/>
            <w:tcBorders>
              <w:top w:val="single" w:color="auto" w:sz="4" w:space="0"/>
              <w:left w:val="nil"/>
              <w:bottom w:val="single" w:color="auto" w:sz="4" w:space="0"/>
              <w:right w:val="single" w:color="auto" w:sz="4" w:space="0"/>
            </w:tcBorders>
            <w:noWrap w:val="0"/>
            <w:vAlign w:val="center"/>
          </w:tcPr>
          <w:p w14:paraId="565B1BDF">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c>
          <w:tcPr>
            <w:tcW w:w="727" w:type="dxa"/>
            <w:vMerge w:val="continue"/>
            <w:tcBorders>
              <w:top w:val="single" w:color="auto" w:sz="4" w:space="0"/>
              <w:left w:val="nil"/>
              <w:bottom w:val="single" w:color="auto" w:sz="4" w:space="0"/>
              <w:right w:val="single" w:color="auto" w:sz="4" w:space="0"/>
            </w:tcBorders>
            <w:noWrap w:val="0"/>
            <w:vAlign w:val="center"/>
          </w:tcPr>
          <w:p w14:paraId="402B2B6F">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c>
          <w:tcPr>
            <w:tcW w:w="3667" w:type="dxa"/>
            <w:vMerge w:val="continue"/>
            <w:tcBorders>
              <w:top w:val="single" w:color="auto" w:sz="4" w:space="0"/>
              <w:left w:val="nil"/>
              <w:bottom w:val="single" w:color="auto" w:sz="4" w:space="0"/>
              <w:right w:val="single" w:color="auto" w:sz="4" w:space="0"/>
            </w:tcBorders>
            <w:noWrap w:val="0"/>
            <w:vAlign w:val="center"/>
          </w:tcPr>
          <w:p w14:paraId="194A5827">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c>
          <w:tcPr>
            <w:tcW w:w="618" w:type="dxa"/>
            <w:vMerge w:val="continue"/>
            <w:tcBorders>
              <w:top w:val="single" w:color="auto" w:sz="4" w:space="0"/>
              <w:left w:val="nil"/>
              <w:bottom w:val="single" w:color="000000" w:sz="4" w:space="0"/>
              <w:right w:val="single" w:color="auto" w:sz="4" w:space="0"/>
            </w:tcBorders>
            <w:noWrap w:val="0"/>
            <w:vAlign w:val="center"/>
          </w:tcPr>
          <w:p w14:paraId="4C3E5BD4">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r>
      <w:tr w14:paraId="7766CB54">
        <w:tblPrEx>
          <w:tblCellMar>
            <w:top w:w="0" w:type="dxa"/>
            <w:left w:w="108" w:type="dxa"/>
            <w:bottom w:w="0" w:type="dxa"/>
            <w:right w:w="108" w:type="dxa"/>
          </w:tblCellMar>
        </w:tblPrEx>
        <w:trPr>
          <w:trHeight w:val="794" w:hRule="exact"/>
        </w:trPr>
        <w:tc>
          <w:tcPr>
            <w:tcW w:w="993" w:type="dxa"/>
            <w:vMerge w:val="restart"/>
            <w:tcBorders>
              <w:top w:val="nil"/>
              <w:left w:val="single" w:color="auto" w:sz="4" w:space="0"/>
              <w:bottom w:val="single" w:color="auto" w:sz="4" w:space="0"/>
              <w:right w:val="single" w:color="auto" w:sz="4" w:space="0"/>
            </w:tcBorders>
            <w:noWrap w:val="0"/>
            <w:vAlign w:val="center"/>
          </w:tcPr>
          <w:p w14:paraId="727CA376">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管理   (10分)</w:t>
            </w:r>
          </w:p>
        </w:tc>
        <w:tc>
          <w:tcPr>
            <w:tcW w:w="3595" w:type="dxa"/>
            <w:tcBorders>
              <w:top w:val="single" w:color="auto" w:sz="4" w:space="0"/>
              <w:left w:val="nil"/>
              <w:bottom w:val="single" w:color="auto" w:sz="4" w:space="0"/>
              <w:right w:val="single" w:color="000000" w:sz="4" w:space="0"/>
            </w:tcBorders>
            <w:noWrap w:val="0"/>
            <w:vAlign w:val="center"/>
          </w:tcPr>
          <w:p w14:paraId="420F54B1">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按照保养管理标准和管理要求报送当月养护计划</w:t>
            </w:r>
          </w:p>
        </w:tc>
        <w:tc>
          <w:tcPr>
            <w:tcW w:w="727" w:type="dxa"/>
            <w:tcBorders>
              <w:top w:val="nil"/>
              <w:left w:val="nil"/>
              <w:bottom w:val="single" w:color="auto" w:sz="4" w:space="0"/>
              <w:right w:val="single" w:color="auto" w:sz="4" w:space="0"/>
            </w:tcBorders>
            <w:noWrap w:val="0"/>
            <w:vAlign w:val="center"/>
          </w:tcPr>
          <w:p w14:paraId="713B5301">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5</w:t>
            </w:r>
          </w:p>
        </w:tc>
        <w:tc>
          <w:tcPr>
            <w:tcW w:w="3667" w:type="dxa"/>
            <w:tcBorders>
              <w:top w:val="single" w:color="auto" w:sz="4" w:space="0"/>
              <w:left w:val="nil"/>
              <w:bottom w:val="single" w:color="auto" w:sz="4" w:space="0"/>
              <w:right w:val="single" w:color="auto" w:sz="4" w:space="0"/>
            </w:tcBorders>
            <w:noWrap w:val="0"/>
            <w:vAlign w:val="center"/>
          </w:tcPr>
          <w:p w14:paraId="256DAB43">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无月养护计划，扣2分，未按月养护计划实施酌情扣</w:t>
            </w:r>
            <w:r>
              <w:rPr>
                <w:rFonts w:hint="eastAsia" w:ascii="宋体" w:hAnsi="宋体" w:cs="宋体"/>
                <w:b w:val="0"/>
                <w:bCs w:val="0"/>
                <w:kern w:val="2"/>
                <w:sz w:val="22"/>
                <w:szCs w:val="22"/>
                <w:highlight w:val="none"/>
                <w:lang w:val="en-US" w:eastAsia="zh-CN"/>
              </w:rPr>
              <w:t>1</w:t>
            </w:r>
            <w:r>
              <w:rPr>
                <w:rFonts w:hint="eastAsia" w:ascii="宋体" w:hAnsi="宋体" w:eastAsia="宋体" w:cs="宋体"/>
                <w:b w:val="0"/>
                <w:bCs w:val="0"/>
                <w:kern w:val="2"/>
                <w:sz w:val="22"/>
                <w:szCs w:val="22"/>
                <w:highlight w:val="none"/>
              </w:rPr>
              <w:t>分。</w:t>
            </w:r>
          </w:p>
        </w:tc>
        <w:tc>
          <w:tcPr>
            <w:tcW w:w="618" w:type="dxa"/>
            <w:tcBorders>
              <w:top w:val="nil"/>
              <w:left w:val="nil"/>
              <w:bottom w:val="single" w:color="auto" w:sz="4" w:space="0"/>
              <w:right w:val="single" w:color="auto" w:sz="4" w:space="0"/>
            </w:tcBorders>
            <w:noWrap w:val="0"/>
            <w:vAlign w:val="center"/>
          </w:tcPr>
          <w:p w14:paraId="1ACA7894">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w:t>
            </w:r>
          </w:p>
        </w:tc>
      </w:tr>
      <w:tr w14:paraId="7438BA9E">
        <w:tblPrEx>
          <w:tblCellMar>
            <w:top w:w="0" w:type="dxa"/>
            <w:left w:w="108" w:type="dxa"/>
            <w:bottom w:w="0" w:type="dxa"/>
            <w:right w:w="108" w:type="dxa"/>
          </w:tblCellMar>
        </w:tblPrEx>
        <w:trPr>
          <w:trHeight w:val="794" w:hRule="exact"/>
        </w:trPr>
        <w:tc>
          <w:tcPr>
            <w:tcW w:w="993" w:type="dxa"/>
            <w:vMerge w:val="continue"/>
            <w:tcBorders>
              <w:top w:val="nil"/>
              <w:left w:val="single" w:color="auto" w:sz="4" w:space="0"/>
              <w:bottom w:val="single" w:color="auto" w:sz="4" w:space="0"/>
              <w:right w:val="single" w:color="auto" w:sz="4" w:space="0"/>
            </w:tcBorders>
            <w:noWrap w:val="0"/>
            <w:vAlign w:val="center"/>
          </w:tcPr>
          <w:p w14:paraId="42912965">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c>
          <w:tcPr>
            <w:tcW w:w="3595" w:type="dxa"/>
            <w:tcBorders>
              <w:top w:val="single" w:color="auto" w:sz="4" w:space="0"/>
              <w:left w:val="nil"/>
              <w:bottom w:val="single" w:color="auto" w:sz="4" w:space="0"/>
              <w:right w:val="single" w:color="000000" w:sz="4" w:space="0"/>
            </w:tcBorders>
            <w:noWrap w:val="0"/>
            <w:vAlign w:val="center"/>
          </w:tcPr>
          <w:p w14:paraId="1B96EA8E">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公司主要负责人须参加管理部门通知的会议、考核。</w:t>
            </w:r>
          </w:p>
        </w:tc>
        <w:tc>
          <w:tcPr>
            <w:tcW w:w="727" w:type="dxa"/>
            <w:tcBorders>
              <w:top w:val="nil"/>
              <w:left w:val="nil"/>
              <w:bottom w:val="single" w:color="auto" w:sz="4" w:space="0"/>
              <w:right w:val="single" w:color="auto" w:sz="4" w:space="0"/>
            </w:tcBorders>
            <w:noWrap w:val="0"/>
            <w:vAlign w:val="center"/>
          </w:tcPr>
          <w:p w14:paraId="35DA3C86">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5</w:t>
            </w:r>
          </w:p>
        </w:tc>
        <w:tc>
          <w:tcPr>
            <w:tcW w:w="3667" w:type="dxa"/>
            <w:tcBorders>
              <w:top w:val="single" w:color="auto" w:sz="4" w:space="0"/>
              <w:left w:val="nil"/>
              <w:bottom w:val="single" w:color="auto" w:sz="4" w:space="0"/>
              <w:right w:val="single" w:color="auto" w:sz="4" w:space="0"/>
            </w:tcBorders>
            <w:noWrap w:val="0"/>
            <w:vAlign w:val="center"/>
          </w:tcPr>
          <w:p w14:paraId="6DA11B2A">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主要负责人未参加一次扣1分。</w:t>
            </w:r>
          </w:p>
        </w:tc>
        <w:tc>
          <w:tcPr>
            <w:tcW w:w="618" w:type="dxa"/>
            <w:tcBorders>
              <w:top w:val="nil"/>
              <w:left w:val="nil"/>
              <w:bottom w:val="single" w:color="auto" w:sz="4" w:space="0"/>
              <w:right w:val="single" w:color="auto" w:sz="4" w:space="0"/>
            </w:tcBorders>
            <w:noWrap w:val="0"/>
            <w:vAlign w:val="center"/>
          </w:tcPr>
          <w:p w14:paraId="31D214AB">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w:t>
            </w:r>
          </w:p>
        </w:tc>
      </w:tr>
      <w:tr w14:paraId="721CB38D">
        <w:tblPrEx>
          <w:tblCellMar>
            <w:top w:w="0" w:type="dxa"/>
            <w:left w:w="108" w:type="dxa"/>
            <w:bottom w:w="0" w:type="dxa"/>
            <w:right w:w="108" w:type="dxa"/>
          </w:tblCellMar>
        </w:tblPrEx>
        <w:trPr>
          <w:trHeight w:val="794" w:hRule="exact"/>
        </w:trPr>
        <w:tc>
          <w:tcPr>
            <w:tcW w:w="993" w:type="dxa"/>
            <w:tcBorders>
              <w:top w:val="single" w:color="auto" w:sz="4" w:space="0"/>
              <w:left w:val="single" w:color="auto" w:sz="4" w:space="0"/>
              <w:bottom w:val="single" w:color="auto" w:sz="4" w:space="0"/>
              <w:right w:val="single" w:color="auto" w:sz="4" w:space="0"/>
            </w:tcBorders>
            <w:noWrap w:val="0"/>
            <w:vAlign w:val="center"/>
          </w:tcPr>
          <w:p w14:paraId="0D2F6CAA">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卫生保洁（10分）</w:t>
            </w:r>
          </w:p>
        </w:tc>
        <w:tc>
          <w:tcPr>
            <w:tcW w:w="3595" w:type="dxa"/>
            <w:tcBorders>
              <w:top w:val="single" w:color="auto" w:sz="4" w:space="0"/>
              <w:left w:val="nil"/>
              <w:bottom w:val="single" w:color="auto" w:sz="4" w:space="0"/>
              <w:right w:val="single" w:color="000000" w:sz="4" w:space="0"/>
            </w:tcBorders>
            <w:noWrap w:val="0"/>
            <w:vAlign w:val="center"/>
          </w:tcPr>
          <w:p w14:paraId="6EB58D63">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xml:space="preserve">每天及时清理施工生产垃圾；生产垃圾应及时清运、不过夜。                          </w:t>
            </w:r>
          </w:p>
        </w:tc>
        <w:tc>
          <w:tcPr>
            <w:tcW w:w="727" w:type="dxa"/>
            <w:tcBorders>
              <w:top w:val="single" w:color="auto" w:sz="4" w:space="0"/>
              <w:left w:val="nil"/>
              <w:bottom w:val="single" w:color="auto" w:sz="4" w:space="0"/>
              <w:right w:val="single" w:color="auto" w:sz="4" w:space="0"/>
            </w:tcBorders>
            <w:noWrap w:val="0"/>
            <w:vAlign w:val="center"/>
          </w:tcPr>
          <w:p w14:paraId="27B78404">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10</w:t>
            </w:r>
          </w:p>
        </w:tc>
        <w:tc>
          <w:tcPr>
            <w:tcW w:w="3667" w:type="dxa"/>
            <w:tcBorders>
              <w:top w:val="single" w:color="auto" w:sz="4" w:space="0"/>
              <w:left w:val="nil"/>
              <w:bottom w:val="single" w:color="auto" w:sz="4" w:space="0"/>
              <w:right w:val="single" w:color="auto" w:sz="4" w:space="0"/>
            </w:tcBorders>
            <w:noWrap w:val="0"/>
            <w:vAlign w:val="center"/>
          </w:tcPr>
          <w:p w14:paraId="57BC6829">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xml:space="preserve">未及时清理生产垃圾每处（≦10㎡)扣2分。                            </w:t>
            </w:r>
          </w:p>
        </w:tc>
        <w:tc>
          <w:tcPr>
            <w:tcW w:w="618" w:type="dxa"/>
            <w:tcBorders>
              <w:top w:val="single" w:color="auto" w:sz="4" w:space="0"/>
              <w:left w:val="nil"/>
              <w:bottom w:val="single" w:color="auto" w:sz="4" w:space="0"/>
              <w:right w:val="single" w:color="auto" w:sz="4" w:space="0"/>
            </w:tcBorders>
            <w:noWrap w:val="0"/>
            <w:vAlign w:val="center"/>
          </w:tcPr>
          <w:p w14:paraId="4928C876">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w:t>
            </w:r>
          </w:p>
        </w:tc>
      </w:tr>
      <w:tr w14:paraId="6BCFF0C6">
        <w:tblPrEx>
          <w:tblCellMar>
            <w:top w:w="0" w:type="dxa"/>
            <w:left w:w="108" w:type="dxa"/>
            <w:bottom w:w="0" w:type="dxa"/>
            <w:right w:w="108" w:type="dxa"/>
          </w:tblCellMar>
        </w:tblPrEx>
        <w:trPr>
          <w:trHeight w:val="794" w:hRule="exact"/>
        </w:trPr>
        <w:tc>
          <w:tcPr>
            <w:tcW w:w="993" w:type="dxa"/>
            <w:vMerge w:val="restart"/>
            <w:tcBorders>
              <w:top w:val="nil"/>
              <w:left w:val="single" w:color="auto" w:sz="4" w:space="0"/>
              <w:bottom w:val="single" w:color="auto" w:sz="4" w:space="0"/>
              <w:right w:val="single" w:color="auto" w:sz="4" w:space="0"/>
            </w:tcBorders>
            <w:noWrap w:val="0"/>
            <w:vAlign w:val="center"/>
          </w:tcPr>
          <w:p w14:paraId="74886248">
            <w:pPr>
              <w:pageBreakBefore w:val="0"/>
              <w:wordWrap/>
              <w:topLinePunct w:val="0"/>
              <w:bidi w:val="0"/>
              <w:snapToGrid w:val="0"/>
              <w:spacing w:beforeAutospacing="0" w:afterAutospacing="0" w:line="240" w:lineRule="auto"/>
              <w:jc w:val="center"/>
              <w:rPr>
                <w:rFonts w:hint="eastAsia" w:ascii="宋体" w:hAnsi="宋体" w:eastAsia="宋体" w:cs="宋体"/>
                <w:b w:val="0"/>
                <w:bCs w:val="0"/>
                <w:kern w:val="2"/>
                <w:sz w:val="22"/>
                <w:szCs w:val="22"/>
                <w:highlight w:val="none"/>
              </w:rPr>
            </w:pPr>
            <w:r>
              <w:rPr>
                <w:rFonts w:hint="eastAsia" w:ascii="宋体" w:hAnsi="宋体" w:eastAsia="宋体" w:cs="宋体"/>
                <w:b w:val="0"/>
                <w:bCs w:val="0"/>
                <w:kern w:val="2"/>
                <w:sz w:val="22"/>
                <w:szCs w:val="22"/>
                <w:highlight w:val="none"/>
              </w:rPr>
              <w:t>路面灌缝保养</w:t>
            </w:r>
          </w:p>
          <w:p w14:paraId="574C4C80">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w:t>
            </w:r>
            <w:r>
              <w:rPr>
                <w:rFonts w:hint="eastAsia" w:ascii="宋体" w:hAnsi="宋体" w:cs="宋体"/>
                <w:b w:val="0"/>
                <w:bCs w:val="0"/>
                <w:kern w:val="2"/>
                <w:sz w:val="22"/>
                <w:szCs w:val="22"/>
                <w:highlight w:val="none"/>
                <w:lang w:val="en-US" w:eastAsia="zh-CN"/>
              </w:rPr>
              <w:t>8</w:t>
            </w:r>
            <w:r>
              <w:rPr>
                <w:rFonts w:hint="eastAsia" w:ascii="宋体" w:hAnsi="宋体" w:eastAsia="宋体" w:cs="宋体"/>
                <w:b w:val="0"/>
                <w:bCs w:val="0"/>
                <w:kern w:val="2"/>
                <w:sz w:val="22"/>
                <w:szCs w:val="22"/>
                <w:highlight w:val="none"/>
              </w:rPr>
              <w:t>0分）</w:t>
            </w:r>
          </w:p>
        </w:tc>
        <w:tc>
          <w:tcPr>
            <w:tcW w:w="3595" w:type="dxa"/>
            <w:tcBorders>
              <w:top w:val="single" w:color="auto" w:sz="4" w:space="0"/>
              <w:left w:val="nil"/>
              <w:bottom w:val="single" w:color="auto" w:sz="4" w:space="0"/>
              <w:right w:val="single" w:color="000000" w:sz="4" w:space="0"/>
            </w:tcBorders>
            <w:noWrap w:val="0"/>
            <w:vAlign w:val="center"/>
          </w:tcPr>
          <w:p w14:paraId="693BB08A">
            <w:pPr>
              <w:pageBreakBefore w:val="0"/>
              <w:wordWrap/>
              <w:topLinePunct w:val="0"/>
              <w:bidi w:val="0"/>
              <w:snapToGrid w:val="0"/>
              <w:spacing w:beforeAutospacing="0" w:afterAutospacing="0" w:line="240" w:lineRule="auto"/>
              <w:rPr>
                <w:rFonts w:hint="eastAsia" w:ascii="宋体" w:hAnsi="宋体" w:eastAsia="宋体" w:cs="宋体"/>
                <w:b w:val="0"/>
                <w:bCs w:val="0"/>
                <w:kern w:val="2"/>
                <w:sz w:val="22"/>
                <w:szCs w:val="22"/>
                <w:highlight w:val="none"/>
              </w:rPr>
            </w:pPr>
            <w:r>
              <w:rPr>
                <w:rFonts w:hint="eastAsia" w:ascii="宋体" w:hAnsi="宋体" w:eastAsia="宋体" w:cs="宋体"/>
                <w:b w:val="0"/>
                <w:bCs w:val="0"/>
                <w:kern w:val="2"/>
                <w:sz w:val="22"/>
                <w:szCs w:val="22"/>
                <w:highlight w:val="none"/>
              </w:rPr>
              <w:t>保养的巡查制度安排，包括内容、频率、方法等</w:t>
            </w:r>
          </w:p>
        </w:tc>
        <w:tc>
          <w:tcPr>
            <w:tcW w:w="727" w:type="dxa"/>
            <w:tcBorders>
              <w:top w:val="single" w:color="auto" w:sz="4" w:space="0"/>
              <w:left w:val="nil"/>
              <w:bottom w:val="single" w:color="auto" w:sz="4" w:space="0"/>
              <w:right w:val="single" w:color="auto" w:sz="4" w:space="0"/>
            </w:tcBorders>
            <w:noWrap w:val="0"/>
            <w:vAlign w:val="center"/>
          </w:tcPr>
          <w:p w14:paraId="019500C0">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15</w:t>
            </w:r>
          </w:p>
        </w:tc>
        <w:tc>
          <w:tcPr>
            <w:tcW w:w="3667" w:type="dxa"/>
            <w:tcBorders>
              <w:top w:val="single" w:color="auto" w:sz="4" w:space="0"/>
              <w:left w:val="nil"/>
              <w:bottom w:val="single" w:color="auto" w:sz="4" w:space="0"/>
              <w:right w:val="single" w:color="auto" w:sz="4" w:space="0"/>
            </w:tcBorders>
            <w:noWrap w:val="0"/>
            <w:vAlign w:val="center"/>
          </w:tcPr>
          <w:p w14:paraId="7FF08435">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xml:space="preserve"> 没有按照保养的巡查制度安排实施的酌情扣分。</w:t>
            </w:r>
          </w:p>
        </w:tc>
        <w:tc>
          <w:tcPr>
            <w:tcW w:w="618" w:type="dxa"/>
            <w:tcBorders>
              <w:top w:val="single" w:color="auto" w:sz="4" w:space="0"/>
              <w:left w:val="nil"/>
              <w:bottom w:val="single" w:color="auto" w:sz="4" w:space="0"/>
              <w:right w:val="single" w:color="auto" w:sz="4" w:space="0"/>
            </w:tcBorders>
            <w:noWrap w:val="0"/>
            <w:vAlign w:val="center"/>
          </w:tcPr>
          <w:p w14:paraId="1FE774FB">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w:t>
            </w:r>
          </w:p>
        </w:tc>
      </w:tr>
      <w:tr w14:paraId="7E9A5959">
        <w:tblPrEx>
          <w:tblCellMar>
            <w:top w:w="0" w:type="dxa"/>
            <w:left w:w="108" w:type="dxa"/>
            <w:bottom w:w="0" w:type="dxa"/>
            <w:right w:w="108" w:type="dxa"/>
          </w:tblCellMar>
        </w:tblPrEx>
        <w:trPr>
          <w:trHeight w:val="794" w:hRule="exact"/>
        </w:trPr>
        <w:tc>
          <w:tcPr>
            <w:tcW w:w="993" w:type="dxa"/>
            <w:vMerge w:val="continue"/>
            <w:tcBorders>
              <w:top w:val="nil"/>
              <w:left w:val="single" w:color="auto" w:sz="4" w:space="0"/>
              <w:bottom w:val="single" w:color="auto" w:sz="4" w:space="0"/>
              <w:right w:val="single" w:color="auto" w:sz="4" w:space="0"/>
            </w:tcBorders>
            <w:noWrap w:val="0"/>
            <w:vAlign w:val="center"/>
          </w:tcPr>
          <w:p w14:paraId="5B877900">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c>
          <w:tcPr>
            <w:tcW w:w="3595" w:type="dxa"/>
            <w:tcBorders>
              <w:top w:val="single" w:color="auto" w:sz="4" w:space="0"/>
              <w:left w:val="nil"/>
              <w:bottom w:val="single" w:color="auto" w:sz="4" w:space="0"/>
              <w:right w:val="single" w:color="000000" w:sz="4" w:space="0"/>
            </w:tcBorders>
            <w:noWrap w:val="0"/>
            <w:vAlign w:val="center"/>
          </w:tcPr>
          <w:p w14:paraId="0A09D5DC">
            <w:pPr>
              <w:pageBreakBefore w:val="0"/>
              <w:wordWrap/>
              <w:topLinePunct w:val="0"/>
              <w:bidi w:val="0"/>
              <w:snapToGrid w:val="0"/>
              <w:spacing w:beforeAutospacing="0" w:afterAutospacing="0" w:line="240" w:lineRule="auto"/>
              <w:rPr>
                <w:rFonts w:hint="eastAsia" w:ascii="宋体" w:hAnsi="宋体" w:eastAsia="宋体" w:cs="宋体"/>
                <w:b w:val="0"/>
                <w:bCs w:val="0"/>
                <w:kern w:val="2"/>
                <w:sz w:val="22"/>
                <w:szCs w:val="22"/>
                <w:highlight w:val="none"/>
              </w:rPr>
            </w:pPr>
            <w:r>
              <w:rPr>
                <w:rFonts w:hint="eastAsia" w:ascii="宋体" w:hAnsi="宋体" w:eastAsia="宋体" w:cs="宋体"/>
                <w:b w:val="0"/>
                <w:bCs w:val="0"/>
                <w:kern w:val="2"/>
                <w:sz w:val="22"/>
                <w:szCs w:val="22"/>
                <w:highlight w:val="none"/>
              </w:rPr>
              <w:t>计划对检查、专项调查和技术检测安排，及其结果的养护对策方案</w:t>
            </w:r>
          </w:p>
          <w:p w14:paraId="7B7E91C8">
            <w:pPr>
              <w:pageBreakBefore w:val="0"/>
              <w:wordWrap/>
              <w:topLinePunct w:val="0"/>
              <w:bidi w:val="0"/>
              <w:snapToGrid w:val="0"/>
              <w:spacing w:beforeAutospacing="0" w:afterAutospacing="0" w:line="240" w:lineRule="auto"/>
              <w:rPr>
                <w:rFonts w:hint="eastAsia" w:ascii="宋体" w:hAnsi="宋体" w:eastAsia="宋体" w:cs="宋体"/>
                <w:b w:val="0"/>
                <w:bCs w:val="0"/>
                <w:kern w:val="2"/>
                <w:sz w:val="22"/>
                <w:szCs w:val="22"/>
                <w:highlight w:val="none"/>
              </w:rPr>
            </w:pPr>
          </w:p>
        </w:tc>
        <w:tc>
          <w:tcPr>
            <w:tcW w:w="727" w:type="dxa"/>
            <w:tcBorders>
              <w:top w:val="single" w:color="auto" w:sz="4" w:space="0"/>
              <w:left w:val="nil"/>
              <w:bottom w:val="single" w:color="auto" w:sz="4" w:space="0"/>
              <w:right w:val="single" w:color="auto" w:sz="4" w:space="0"/>
            </w:tcBorders>
            <w:noWrap w:val="0"/>
            <w:vAlign w:val="center"/>
          </w:tcPr>
          <w:p w14:paraId="24D8E485">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10</w:t>
            </w:r>
          </w:p>
        </w:tc>
        <w:tc>
          <w:tcPr>
            <w:tcW w:w="3667" w:type="dxa"/>
            <w:tcBorders>
              <w:top w:val="single" w:color="auto" w:sz="4" w:space="0"/>
              <w:left w:val="nil"/>
              <w:bottom w:val="single" w:color="auto" w:sz="4" w:space="0"/>
              <w:right w:val="single" w:color="auto" w:sz="4" w:space="0"/>
            </w:tcBorders>
            <w:noWrap w:val="0"/>
            <w:vAlign w:val="center"/>
          </w:tcPr>
          <w:p w14:paraId="45D0F5C4">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没有按照计划对检查、专项调查和技术检测安排的酌情扣分。</w:t>
            </w:r>
          </w:p>
        </w:tc>
        <w:tc>
          <w:tcPr>
            <w:tcW w:w="618" w:type="dxa"/>
            <w:tcBorders>
              <w:top w:val="single" w:color="auto" w:sz="4" w:space="0"/>
              <w:left w:val="nil"/>
              <w:bottom w:val="single" w:color="auto" w:sz="4" w:space="0"/>
              <w:right w:val="single" w:color="auto" w:sz="4" w:space="0"/>
            </w:tcBorders>
            <w:noWrap w:val="0"/>
            <w:vAlign w:val="center"/>
          </w:tcPr>
          <w:p w14:paraId="53E1CF7F">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w:t>
            </w:r>
          </w:p>
        </w:tc>
      </w:tr>
      <w:tr w14:paraId="770F60F5">
        <w:tblPrEx>
          <w:tblCellMar>
            <w:top w:w="0" w:type="dxa"/>
            <w:left w:w="108" w:type="dxa"/>
            <w:bottom w:w="0" w:type="dxa"/>
            <w:right w:w="108" w:type="dxa"/>
          </w:tblCellMar>
        </w:tblPrEx>
        <w:trPr>
          <w:trHeight w:val="928" w:hRule="exact"/>
        </w:trPr>
        <w:tc>
          <w:tcPr>
            <w:tcW w:w="993" w:type="dxa"/>
            <w:vMerge w:val="continue"/>
            <w:tcBorders>
              <w:top w:val="nil"/>
              <w:left w:val="single" w:color="auto" w:sz="4" w:space="0"/>
              <w:bottom w:val="single" w:color="auto" w:sz="4" w:space="0"/>
              <w:right w:val="single" w:color="auto" w:sz="4" w:space="0"/>
            </w:tcBorders>
            <w:noWrap w:val="0"/>
            <w:vAlign w:val="center"/>
          </w:tcPr>
          <w:p w14:paraId="15499D4A">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c>
          <w:tcPr>
            <w:tcW w:w="3595" w:type="dxa"/>
            <w:tcBorders>
              <w:top w:val="single" w:color="auto" w:sz="4" w:space="0"/>
              <w:left w:val="nil"/>
              <w:bottom w:val="single" w:color="auto" w:sz="4" w:space="0"/>
              <w:right w:val="single" w:color="000000" w:sz="4" w:space="0"/>
            </w:tcBorders>
            <w:noWrap w:val="0"/>
            <w:vAlign w:val="center"/>
          </w:tcPr>
          <w:p w14:paraId="5CBC1C65">
            <w:pPr>
              <w:pageBreakBefore w:val="0"/>
              <w:wordWrap/>
              <w:topLinePunct w:val="0"/>
              <w:bidi w:val="0"/>
              <w:snapToGrid w:val="0"/>
              <w:spacing w:beforeAutospacing="0" w:afterAutospacing="0" w:line="240" w:lineRule="auto"/>
              <w:rPr>
                <w:rFonts w:hint="eastAsia" w:ascii="宋体" w:hAnsi="宋体" w:eastAsia="宋体" w:cs="宋体"/>
                <w:b w:val="0"/>
                <w:bCs w:val="0"/>
                <w:kern w:val="2"/>
                <w:sz w:val="22"/>
                <w:szCs w:val="22"/>
                <w:highlight w:val="none"/>
              </w:rPr>
            </w:pPr>
            <w:r>
              <w:rPr>
                <w:rFonts w:hint="eastAsia" w:ascii="宋体" w:hAnsi="宋体" w:eastAsia="宋体" w:cs="宋体"/>
                <w:b w:val="0"/>
                <w:bCs w:val="0"/>
                <w:kern w:val="2"/>
                <w:sz w:val="22"/>
                <w:szCs w:val="22"/>
                <w:highlight w:val="none"/>
              </w:rPr>
              <w:t>施工组织、现场布置、劳动力、机械设备、材料供应、资金流量、保道路畅通及进度计划等</w:t>
            </w:r>
          </w:p>
          <w:p w14:paraId="044EA6B3">
            <w:pPr>
              <w:pageBreakBefore w:val="0"/>
              <w:wordWrap/>
              <w:topLinePunct w:val="0"/>
              <w:bidi w:val="0"/>
              <w:snapToGrid w:val="0"/>
              <w:spacing w:beforeAutospacing="0" w:afterAutospacing="0" w:line="240" w:lineRule="auto"/>
              <w:rPr>
                <w:rFonts w:hint="eastAsia" w:ascii="宋体" w:hAnsi="宋体" w:eastAsia="宋体" w:cs="宋体"/>
                <w:b w:val="0"/>
                <w:bCs w:val="0"/>
                <w:kern w:val="2"/>
                <w:sz w:val="22"/>
                <w:szCs w:val="22"/>
                <w:highlight w:val="none"/>
              </w:rPr>
            </w:pPr>
          </w:p>
        </w:tc>
        <w:tc>
          <w:tcPr>
            <w:tcW w:w="727" w:type="dxa"/>
            <w:tcBorders>
              <w:top w:val="single" w:color="auto" w:sz="4" w:space="0"/>
              <w:left w:val="nil"/>
              <w:bottom w:val="single" w:color="auto" w:sz="4" w:space="0"/>
              <w:right w:val="single" w:color="auto" w:sz="4" w:space="0"/>
            </w:tcBorders>
            <w:noWrap w:val="0"/>
            <w:vAlign w:val="center"/>
          </w:tcPr>
          <w:p w14:paraId="1B3CD9C9">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20</w:t>
            </w:r>
          </w:p>
        </w:tc>
        <w:tc>
          <w:tcPr>
            <w:tcW w:w="3667" w:type="dxa"/>
            <w:tcBorders>
              <w:top w:val="single" w:color="auto" w:sz="4" w:space="0"/>
              <w:left w:val="nil"/>
              <w:bottom w:val="single" w:color="auto" w:sz="4" w:space="0"/>
              <w:right w:val="single" w:color="auto" w:sz="4" w:space="0"/>
            </w:tcBorders>
            <w:noWrap w:val="0"/>
            <w:vAlign w:val="center"/>
          </w:tcPr>
          <w:p w14:paraId="24727752">
            <w:pPr>
              <w:pageBreakBefore w:val="0"/>
              <w:wordWrap/>
              <w:topLinePunct w:val="0"/>
              <w:bidi w:val="0"/>
              <w:snapToGrid w:val="0"/>
              <w:spacing w:beforeAutospacing="0" w:afterAutospacing="0" w:line="240" w:lineRule="auto"/>
              <w:rPr>
                <w:rFonts w:hint="eastAsia" w:ascii="宋体" w:hAnsi="宋体" w:eastAsia="宋体" w:cs="宋体"/>
                <w:b w:val="0"/>
                <w:bCs w:val="0"/>
                <w:kern w:val="2"/>
                <w:sz w:val="22"/>
                <w:szCs w:val="22"/>
                <w:highlight w:val="none"/>
              </w:rPr>
            </w:pPr>
            <w:r>
              <w:rPr>
                <w:rFonts w:hint="eastAsia" w:ascii="宋体" w:hAnsi="宋体" w:eastAsia="宋体" w:cs="宋体"/>
                <w:b w:val="0"/>
                <w:bCs w:val="0"/>
                <w:kern w:val="2"/>
                <w:sz w:val="22"/>
                <w:szCs w:val="22"/>
                <w:highlight w:val="none"/>
              </w:rPr>
              <w:t>按照施工组织、现场布置、劳动力、机械设备、材料供应、资金流量、保道路畅通及进度计划等扣分。</w:t>
            </w:r>
          </w:p>
          <w:p w14:paraId="2F6A05BA">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p>
        </w:tc>
        <w:tc>
          <w:tcPr>
            <w:tcW w:w="618" w:type="dxa"/>
            <w:tcBorders>
              <w:top w:val="single" w:color="auto" w:sz="4" w:space="0"/>
              <w:left w:val="nil"/>
              <w:bottom w:val="single" w:color="auto" w:sz="4" w:space="0"/>
              <w:right w:val="single" w:color="auto" w:sz="4" w:space="0"/>
            </w:tcBorders>
            <w:noWrap w:val="0"/>
            <w:vAlign w:val="center"/>
          </w:tcPr>
          <w:p w14:paraId="1534DB69">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w:t>
            </w:r>
          </w:p>
        </w:tc>
      </w:tr>
      <w:tr w14:paraId="7FA13D35">
        <w:tblPrEx>
          <w:tblCellMar>
            <w:top w:w="0" w:type="dxa"/>
            <w:left w:w="108" w:type="dxa"/>
            <w:bottom w:w="0" w:type="dxa"/>
            <w:right w:w="108" w:type="dxa"/>
          </w:tblCellMar>
        </w:tblPrEx>
        <w:trPr>
          <w:trHeight w:val="794" w:hRule="exact"/>
        </w:trPr>
        <w:tc>
          <w:tcPr>
            <w:tcW w:w="993" w:type="dxa"/>
            <w:vMerge w:val="continue"/>
            <w:tcBorders>
              <w:top w:val="nil"/>
              <w:left w:val="single" w:color="auto" w:sz="4" w:space="0"/>
              <w:bottom w:val="single" w:color="auto" w:sz="4" w:space="0"/>
              <w:right w:val="single" w:color="auto" w:sz="4" w:space="0"/>
            </w:tcBorders>
            <w:noWrap w:val="0"/>
            <w:vAlign w:val="center"/>
          </w:tcPr>
          <w:p w14:paraId="69E775E1">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c>
          <w:tcPr>
            <w:tcW w:w="3595" w:type="dxa"/>
            <w:tcBorders>
              <w:top w:val="single" w:color="auto" w:sz="4" w:space="0"/>
              <w:left w:val="nil"/>
              <w:bottom w:val="single" w:color="auto" w:sz="4" w:space="0"/>
              <w:right w:val="single" w:color="000000" w:sz="4" w:space="0"/>
            </w:tcBorders>
            <w:noWrap w:val="0"/>
            <w:vAlign w:val="center"/>
          </w:tcPr>
          <w:p w14:paraId="0B7989C1">
            <w:pPr>
              <w:pageBreakBefore w:val="0"/>
              <w:wordWrap/>
              <w:topLinePunct w:val="0"/>
              <w:bidi w:val="0"/>
              <w:snapToGrid w:val="0"/>
              <w:spacing w:beforeAutospacing="0" w:afterAutospacing="0" w:line="240" w:lineRule="auto"/>
              <w:rPr>
                <w:rFonts w:hint="eastAsia" w:ascii="宋体" w:hAnsi="宋体" w:eastAsia="宋体" w:cs="宋体"/>
                <w:b w:val="0"/>
                <w:bCs w:val="0"/>
                <w:kern w:val="2"/>
                <w:sz w:val="22"/>
                <w:szCs w:val="22"/>
                <w:highlight w:val="none"/>
              </w:rPr>
            </w:pPr>
            <w:r>
              <w:rPr>
                <w:rFonts w:hint="eastAsia" w:ascii="宋体" w:hAnsi="宋体" w:eastAsia="宋体" w:cs="宋体"/>
                <w:b w:val="0"/>
                <w:bCs w:val="0"/>
                <w:kern w:val="2"/>
                <w:sz w:val="22"/>
                <w:szCs w:val="22"/>
                <w:highlight w:val="none"/>
              </w:rPr>
              <w:t>质量措施、安全保证体系</w:t>
            </w:r>
          </w:p>
        </w:tc>
        <w:tc>
          <w:tcPr>
            <w:tcW w:w="727" w:type="dxa"/>
            <w:tcBorders>
              <w:top w:val="single" w:color="auto" w:sz="4" w:space="0"/>
              <w:left w:val="nil"/>
              <w:bottom w:val="single" w:color="auto" w:sz="4" w:space="0"/>
              <w:right w:val="single" w:color="auto" w:sz="4" w:space="0"/>
            </w:tcBorders>
            <w:noWrap w:val="0"/>
            <w:vAlign w:val="center"/>
          </w:tcPr>
          <w:p w14:paraId="5EF2D898">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15</w:t>
            </w:r>
          </w:p>
        </w:tc>
        <w:tc>
          <w:tcPr>
            <w:tcW w:w="3667" w:type="dxa"/>
            <w:tcBorders>
              <w:top w:val="single" w:color="auto" w:sz="4" w:space="0"/>
              <w:left w:val="nil"/>
              <w:bottom w:val="single" w:color="auto" w:sz="4" w:space="0"/>
              <w:right w:val="single" w:color="auto" w:sz="4" w:space="0"/>
            </w:tcBorders>
            <w:noWrap w:val="0"/>
            <w:vAlign w:val="center"/>
          </w:tcPr>
          <w:p w14:paraId="5850CA15">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按照质量措施、安全保证体系实施情况扣分</w:t>
            </w:r>
          </w:p>
        </w:tc>
        <w:tc>
          <w:tcPr>
            <w:tcW w:w="618" w:type="dxa"/>
            <w:tcBorders>
              <w:top w:val="single" w:color="auto" w:sz="4" w:space="0"/>
              <w:left w:val="nil"/>
              <w:bottom w:val="single" w:color="auto" w:sz="4" w:space="0"/>
              <w:right w:val="single" w:color="auto" w:sz="4" w:space="0"/>
            </w:tcBorders>
            <w:noWrap w:val="0"/>
            <w:vAlign w:val="center"/>
          </w:tcPr>
          <w:p w14:paraId="2B8D7C21">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w:t>
            </w:r>
          </w:p>
        </w:tc>
      </w:tr>
      <w:tr w14:paraId="5E5F89F4">
        <w:tblPrEx>
          <w:tblCellMar>
            <w:top w:w="0" w:type="dxa"/>
            <w:left w:w="108" w:type="dxa"/>
            <w:bottom w:w="0" w:type="dxa"/>
            <w:right w:w="108" w:type="dxa"/>
          </w:tblCellMar>
        </w:tblPrEx>
        <w:trPr>
          <w:trHeight w:val="794" w:hRule="exact"/>
        </w:trPr>
        <w:tc>
          <w:tcPr>
            <w:tcW w:w="993" w:type="dxa"/>
            <w:vMerge w:val="continue"/>
            <w:tcBorders>
              <w:top w:val="nil"/>
              <w:left w:val="single" w:color="auto" w:sz="4" w:space="0"/>
              <w:bottom w:val="single" w:color="auto" w:sz="4" w:space="0"/>
              <w:right w:val="single" w:color="auto" w:sz="4" w:space="0"/>
            </w:tcBorders>
            <w:noWrap w:val="0"/>
            <w:vAlign w:val="center"/>
          </w:tcPr>
          <w:p w14:paraId="533040FD">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c>
          <w:tcPr>
            <w:tcW w:w="3595" w:type="dxa"/>
            <w:tcBorders>
              <w:top w:val="single" w:color="auto" w:sz="4" w:space="0"/>
              <w:left w:val="nil"/>
              <w:bottom w:val="single" w:color="auto" w:sz="4" w:space="0"/>
              <w:right w:val="single" w:color="000000" w:sz="4" w:space="0"/>
            </w:tcBorders>
            <w:noWrap w:val="0"/>
            <w:vAlign w:val="center"/>
          </w:tcPr>
          <w:p w14:paraId="4BBB4935">
            <w:pPr>
              <w:pageBreakBefore w:val="0"/>
              <w:wordWrap/>
              <w:topLinePunct w:val="0"/>
              <w:bidi w:val="0"/>
              <w:snapToGrid w:val="0"/>
              <w:spacing w:beforeAutospacing="0" w:afterAutospacing="0" w:line="240" w:lineRule="auto"/>
              <w:rPr>
                <w:rFonts w:hint="eastAsia" w:ascii="宋体" w:hAnsi="宋体" w:eastAsia="宋体" w:cs="宋体"/>
                <w:b w:val="0"/>
                <w:bCs w:val="0"/>
                <w:kern w:val="2"/>
                <w:sz w:val="22"/>
                <w:szCs w:val="22"/>
                <w:highlight w:val="none"/>
              </w:rPr>
            </w:pPr>
            <w:r>
              <w:rPr>
                <w:rFonts w:hint="eastAsia" w:ascii="宋体" w:hAnsi="宋体" w:eastAsia="宋体" w:cs="宋体"/>
                <w:b w:val="0"/>
                <w:bCs w:val="0"/>
                <w:kern w:val="2"/>
                <w:sz w:val="22"/>
                <w:szCs w:val="22"/>
                <w:highlight w:val="none"/>
              </w:rPr>
              <w:t>危险性较大的养护作业应当编制专项施工方案</w:t>
            </w:r>
          </w:p>
        </w:tc>
        <w:tc>
          <w:tcPr>
            <w:tcW w:w="727" w:type="dxa"/>
            <w:tcBorders>
              <w:top w:val="single" w:color="auto" w:sz="4" w:space="0"/>
              <w:left w:val="nil"/>
              <w:bottom w:val="single" w:color="auto" w:sz="4" w:space="0"/>
              <w:right w:val="single" w:color="auto" w:sz="4" w:space="0"/>
            </w:tcBorders>
            <w:noWrap w:val="0"/>
            <w:vAlign w:val="center"/>
          </w:tcPr>
          <w:p w14:paraId="3F5C8853">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10</w:t>
            </w:r>
          </w:p>
        </w:tc>
        <w:tc>
          <w:tcPr>
            <w:tcW w:w="3667" w:type="dxa"/>
            <w:tcBorders>
              <w:top w:val="single" w:color="auto" w:sz="4" w:space="0"/>
              <w:left w:val="nil"/>
              <w:bottom w:val="single" w:color="auto" w:sz="4" w:space="0"/>
              <w:right w:val="single" w:color="auto" w:sz="4" w:space="0"/>
            </w:tcBorders>
            <w:noWrap w:val="0"/>
            <w:vAlign w:val="center"/>
          </w:tcPr>
          <w:p w14:paraId="554EA2D2">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是否编制危险性较大的养护作业专项方案。</w:t>
            </w:r>
          </w:p>
        </w:tc>
        <w:tc>
          <w:tcPr>
            <w:tcW w:w="618" w:type="dxa"/>
            <w:tcBorders>
              <w:top w:val="single" w:color="auto" w:sz="4" w:space="0"/>
              <w:left w:val="nil"/>
              <w:bottom w:val="single" w:color="auto" w:sz="4" w:space="0"/>
              <w:right w:val="single" w:color="auto" w:sz="4" w:space="0"/>
            </w:tcBorders>
            <w:noWrap w:val="0"/>
            <w:vAlign w:val="center"/>
          </w:tcPr>
          <w:p w14:paraId="19F792E7">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w:t>
            </w:r>
          </w:p>
        </w:tc>
      </w:tr>
      <w:tr w14:paraId="5D0B84C0">
        <w:tblPrEx>
          <w:tblCellMar>
            <w:top w:w="0" w:type="dxa"/>
            <w:left w:w="108" w:type="dxa"/>
            <w:bottom w:w="0" w:type="dxa"/>
            <w:right w:w="108" w:type="dxa"/>
          </w:tblCellMar>
        </w:tblPrEx>
        <w:trPr>
          <w:trHeight w:val="794" w:hRule="exact"/>
        </w:trPr>
        <w:tc>
          <w:tcPr>
            <w:tcW w:w="993" w:type="dxa"/>
            <w:vMerge w:val="continue"/>
            <w:tcBorders>
              <w:top w:val="nil"/>
              <w:left w:val="single" w:color="auto" w:sz="4" w:space="0"/>
              <w:bottom w:val="single" w:color="auto" w:sz="4" w:space="0"/>
              <w:right w:val="single" w:color="auto" w:sz="4" w:space="0"/>
            </w:tcBorders>
            <w:noWrap w:val="0"/>
            <w:vAlign w:val="center"/>
          </w:tcPr>
          <w:p w14:paraId="7E37FFEA">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c>
          <w:tcPr>
            <w:tcW w:w="3595" w:type="dxa"/>
            <w:tcBorders>
              <w:top w:val="single" w:color="auto" w:sz="4" w:space="0"/>
              <w:left w:val="nil"/>
              <w:bottom w:val="single" w:color="auto" w:sz="4" w:space="0"/>
              <w:right w:val="single" w:color="000000" w:sz="4" w:space="0"/>
            </w:tcBorders>
            <w:noWrap w:val="0"/>
            <w:vAlign w:val="center"/>
          </w:tcPr>
          <w:p w14:paraId="170306C8">
            <w:pPr>
              <w:pageBreakBefore w:val="0"/>
              <w:wordWrap/>
              <w:topLinePunct w:val="0"/>
              <w:bidi w:val="0"/>
              <w:snapToGrid w:val="0"/>
              <w:spacing w:beforeAutospacing="0" w:afterAutospacing="0" w:line="240" w:lineRule="auto"/>
              <w:rPr>
                <w:rFonts w:hint="eastAsia" w:ascii="宋体" w:hAnsi="宋体" w:eastAsia="宋体" w:cs="宋体"/>
                <w:b w:val="0"/>
                <w:bCs w:val="0"/>
                <w:kern w:val="2"/>
                <w:sz w:val="22"/>
                <w:szCs w:val="22"/>
                <w:highlight w:val="none"/>
              </w:rPr>
            </w:pPr>
            <w:r>
              <w:rPr>
                <w:rFonts w:hint="eastAsia" w:ascii="宋体" w:hAnsi="宋体" w:eastAsia="宋体" w:cs="宋体"/>
                <w:b w:val="0"/>
                <w:bCs w:val="0"/>
                <w:kern w:val="2"/>
                <w:sz w:val="22"/>
                <w:szCs w:val="22"/>
                <w:highlight w:val="none"/>
              </w:rPr>
              <w:t>交通组织方案</w:t>
            </w:r>
          </w:p>
        </w:tc>
        <w:tc>
          <w:tcPr>
            <w:tcW w:w="727" w:type="dxa"/>
            <w:tcBorders>
              <w:top w:val="single" w:color="auto" w:sz="4" w:space="0"/>
              <w:left w:val="nil"/>
              <w:bottom w:val="single" w:color="auto" w:sz="4" w:space="0"/>
              <w:right w:val="single" w:color="auto" w:sz="4" w:space="0"/>
            </w:tcBorders>
            <w:noWrap w:val="0"/>
            <w:vAlign w:val="center"/>
          </w:tcPr>
          <w:p w14:paraId="2F24191A">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10</w:t>
            </w:r>
          </w:p>
        </w:tc>
        <w:tc>
          <w:tcPr>
            <w:tcW w:w="3667" w:type="dxa"/>
            <w:tcBorders>
              <w:top w:val="single" w:color="auto" w:sz="4" w:space="0"/>
              <w:left w:val="nil"/>
              <w:bottom w:val="single" w:color="auto" w:sz="4" w:space="0"/>
              <w:right w:val="single" w:color="auto" w:sz="4" w:space="0"/>
            </w:tcBorders>
            <w:noWrap w:val="0"/>
            <w:vAlign w:val="center"/>
          </w:tcPr>
          <w:p w14:paraId="43524E54">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交通组织方案编制是否合理及具体实施情况</w:t>
            </w:r>
          </w:p>
        </w:tc>
        <w:tc>
          <w:tcPr>
            <w:tcW w:w="618" w:type="dxa"/>
            <w:tcBorders>
              <w:top w:val="single" w:color="auto" w:sz="4" w:space="0"/>
              <w:left w:val="nil"/>
              <w:bottom w:val="single" w:color="auto" w:sz="4" w:space="0"/>
              <w:right w:val="single" w:color="auto" w:sz="4" w:space="0"/>
            </w:tcBorders>
            <w:noWrap w:val="0"/>
            <w:vAlign w:val="center"/>
          </w:tcPr>
          <w:p w14:paraId="10D7DA38">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w:t>
            </w:r>
          </w:p>
        </w:tc>
      </w:tr>
      <w:tr w14:paraId="6CB316C9">
        <w:tblPrEx>
          <w:tblCellMar>
            <w:top w:w="0" w:type="dxa"/>
            <w:left w:w="108" w:type="dxa"/>
            <w:bottom w:w="0" w:type="dxa"/>
            <w:right w:w="108" w:type="dxa"/>
          </w:tblCellMar>
        </w:tblPrEx>
        <w:trPr>
          <w:trHeight w:val="794" w:hRule="exact"/>
        </w:trPr>
        <w:tc>
          <w:tcPr>
            <w:tcW w:w="993" w:type="dxa"/>
            <w:vMerge w:val="restart"/>
            <w:tcBorders>
              <w:top w:val="nil"/>
              <w:left w:val="single" w:color="auto" w:sz="4" w:space="0"/>
              <w:right w:val="single" w:color="auto" w:sz="4" w:space="0"/>
            </w:tcBorders>
            <w:noWrap w:val="0"/>
            <w:vAlign w:val="center"/>
          </w:tcPr>
          <w:p w14:paraId="5365D7DD">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直接扣分的条款</w:t>
            </w:r>
          </w:p>
        </w:tc>
        <w:tc>
          <w:tcPr>
            <w:tcW w:w="7989" w:type="dxa"/>
            <w:gridSpan w:val="3"/>
            <w:tcBorders>
              <w:top w:val="single" w:color="auto" w:sz="4" w:space="0"/>
              <w:left w:val="nil"/>
              <w:bottom w:val="single" w:color="auto" w:sz="4" w:space="0"/>
              <w:right w:val="nil"/>
            </w:tcBorders>
            <w:noWrap w:val="0"/>
            <w:vAlign w:val="center"/>
          </w:tcPr>
          <w:p w14:paraId="3DFE5D35">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公路、公用设施被人为或车辆等破坏的，发现不阻止或不及时上报的，没处扣2分。</w:t>
            </w:r>
          </w:p>
        </w:tc>
        <w:tc>
          <w:tcPr>
            <w:tcW w:w="618" w:type="dxa"/>
            <w:tcBorders>
              <w:top w:val="nil"/>
              <w:left w:val="single" w:color="auto" w:sz="4" w:space="0"/>
              <w:bottom w:val="single" w:color="auto" w:sz="4" w:space="0"/>
              <w:right w:val="single" w:color="auto" w:sz="4" w:space="0"/>
            </w:tcBorders>
            <w:noWrap w:val="0"/>
            <w:vAlign w:val="top"/>
          </w:tcPr>
          <w:p w14:paraId="759B9501">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w:t>
            </w:r>
          </w:p>
        </w:tc>
      </w:tr>
      <w:tr w14:paraId="643CC2CE">
        <w:tblPrEx>
          <w:tblCellMar>
            <w:top w:w="0" w:type="dxa"/>
            <w:left w:w="108" w:type="dxa"/>
            <w:bottom w:w="0" w:type="dxa"/>
            <w:right w:w="108" w:type="dxa"/>
          </w:tblCellMar>
        </w:tblPrEx>
        <w:trPr>
          <w:trHeight w:val="794" w:hRule="exact"/>
        </w:trPr>
        <w:tc>
          <w:tcPr>
            <w:tcW w:w="993" w:type="dxa"/>
            <w:vMerge w:val="continue"/>
            <w:tcBorders>
              <w:left w:val="single" w:color="auto" w:sz="4" w:space="0"/>
              <w:right w:val="single" w:color="auto" w:sz="4" w:space="0"/>
            </w:tcBorders>
            <w:noWrap w:val="0"/>
            <w:vAlign w:val="center"/>
          </w:tcPr>
          <w:p w14:paraId="36A2CDE7">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c>
          <w:tcPr>
            <w:tcW w:w="7989" w:type="dxa"/>
            <w:gridSpan w:val="3"/>
            <w:tcBorders>
              <w:top w:val="single" w:color="auto" w:sz="4" w:space="0"/>
              <w:left w:val="nil"/>
              <w:bottom w:val="single" w:color="auto" w:sz="4" w:space="0"/>
              <w:right w:val="nil"/>
            </w:tcBorders>
            <w:noWrap w:val="0"/>
            <w:vAlign w:val="center"/>
          </w:tcPr>
          <w:p w14:paraId="42EB74EF">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发生一起责任性投诉或被新闻媒体曝光一次，每次扣2分。</w:t>
            </w:r>
          </w:p>
        </w:tc>
        <w:tc>
          <w:tcPr>
            <w:tcW w:w="618" w:type="dxa"/>
            <w:tcBorders>
              <w:top w:val="nil"/>
              <w:left w:val="single" w:color="auto" w:sz="4" w:space="0"/>
              <w:bottom w:val="single" w:color="auto" w:sz="4" w:space="0"/>
              <w:right w:val="single" w:color="auto" w:sz="4" w:space="0"/>
            </w:tcBorders>
            <w:noWrap w:val="0"/>
            <w:vAlign w:val="top"/>
          </w:tcPr>
          <w:p w14:paraId="526C91B3">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 </w:t>
            </w:r>
          </w:p>
        </w:tc>
      </w:tr>
      <w:tr w14:paraId="31FF6F70">
        <w:tblPrEx>
          <w:tblCellMar>
            <w:top w:w="0" w:type="dxa"/>
            <w:left w:w="108" w:type="dxa"/>
            <w:bottom w:w="0" w:type="dxa"/>
            <w:right w:w="108" w:type="dxa"/>
          </w:tblCellMar>
        </w:tblPrEx>
        <w:trPr>
          <w:trHeight w:val="794" w:hRule="exact"/>
        </w:trPr>
        <w:tc>
          <w:tcPr>
            <w:tcW w:w="993" w:type="dxa"/>
            <w:vMerge w:val="continue"/>
            <w:tcBorders>
              <w:left w:val="single" w:color="auto" w:sz="4" w:space="0"/>
              <w:bottom w:val="single" w:color="auto" w:sz="4" w:space="0"/>
              <w:right w:val="single" w:color="auto" w:sz="4" w:space="0"/>
            </w:tcBorders>
            <w:noWrap w:val="0"/>
            <w:vAlign w:val="center"/>
          </w:tcPr>
          <w:p w14:paraId="4DB89DEE">
            <w:pPr>
              <w:pageBreakBefore w:val="0"/>
              <w:wordWrap/>
              <w:topLinePunct w:val="0"/>
              <w:bidi w:val="0"/>
              <w:snapToGrid w:val="0"/>
              <w:spacing w:beforeAutospacing="0" w:afterAutospacing="0" w:line="240" w:lineRule="auto"/>
              <w:rPr>
                <w:rFonts w:hint="eastAsia" w:ascii="宋体" w:hAnsi="宋体" w:eastAsia="宋体" w:cs="宋体"/>
                <w:bCs w:val="0"/>
                <w:sz w:val="22"/>
                <w:szCs w:val="22"/>
                <w:highlight w:val="none"/>
              </w:rPr>
            </w:pPr>
          </w:p>
        </w:tc>
        <w:tc>
          <w:tcPr>
            <w:tcW w:w="7989" w:type="dxa"/>
            <w:gridSpan w:val="3"/>
            <w:tcBorders>
              <w:top w:val="single" w:color="auto" w:sz="4" w:space="0"/>
              <w:left w:val="nil"/>
              <w:bottom w:val="single" w:color="auto" w:sz="4" w:space="0"/>
              <w:right w:val="nil"/>
            </w:tcBorders>
            <w:noWrap w:val="0"/>
            <w:vAlign w:val="center"/>
          </w:tcPr>
          <w:p w14:paraId="47C214CC">
            <w:pPr>
              <w:pageBreakBefore w:val="0"/>
              <w:wordWrap/>
              <w:topLinePunct w:val="0"/>
              <w:bidi w:val="0"/>
              <w:snapToGrid w:val="0"/>
              <w:spacing w:beforeAutospacing="0" w:afterAutospacing="0" w:line="240" w:lineRule="auto"/>
              <w:rPr>
                <w:rFonts w:hint="eastAsia" w:ascii="宋体" w:hAnsi="宋体" w:eastAsia="宋体" w:cs="宋体"/>
                <w:b w:val="0"/>
                <w:bCs w:val="0"/>
                <w:kern w:val="2"/>
                <w:sz w:val="22"/>
                <w:szCs w:val="22"/>
                <w:highlight w:val="none"/>
              </w:rPr>
            </w:pPr>
            <w:r>
              <w:rPr>
                <w:rFonts w:hint="eastAsia" w:ascii="宋体" w:hAnsi="宋体" w:eastAsia="宋体" w:cs="宋体"/>
                <w:b w:val="0"/>
                <w:bCs w:val="0"/>
                <w:kern w:val="2"/>
                <w:sz w:val="22"/>
                <w:szCs w:val="22"/>
                <w:highlight w:val="none"/>
              </w:rPr>
              <w:t>若业主在上级单位考核中涉及该工程养护范围的，受到上级单位通报批评的，扣5分/次；受到上级单位通报表扬的，加5分/次。</w:t>
            </w:r>
          </w:p>
        </w:tc>
        <w:tc>
          <w:tcPr>
            <w:tcW w:w="618" w:type="dxa"/>
            <w:tcBorders>
              <w:top w:val="nil"/>
              <w:left w:val="single" w:color="auto" w:sz="4" w:space="0"/>
              <w:bottom w:val="single" w:color="auto" w:sz="4" w:space="0"/>
              <w:right w:val="single" w:color="auto" w:sz="4" w:space="0"/>
            </w:tcBorders>
            <w:noWrap w:val="0"/>
            <w:vAlign w:val="top"/>
          </w:tcPr>
          <w:p w14:paraId="5600DE90">
            <w:pPr>
              <w:pageBreakBefore w:val="0"/>
              <w:wordWrap/>
              <w:topLinePunct w:val="0"/>
              <w:bidi w:val="0"/>
              <w:snapToGrid w:val="0"/>
              <w:spacing w:beforeAutospacing="0" w:afterAutospacing="0" w:line="240" w:lineRule="auto"/>
              <w:jc w:val="center"/>
              <w:rPr>
                <w:rFonts w:hint="eastAsia" w:ascii="宋体" w:hAnsi="宋体" w:eastAsia="宋体" w:cs="宋体"/>
                <w:b w:val="0"/>
                <w:bCs w:val="0"/>
                <w:kern w:val="2"/>
                <w:sz w:val="22"/>
                <w:szCs w:val="22"/>
                <w:highlight w:val="none"/>
              </w:rPr>
            </w:pPr>
          </w:p>
        </w:tc>
      </w:tr>
      <w:tr w14:paraId="0B214CA7">
        <w:tblPrEx>
          <w:tblCellMar>
            <w:top w:w="0" w:type="dxa"/>
            <w:left w:w="108" w:type="dxa"/>
            <w:bottom w:w="0" w:type="dxa"/>
            <w:right w:w="108" w:type="dxa"/>
          </w:tblCellMar>
        </w:tblPrEx>
        <w:trPr>
          <w:trHeight w:val="692" w:hRule="atLeast"/>
        </w:trPr>
        <w:tc>
          <w:tcPr>
            <w:tcW w:w="993" w:type="dxa"/>
            <w:tcBorders>
              <w:top w:val="nil"/>
              <w:left w:val="single" w:color="auto" w:sz="4" w:space="0"/>
              <w:bottom w:val="single" w:color="auto" w:sz="4" w:space="0"/>
              <w:right w:val="single" w:color="auto" w:sz="4" w:space="0"/>
            </w:tcBorders>
            <w:noWrap w:val="0"/>
            <w:vAlign w:val="center"/>
          </w:tcPr>
          <w:p w14:paraId="7501B1C1">
            <w:pPr>
              <w:pageBreakBefore w:val="0"/>
              <w:wordWrap/>
              <w:topLinePunct w:val="0"/>
              <w:bidi w:val="0"/>
              <w:snapToGrid w:val="0"/>
              <w:spacing w:beforeAutospacing="0" w:afterAutospacing="0" w:line="240" w:lineRule="auto"/>
              <w:jc w:val="center"/>
              <w:rPr>
                <w:rFonts w:hint="eastAsia" w:ascii="宋体" w:hAnsi="宋体" w:eastAsia="宋体" w:cs="宋体"/>
                <w:b w:val="0"/>
                <w:bCs w:val="0"/>
                <w:kern w:val="2"/>
                <w:sz w:val="22"/>
                <w:szCs w:val="22"/>
                <w:highlight w:val="none"/>
              </w:rPr>
            </w:pPr>
            <w:r>
              <w:rPr>
                <w:rFonts w:hint="eastAsia" w:ascii="宋体" w:hAnsi="宋体" w:eastAsia="宋体" w:cs="宋体"/>
                <w:b w:val="0"/>
                <w:bCs w:val="0"/>
                <w:kern w:val="2"/>
                <w:sz w:val="22"/>
                <w:szCs w:val="22"/>
                <w:highlight w:val="none"/>
              </w:rPr>
              <w:t>合计</w:t>
            </w:r>
          </w:p>
          <w:p w14:paraId="66D435BF">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r>
              <w:rPr>
                <w:rFonts w:hint="eastAsia" w:ascii="宋体" w:hAnsi="宋体" w:eastAsia="宋体" w:cs="宋体"/>
                <w:b w:val="0"/>
                <w:bCs w:val="0"/>
                <w:kern w:val="2"/>
                <w:sz w:val="22"/>
                <w:szCs w:val="22"/>
                <w:highlight w:val="none"/>
              </w:rPr>
              <w:t>分数</w:t>
            </w:r>
          </w:p>
        </w:tc>
        <w:tc>
          <w:tcPr>
            <w:tcW w:w="8607" w:type="dxa"/>
            <w:gridSpan w:val="4"/>
            <w:tcBorders>
              <w:top w:val="single" w:color="auto" w:sz="4" w:space="0"/>
              <w:left w:val="nil"/>
              <w:bottom w:val="single" w:color="auto" w:sz="4" w:space="0"/>
              <w:right w:val="single" w:color="auto" w:sz="4" w:space="0"/>
            </w:tcBorders>
            <w:noWrap w:val="0"/>
            <w:vAlign w:val="center"/>
          </w:tcPr>
          <w:p w14:paraId="22DEE67D">
            <w:pPr>
              <w:pageBreakBefore w:val="0"/>
              <w:wordWrap/>
              <w:topLinePunct w:val="0"/>
              <w:bidi w:val="0"/>
              <w:snapToGrid w:val="0"/>
              <w:spacing w:beforeAutospacing="0" w:afterAutospacing="0" w:line="240" w:lineRule="auto"/>
              <w:jc w:val="center"/>
              <w:rPr>
                <w:rFonts w:hint="eastAsia" w:ascii="宋体" w:hAnsi="宋体" w:eastAsia="宋体" w:cs="宋体"/>
                <w:bCs w:val="0"/>
                <w:kern w:val="2"/>
                <w:sz w:val="22"/>
                <w:szCs w:val="22"/>
                <w:highlight w:val="none"/>
              </w:rPr>
            </w:pPr>
          </w:p>
        </w:tc>
      </w:tr>
      <w:tr w14:paraId="4B7EA690">
        <w:tblPrEx>
          <w:tblCellMar>
            <w:top w:w="0" w:type="dxa"/>
            <w:left w:w="108" w:type="dxa"/>
            <w:bottom w:w="0" w:type="dxa"/>
            <w:right w:w="108" w:type="dxa"/>
          </w:tblCellMar>
        </w:tblPrEx>
        <w:trPr>
          <w:trHeight w:val="702" w:hRule="atLeast"/>
        </w:trPr>
        <w:tc>
          <w:tcPr>
            <w:tcW w:w="9600" w:type="dxa"/>
            <w:gridSpan w:val="5"/>
            <w:tcBorders>
              <w:top w:val="nil"/>
              <w:left w:val="single" w:color="auto" w:sz="4" w:space="0"/>
              <w:bottom w:val="single" w:color="auto" w:sz="4" w:space="0"/>
              <w:right w:val="single" w:color="auto" w:sz="4" w:space="0"/>
            </w:tcBorders>
            <w:noWrap w:val="0"/>
            <w:vAlign w:val="center"/>
          </w:tcPr>
          <w:p w14:paraId="6F23513F">
            <w:pPr>
              <w:pageBreakBefore w:val="0"/>
              <w:wordWrap/>
              <w:topLinePunct w:val="0"/>
              <w:bidi w:val="0"/>
              <w:snapToGrid w:val="0"/>
              <w:spacing w:beforeAutospacing="0" w:afterAutospacing="0" w:line="240" w:lineRule="auto"/>
              <w:rPr>
                <w:rFonts w:hint="eastAsia" w:ascii="宋体" w:hAnsi="宋体" w:eastAsia="宋体" w:cs="宋体"/>
                <w:bCs w:val="0"/>
                <w:kern w:val="2"/>
                <w:sz w:val="22"/>
                <w:szCs w:val="22"/>
                <w:highlight w:val="none"/>
              </w:rPr>
            </w:pPr>
          </w:p>
        </w:tc>
      </w:tr>
    </w:tbl>
    <w:p w14:paraId="1CD103C9">
      <w:pPr>
        <w:pageBreakBefore w:val="0"/>
        <w:wordWrap/>
        <w:topLinePunct w:val="0"/>
        <w:bidi w:val="0"/>
        <w:snapToGrid w:val="0"/>
        <w:spacing w:beforeAutospacing="0" w:afterAutospacing="0" w:line="240" w:lineRule="auto"/>
        <w:rPr>
          <w:rFonts w:hint="eastAsia" w:ascii="宋体" w:eastAsia="宋体"/>
          <w:b w:val="0"/>
          <w:bCs w:val="0"/>
          <w:kern w:val="2"/>
          <w:sz w:val="22"/>
          <w:szCs w:val="22"/>
          <w:highlight w:val="none"/>
        </w:rPr>
      </w:pPr>
      <w:r>
        <w:rPr>
          <w:rFonts w:hint="eastAsia" w:ascii="宋体" w:hAnsi="宋体" w:eastAsia="宋体" w:cs="宋体"/>
          <w:b w:val="0"/>
          <w:bCs w:val="0"/>
          <w:kern w:val="2"/>
          <w:sz w:val="22"/>
          <w:szCs w:val="22"/>
          <w:highlight w:val="none"/>
        </w:rPr>
        <w:t>考核人员：                                         日期：</w:t>
      </w:r>
    </w:p>
    <w:p w14:paraId="62F5EDA7">
      <w:pPr>
        <w:pStyle w:val="2"/>
        <w:rPr>
          <w:rFonts w:hint="eastAsia" w:ascii="宋体" w:hAnsi="宋体"/>
          <w:color w:val="auto"/>
          <w:highlight w:val="none"/>
        </w:rPr>
      </w:pPr>
    </w:p>
    <w:p w14:paraId="1CF8A48F">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rPr>
          <w:rFonts w:hint="eastAsia" w:ascii="仿宋" w:hAnsi="仿宋" w:eastAsia="仿宋" w:cs="仿宋_GB2312"/>
          <w:b/>
          <w:sz w:val="36"/>
          <w:szCs w:val="20"/>
          <w:highlight w:val="none"/>
        </w:rPr>
      </w:pPr>
      <w:r>
        <w:rPr>
          <w:rFonts w:hint="eastAsia" w:ascii="仿宋" w:hAnsi="仿宋" w:eastAsia="仿宋" w:cs="仿宋"/>
          <w:b w:val="0"/>
          <w:bCs w:val="0"/>
          <w:kern w:val="2"/>
          <w:sz w:val="24"/>
          <w:szCs w:val="24"/>
          <w:highlight w:val="none"/>
        </w:rPr>
        <w:br w:type="page"/>
      </w:r>
    </w:p>
    <w:p w14:paraId="1ADD5B89">
      <w:pPr>
        <w:kinsoku/>
        <w:wordWrap w:val="0"/>
        <w:topLinePunct w:val="0"/>
        <w:bidi w:val="0"/>
        <w:spacing w:line="360" w:lineRule="auto"/>
        <w:ind w:left="720" w:firstLine="723" w:firstLineChars="200"/>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396"/>
      <w:r>
        <w:rPr>
          <w:rFonts w:ascii="仿宋" w:hAnsi="仿宋" w:eastAsia="仿宋" w:cs="仿宋_GB2312"/>
          <w:b/>
          <w:sz w:val="36"/>
          <w:szCs w:val="20"/>
          <w:highlight w:val="none"/>
        </w:rPr>
        <w:t xml:space="preserve"> </w:t>
      </w:r>
      <w:bookmarkEnd w:id="397"/>
      <w:r>
        <w:rPr>
          <w:rFonts w:hint="eastAsia" w:ascii="仿宋" w:hAnsi="仿宋" w:eastAsia="仿宋" w:cs="仿宋_GB2312"/>
          <w:b/>
          <w:sz w:val="36"/>
          <w:szCs w:val="20"/>
          <w:highlight w:val="none"/>
        </w:rPr>
        <w:t>应提交的有关格式范例</w:t>
      </w:r>
    </w:p>
    <w:p w14:paraId="0DB7E542">
      <w:pPr>
        <w:kinsoku/>
        <w:wordWrap w:val="0"/>
        <w:topLinePunct w:val="0"/>
        <w:bidi w:val="0"/>
        <w:spacing w:line="360" w:lineRule="auto"/>
        <w:jc w:val="center"/>
        <w:outlineLvl w:val="0"/>
        <w:rPr>
          <w:rFonts w:ascii="仿宋_GB2312" w:hAnsi="仿宋" w:eastAsia="仿宋_GB2312" w:cs="仿宋_GB2312"/>
          <w:b/>
          <w:kern w:val="0"/>
          <w:sz w:val="36"/>
          <w:szCs w:val="36"/>
          <w:highlight w:val="none"/>
        </w:rPr>
      </w:pPr>
    </w:p>
    <w:p w14:paraId="33BFAD85">
      <w:pPr>
        <w:kinsoku/>
        <w:wordWrap w:val="0"/>
        <w:topLinePunct w:val="0"/>
        <w:bidi w:val="0"/>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14:paraId="03429659">
      <w:pPr>
        <w:kinsoku/>
        <w:wordWrap w:val="0"/>
        <w:topLinePunct w:val="0"/>
        <w:bidi w:val="0"/>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14:paraId="191DB316">
      <w:pPr>
        <w:kinsoku/>
        <w:wordWrap w:val="0"/>
        <w:topLinePunct w:val="0"/>
        <w:bidi w:val="0"/>
        <w:spacing w:line="360" w:lineRule="auto"/>
        <w:jc w:val="center"/>
        <w:outlineLvl w:val="0"/>
        <w:rPr>
          <w:rFonts w:ascii="仿宋_GB2312" w:hAnsi="仿宋" w:eastAsia="仿宋_GB2312" w:cs="仿宋_GB2312"/>
          <w:b/>
          <w:kern w:val="0"/>
          <w:sz w:val="36"/>
          <w:szCs w:val="36"/>
          <w:highlight w:val="none"/>
        </w:rPr>
      </w:pPr>
    </w:p>
    <w:p w14:paraId="6B26EB03">
      <w:pPr>
        <w:kinsoku/>
        <w:wordWrap w:val="0"/>
        <w:topLinePunct w:val="0"/>
        <w:bidi w:val="0"/>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1）符合参加政府采购活动应当具备的一般条件的承诺函……</w:t>
      </w:r>
      <w:r>
        <w:rPr>
          <w:rFonts w:hint="eastAsia" w:ascii="仿宋_GB2312" w:hAnsi="仿宋" w:eastAsia="仿宋_GB2312" w:cs="仿宋_GB2312"/>
          <w:sz w:val="24"/>
          <w:highlight w:val="none"/>
        </w:rPr>
        <w:t>………（页码）</w:t>
      </w:r>
    </w:p>
    <w:p w14:paraId="2EE857CC">
      <w:pPr>
        <w:kinsoku/>
        <w:wordWrap w:val="0"/>
        <w:topLinePunct w:val="0"/>
        <w:bidi w:val="0"/>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2）落实政府采购政策需满足的资格要求……</w:t>
      </w:r>
      <w:r>
        <w:rPr>
          <w:rFonts w:hint="eastAsia" w:ascii="仿宋_GB2312" w:hAnsi="仿宋" w:eastAsia="仿宋_GB2312" w:cs="仿宋_GB2312"/>
          <w:sz w:val="24"/>
          <w:highlight w:val="none"/>
        </w:rPr>
        <w:t>…………………………（页码）</w:t>
      </w:r>
    </w:p>
    <w:p w14:paraId="1128D1A5">
      <w:pPr>
        <w:kinsoku/>
        <w:wordWrap w:val="0"/>
        <w:topLinePunct w:val="0"/>
        <w:bidi w:val="0"/>
        <w:snapToGrid w:val="0"/>
        <w:spacing w:line="360" w:lineRule="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3）本项目的特定资格要求……</w:t>
      </w:r>
      <w:r>
        <w:rPr>
          <w:rFonts w:hint="eastAsia" w:ascii="仿宋_GB2312" w:hAnsi="仿宋" w:eastAsia="仿宋_GB2312" w:cs="仿宋_GB2312"/>
          <w:sz w:val="24"/>
          <w:highlight w:val="none"/>
        </w:rPr>
        <w:t>…………………………………………（页码）</w:t>
      </w:r>
    </w:p>
    <w:p w14:paraId="09304269">
      <w:pPr>
        <w:kinsoku/>
        <w:wordWrap w:val="0"/>
        <w:topLinePunct w:val="0"/>
        <w:bidi w:val="0"/>
        <w:snapToGrid w:val="0"/>
        <w:spacing w:line="360" w:lineRule="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val="en-US" w:eastAsia="zh-CN"/>
        </w:rPr>
        <w:t>4</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投标人营业执照（扫描件加盖公章）………………………………（页码）</w:t>
      </w:r>
    </w:p>
    <w:p w14:paraId="6FE85B3D">
      <w:pPr>
        <w:kinsoku/>
        <w:wordWrap w:val="0"/>
        <w:topLinePunct w:val="0"/>
        <w:bidi w:val="0"/>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val="en-US" w:eastAsia="zh-CN"/>
        </w:rPr>
        <w:t>5</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投标人应商近期财务报表（扫描件加盖公章，新成立企业应提供情况说明）</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………………………………………………………………………（页码）</w:t>
      </w:r>
    </w:p>
    <w:p w14:paraId="34524ED4">
      <w:pPr>
        <w:pStyle w:val="2"/>
        <w:rPr>
          <w:highlight w:val="none"/>
        </w:rPr>
      </w:pPr>
    </w:p>
    <w:p w14:paraId="1627C41E">
      <w:pPr>
        <w:kinsoku/>
        <w:wordWrap w:val="0"/>
        <w:topLinePunct w:val="0"/>
        <w:bidi w:val="0"/>
        <w:snapToGrid w:val="0"/>
        <w:spacing w:line="360" w:lineRule="auto"/>
        <w:rPr>
          <w:rFonts w:ascii="仿宋_GB2312" w:hAnsi="仿宋" w:eastAsia="仿宋_GB2312" w:cs="仿宋_GB2312"/>
          <w:sz w:val="24"/>
          <w:highlight w:val="none"/>
        </w:rPr>
      </w:pPr>
    </w:p>
    <w:p w14:paraId="40BEB784">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ascii="仿宋_GB2312" w:hAnsi="仿宋" w:eastAsia="仿宋_GB2312" w:cs="仿宋_GB2312"/>
          <w:b/>
          <w:kern w:val="0"/>
          <w:sz w:val="32"/>
          <w:szCs w:val="32"/>
          <w:highlight w:val="none"/>
        </w:rPr>
        <w:t xml:space="preserve">  一、 符合参加政府采购活动应当具备的一般条件的承诺函</w:t>
      </w:r>
    </w:p>
    <w:p w14:paraId="4FE6073B">
      <w:pPr>
        <w:kinsoku/>
        <w:wordWrap w:val="0"/>
        <w:topLinePunct w:val="0"/>
        <w:bidi w:val="0"/>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永嘉县公路与运输管理中心、</w:t>
      </w:r>
      <w:r>
        <w:rPr>
          <w:rFonts w:hint="eastAsia" w:ascii="仿宋_GB2312" w:hAnsi="仿宋" w:eastAsia="仿宋_GB2312" w:cs="仿宋_GB2312"/>
          <w:sz w:val="24"/>
          <w:highlight w:val="none"/>
          <w:lang w:eastAsia="zh-CN"/>
        </w:rPr>
        <w:t>温州广信工程管理有限公司</w:t>
      </w:r>
      <w:r>
        <w:rPr>
          <w:rFonts w:hint="eastAsia" w:ascii="仿宋_GB2312" w:hAnsi="仿宋" w:eastAsia="仿宋_GB2312" w:cs="仿宋_GB2312"/>
          <w:sz w:val="24"/>
          <w:highlight w:val="none"/>
        </w:rPr>
        <w:t>：</w:t>
      </w:r>
    </w:p>
    <w:p w14:paraId="7C3E3253">
      <w:pPr>
        <w:kinsoku/>
        <w:wordWrap w:val="0"/>
        <w:topLinePunct w:val="0"/>
        <w:bidi w:val="0"/>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lang w:eastAsia="zh-CN"/>
        </w:rPr>
        <w:t>WZGX-YJ-202410001</w:t>
      </w:r>
      <w:r>
        <w:rPr>
          <w:rFonts w:hint="eastAsia" w:ascii="仿宋_GB2312" w:hAnsi="仿宋" w:eastAsia="仿宋_GB2312" w:cs="仿宋_GB2312"/>
          <w:sz w:val="24"/>
          <w:highlight w:val="none"/>
        </w:rPr>
        <w:t>】政府采购活动，郑重承诺：</w:t>
      </w:r>
    </w:p>
    <w:p w14:paraId="56DCC8F0">
      <w:pPr>
        <w:kinsoku/>
        <w:wordWrap w:val="0"/>
        <w:topLinePunct w:val="0"/>
        <w:bidi w:val="0"/>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14:paraId="4B154490">
      <w:pPr>
        <w:kinsoku/>
        <w:wordWrap w:val="0"/>
        <w:topLinePunct w:val="0"/>
        <w:bidi w:val="0"/>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14:paraId="696F74BA">
      <w:pPr>
        <w:kinsoku/>
        <w:wordWrap w:val="0"/>
        <w:topLinePunct w:val="0"/>
        <w:bidi w:val="0"/>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14:paraId="186DA832">
      <w:pPr>
        <w:kinsoku/>
        <w:wordWrap w:val="0"/>
        <w:topLinePunct w:val="0"/>
        <w:bidi w:val="0"/>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14:paraId="46733033">
      <w:pPr>
        <w:kinsoku/>
        <w:wordWrap w:val="0"/>
        <w:topLinePunct w:val="0"/>
        <w:bidi w:val="0"/>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14:paraId="63300A64">
      <w:pPr>
        <w:kinsoku/>
        <w:wordWrap w:val="0"/>
        <w:topLinePunct w:val="0"/>
        <w:bidi w:val="0"/>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14:paraId="3D5C23A4">
      <w:pPr>
        <w:kinsoku/>
        <w:wordWrap w:val="0"/>
        <w:topLinePunct w:val="0"/>
        <w:bidi w:val="0"/>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14:paraId="1DA2C8D2">
      <w:pPr>
        <w:kinsoku/>
        <w:wordWrap w:val="0"/>
        <w:topLinePunct w:val="0"/>
        <w:bidi w:val="0"/>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14:paraId="4AD56C5D">
      <w:pPr>
        <w:kinsoku/>
        <w:wordWrap w:val="0"/>
        <w:topLinePunct w:val="0"/>
        <w:bidi w:val="0"/>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14:paraId="0BA6B4D8">
      <w:pPr>
        <w:kinsoku/>
        <w:wordWrap w:val="0"/>
        <w:topLinePunct w:val="0"/>
        <w:bidi w:val="0"/>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14:paraId="78A97394">
      <w:pPr>
        <w:kinsoku/>
        <w:wordWrap w:val="0"/>
        <w:topLinePunct w:val="0"/>
        <w:bidi w:val="0"/>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14:paraId="6CA16EA8">
      <w:pPr>
        <w:kinsoku/>
        <w:wordWrap w:val="0"/>
        <w:topLinePunct w:val="0"/>
        <w:bidi w:val="0"/>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14:paraId="0C1B2B1E">
      <w:pPr>
        <w:kinsoku/>
        <w:wordWrap w:val="0"/>
        <w:topLinePunct w:val="0"/>
        <w:bidi w:val="0"/>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4CC0E974">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7D355FB0">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69E3C5A2">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5138E03E">
      <w:pPr>
        <w:kinsoku/>
        <w:wordWrap w:val="0"/>
        <w:topLinePunct w:val="0"/>
        <w:bidi w:val="0"/>
        <w:rPr>
          <w:highlight w:val="none"/>
        </w:rPr>
      </w:pPr>
    </w:p>
    <w:p w14:paraId="0A0556C1">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5D786E87">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0E016B1C">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3F28E8E9">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二、落实政府采购政策需满足的资格要求</w:t>
      </w:r>
    </w:p>
    <w:p w14:paraId="0AD4CEC0">
      <w:pPr>
        <w:kinsoku/>
        <w:wordWrap w:val="0"/>
        <w:topLinePunct w:val="0"/>
        <w:bidi w:val="0"/>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14:paraId="2BFD3C43">
      <w:pPr>
        <w:kinsoku/>
        <w:wordWrap w:val="0"/>
        <w:topLinePunct w:val="0"/>
        <w:bidi w:val="0"/>
        <w:snapToGrid w:val="0"/>
        <w:spacing w:before="50" w:after="50"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A</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14:paraId="17CE02C8">
      <w:pPr>
        <w:widowControl/>
        <w:kinsoku/>
        <w:wordWrap w:val="0"/>
        <w:topLinePunct w:val="0"/>
        <w:bidi w:val="0"/>
        <w:spacing w:line="360" w:lineRule="auto"/>
        <w:ind w:firstLine="480"/>
        <w:jc w:val="left"/>
        <w:rPr>
          <w:rFonts w:ascii="仿宋_GB2312" w:hAnsi="宋体" w:eastAsia="仿宋_GB2312"/>
          <w:sz w:val="24"/>
          <w:highlight w:val="none"/>
        </w:rPr>
      </w:pPr>
    </w:p>
    <w:p w14:paraId="0EDBF0B6">
      <w:pPr>
        <w:widowControl/>
        <w:kinsoku/>
        <w:wordWrap w:val="0"/>
        <w:topLinePunct w:val="0"/>
        <w:bidi w:val="0"/>
        <w:spacing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B.</w:t>
      </w:r>
      <w:r>
        <w:rPr>
          <w:rFonts w:hint="eastAsia" w:ascii="仿宋_GB2312" w:hAnsi="仿宋" w:eastAsia="仿宋_GB2312" w:cs="仿宋_GB2312"/>
          <w:sz w:val="24"/>
          <w:highlight w:val="none"/>
        </w:rPr>
        <w:t>要求以联合体形式参加的，提供联合协议和中小企业声明函（附件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2939B37">
      <w:pPr>
        <w:widowControl/>
        <w:kinsoku/>
        <w:wordWrap w:val="0"/>
        <w:topLinePunct w:val="0"/>
        <w:bidi w:val="0"/>
        <w:spacing w:line="360" w:lineRule="auto"/>
        <w:ind w:left="150"/>
        <w:jc w:val="center"/>
        <w:rPr>
          <w:rFonts w:ascii="仿宋_GB2312" w:hAnsi="仿宋" w:eastAsia="仿宋_GB2312" w:cs="仿宋_GB2312"/>
          <w:b/>
          <w:kern w:val="0"/>
          <w:sz w:val="32"/>
          <w:szCs w:val="32"/>
          <w:highlight w:val="none"/>
        </w:rPr>
      </w:pPr>
    </w:p>
    <w:p w14:paraId="7EA90D3F">
      <w:pPr>
        <w:widowControl/>
        <w:kinsoku/>
        <w:wordWrap w:val="0"/>
        <w:topLinePunct w:val="0"/>
        <w:bidi w:val="0"/>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三、本项目的特定资格要求</w:t>
      </w:r>
    </w:p>
    <w:p w14:paraId="2475216A">
      <w:pPr>
        <w:kinsoku/>
        <w:wordWrap w:val="0"/>
        <w:topLinePunct w:val="0"/>
        <w:bidi w:val="0"/>
        <w:spacing w:line="360" w:lineRule="auto"/>
        <w:jc w:val="center"/>
        <w:rPr>
          <w:rFonts w:ascii="仿宋_GB2312" w:hAnsi="仿宋" w:eastAsia="仿宋_GB2312"/>
          <w:sz w:val="24"/>
          <w:highlight w:val="none"/>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提供相应的材料；未要求的，无需提供</w:t>
      </w:r>
      <w:r>
        <w:rPr>
          <w:rFonts w:hint="eastAsia" w:ascii="仿宋_GB2312" w:hAnsi="仿宋" w:eastAsia="仿宋_GB2312" w:cs="仿宋_GB2312"/>
          <w:sz w:val="24"/>
          <w:highlight w:val="none"/>
        </w:rPr>
        <w:t>）</w:t>
      </w:r>
    </w:p>
    <w:p w14:paraId="0584E1BE">
      <w:pPr>
        <w:kinsoku/>
        <w:wordWrap w:val="0"/>
        <w:topLinePunct w:val="0"/>
        <w:bidi w:val="0"/>
        <w:rPr>
          <w:highlight w:val="none"/>
        </w:rPr>
      </w:pPr>
    </w:p>
    <w:p w14:paraId="2F303650">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632062B7">
      <w:pPr>
        <w:widowControl/>
        <w:kinsoku/>
        <w:wordWrap w:val="0"/>
        <w:topLinePunct w:val="0"/>
        <w:bidi w:val="0"/>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四</w:t>
      </w:r>
      <w:r>
        <w:rPr>
          <w:rFonts w:hint="eastAsia" w:ascii="仿宋_GB2312" w:hAnsi="仿宋" w:eastAsia="仿宋_GB2312" w:cs="仿宋_GB2312"/>
          <w:b/>
          <w:kern w:val="0"/>
          <w:sz w:val="32"/>
          <w:szCs w:val="32"/>
          <w:highlight w:val="none"/>
        </w:rPr>
        <w:t>、投标人营业执照（扫描件加盖公章）</w:t>
      </w:r>
    </w:p>
    <w:p w14:paraId="39CD8065">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5C3E1197">
      <w:pPr>
        <w:widowControl/>
        <w:kinsoku/>
        <w:wordWrap w:val="0"/>
        <w:topLinePunct w:val="0"/>
        <w:bidi w:val="0"/>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五</w:t>
      </w:r>
      <w:r>
        <w:rPr>
          <w:rFonts w:hint="eastAsia" w:ascii="仿宋_GB2312" w:hAnsi="仿宋" w:eastAsia="仿宋_GB2312" w:cs="仿宋_GB2312"/>
          <w:b/>
          <w:kern w:val="0"/>
          <w:sz w:val="32"/>
          <w:szCs w:val="32"/>
          <w:highlight w:val="none"/>
        </w:rPr>
        <w:t>、投标人应商近期财务报表（扫描件加盖公章，新成立企业应提供情况说明）</w:t>
      </w:r>
    </w:p>
    <w:p w14:paraId="41FC964B">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107F75D7">
      <w:pPr>
        <w:kinsoku/>
        <w:wordWrap w:val="0"/>
        <w:topLinePunct w:val="0"/>
        <w:bidi w:val="0"/>
        <w:spacing w:line="360" w:lineRule="auto"/>
        <w:jc w:val="center"/>
        <w:outlineLvl w:val="0"/>
        <w:rPr>
          <w:rFonts w:ascii="仿宋_GB2312" w:hAnsi="仿宋" w:eastAsia="仿宋_GB2312" w:cs="仿宋_GB2312"/>
          <w:b/>
          <w:kern w:val="0"/>
          <w:sz w:val="36"/>
          <w:szCs w:val="36"/>
          <w:highlight w:val="none"/>
        </w:rPr>
      </w:pPr>
    </w:p>
    <w:p w14:paraId="38A1FA73">
      <w:pPr>
        <w:rPr>
          <w:rFonts w:hint="eastAsia"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br w:type="page"/>
      </w:r>
    </w:p>
    <w:p w14:paraId="7BCC94DC">
      <w:pPr>
        <w:kinsoku/>
        <w:wordWrap w:val="0"/>
        <w:topLinePunct w:val="0"/>
        <w:bidi w:val="0"/>
        <w:spacing w:line="360" w:lineRule="auto"/>
        <w:ind w:right="420" w:firstLine="3614" w:firstLineChars="100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14:paraId="1BC67E40">
      <w:pPr>
        <w:kinsoku/>
        <w:wordWrap w:val="0"/>
        <w:topLinePunct w:val="0"/>
        <w:bidi w:val="0"/>
        <w:spacing w:line="360" w:lineRule="auto"/>
        <w:jc w:val="center"/>
        <w:outlineLvl w:val="0"/>
        <w:rPr>
          <w:rFonts w:ascii="仿宋_GB2312" w:hAnsi="仿宋" w:eastAsia="仿宋_GB2312" w:cs="仿宋_GB2312"/>
          <w:b/>
          <w:kern w:val="0"/>
          <w:sz w:val="24"/>
          <w:highlight w:val="none"/>
        </w:rPr>
      </w:pPr>
    </w:p>
    <w:p w14:paraId="21FA74BF">
      <w:pPr>
        <w:kinsoku/>
        <w:wordWrap w:val="0"/>
        <w:topLinePunct w:val="0"/>
        <w:bidi w:val="0"/>
        <w:spacing w:line="360" w:lineRule="auto"/>
        <w:jc w:val="center"/>
        <w:outlineLvl w:val="0"/>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14:paraId="6E65360F">
      <w:pPr>
        <w:kinsoku/>
        <w:wordWrap w:val="0"/>
        <w:topLinePunct w:val="0"/>
        <w:bidi w:val="0"/>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14:paraId="548DAF56">
      <w:pPr>
        <w:kinsoku/>
        <w:wordWrap w:val="0"/>
        <w:topLinePunct w:val="0"/>
        <w:bidi w:val="0"/>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3）联合协议</w:t>
      </w:r>
      <w:r>
        <w:rPr>
          <w:rFonts w:hint="eastAsia" w:cs="仿宋_GB2312"/>
          <w:highlight w:val="none"/>
        </w:rPr>
        <w:t>………………………………………………………………………………（页码）</w:t>
      </w:r>
    </w:p>
    <w:p w14:paraId="7D072419">
      <w:pPr>
        <w:kinsoku/>
        <w:wordWrap w:val="0"/>
        <w:topLinePunct w:val="0"/>
        <w:bidi w:val="0"/>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4）分包意向协议</w:t>
      </w:r>
      <w:r>
        <w:rPr>
          <w:rFonts w:hint="eastAsia" w:cs="仿宋_GB2312"/>
          <w:highlight w:val="none"/>
        </w:rPr>
        <w:t>…………………………………………………………………………（页码）</w:t>
      </w:r>
    </w:p>
    <w:p w14:paraId="26689297">
      <w:pPr>
        <w:kinsoku/>
        <w:wordWrap w:val="0"/>
        <w:topLinePunct w:val="0"/>
        <w:bidi w:val="0"/>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5）符合性审查资料</w:t>
      </w:r>
      <w:r>
        <w:rPr>
          <w:rFonts w:hint="eastAsia" w:cs="仿宋_GB2312"/>
          <w:highlight w:val="none"/>
        </w:rPr>
        <w:t>………………………………………………………………………（页码）</w:t>
      </w:r>
    </w:p>
    <w:p w14:paraId="3AF7A4A8">
      <w:pPr>
        <w:kinsoku/>
        <w:wordWrap w:val="0"/>
        <w:topLinePunct w:val="0"/>
        <w:bidi w:val="0"/>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6）评标标准相应的商务技术资料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14:paraId="1C005303">
      <w:pPr>
        <w:kinsoku/>
        <w:wordWrap w:val="0"/>
        <w:topLinePunct w:val="0"/>
        <w:bidi w:val="0"/>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7）商务技术偏离表</w:t>
      </w:r>
      <w:r>
        <w:rPr>
          <w:rFonts w:hint="eastAsia" w:cs="仿宋_GB2312"/>
          <w:highlight w:val="none"/>
        </w:rPr>
        <w:t>………………………………………………………………………（页码）</w:t>
      </w:r>
    </w:p>
    <w:p w14:paraId="48A93B24">
      <w:pPr>
        <w:kinsoku/>
        <w:wordWrap w:val="0"/>
        <w:topLinePunct w:val="0"/>
        <w:bidi w:val="0"/>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14:paraId="6FABD929">
      <w:pPr>
        <w:kinsoku/>
        <w:wordWrap w:val="0"/>
        <w:topLinePunct w:val="0"/>
        <w:bidi w:val="0"/>
        <w:snapToGrid w:val="0"/>
        <w:spacing w:line="360" w:lineRule="auto"/>
        <w:jc w:val="center"/>
        <w:rPr>
          <w:rFonts w:ascii="仿宋_GB2312" w:hAnsi="仿宋" w:eastAsia="仿宋_GB2312" w:cs="仿宋_GB2312"/>
          <w:b/>
          <w:kern w:val="0"/>
          <w:sz w:val="32"/>
          <w:szCs w:val="32"/>
          <w:highlight w:val="none"/>
          <w:lang w:val="zh-CN"/>
        </w:rPr>
      </w:pPr>
    </w:p>
    <w:p w14:paraId="32D209C6">
      <w:pPr>
        <w:kinsoku/>
        <w:wordWrap w:val="0"/>
        <w:topLinePunct w:val="0"/>
        <w:bidi w:val="0"/>
        <w:snapToGrid w:val="0"/>
        <w:spacing w:line="360" w:lineRule="auto"/>
        <w:jc w:val="center"/>
        <w:rPr>
          <w:rFonts w:ascii="仿宋_GB2312" w:hAnsi="仿宋" w:eastAsia="仿宋_GB2312" w:cs="仿宋_GB2312"/>
          <w:b/>
          <w:kern w:val="0"/>
          <w:sz w:val="32"/>
          <w:szCs w:val="32"/>
          <w:highlight w:val="none"/>
          <w:lang w:val="zh-CN"/>
        </w:rPr>
      </w:pPr>
    </w:p>
    <w:p w14:paraId="7CCC143F">
      <w:pPr>
        <w:kinsoku/>
        <w:wordWrap w:val="0"/>
        <w:topLinePunct w:val="0"/>
        <w:bidi w:val="0"/>
        <w:snapToGrid w:val="0"/>
        <w:spacing w:line="360" w:lineRule="auto"/>
        <w:jc w:val="center"/>
        <w:rPr>
          <w:rFonts w:ascii="仿宋_GB2312" w:hAnsi="仿宋" w:eastAsia="仿宋_GB2312" w:cs="仿宋_GB2312"/>
          <w:b/>
          <w:kern w:val="0"/>
          <w:sz w:val="32"/>
          <w:szCs w:val="32"/>
          <w:highlight w:val="none"/>
          <w:lang w:val="zh-CN"/>
        </w:rPr>
      </w:pPr>
    </w:p>
    <w:p w14:paraId="63E3DB36">
      <w:pPr>
        <w:kinsoku/>
        <w:wordWrap w:val="0"/>
        <w:topLinePunct w:val="0"/>
        <w:bidi w:val="0"/>
        <w:snapToGrid w:val="0"/>
        <w:spacing w:line="360" w:lineRule="auto"/>
        <w:jc w:val="center"/>
        <w:rPr>
          <w:rFonts w:ascii="仿宋_GB2312" w:hAnsi="仿宋" w:eastAsia="仿宋_GB2312" w:cs="仿宋_GB2312"/>
          <w:b/>
          <w:kern w:val="0"/>
          <w:sz w:val="32"/>
          <w:szCs w:val="32"/>
          <w:highlight w:val="none"/>
          <w:lang w:val="zh-CN"/>
        </w:rPr>
      </w:pPr>
    </w:p>
    <w:p w14:paraId="3E63FA64">
      <w:pPr>
        <w:kinsoku/>
        <w:wordWrap w:val="0"/>
        <w:topLinePunct w:val="0"/>
        <w:bidi w:val="0"/>
        <w:snapToGrid w:val="0"/>
        <w:spacing w:line="360" w:lineRule="auto"/>
        <w:jc w:val="center"/>
        <w:outlineLvl w:val="0"/>
        <w:rPr>
          <w:rFonts w:ascii="仿宋_GB2312" w:hAnsi="仿宋" w:eastAsia="仿宋_GB2312" w:cs="仿宋_GB2312"/>
          <w:b/>
          <w:kern w:val="0"/>
          <w:sz w:val="32"/>
          <w:szCs w:val="32"/>
          <w:highlight w:val="none"/>
        </w:rPr>
      </w:pPr>
    </w:p>
    <w:p w14:paraId="7275FCF2">
      <w:pPr>
        <w:kinsoku/>
        <w:wordWrap w:val="0"/>
        <w:topLinePunct w:val="0"/>
        <w:bidi w:val="0"/>
        <w:snapToGrid w:val="0"/>
        <w:spacing w:line="360" w:lineRule="auto"/>
        <w:jc w:val="center"/>
        <w:outlineLvl w:val="0"/>
        <w:rPr>
          <w:rFonts w:ascii="仿宋_GB2312" w:hAnsi="仿宋" w:eastAsia="仿宋_GB2312" w:cs="仿宋_GB2312"/>
          <w:b/>
          <w:kern w:val="0"/>
          <w:sz w:val="32"/>
          <w:szCs w:val="32"/>
          <w:highlight w:val="none"/>
        </w:rPr>
      </w:pPr>
    </w:p>
    <w:p w14:paraId="706295D9">
      <w:pPr>
        <w:kinsoku/>
        <w:wordWrap w:val="0"/>
        <w:topLinePunct w:val="0"/>
        <w:bidi w:val="0"/>
        <w:snapToGrid w:val="0"/>
        <w:spacing w:line="360" w:lineRule="auto"/>
        <w:jc w:val="center"/>
        <w:outlineLvl w:val="0"/>
        <w:rPr>
          <w:rFonts w:ascii="仿宋_GB2312" w:hAnsi="仿宋" w:eastAsia="仿宋_GB2312" w:cs="仿宋_GB2312"/>
          <w:b/>
          <w:kern w:val="0"/>
          <w:sz w:val="32"/>
          <w:szCs w:val="32"/>
          <w:highlight w:val="none"/>
        </w:rPr>
      </w:pPr>
    </w:p>
    <w:p w14:paraId="6DE7F296">
      <w:pPr>
        <w:kinsoku/>
        <w:wordWrap w:val="0"/>
        <w:topLinePunct w:val="0"/>
        <w:bidi w:val="0"/>
        <w:snapToGrid w:val="0"/>
        <w:spacing w:line="360" w:lineRule="auto"/>
        <w:jc w:val="center"/>
        <w:outlineLvl w:val="0"/>
        <w:rPr>
          <w:rFonts w:ascii="仿宋_GB2312" w:hAnsi="仿宋" w:eastAsia="仿宋_GB2312" w:cs="仿宋_GB2312"/>
          <w:b/>
          <w:kern w:val="0"/>
          <w:sz w:val="32"/>
          <w:szCs w:val="32"/>
          <w:highlight w:val="none"/>
        </w:rPr>
      </w:pPr>
    </w:p>
    <w:p w14:paraId="44E879EB">
      <w:pPr>
        <w:kinsoku/>
        <w:wordWrap w:val="0"/>
        <w:topLinePunct w:val="0"/>
        <w:bidi w:val="0"/>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20586180">
      <w:pPr>
        <w:kinsoku/>
        <w:wordWrap w:val="0"/>
        <w:topLinePunct w:val="0"/>
        <w:bidi w:val="0"/>
        <w:snapToGrid w:val="0"/>
        <w:spacing w:line="360" w:lineRule="auto"/>
        <w:jc w:val="center"/>
        <w:outlineLvl w:val="0"/>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14:paraId="62760BAB">
      <w:pPr>
        <w:keepNext w:val="0"/>
        <w:keepLines w:val="0"/>
        <w:pageBreakBefore w:val="0"/>
        <w:widowControl w:val="0"/>
        <w:kinsoku/>
        <w:wordWrap w:val="0"/>
        <w:overflowPunct/>
        <w:topLinePunct w:val="0"/>
        <w:autoSpaceDE/>
        <w:autoSpaceDN/>
        <w:bidi w:val="0"/>
        <w:adjustRightInd w:val="0"/>
        <w:snapToGrid w:val="0"/>
        <w:spacing w:line="288" w:lineRule="auto"/>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永嘉县公路与运输管理中心、</w:t>
      </w:r>
      <w:r>
        <w:rPr>
          <w:rFonts w:hint="eastAsia" w:ascii="仿宋_GB2312" w:hAnsi="仿宋" w:eastAsia="仿宋_GB2312" w:cs="仿宋_GB2312"/>
          <w:sz w:val="24"/>
          <w:highlight w:val="none"/>
          <w:lang w:eastAsia="zh-CN"/>
        </w:rPr>
        <w:t>温州广信工程管理有限公司</w:t>
      </w:r>
      <w:r>
        <w:rPr>
          <w:rFonts w:hint="eastAsia" w:ascii="仿宋_GB2312" w:hAnsi="仿宋" w:eastAsia="仿宋_GB2312" w:cs="仿宋_GB2312"/>
          <w:sz w:val="24"/>
          <w:highlight w:val="none"/>
        </w:rPr>
        <w:t>：</w:t>
      </w:r>
    </w:p>
    <w:p w14:paraId="3DC85141">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lang w:eastAsia="zh-CN"/>
        </w:rPr>
        <w:t>WZGX-YJ-202410001</w:t>
      </w:r>
      <w:r>
        <w:rPr>
          <w:rFonts w:hint="eastAsia" w:ascii="仿宋_GB2312" w:hAnsi="仿宋" w:eastAsia="仿宋_GB2312" w:cs="仿宋_GB2312"/>
          <w:sz w:val="24"/>
          <w:highlight w:val="none"/>
        </w:rPr>
        <w:t>】招标的有关活动，并对此项目进行投标。为此：</w:t>
      </w:r>
    </w:p>
    <w:p w14:paraId="0F993682">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14:paraId="5F02DF66">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14:paraId="0DDB1704">
      <w:pPr>
        <w:keepNext w:val="0"/>
        <w:keepLines w:val="0"/>
        <w:pageBreakBefore w:val="0"/>
        <w:widowControl w:val="0"/>
        <w:kinsoku/>
        <w:wordWrap w:val="0"/>
        <w:overflowPunct/>
        <w:topLinePunct w:val="0"/>
        <w:autoSpaceDE/>
        <w:autoSpaceDN/>
        <w:bidi w:val="0"/>
        <w:adjustRightInd w:val="0"/>
        <w:snapToGrid w:val="0"/>
        <w:spacing w:line="288" w:lineRule="auto"/>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14:paraId="2F0685E7">
      <w:pPr>
        <w:keepNext w:val="0"/>
        <w:keepLines w:val="0"/>
        <w:pageBreakBefore w:val="0"/>
        <w:widowControl w:val="0"/>
        <w:kinsoku/>
        <w:wordWrap w:val="0"/>
        <w:overflowPunct/>
        <w:topLinePunct w:val="0"/>
        <w:autoSpaceDE/>
        <w:autoSpaceDN/>
        <w:bidi w:val="0"/>
        <w:adjustRightInd w:val="0"/>
        <w:snapToGrid w:val="0"/>
        <w:spacing w:line="288"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14:paraId="6CD40B44">
      <w:pPr>
        <w:keepNext w:val="0"/>
        <w:keepLines w:val="0"/>
        <w:pageBreakBefore w:val="0"/>
        <w:widowControl w:val="0"/>
        <w:kinsoku/>
        <w:wordWrap w:val="0"/>
        <w:overflowPunct/>
        <w:topLinePunct w:val="0"/>
        <w:autoSpaceDE/>
        <w:autoSpaceDN/>
        <w:bidi w:val="0"/>
        <w:adjustRightInd w:val="0"/>
        <w:snapToGrid w:val="0"/>
        <w:spacing w:line="288"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（如果有）；</w:t>
      </w:r>
    </w:p>
    <w:p w14:paraId="62314A1C">
      <w:pPr>
        <w:keepNext w:val="0"/>
        <w:keepLines w:val="0"/>
        <w:pageBreakBefore w:val="0"/>
        <w:widowControl w:val="0"/>
        <w:kinsoku/>
        <w:wordWrap w:val="0"/>
        <w:overflowPunct/>
        <w:topLinePunct w:val="0"/>
        <w:autoSpaceDE/>
        <w:autoSpaceDN/>
        <w:bidi w:val="0"/>
        <w:adjustRightInd w:val="0"/>
        <w:snapToGrid w:val="0"/>
        <w:spacing w:line="288"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14:paraId="1A68642A">
      <w:pPr>
        <w:keepNext w:val="0"/>
        <w:keepLines w:val="0"/>
        <w:pageBreakBefore w:val="0"/>
        <w:widowControl w:val="0"/>
        <w:kinsoku/>
        <w:wordWrap w:val="0"/>
        <w:overflowPunct/>
        <w:topLinePunct w:val="0"/>
        <w:autoSpaceDE/>
        <w:autoSpaceDN/>
        <w:bidi w:val="0"/>
        <w:adjustRightInd w:val="0"/>
        <w:snapToGrid w:val="0"/>
        <w:spacing w:line="288" w:lineRule="auto"/>
        <w:ind w:left="210" w:leftChars="1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14:paraId="1C77B538">
      <w:pPr>
        <w:keepNext w:val="0"/>
        <w:keepLines w:val="0"/>
        <w:pageBreakBefore w:val="0"/>
        <w:widowControl w:val="0"/>
        <w:kinsoku/>
        <w:wordWrap w:val="0"/>
        <w:overflowPunct/>
        <w:topLinePunct w:val="0"/>
        <w:autoSpaceDE/>
        <w:autoSpaceDN/>
        <w:bidi w:val="0"/>
        <w:adjustRightInd w:val="0"/>
        <w:snapToGrid w:val="0"/>
        <w:spacing w:line="288"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14:paraId="0292708E">
      <w:pPr>
        <w:keepNext w:val="0"/>
        <w:keepLines w:val="0"/>
        <w:pageBreakBefore w:val="0"/>
        <w:widowControl w:val="0"/>
        <w:kinsoku/>
        <w:wordWrap w:val="0"/>
        <w:overflowPunct/>
        <w:topLinePunct w:val="0"/>
        <w:autoSpaceDE/>
        <w:autoSpaceDN/>
        <w:bidi w:val="0"/>
        <w:adjustRightInd w:val="0"/>
        <w:snapToGrid w:val="0"/>
        <w:spacing w:line="288"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14:paraId="45043151">
      <w:pPr>
        <w:keepNext w:val="0"/>
        <w:keepLines w:val="0"/>
        <w:pageBreakBefore w:val="0"/>
        <w:widowControl w:val="0"/>
        <w:kinsoku/>
        <w:wordWrap w:val="0"/>
        <w:overflowPunct/>
        <w:topLinePunct w:val="0"/>
        <w:autoSpaceDE/>
        <w:autoSpaceDN/>
        <w:bidi w:val="0"/>
        <w:adjustRightInd w:val="0"/>
        <w:snapToGrid w:val="0"/>
        <w:spacing w:line="288"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14:paraId="0BBA97FA">
      <w:pPr>
        <w:keepNext w:val="0"/>
        <w:keepLines w:val="0"/>
        <w:pageBreakBefore w:val="0"/>
        <w:widowControl w:val="0"/>
        <w:kinsoku/>
        <w:wordWrap w:val="0"/>
        <w:overflowPunct/>
        <w:topLinePunct w:val="0"/>
        <w:autoSpaceDE/>
        <w:autoSpaceDN/>
        <w:bidi w:val="0"/>
        <w:adjustRightInd w:val="0"/>
        <w:snapToGrid w:val="0"/>
        <w:spacing w:line="288"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14:paraId="2FC7230D">
      <w:pPr>
        <w:keepNext w:val="0"/>
        <w:keepLines w:val="0"/>
        <w:pageBreakBefore w:val="0"/>
        <w:widowControl w:val="0"/>
        <w:kinsoku/>
        <w:wordWrap w:val="0"/>
        <w:overflowPunct/>
        <w:topLinePunct w:val="0"/>
        <w:autoSpaceDE/>
        <w:autoSpaceDN/>
        <w:bidi w:val="0"/>
        <w:adjustRightInd w:val="0"/>
        <w:snapToGrid w:val="0"/>
        <w:spacing w:line="288"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2.2.5符合性审查资料；</w:t>
      </w:r>
    </w:p>
    <w:p w14:paraId="36668784">
      <w:pPr>
        <w:keepNext w:val="0"/>
        <w:keepLines w:val="0"/>
        <w:pageBreakBefore w:val="0"/>
        <w:widowControl w:val="0"/>
        <w:kinsoku/>
        <w:wordWrap w:val="0"/>
        <w:overflowPunct/>
        <w:topLinePunct w:val="0"/>
        <w:autoSpaceDE/>
        <w:autoSpaceDN/>
        <w:bidi w:val="0"/>
        <w:adjustRightInd w:val="0"/>
        <w:snapToGrid w:val="0"/>
        <w:spacing w:line="288"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14:paraId="63D50246">
      <w:pPr>
        <w:keepNext w:val="0"/>
        <w:keepLines w:val="0"/>
        <w:pageBreakBefore w:val="0"/>
        <w:widowControl w:val="0"/>
        <w:kinsoku/>
        <w:wordWrap w:val="0"/>
        <w:overflowPunct/>
        <w:topLinePunct w:val="0"/>
        <w:autoSpaceDE/>
        <w:autoSpaceDN/>
        <w:bidi w:val="0"/>
        <w:adjustRightInd w:val="0"/>
        <w:snapToGrid w:val="0"/>
        <w:spacing w:line="288"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2.2.7商务技术偏离表；</w:t>
      </w:r>
    </w:p>
    <w:p w14:paraId="45585990">
      <w:pPr>
        <w:keepNext w:val="0"/>
        <w:keepLines w:val="0"/>
        <w:pageBreakBefore w:val="0"/>
        <w:widowControl w:val="0"/>
        <w:kinsoku/>
        <w:wordWrap w:val="0"/>
        <w:overflowPunct/>
        <w:topLinePunct w:val="0"/>
        <w:autoSpaceDE/>
        <w:autoSpaceDN/>
        <w:bidi w:val="0"/>
        <w:adjustRightInd w:val="0"/>
        <w:snapToGrid w:val="0"/>
        <w:spacing w:line="288" w:lineRule="auto"/>
        <w:ind w:left="420" w:leftChars="2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14:paraId="7B137109">
      <w:pPr>
        <w:keepNext w:val="0"/>
        <w:keepLines w:val="0"/>
        <w:pageBreakBefore w:val="0"/>
        <w:widowControl w:val="0"/>
        <w:kinsoku/>
        <w:wordWrap w:val="0"/>
        <w:overflowPunct/>
        <w:topLinePunct w:val="0"/>
        <w:autoSpaceDE/>
        <w:autoSpaceDN/>
        <w:bidi w:val="0"/>
        <w:adjustRightInd w:val="0"/>
        <w:snapToGrid w:val="0"/>
        <w:spacing w:line="288" w:lineRule="auto"/>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14:paraId="229D4DA3">
      <w:pPr>
        <w:keepNext w:val="0"/>
        <w:keepLines w:val="0"/>
        <w:pageBreakBefore w:val="0"/>
        <w:widowControl w:val="0"/>
        <w:kinsoku/>
        <w:wordWrap w:val="0"/>
        <w:overflowPunct/>
        <w:topLinePunct w:val="0"/>
        <w:autoSpaceDE/>
        <w:autoSpaceDN/>
        <w:bidi w:val="0"/>
        <w:adjustRightInd w:val="0"/>
        <w:snapToGrid w:val="0"/>
        <w:spacing w:line="288"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14:paraId="5B5DAC3D">
      <w:pPr>
        <w:keepNext w:val="0"/>
        <w:keepLines w:val="0"/>
        <w:pageBreakBefore w:val="0"/>
        <w:widowControl w:val="0"/>
        <w:kinsoku/>
        <w:wordWrap w:val="0"/>
        <w:overflowPunct/>
        <w:topLinePunct w:val="0"/>
        <w:autoSpaceDE/>
        <w:autoSpaceDN/>
        <w:bidi w:val="0"/>
        <w:adjustRightInd w:val="0"/>
        <w:snapToGrid w:val="0"/>
        <w:spacing w:line="288"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2.3.2中小企业声明函</w:t>
      </w:r>
      <w:r>
        <w:rPr>
          <w:rFonts w:hint="eastAsia" w:ascii="仿宋_GB2312" w:hAnsi="仿宋" w:eastAsia="仿宋_GB2312" w:cs="仿宋_GB2312"/>
          <w:sz w:val="24"/>
          <w:highlight w:val="none"/>
        </w:rPr>
        <w:t>（如果有）。</w:t>
      </w:r>
    </w:p>
    <w:p w14:paraId="3C6971E4">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14:paraId="331DB8B9">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14:paraId="0254F48B">
      <w:pPr>
        <w:keepNext w:val="0"/>
        <w:keepLines w:val="0"/>
        <w:pageBreakBefore w:val="0"/>
        <w:widowControl w:val="0"/>
        <w:kinsoku/>
        <w:wordWrap w:val="0"/>
        <w:overflowPunct/>
        <w:topLinePunct w:val="0"/>
        <w:autoSpaceDE/>
        <w:autoSpaceDN/>
        <w:bidi w:val="0"/>
        <w:adjustRightInd w:val="0"/>
        <w:snapToGrid w:val="0"/>
        <w:spacing w:line="288" w:lineRule="auto"/>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14:paraId="4A79B25F">
      <w:pPr>
        <w:keepNext w:val="0"/>
        <w:keepLines w:val="0"/>
        <w:pageBreakBefore w:val="0"/>
        <w:widowControl w:val="0"/>
        <w:kinsoku/>
        <w:wordWrap w:val="0"/>
        <w:overflowPunct/>
        <w:topLinePunct w:val="0"/>
        <w:autoSpaceDE/>
        <w:autoSpaceDN/>
        <w:bidi w:val="0"/>
        <w:adjustRightInd w:val="0"/>
        <w:snapToGrid w:val="0"/>
        <w:spacing w:line="288" w:lineRule="auto"/>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14:paraId="2FB3FF39">
      <w:pPr>
        <w:keepNext w:val="0"/>
        <w:keepLines w:val="0"/>
        <w:pageBreakBefore w:val="0"/>
        <w:widowControl w:val="0"/>
        <w:kinsoku/>
        <w:wordWrap w:val="0"/>
        <w:overflowPunct/>
        <w:topLinePunct w:val="0"/>
        <w:autoSpaceDE/>
        <w:autoSpaceDN/>
        <w:bidi w:val="0"/>
        <w:adjustRightInd w:val="0"/>
        <w:snapToGrid w:val="0"/>
        <w:spacing w:line="288" w:lineRule="auto"/>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14:paraId="3B0E0D23">
      <w:pPr>
        <w:keepNext w:val="0"/>
        <w:keepLines w:val="0"/>
        <w:pageBreakBefore w:val="0"/>
        <w:widowControl w:val="0"/>
        <w:kinsoku/>
        <w:wordWrap w:val="0"/>
        <w:overflowPunct/>
        <w:topLinePunct w:val="0"/>
        <w:autoSpaceDE/>
        <w:autoSpaceDN/>
        <w:bidi w:val="0"/>
        <w:adjustRightInd w:val="0"/>
        <w:snapToGrid w:val="0"/>
        <w:spacing w:line="288" w:lineRule="auto"/>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14:paraId="2D2D71E6">
      <w:pPr>
        <w:keepNext w:val="0"/>
        <w:keepLines w:val="0"/>
        <w:pageBreakBefore w:val="0"/>
        <w:widowControl w:val="0"/>
        <w:kinsoku/>
        <w:wordWrap w:val="0"/>
        <w:overflowPunct/>
        <w:topLinePunct w:val="0"/>
        <w:autoSpaceDE/>
        <w:autoSpaceDN/>
        <w:bidi w:val="0"/>
        <w:adjustRightInd w:val="0"/>
        <w:snapToGrid w:val="0"/>
        <w:spacing w:line="288" w:lineRule="auto"/>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14:paraId="4729100A">
      <w:pPr>
        <w:keepNext w:val="0"/>
        <w:keepLines w:val="0"/>
        <w:pageBreakBefore w:val="0"/>
        <w:widowControl w:val="0"/>
        <w:kinsoku/>
        <w:wordWrap w:val="0"/>
        <w:overflowPunct/>
        <w:topLinePunct w:val="0"/>
        <w:autoSpaceDE/>
        <w:autoSpaceDN/>
        <w:bidi w:val="0"/>
        <w:adjustRightInd w:val="0"/>
        <w:snapToGrid w:val="0"/>
        <w:spacing w:line="288" w:lineRule="auto"/>
        <w:ind w:firstLine="3600" w:firstLineChars="15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14:paraId="0C938681">
      <w:pPr>
        <w:keepNext w:val="0"/>
        <w:keepLines w:val="0"/>
        <w:pageBreakBefore w:val="0"/>
        <w:widowControl w:val="0"/>
        <w:kinsoku/>
        <w:wordWrap w:val="0"/>
        <w:overflowPunct/>
        <w:topLinePunct w:val="0"/>
        <w:autoSpaceDE/>
        <w:autoSpaceDN/>
        <w:bidi w:val="0"/>
        <w:adjustRightInd w:val="0"/>
        <w:snapToGrid w:val="0"/>
        <w:spacing w:line="288" w:lineRule="auto"/>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14:paraId="21E088CE">
      <w:pPr>
        <w:keepNext w:val="0"/>
        <w:keepLines w:val="0"/>
        <w:pageBreakBefore w:val="0"/>
        <w:widowControl w:val="0"/>
        <w:kinsoku/>
        <w:wordWrap w:val="0"/>
        <w:overflowPunct/>
        <w:topLinePunct w:val="0"/>
        <w:autoSpaceDE/>
        <w:autoSpaceDN/>
        <w:bidi w:val="0"/>
        <w:adjustRightInd w:val="0"/>
        <w:snapToGrid w:val="0"/>
        <w:spacing w:line="288" w:lineRule="auto"/>
        <w:ind w:left="420" w:leftChars="200" w:firstLine="4200" w:firstLineChars="1750"/>
        <w:textAlignment w:val="auto"/>
        <w:rPr>
          <w:rFonts w:ascii="仿宋_GB2312" w:hAnsi="仿宋" w:eastAsia="仿宋_GB2312" w:cs="仿宋_GB2312"/>
          <w:kern w:val="0"/>
          <w:sz w:val="24"/>
          <w:highlight w:val="none"/>
          <w:u w:val="single"/>
          <w:lang w:val="zh-CN"/>
        </w:rPr>
      </w:pPr>
    </w:p>
    <w:p w14:paraId="05446020">
      <w:pPr>
        <w:keepNext w:val="0"/>
        <w:keepLines w:val="0"/>
        <w:pageBreakBefore w:val="0"/>
        <w:widowControl w:val="0"/>
        <w:kinsoku/>
        <w:wordWrap w:val="0"/>
        <w:overflowPunct/>
        <w:topLinePunct w:val="0"/>
        <w:autoSpaceDE/>
        <w:autoSpaceDN/>
        <w:bidi w:val="0"/>
        <w:adjustRightInd w:val="0"/>
        <w:snapToGrid w:val="0"/>
        <w:spacing w:line="288" w:lineRule="auto"/>
        <w:jc w:val="center"/>
        <w:textAlignment w:val="auto"/>
        <w:rPr>
          <w:rFonts w:ascii="仿宋_GB2312" w:hAnsi="仿宋" w:eastAsia="仿宋_GB2312" w:cs="仿宋_GB2312"/>
          <w:b/>
          <w:kern w:val="0"/>
          <w:sz w:val="32"/>
          <w:szCs w:val="32"/>
          <w:highlight w:val="none"/>
          <w:lang w:val="zh-CN"/>
        </w:rPr>
      </w:pPr>
    </w:p>
    <w:p w14:paraId="1685514A">
      <w:pPr>
        <w:kinsoku/>
        <w:wordWrap w:val="0"/>
        <w:topLinePunct w:val="0"/>
        <w:bidi w:val="0"/>
        <w:snapToGrid w:val="0"/>
        <w:spacing w:line="360" w:lineRule="auto"/>
        <w:rPr>
          <w:rFonts w:ascii="仿宋_GB2312" w:hAnsi="仿宋" w:eastAsia="仿宋_GB2312" w:cs="仿宋_GB2312"/>
          <w:sz w:val="24"/>
          <w:highlight w:val="none"/>
        </w:rPr>
      </w:pPr>
    </w:p>
    <w:p w14:paraId="5D78CF69">
      <w:pPr>
        <w:kinsoku/>
        <w:wordWrap w:val="0"/>
        <w:topLinePunct w:val="0"/>
        <w:bidi w:val="0"/>
        <w:rPr>
          <w:rFonts w:hint="eastAsia" w:ascii="仿宋_GB2312" w:hAnsi="仿宋" w:eastAsia="仿宋_GB2312" w:cs="仿宋_GB2312"/>
          <w:b/>
          <w:kern w:val="0"/>
          <w:sz w:val="32"/>
          <w:szCs w:val="32"/>
          <w:highlight w:val="none"/>
          <w:lang w:val="zh-CN"/>
        </w:rPr>
      </w:pPr>
    </w:p>
    <w:p w14:paraId="429ECAA7">
      <w:pPr>
        <w:kinsoku/>
        <w:wordWrap w:val="0"/>
        <w:topLinePunct w:val="0"/>
        <w:bidi w:val="0"/>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14:paraId="3ADDE066">
      <w:pPr>
        <w:kinsoku/>
        <w:wordWrap w:val="0"/>
        <w:topLinePunct w:val="0"/>
        <w:bidi w:val="0"/>
        <w:snapToGrid w:val="0"/>
        <w:spacing w:line="360" w:lineRule="auto"/>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14:paraId="4A04A30E">
      <w:pPr>
        <w:kinsoku/>
        <w:wordWrap w:val="0"/>
        <w:topLinePunct w:val="0"/>
        <w:bidi w:val="0"/>
        <w:snapToGrid w:val="0"/>
        <w:spacing w:line="360" w:lineRule="auto"/>
        <w:ind w:firstLine="2872" w:firstLineChars="894"/>
        <w:rPr>
          <w:highlight w:val="none"/>
        </w:rPr>
      </w:pPr>
      <w:r>
        <w:rPr>
          <w:rFonts w:hint="eastAsia" w:ascii="仿宋_GB2312" w:hAnsi="仿宋" w:eastAsia="仿宋_GB2312" w:cs="仿宋_GB2312"/>
          <w:b/>
          <w:kern w:val="0"/>
          <w:sz w:val="32"/>
          <w:szCs w:val="32"/>
          <w:highlight w:val="none"/>
          <w:lang w:val="zh-CN"/>
        </w:rPr>
        <w:t>授权委托书（适用于非联合体投标）</w:t>
      </w:r>
      <w:r>
        <w:rPr>
          <w:highlight w:val="none"/>
        </w:rPr>
        <w:t xml:space="preserve">                               </w:t>
      </w:r>
    </w:p>
    <w:p w14:paraId="4B8B84A6">
      <w:pPr>
        <w:kinsoku/>
        <w:wordWrap w:val="0"/>
        <w:topLinePunct w:val="0"/>
        <w:bidi w:val="0"/>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永嘉县公路与运输管理中心、</w:t>
      </w:r>
      <w:r>
        <w:rPr>
          <w:rFonts w:hint="eastAsia" w:ascii="仿宋_GB2312" w:hAnsi="仿宋" w:eastAsia="仿宋_GB2312" w:cs="仿宋_GB2312"/>
          <w:sz w:val="24"/>
          <w:highlight w:val="none"/>
          <w:lang w:eastAsia="zh-CN"/>
        </w:rPr>
        <w:t>温州广信工程管理有限公司</w:t>
      </w:r>
      <w:r>
        <w:rPr>
          <w:rFonts w:hint="eastAsia" w:ascii="仿宋_GB2312" w:hAnsi="仿宋" w:eastAsia="仿宋_GB2312" w:cs="仿宋_GB2312"/>
          <w:kern w:val="0"/>
          <w:sz w:val="24"/>
          <w:highlight w:val="none"/>
          <w:lang w:val="zh-CN"/>
        </w:rPr>
        <w:t>：</w:t>
      </w:r>
    </w:p>
    <w:p w14:paraId="0707293E">
      <w:pPr>
        <w:kinsoku/>
        <w:wordWrap w:val="0"/>
        <w:topLinePunct w:val="0"/>
        <w:bidi w:val="0"/>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lang w:eastAsia="zh-CN"/>
        </w:rPr>
        <w:t>WZGX-YJ-202410001</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14:paraId="0551E8A7">
      <w:pPr>
        <w:kinsoku/>
        <w:wordWrap w:val="0"/>
        <w:topLinePunct w:val="0"/>
        <w:bidi w:val="0"/>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14:paraId="51A44BC8">
      <w:pPr>
        <w:kinsoku/>
        <w:wordWrap w:val="0"/>
        <w:topLinePunct w:val="0"/>
        <w:bidi w:val="0"/>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14:paraId="3FCDBEF7">
      <w:pPr>
        <w:kinsoku/>
        <w:wordWrap w:val="0"/>
        <w:topLinePunct w:val="0"/>
        <w:bidi w:val="0"/>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投标人名称(电子签名)：</w:t>
      </w:r>
    </w:p>
    <w:p w14:paraId="38ABC02B">
      <w:pPr>
        <w:kinsoku/>
        <w:wordWrap w:val="0"/>
        <w:topLinePunct w:val="0"/>
        <w:bidi w:val="0"/>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14:paraId="25897558">
      <w:pPr>
        <w:kinsoku/>
        <w:wordWrap w:val="0"/>
        <w:topLinePunct w:val="0"/>
        <w:bidi w:val="0"/>
        <w:snapToGrid w:val="0"/>
        <w:spacing w:line="360" w:lineRule="auto"/>
        <w:rPr>
          <w:rFonts w:ascii="仿宋_GB2312" w:hAnsi="仿宋" w:eastAsia="仿宋_GB2312" w:cs="仿宋_GB2312"/>
          <w:sz w:val="24"/>
          <w:highlight w:val="none"/>
        </w:rPr>
      </w:pPr>
    </w:p>
    <w:p w14:paraId="03786729">
      <w:pPr>
        <w:kinsoku/>
        <w:wordWrap w:val="0"/>
        <w:topLinePunct w:val="0"/>
        <w:bidi w:val="0"/>
        <w:snapToGrid w:val="0"/>
        <w:spacing w:line="360" w:lineRule="auto"/>
        <w:rPr>
          <w:rFonts w:ascii="仿宋_GB2312" w:hAnsi="仿宋" w:eastAsia="仿宋_GB2312" w:cs="仿宋_GB2312"/>
          <w:sz w:val="24"/>
          <w:highlight w:val="none"/>
        </w:rPr>
      </w:pPr>
    </w:p>
    <w:p w14:paraId="1BFBC7D6">
      <w:pPr>
        <w:kinsoku/>
        <w:wordWrap w:val="0"/>
        <w:topLinePunct w:val="0"/>
        <w:bidi w:val="0"/>
        <w:snapToGrid w:val="0"/>
        <w:spacing w:line="360" w:lineRule="auto"/>
        <w:rPr>
          <w:rFonts w:ascii="仿宋_GB2312" w:hAnsi="仿宋" w:eastAsia="仿宋_GB2312" w:cs="仿宋_GB2312"/>
          <w:sz w:val="24"/>
          <w:highlight w:val="none"/>
        </w:rPr>
      </w:pPr>
    </w:p>
    <w:p w14:paraId="15F628E4">
      <w:pPr>
        <w:kinsoku/>
        <w:wordWrap w:val="0"/>
        <w:topLinePunct w:val="0"/>
        <w:bidi w:val="0"/>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lang w:val="zh-CN"/>
        </w:rPr>
        <w:t xml:space="preserve">      </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授权委托书（适用于联合体投标）</w:t>
      </w:r>
    </w:p>
    <w:p w14:paraId="7D2DDF63">
      <w:pPr>
        <w:kinsoku/>
        <w:wordWrap w:val="0"/>
        <w:topLinePunct w:val="0"/>
        <w:bidi w:val="0"/>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永嘉县公路与运输管理中心、</w:t>
      </w:r>
      <w:r>
        <w:rPr>
          <w:rFonts w:hint="eastAsia" w:ascii="仿宋_GB2312" w:hAnsi="仿宋" w:eastAsia="仿宋_GB2312" w:cs="仿宋_GB2312"/>
          <w:sz w:val="24"/>
          <w:highlight w:val="none"/>
          <w:lang w:eastAsia="zh-CN"/>
        </w:rPr>
        <w:t>温州广信工程管理有限公司</w:t>
      </w:r>
      <w:r>
        <w:rPr>
          <w:rFonts w:hint="eastAsia" w:ascii="仿宋_GB2312" w:hAnsi="仿宋" w:eastAsia="仿宋_GB2312" w:cs="仿宋_GB2312"/>
          <w:kern w:val="0"/>
          <w:sz w:val="24"/>
          <w:highlight w:val="none"/>
          <w:lang w:val="zh-CN"/>
        </w:rPr>
        <w:t>：</w:t>
      </w:r>
    </w:p>
    <w:p w14:paraId="685E33EA">
      <w:pPr>
        <w:kinsoku/>
        <w:wordWrap w:val="0"/>
        <w:topLinePunct w:val="0"/>
        <w:bidi w:val="0"/>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lang w:eastAsia="zh-CN"/>
        </w:rPr>
        <w:t>WZGX-YJ-202410001</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14:paraId="2A344E60">
      <w:pPr>
        <w:kinsoku/>
        <w:wordWrap w:val="0"/>
        <w:topLinePunct w:val="0"/>
        <w:bidi w:val="0"/>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14:paraId="36F2F09E">
      <w:pPr>
        <w:kinsoku/>
        <w:wordWrap w:val="0"/>
        <w:topLinePunct w:val="0"/>
        <w:bidi w:val="0"/>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14:paraId="1069104B">
      <w:pPr>
        <w:kinsoku/>
        <w:wordWrap w:val="0"/>
        <w:topLinePunct w:val="0"/>
        <w:bidi w:val="0"/>
        <w:jc w:val="center"/>
        <w:rPr>
          <w:rFonts w:ascii="仿宋_GB2312" w:hAnsi="仿宋" w:eastAsia="仿宋_GB2312" w:cs="仿宋_GB2312"/>
          <w:b/>
          <w:kern w:val="0"/>
          <w:sz w:val="32"/>
          <w:szCs w:val="32"/>
          <w:highlight w:val="none"/>
        </w:rPr>
      </w:pPr>
    </w:p>
    <w:p w14:paraId="49D7AE44">
      <w:pPr>
        <w:kinsoku/>
        <w:wordWrap w:val="0"/>
        <w:topLinePunct w:val="0"/>
        <w:bidi w:val="0"/>
        <w:jc w:val="center"/>
        <w:rPr>
          <w:rFonts w:ascii="仿宋_GB2312" w:hAnsi="仿宋" w:eastAsia="仿宋_GB2312" w:cs="仿宋_GB2312"/>
          <w:b/>
          <w:kern w:val="0"/>
          <w:sz w:val="32"/>
          <w:szCs w:val="32"/>
          <w:highlight w:val="none"/>
        </w:rPr>
      </w:pPr>
    </w:p>
    <w:p w14:paraId="632A644F">
      <w:pPr>
        <w:kinsoku/>
        <w:wordWrap w:val="0"/>
        <w:topLinePunct w:val="0"/>
        <w:bidi w:val="0"/>
        <w:jc w:val="center"/>
        <w:rPr>
          <w:rFonts w:ascii="仿宋_GB2312" w:hAnsi="仿宋" w:eastAsia="仿宋_GB2312" w:cs="仿宋_GB2312"/>
          <w:b/>
          <w:kern w:val="0"/>
          <w:sz w:val="32"/>
          <w:szCs w:val="32"/>
          <w:highlight w:val="none"/>
        </w:rPr>
      </w:pPr>
    </w:p>
    <w:p w14:paraId="73879EB1">
      <w:pPr>
        <w:kinsoku/>
        <w:wordWrap w:val="0"/>
        <w:topLinePunct w:val="0"/>
        <w:bidi w:val="0"/>
        <w:rPr>
          <w:highlight w:val="none"/>
        </w:rPr>
      </w:pPr>
    </w:p>
    <w:p w14:paraId="1A0F7BA1">
      <w:pPr>
        <w:kinsoku/>
        <w:wordWrap w:val="0"/>
        <w:topLinePunct w:val="0"/>
        <w:bidi w:val="0"/>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62EACB1B">
      <w:pPr>
        <w:kinsoku/>
        <w:wordWrap w:val="0"/>
        <w:topLinePunct w:val="0"/>
        <w:bidi w:val="0"/>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244D0981">
      <w:pPr>
        <w:kinsoku/>
        <w:wordWrap w:val="0"/>
        <w:topLinePunct w:val="0"/>
        <w:bidi w:val="0"/>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36F8B1FF">
      <w:pP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14:paraId="5FDF57F2">
      <w:pPr>
        <w:pStyle w:val="146"/>
        <w:kinsoku/>
        <w:wordWrap w:val="0"/>
        <w:topLinePunct w:val="0"/>
        <w:bidi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1A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299EFD9">
            <w:pPr>
              <w:pStyle w:val="146"/>
              <w:kinsoku/>
              <w:wordWrap w:val="0"/>
              <w:topLinePunct w:val="0"/>
              <w:bidi w:val="0"/>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14:paraId="3AE07B67">
            <w:pPr>
              <w:pStyle w:val="146"/>
              <w:kinsoku/>
              <w:wordWrap w:val="0"/>
              <w:topLinePunct w:val="0"/>
              <w:bidi w:val="0"/>
              <w:adjustRightInd w:val="0"/>
              <w:spacing w:line="360" w:lineRule="auto"/>
              <w:rPr>
                <w:rFonts w:ascii="仿宋_GB2312" w:hAnsi="仿宋" w:eastAsia="仿宋_GB2312"/>
                <w:bCs/>
                <w:sz w:val="24"/>
                <w:highlight w:val="none"/>
              </w:rPr>
            </w:pPr>
          </w:p>
        </w:tc>
      </w:tr>
    </w:tbl>
    <w:p w14:paraId="427114B4">
      <w:pPr>
        <w:kinsoku/>
        <w:wordWrap w:val="0"/>
        <w:topLinePunct w:val="0"/>
        <w:bidi w:val="0"/>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14:paraId="415B9844">
      <w:pPr>
        <w:kinsoku/>
        <w:wordWrap w:val="0"/>
        <w:topLinePunct w:val="0"/>
        <w:bidi w:val="0"/>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14:paraId="0ABFB825">
      <w:pPr>
        <w:kinsoku/>
        <w:wordWrap w:val="0"/>
        <w:topLinePunct w:val="0"/>
        <w:bidi w:val="0"/>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1EBC3DD8">
      <w:pPr>
        <w:kinsoku/>
        <w:wordWrap w:val="0"/>
        <w:topLinePunct w:val="0"/>
        <w:bidi w:val="0"/>
        <w:jc w:val="center"/>
        <w:rPr>
          <w:rFonts w:ascii="仿宋_GB2312" w:hAnsi="仿宋" w:eastAsia="仿宋_GB2312" w:cs="仿宋_GB2312"/>
          <w:b/>
          <w:kern w:val="0"/>
          <w:sz w:val="32"/>
          <w:szCs w:val="32"/>
          <w:highlight w:val="none"/>
        </w:rPr>
      </w:pPr>
    </w:p>
    <w:p w14:paraId="07319B62">
      <w:pPr>
        <w:kinsoku/>
        <w:wordWrap w:val="0"/>
        <w:topLinePunct w:val="0"/>
        <w:bidi w:val="0"/>
        <w:jc w:val="center"/>
        <w:rPr>
          <w:rFonts w:ascii="仿宋_GB2312" w:hAnsi="仿宋" w:eastAsia="仿宋_GB2312" w:cs="仿宋_GB2312"/>
          <w:b/>
          <w:kern w:val="0"/>
          <w:sz w:val="32"/>
          <w:szCs w:val="32"/>
          <w:highlight w:val="none"/>
        </w:rPr>
      </w:pPr>
    </w:p>
    <w:p w14:paraId="33636E5D">
      <w:pPr>
        <w:kinsoku/>
        <w:wordWrap w:val="0"/>
        <w:topLinePunct w:val="0"/>
        <w:bidi w:val="0"/>
        <w:jc w:val="center"/>
        <w:rPr>
          <w:rFonts w:ascii="仿宋_GB2312" w:hAnsi="仿宋" w:eastAsia="仿宋_GB2312" w:cs="仿宋_GB2312"/>
          <w:b/>
          <w:kern w:val="0"/>
          <w:sz w:val="32"/>
          <w:szCs w:val="32"/>
          <w:highlight w:val="none"/>
        </w:rPr>
      </w:pPr>
    </w:p>
    <w:p w14:paraId="79EB14EE">
      <w:pPr>
        <w:kinsoku/>
        <w:wordWrap w:val="0"/>
        <w:topLinePunct w:val="0"/>
        <w:bidi w:val="0"/>
        <w:jc w:val="center"/>
        <w:rPr>
          <w:rFonts w:ascii="仿宋_GB2312" w:hAnsi="仿宋" w:eastAsia="仿宋_GB2312" w:cs="仿宋_GB2312"/>
          <w:b/>
          <w:kern w:val="0"/>
          <w:sz w:val="32"/>
          <w:szCs w:val="32"/>
          <w:highlight w:val="none"/>
        </w:rPr>
      </w:pPr>
    </w:p>
    <w:p w14:paraId="36A2151D">
      <w:pPr>
        <w:kinsoku/>
        <w:wordWrap w:val="0"/>
        <w:topLinePunct w:val="0"/>
        <w:bidi w:val="0"/>
        <w:jc w:val="center"/>
        <w:rPr>
          <w:rFonts w:ascii="仿宋_GB2312" w:hAnsi="仿宋" w:eastAsia="仿宋_GB2312" w:cs="仿宋_GB2312"/>
          <w:b/>
          <w:kern w:val="0"/>
          <w:sz w:val="32"/>
          <w:szCs w:val="32"/>
          <w:highlight w:val="none"/>
        </w:rPr>
      </w:pPr>
    </w:p>
    <w:p w14:paraId="52301B17">
      <w:pPr>
        <w:kinsoku/>
        <w:wordWrap w:val="0"/>
        <w:topLinePunct w:val="0"/>
        <w:bidi w:val="0"/>
        <w:jc w:val="center"/>
        <w:rPr>
          <w:rFonts w:ascii="仿宋_GB2312" w:hAnsi="仿宋" w:eastAsia="仿宋_GB2312" w:cs="仿宋_GB2312"/>
          <w:b/>
          <w:kern w:val="0"/>
          <w:sz w:val="32"/>
          <w:szCs w:val="32"/>
          <w:highlight w:val="none"/>
        </w:rPr>
      </w:pPr>
    </w:p>
    <w:p w14:paraId="16605622">
      <w:pPr>
        <w:kinsoku/>
        <w:wordWrap w:val="0"/>
        <w:topLinePunct w:val="0"/>
        <w:bidi w:val="0"/>
        <w:jc w:val="center"/>
        <w:rPr>
          <w:rFonts w:ascii="仿宋_GB2312" w:hAnsi="仿宋" w:eastAsia="仿宋_GB2312" w:cs="仿宋_GB2312"/>
          <w:b/>
          <w:kern w:val="0"/>
          <w:sz w:val="32"/>
          <w:szCs w:val="32"/>
          <w:highlight w:val="none"/>
        </w:rPr>
      </w:pPr>
    </w:p>
    <w:p w14:paraId="23CDE5C7">
      <w:pPr>
        <w:kinsoku/>
        <w:wordWrap w:val="0"/>
        <w:topLinePunct w:val="0"/>
        <w:bidi w:val="0"/>
        <w:jc w:val="center"/>
        <w:rPr>
          <w:rFonts w:ascii="仿宋_GB2312" w:hAnsi="仿宋" w:eastAsia="仿宋_GB2312" w:cs="仿宋_GB2312"/>
          <w:b/>
          <w:kern w:val="0"/>
          <w:sz w:val="32"/>
          <w:szCs w:val="32"/>
          <w:highlight w:val="none"/>
        </w:rPr>
      </w:pPr>
    </w:p>
    <w:p w14:paraId="65E94297">
      <w:pPr>
        <w:kinsoku/>
        <w:wordWrap w:val="0"/>
        <w:topLinePunct w:val="0"/>
        <w:bidi w:val="0"/>
        <w:jc w:val="center"/>
        <w:rPr>
          <w:rFonts w:ascii="仿宋_GB2312" w:hAnsi="仿宋" w:eastAsia="仿宋_GB2312" w:cs="仿宋_GB2312"/>
          <w:b/>
          <w:kern w:val="0"/>
          <w:sz w:val="32"/>
          <w:szCs w:val="32"/>
          <w:highlight w:val="none"/>
        </w:rPr>
      </w:pPr>
    </w:p>
    <w:p w14:paraId="38D78A3C">
      <w:pPr>
        <w:kinsoku/>
        <w:wordWrap w:val="0"/>
        <w:topLinePunct w:val="0"/>
        <w:bidi w:val="0"/>
        <w:jc w:val="center"/>
        <w:rPr>
          <w:rFonts w:ascii="仿宋_GB2312" w:hAnsi="仿宋" w:eastAsia="仿宋_GB2312" w:cs="仿宋_GB2312"/>
          <w:b/>
          <w:kern w:val="0"/>
          <w:sz w:val="32"/>
          <w:szCs w:val="32"/>
          <w:highlight w:val="none"/>
        </w:rPr>
      </w:pPr>
    </w:p>
    <w:p w14:paraId="4384817D">
      <w:pPr>
        <w:kinsoku/>
        <w:wordWrap w:val="0"/>
        <w:topLinePunct w:val="0"/>
        <w:bidi w:val="0"/>
        <w:jc w:val="center"/>
        <w:rPr>
          <w:rFonts w:ascii="仿宋_GB2312" w:hAnsi="仿宋" w:eastAsia="仿宋_GB2312" w:cs="仿宋_GB2312"/>
          <w:b/>
          <w:kern w:val="0"/>
          <w:sz w:val="32"/>
          <w:szCs w:val="32"/>
          <w:highlight w:val="none"/>
        </w:rPr>
      </w:pPr>
    </w:p>
    <w:p w14:paraId="5197ACC8">
      <w:pPr>
        <w:kinsoku/>
        <w:wordWrap w:val="0"/>
        <w:topLinePunct w:val="0"/>
        <w:bidi w:val="0"/>
        <w:jc w:val="center"/>
        <w:rPr>
          <w:rFonts w:ascii="仿宋_GB2312" w:hAnsi="仿宋" w:eastAsia="仿宋_GB2312" w:cs="仿宋_GB2312"/>
          <w:b/>
          <w:kern w:val="0"/>
          <w:sz w:val="32"/>
          <w:szCs w:val="32"/>
          <w:highlight w:val="none"/>
        </w:rPr>
      </w:pPr>
    </w:p>
    <w:p w14:paraId="7901C57B">
      <w:pPr>
        <w:kinsoku/>
        <w:wordWrap w:val="0"/>
        <w:topLinePunct w:val="0"/>
        <w:bidi w:val="0"/>
        <w:jc w:val="center"/>
        <w:rPr>
          <w:rFonts w:ascii="仿宋_GB2312" w:hAnsi="仿宋" w:eastAsia="仿宋_GB2312" w:cs="仿宋_GB2312"/>
          <w:b/>
          <w:kern w:val="0"/>
          <w:sz w:val="32"/>
          <w:szCs w:val="32"/>
          <w:highlight w:val="none"/>
        </w:rPr>
      </w:pPr>
    </w:p>
    <w:p w14:paraId="0D8D50AE">
      <w:pPr>
        <w:kinsoku/>
        <w:wordWrap w:val="0"/>
        <w:topLinePunct w:val="0"/>
        <w:bidi w:val="0"/>
        <w:jc w:val="center"/>
        <w:rPr>
          <w:rFonts w:ascii="仿宋_GB2312" w:hAnsi="仿宋" w:eastAsia="仿宋_GB2312" w:cs="仿宋_GB2312"/>
          <w:b/>
          <w:kern w:val="0"/>
          <w:sz w:val="32"/>
          <w:szCs w:val="32"/>
          <w:highlight w:val="none"/>
        </w:rPr>
      </w:pPr>
    </w:p>
    <w:p w14:paraId="447F567D">
      <w:pPr>
        <w:pStyle w:val="2"/>
        <w:rPr>
          <w:highlight w:val="none"/>
        </w:rPr>
      </w:pPr>
    </w:p>
    <w:p w14:paraId="469CDAD5">
      <w:pPr>
        <w:kinsoku/>
        <w:wordWrap w:val="0"/>
        <w:topLinePunct w:val="0"/>
        <w:bidi w:val="0"/>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rPr>
        <w:t>三、</w:t>
      </w:r>
      <w:r>
        <w:rPr>
          <w:rFonts w:hint="eastAsia" w:ascii="仿宋_GB2312" w:hAnsi="仿宋" w:eastAsia="仿宋_GB2312" w:cs="仿宋_GB2312"/>
          <w:b/>
          <w:kern w:val="0"/>
          <w:sz w:val="32"/>
          <w:szCs w:val="32"/>
          <w:highlight w:val="none"/>
          <w:lang w:val="zh-CN"/>
        </w:rPr>
        <w:t>联合协议</w:t>
      </w:r>
    </w:p>
    <w:p w14:paraId="0CA6C81C">
      <w:pPr>
        <w:widowControl/>
        <w:kinsoku/>
        <w:wordWrap w:val="0"/>
        <w:topLinePunct w:val="0"/>
        <w:bidi w:val="0"/>
        <w:spacing w:line="360" w:lineRule="auto"/>
        <w:ind w:firstLine="482" w:firstLineChars="20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14:paraId="19D4D4F3">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14:paraId="757B61B6">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14:paraId="00264B52">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14:paraId="6D3C5CF6">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14:paraId="42F868CE">
      <w:pPr>
        <w:kinsoku/>
        <w:wordWrap w:val="0"/>
        <w:topLinePunct w:val="0"/>
        <w:bidi w:val="0"/>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rPr>
        <w:t>提供的全部货物由小微企业制造，其合同份额占到合同总金额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ascii="仿宋_GB2312" w:hAnsi="仿宋" w:eastAsia="仿宋_GB2312" w:cs="仿宋_GB2312"/>
          <w:b/>
          <w:kern w:val="0"/>
          <w:sz w:val="24"/>
          <w:highlight w:val="none"/>
          <w:lang w:val="zh-CN"/>
        </w:rPr>
        <w:t>3%的扣除</w:t>
      </w:r>
      <w:r>
        <w:rPr>
          <w:rFonts w:hint="eastAsia" w:ascii="仿宋_GB2312" w:hAnsi="仿宋" w:eastAsia="仿宋_GB2312" w:cs="仿宋_GB2312"/>
          <w:b/>
          <w:kern w:val="0"/>
          <w:sz w:val="24"/>
          <w:highlight w:val="none"/>
          <w:lang w:val="zh-CN"/>
        </w:rPr>
        <w:t>）</w:t>
      </w:r>
    </w:p>
    <w:p w14:paraId="32A24BE4">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14:paraId="08A4B2D4">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14:paraId="3B7E3FC6">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14:paraId="3CE73F6F">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14:paraId="6D7EE9AC">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14:paraId="35356880">
      <w:pPr>
        <w:kinsoku/>
        <w:wordWrap w:val="0"/>
        <w:topLinePunct w:val="0"/>
        <w:bidi w:val="0"/>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5DB8D7B3">
      <w:pPr>
        <w:kinsoku/>
        <w:wordWrap w:val="0"/>
        <w:topLinePunct w:val="0"/>
        <w:bidi w:val="0"/>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30D22F53">
      <w:pPr>
        <w:kinsoku/>
        <w:wordWrap w:val="0"/>
        <w:topLinePunct w:val="0"/>
        <w:bidi w:val="0"/>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0E3BA7F9">
      <w:pPr>
        <w:kinsoku/>
        <w:wordWrap w:val="0"/>
        <w:topLinePunct w:val="0"/>
        <w:bidi w:val="0"/>
        <w:snapToGrid w:val="0"/>
        <w:spacing w:line="360" w:lineRule="auto"/>
        <w:ind w:right="480"/>
        <w:rPr>
          <w:rFonts w:ascii="仿宋_GB2312" w:hAnsi="仿宋" w:eastAsia="仿宋_GB2312" w:cs="仿宋_GB2312"/>
          <w:b/>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641813">
      <w:pPr>
        <w:kinsoku/>
        <w:wordWrap w:val="0"/>
        <w:topLinePunct w:val="0"/>
        <w:bidi w:val="0"/>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四、分包意向协议</w:t>
      </w:r>
    </w:p>
    <w:p w14:paraId="30C9CFDB">
      <w:pPr>
        <w:widowControl/>
        <w:kinsoku/>
        <w:wordWrap w:val="0"/>
        <w:topLinePunct w:val="0"/>
        <w:bidi w:val="0"/>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14:paraId="2F9C9FEA">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14:paraId="69C6A327">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14:paraId="1D7A562C">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14:paraId="7378B6A6">
      <w:pPr>
        <w:pStyle w:val="4"/>
        <w:kinsoku/>
        <w:wordWrap w:val="0"/>
        <w:topLinePunct w:val="0"/>
        <w:bidi w:val="0"/>
        <w:ind w:left="664" w:leftChars="316" w:firstLine="229" w:firstLineChars="95"/>
        <w:rPr>
          <w:highlight w:val="none"/>
        </w:rPr>
      </w:pPr>
      <w:r>
        <w:rPr>
          <w:rFonts w:hint="eastAsia" w:cs="仿宋_GB2312"/>
          <w:kern w:val="0"/>
          <w:sz w:val="24"/>
          <w:szCs w:val="24"/>
          <w:highlight w:val="none"/>
        </w:rPr>
        <w:t>……</w:t>
      </w:r>
    </w:p>
    <w:p w14:paraId="137EFACA">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14:paraId="10FC6227">
      <w:pPr>
        <w:kinsoku/>
        <w:wordWrap w:val="0"/>
        <w:topLinePunct w:val="0"/>
        <w:bidi w:val="0"/>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14:paraId="50DB809D">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14:paraId="4EFE62E2">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18385C0E">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14:paraId="5A119B26">
      <w:pPr>
        <w:kinsoku/>
        <w:wordWrap w:val="0"/>
        <w:topLinePunct w:val="0"/>
        <w:bidi w:val="0"/>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2DE0B40C">
      <w:pPr>
        <w:kinsoku/>
        <w:wordWrap w:val="0"/>
        <w:topLinePunct w:val="0"/>
        <w:bidi w:val="0"/>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14:paraId="2D35C221">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6FCCF110">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14:paraId="0B0B4154">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7C7EAB68">
      <w:pPr>
        <w:kinsoku/>
        <w:wordWrap w:val="0"/>
        <w:topLinePunct w:val="0"/>
        <w:bidi w:val="0"/>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14:paraId="1EEA5442">
      <w:pPr>
        <w:kinsoku/>
        <w:wordWrap w:val="0"/>
        <w:topLinePunct w:val="0"/>
        <w:bidi w:val="0"/>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u w:val="single"/>
        </w:rPr>
        <w:t>（分包供应商名称）提供的货物全部由小微企业制造，</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highlight w:val="none"/>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ascii="仿宋_GB2312" w:hAnsi="仿宋" w:eastAsia="仿宋_GB2312" w:cs="仿宋_GB2312"/>
          <w:b/>
          <w:kern w:val="0"/>
          <w:sz w:val="24"/>
          <w:highlight w:val="none"/>
          <w:lang w:val="zh-CN"/>
        </w:rPr>
        <w:t>3%的扣除</w:t>
      </w:r>
      <w:r>
        <w:rPr>
          <w:rFonts w:hint="eastAsia" w:ascii="仿宋_GB2312" w:hAnsi="仿宋" w:eastAsia="仿宋_GB2312" w:cs="仿宋_GB2312"/>
          <w:b/>
          <w:kern w:val="0"/>
          <w:sz w:val="24"/>
          <w:highlight w:val="none"/>
          <w:lang w:val="zh-CN"/>
        </w:rPr>
        <w:t>）</w:t>
      </w:r>
    </w:p>
    <w:p w14:paraId="6D3B3F6E">
      <w:pPr>
        <w:kinsoku/>
        <w:wordWrap w:val="0"/>
        <w:topLinePunct w:val="0"/>
        <w:bidi w:val="0"/>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w:t>
      </w:r>
    </w:p>
    <w:p w14:paraId="3497E9AF">
      <w:pPr>
        <w:kinsoku/>
        <w:wordWrap w:val="0"/>
        <w:topLinePunct w:val="0"/>
        <w:bidi w:val="0"/>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14:paraId="27E5AD4F">
      <w:pPr>
        <w:kinsoku/>
        <w:wordWrap w:val="0"/>
        <w:topLinePunct w:val="0"/>
        <w:bidi w:val="0"/>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0D5907F5">
      <w:pP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1B677369">
      <w:pPr>
        <w:kinsoku/>
        <w:wordWrap w:val="0"/>
        <w:topLinePunct w:val="0"/>
        <w:bidi w:val="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五、符合性审查资料</w:t>
      </w:r>
    </w:p>
    <w:p w14:paraId="093F4705">
      <w:pPr>
        <w:kinsoku/>
        <w:wordWrap w:val="0"/>
        <w:topLinePunct w:val="0"/>
        <w:bidi w:val="0"/>
        <w:jc w:val="center"/>
        <w:rPr>
          <w:rFonts w:ascii="仿宋_GB2312" w:hAnsi="仿宋" w:eastAsia="仿宋_GB2312" w:cs="仿宋_GB2312"/>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017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455870D">
            <w:pPr>
              <w:kinsoku/>
              <w:wordWrap w:val="0"/>
              <w:topLinePunct w:val="0"/>
              <w:bidi w:val="0"/>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vAlign w:val="center"/>
          </w:tcPr>
          <w:p w14:paraId="6601AB5E">
            <w:pPr>
              <w:kinsoku/>
              <w:wordWrap w:val="0"/>
              <w:topLinePunct w:val="0"/>
              <w:bidi w:val="0"/>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14:paraId="7A6C291F">
            <w:pPr>
              <w:kinsoku/>
              <w:wordWrap w:val="0"/>
              <w:topLinePunct w:val="0"/>
              <w:bidi w:val="0"/>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14:paraId="5C7692F6">
            <w:pPr>
              <w:kinsoku/>
              <w:wordWrap w:val="0"/>
              <w:topLinePunct w:val="0"/>
              <w:bidi w:val="0"/>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14:paraId="6C8090CE">
            <w:pPr>
              <w:kinsoku/>
              <w:wordWrap w:val="0"/>
              <w:topLinePunct w:val="0"/>
              <w:bidi w:val="0"/>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14:paraId="3C5E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DD9270">
            <w:pPr>
              <w:kinsoku/>
              <w:wordWrap w:val="0"/>
              <w:topLinePunct w:val="0"/>
              <w:bidi w:val="0"/>
              <w:rPr>
                <w:rFonts w:ascii="仿宋" w:hAnsi="仿宋" w:eastAsia="仿宋"/>
                <w:sz w:val="24"/>
                <w:highlight w:val="none"/>
              </w:rPr>
            </w:pPr>
            <w:r>
              <w:rPr>
                <w:rFonts w:ascii="仿宋" w:hAnsi="仿宋" w:eastAsia="仿宋"/>
                <w:sz w:val="24"/>
                <w:highlight w:val="none"/>
              </w:rPr>
              <w:t>1</w:t>
            </w:r>
          </w:p>
        </w:tc>
        <w:tc>
          <w:tcPr>
            <w:tcW w:w="4991" w:type="dxa"/>
          </w:tcPr>
          <w:p w14:paraId="5BC8ECAD">
            <w:pPr>
              <w:kinsoku/>
              <w:wordWrap w:val="0"/>
              <w:topLinePunct w:val="0"/>
              <w:bidi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vAlign w:val="center"/>
          </w:tcPr>
          <w:p w14:paraId="3E1465CD">
            <w:pPr>
              <w:kinsoku/>
              <w:wordWrap w:val="0"/>
              <w:topLinePunct w:val="0"/>
              <w:bidi w:val="0"/>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tcPr>
          <w:p w14:paraId="4D0517E5">
            <w:pPr>
              <w:kinsoku/>
              <w:wordWrap w:val="0"/>
              <w:topLinePunct w:val="0"/>
              <w:bidi w:val="0"/>
              <w:rPr>
                <w:rFonts w:ascii="仿宋" w:hAnsi="仿宋" w:eastAsia="仿宋" w:cs="仿宋_GB2312"/>
                <w:sz w:val="24"/>
                <w:highlight w:val="none"/>
              </w:rPr>
            </w:pPr>
            <w:r>
              <w:rPr>
                <w:rFonts w:hint="eastAsia" w:ascii="仿宋" w:hAnsi="仿宋" w:eastAsia="仿宋" w:cs="仿宋_GB2312"/>
                <w:sz w:val="24"/>
                <w:highlight w:val="none"/>
              </w:rPr>
              <w:t>见投标文件</w:t>
            </w:r>
          </w:p>
          <w:p w14:paraId="4AEF97FC">
            <w:pPr>
              <w:kinsoku/>
              <w:wordWrap w:val="0"/>
              <w:topLinePunct w:val="0"/>
              <w:bidi w:val="0"/>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14:paraId="29CD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4E8703">
            <w:pPr>
              <w:kinsoku/>
              <w:wordWrap w:val="0"/>
              <w:topLinePunct w:val="0"/>
              <w:bidi w:val="0"/>
              <w:spacing w:line="360" w:lineRule="auto"/>
              <w:rPr>
                <w:rFonts w:ascii="仿宋_GB2312" w:hAnsi="仿宋" w:eastAsia="仿宋_GB2312"/>
                <w:sz w:val="24"/>
                <w:highlight w:val="none"/>
              </w:rPr>
            </w:pPr>
            <w:r>
              <w:rPr>
                <w:rFonts w:ascii="仿宋_GB2312" w:hAnsi="仿宋" w:eastAsia="仿宋_GB2312"/>
                <w:sz w:val="24"/>
                <w:highlight w:val="none"/>
              </w:rPr>
              <w:t>2</w:t>
            </w:r>
          </w:p>
        </w:tc>
        <w:tc>
          <w:tcPr>
            <w:tcW w:w="4991" w:type="dxa"/>
            <w:vAlign w:val="top"/>
          </w:tcPr>
          <w:p w14:paraId="3F81CC52">
            <w:pPr>
              <w:kinsoku/>
              <w:wordWrap w:val="0"/>
              <w:topLinePunct w:val="0"/>
              <w:bidi w:val="0"/>
              <w:spacing w:line="360" w:lineRule="auto"/>
              <w:rPr>
                <w:rFonts w:ascii="仿宋_GB2312" w:hAnsi="仿宋" w:eastAsia="仿宋_GB2312" w:cs="仿宋_GB2312"/>
                <w:kern w:val="2"/>
                <w:sz w:val="24"/>
                <w:szCs w:val="24"/>
                <w:highlight w:val="none"/>
                <w:lang w:val="en-US" w:eastAsia="zh-CN" w:bidi="ar-SA"/>
              </w:rPr>
            </w:pPr>
            <w:r>
              <w:rPr>
                <w:rFonts w:hint="eastAsia" w:ascii="仿宋_GB2312" w:hAnsi="仿宋" w:eastAsia="仿宋_GB2312"/>
                <w:sz w:val="24"/>
                <w:highlight w:val="none"/>
              </w:rPr>
              <w:t>投标文件中承诺的投标有效期不少于招标文件中载明的投标有效期。</w:t>
            </w:r>
          </w:p>
        </w:tc>
        <w:tc>
          <w:tcPr>
            <w:tcW w:w="2551" w:type="dxa"/>
            <w:vAlign w:val="center"/>
          </w:tcPr>
          <w:p w14:paraId="208196F1">
            <w:pPr>
              <w:kinsoku/>
              <w:wordWrap w:val="0"/>
              <w:topLinePunct w:val="0"/>
              <w:bidi w:val="0"/>
              <w:rPr>
                <w:rFonts w:ascii="仿宋" w:hAnsi="仿宋" w:eastAsia="仿宋" w:cs="Times New Roman"/>
                <w:kern w:val="2"/>
                <w:sz w:val="24"/>
                <w:szCs w:val="24"/>
                <w:highlight w:val="none"/>
                <w:lang w:val="en-US" w:eastAsia="zh-CN" w:bidi="ar-SA"/>
              </w:rPr>
            </w:pPr>
            <w:r>
              <w:rPr>
                <w:rFonts w:hint="eastAsia" w:ascii="仿宋" w:hAnsi="仿宋" w:eastAsia="仿宋"/>
                <w:sz w:val="24"/>
                <w:highlight w:val="none"/>
              </w:rPr>
              <w:t>投标函</w:t>
            </w:r>
          </w:p>
        </w:tc>
        <w:tc>
          <w:tcPr>
            <w:tcW w:w="1418" w:type="dxa"/>
            <w:vAlign w:val="top"/>
          </w:tcPr>
          <w:p w14:paraId="073D180C">
            <w:pPr>
              <w:kinsoku/>
              <w:wordWrap w:val="0"/>
              <w:topLinePunct w:val="0"/>
              <w:bidi w:val="0"/>
              <w:rPr>
                <w:rFonts w:ascii="Times New Roman" w:hAnsi="Times New Roman" w:eastAsia="宋体" w:cs="Times New Roman"/>
                <w:kern w:val="2"/>
                <w:sz w:val="21"/>
                <w:szCs w:val="24"/>
                <w:highlight w:val="none"/>
                <w:lang w:val="en-US" w:eastAsia="zh-CN" w:bidi="ar-SA"/>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14:paraId="1867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6AC2A2">
            <w:pPr>
              <w:kinsoku/>
              <w:wordWrap w:val="0"/>
              <w:topLinePunct w:val="0"/>
              <w:bidi w:val="0"/>
              <w:rPr>
                <w:rFonts w:ascii="仿宋" w:hAnsi="仿宋" w:eastAsia="仿宋"/>
                <w:sz w:val="24"/>
                <w:highlight w:val="none"/>
              </w:rPr>
            </w:pPr>
            <w:r>
              <w:rPr>
                <w:rFonts w:ascii="仿宋" w:hAnsi="仿宋" w:eastAsia="仿宋"/>
                <w:sz w:val="24"/>
                <w:highlight w:val="none"/>
              </w:rPr>
              <w:t>3</w:t>
            </w:r>
          </w:p>
        </w:tc>
        <w:tc>
          <w:tcPr>
            <w:tcW w:w="4991" w:type="dxa"/>
            <w:vAlign w:val="top"/>
          </w:tcPr>
          <w:p w14:paraId="5C731D00">
            <w:pPr>
              <w:kinsoku/>
              <w:wordWrap w:val="0"/>
              <w:topLinePunct w:val="0"/>
              <w:bidi w:val="0"/>
              <w:spacing w:line="360" w:lineRule="auto"/>
              <w:rPr>
                <w:rFonts w:ascii="仿宋_GB2312" w:hAnsi="仿宋" w:eastAsia="仿宋_GB2312" w:cs="Times New Roman"/>
                <w:kern w:val="2"/>
                <w:sz w:val="24"/>
                <w:szCs w:val="24"/>
                <w:highlight w:val="none"/>
                <w:lang w:val="en-US" w:eastAsia="zh-CN" w:bidi="ar-SA"/>
              </w:rPr>
            </w:pPr>
            <w:r>
              <w:rPr>
                <w:rFonts w:hint="eastAsia" w:ascii="仿宋_GB2312" w:hAnsi="仿宋" w:eastAsia="仿宋_GB2312"/>
                <w:sz w:val="24"/>
                <w:highlight w:val="none"/>
              </w:rPr>
              <w:t>投标文件满足招标文件的其它实质性要求。</w:t>
            </w:r>
          </w:p>
        </w:tc>
        <w:tc>
          <w:tcPr>
            <w:tcW w:w="2551" w:type="dxa"/>
            <w:vAlign w:val="center"/>
          </w:tcPr>
          <w:p w14:paraId="71CAF4BD">
            <w:pPr>
              <w:kinsoku/>
              <w:wordWrap w:val="0"/>
              <w:topLinePunct w:val="0"/>
              <w:bidi w:val="0"/>
              <w:rPr>
                <w:rFonts w:ascii="仿宋" w:hAnsi="仿宋" w:eastAsia="仿宋" w:cs="Times New Roman"/>
                <w:kern w:val="2"/>
                <w:sz w:val="24"/>
                <w:szCs w:val="24"/>
                <w:highlight w:val="none"/>
                <w:lang w:val="en-US" w:eastAsia="zh-CN" w:bidi="ar-SA"/>
              </w:rPr>
            </w:pPr>
            <w:r>
              <w:rPr>
                <w:rFonts w:hint="eastAsia" w:ascii="仿宋_GB2312" w:hAnsi="仿宋" w:eastAsia="仿宋_GB2312" w:cs="仿宋_GB2312"/>
                <w:kern w:val="0"/>
                <w:sz w:val="24"/>
                <w:highlight w:val="none"/>
              </w:rPr>
              <w:t>招标文件其它实质性要求相应的材料（“▲”</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rPr>
              <w:t>系指实质性要求条款，招标文件无其它实质性要求的，无需提供）</w:t>
            </w:r>
          </w:p>
        </w:tc>
        <w:tc>
          <w:tcPr>
            <w:tcW w:w="1418" w:type="dxa"/>
            <w:vAlign w:val="top"/>
          </w:tcPr>
          <w:p w14:paraId="4F257538">
            <w:pPr>
              <w:kinsoku/>
              <w:wordWrap w:val="0"/>
              <w:topLinePunct w:val="0"/>
              <w:bidi w:val="0"/>
              <w:rPr>
                <w:rFonts w:ascii="Times New Roman" w:hAnsi="Times New Roman" w:eastAsia="宋体" w:cs="Times New Roman"/>
                <w:kern w:val="2"/>
                <w:sz w:val="21"/>
                <w:szCs w:val="24"/>
                <w:highlight w:val="none"/>
                <w:lang w:val="en-US" w:eastAsia="zh-CN" w:bidi="ar-SA"/>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14:paraId="4ED7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3C5DF2">
            <w:pPr>
              <w:kinsoku/>
              <w:wordWrap w:val="0"/>
              <w:topLinePunct w:val="0"/>
              <w:bidi w:val="0"/>
              <w:rPr>
                <w:rFonts w:ascii="仿宋" w:hAnsi="仿宋" w:eastAsia="仿宋"/>
                <w:sz w:val="24"/>
                <w:highlight w:val="none"/>
              </w:rPr>
            </w:pPr>
          </w:p>
        </w:tc>
        <w:tc>
          <w:tcPr>
            <w:tcW w:w="4991" w:type="dxa"/>
          </w:tcPr>
          <w:p w14:paraId="4E8FE36E">
            <w:pPr>
              <w:kinsoku/>
              <w:wordWrap w:val="0"/>
              <w:topLinePunct w:val="0"/>
              <w:bidi w:val="0"/>
              <w:spacing w:line="360" w:lineRule="auto"/>
              <w:rPr>
                <w:rFonts w:ascii="仿宋_GB2312" w:hAnsi="仿宋" w:eastAsia="仿宋_GB2312"/>
                <w:sz w:val="24"/>
                <w:highlight w:val="none"/>
              </w:rPr>
            </w:pPr>
          </w:p>
        </w:tc>
        <w:tc>
          <w:tcPr>
            <w:tcW w:w="2551" w:type="dxa"/>
            <w:vAlign w:val="center"/>
          </w:tcPr>
          <w:p w14:paraId="473719C0">
            <w:pPr>
              <w:kinsoku/>
              <w:wordWrap w:val="0"/>
              <w:topLinePunct w:val="0"/>
              <w:bidi w:val="0"/>
              <w:rPr>
                <w:rFonts w:ascii="仿宋" w:hAnsi="仿宋" w:eastAsia="仿宋"/>
                <w:sz w:val="24"/>
                <w:highlight w:val="none"/>
              </w:rPr>
            </w:pPr>
          </w:p>
        </w:tc>
        <w:tc>
          <w:tcPr>
            <w:tcW w:w="1418" w:type="dxa"/>
          </w:tcPr>
          <w:p w14:paraId="62F65F79">
            <w:pPr>
              <w:kinsoku/>
              <w:wordWrap w:val="0"/>
              <w:topLinePunct w:val="0"/>
              <w:bidi w:val="0"/>
              <w:rPr>
                <w:highlight w:val="none"/>
              </w:rPr>
            </w:pPr>
          </w:p>
        </w:tc>
      </w:tr>
    </w:tbl>
    <w:p w14:paraId="19BA9628">
      <w:pPr>
        <w:kinsoku/>
        <w:wordWrap w:val="0"/>
        <w:topLinePunct w:val="0"/>
        <w:bidi w:val="0"/>
        <w:jc w:val="center"/>
        <w:rPr>
          <w:rFonts w:ascii="仿宋_GB2312" w:hAnsi="仿宋" w:eastAsia="仿宋_GB2312" w:cs="仿宋_GB2312"/>
          <w:b/>
          <w:kern w:val="0"/>
          <w:sz w:val="32"/>
          <w:szCs w:val="32"/>
          <w:highlight w:val="none"/>
        </w:rPr>
      </w:pPr>
    </w:p>
    <w:p w14:paraId="5C415F2F">
      <w:pPr>
        <w:kinsoku/>
        <w:wordWrap w:val="0"/>
        <w:topLinePunct w:val="0"/>
        <w:bidi w:val="0"/>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14:paraId="58BEC86F">
      <w:pPr>
        <w:kinsoku/>
        <w:wordWrap w:val="0"/>
        <w:topLinePunct w:val="0"/>
        <w:bidi w:val="0"/>
        <w:jc w:val="center"/>
        <w:rPr>
          <w:rFonts w:ascii="仿宋_GB2312" w:hAnsi="仿宋" w:eastAsia="仿宋_GB2312" w:cs="仿宋_GB2312"/>
          <w:b/>
          <w:kern w:val="0"/>
          <w:sz w:val="32"/>
          <w:szCs w:val="32"/>
          <w:highlight w:val="none"/>
        </w:rPr>
      </w:pPr>
    </w:p>
    <w:p w14:paraId="61479962">
      <w:pPr>
        <w:kinsoku/>
        <w:wordWrap w:val="0"/>
        <w:topLinePunct w:val="0"/>
        <w:bidi w:val="0"/>
        <w:jc w:val="center"/>
        <w:rPr>
          <w:rFonts w:ascii="仿宋_GB2312" w:hAnsi="仿宋" w:eastAsia="仿宋_GB2312" w:cs="仿宋_GB2312"/>
          <w:b/>
          <w:kern w:val="0"/>
          <w:sz w:val="32"/>
          <w:szCs w:val="32"/>
          <w:highlight w:val="none"/>
        </w:rPr>
      </w:pPr>
    </w:p>
    <w:p w14:paraId="153F21F0">
      <w:pPr>
        <w:kinsoku/>
        <w:wordWrap w:val="0"/>
        <w:topLinePunct w:val="0"/>
        <w:bidi w:val="0"/>
        <w:jc w:val="center"/>
        <w:rPr>
          <w:rFonts w:ascii="仿宋_GB2312" w:hAnsi="仿宋" w:eastAsia="仿宋_GB2312" w:cs="仿宋_GB2312"/>
          <w:b/>
          <w:kern w:val="0"/>
          <w:sz w:val="32"/>
          <w:szCs w:val="32"/>
          <w:highlight w:val="none"/>
        </w:rPr>
      </w:pPr>
    </w:p>
    <w:p w14:paraId="3B36AE1C">
      <w:pPr>
        <w:kinsoku/>
        <w:wordWrap w:val="0"/>
        <w:topLinePunct w:val="0"/>
        <w:bidi w:val="0"/>
        <w:jc w:val="center"/>
        <w:rPr>
          <w:rFonts w:ascii="仿宋_GB2312" w:hAnsi="仿宋" w:eastAsia="仿宋_GB2312" w:cs="仿宋_GB2312"/>
          <w:b/>
          <w:kern w:val="0"/>
          <w:sz w:val="32"/>
          <w:szCs w:val="32"/>
          <w:highlight w:val="none"/>
        </w:rPr>
      </w:pPr>
    </w:p>
    <w:p w14:paraId="279BFDB6">
      <w:pPr>
        <w:kinsoku/>
        <w:wordWrap w:val="0"/>
        <w:topLinePunct w:val="0"/>
        <w:bidi w:val="0"/>
        <w:jc w:val="center"/>
        <w:rPr>
          <w:rFonts w:ascii="仿宋_GB2312" w:hAnsi="仿宋" w:eastAsia="仿宋_GB2312" w:cs="仿宋_GB2312"/>
          <w:b/>
          <w:kern w:val="0"/>
          <w:sz w:val="32"/>
          <w:szCs w:val="32"/>
          <w:highlight w:val="none"/>
        </w:rPr>
      </w:pPr>
    </w:p>
    <w:p w14:paraId="1882660B">
      <w:pPr>
        <w:kinsoku/>
        <w:wordWrap w:val="0"/>
        <w:topLinePunct w:val="0"/>
        <w:bidi w:val="0"/>
        <w:jc w:val="center"/>
        <w:rPr>
          <w:rFonts w:ascii="仿宋_GB2312" w:hAnsi="仿宋" w:eastAsia="仿宋_GB2312" w:cs="仿宋_GB2312"/>
          <w:b/>
          <w:kern w:val="0"/>
          <w:sz w:val="32"/>
          <w:szCs w:val="32"/>
          <w:highlight w:val="none"/>
        </w:rPr>
      </w:pPr>
    </w:p>
    <w:p w14:paraId="1D13715D">
      <w:pPr>
        <w:kinsoku/>
        <w:wordWrap w:val="0"/>
        <w:topLinePunct w:val="0"/>
        <w:bidi w:val="0"/>
        <w:jc w:val="center"/>
        <w:rPr>
          <w:highlight w:val="none"/>
        </w:rPr>
      </w:pPr>
      <w:r>
        <w:rPr>
          <w:rFonts w:hint="eastAsia" w:ascii="仿宋_GB2312" w:hAnsi="仿宋" w:eastAsia="仿宋_GB2312" w:cs="仿宋_GB2312"/>
          <w:b/>
          <w:kern w:val="0"/>
          <w:sz w:val="32"/>
          <w:szCs w:val="32"/>
          <w:highlight w:val="none"/>
        </w:rPr>
        <w:t>六、评标标准相应的商务技术资料</w:t>
      </w:r>
    </w:p>
    <w:p w14:paraId="11373678">
      <w:pPr>
        <w:kinsoku/>
        <w:wordWrap w:val="0"/>
        <w:topLinePunct w:val="0"/>
        <w:bidi w:val="0"/>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14:paraId="6E8B15DF">
      <w:pPr>
        <w:kinsoku/>
        <w:wordWrap w:val="0"/>
        <w:topLinePunct w:val="0"/>
        <w:bidi w:val="0"/>
        <w:jc w:val="center"/>
        <w:rPr>
          <w:rFonts w:ascii="仿宋_GB2312" w:hAnsi="仿宋" w:eastAsia="仿宋_GB2312" w:cs="仿宋_GB2312"/>
          <w:b/>
          <w:kern w:val="0"/>
          <w:sz w:val="32"/>
          <w:szCs w:val="32"/>
          <w:highlight w:val="none"/>
        </w:rPr>
      </w:pPr>
    </w:p>
    <w:p w14:paraId="575F07FE">
      <w:pPr>
        <w:kinsoku/>
        <w:wordWrap w:val="0"/>
        <w:topLinePunct w:val="0"/>
        <w:bidi w:val="0"/>
        <w:jc w:val="center"/>
        <w:rPr>
          <w:rFonts w:ascii="仿宋_GB2312" w:hAnsi="仿宋" w:eastAsia="仿宋_GB2312" w:cs="仿宋_GB2312"/>
          <w:b/>
          <w:kern w:val="0"/>
          <w:sz w:val="32"/>
          <w:szCs w:val="32"/>
          <w:highlight w:val="none"/>
        </w:rPr>
      </w:pPr>
    </w:p>
    <w:p w14:paraId="3DD35785">
      <w:pPr>
        <w:kinsoku/>
        <w:wordWrap w:val="0"/>
        <w:topLinePunct w:val="0"/>
        <w:bidi w:val="0"/>
        <w:jc w:val="center"/>
        <w:rPr>
          <w:rFonts w:ascii="仿宋_GB2312" w:hAnsi="仿宋" w:eastAsia="仿宋_GB2312" w:cs="仿宋_GB2312"/>
          <w:b/>
          <w:kern w:val="0"/>
          <w:sz w:val="32"/>
          <w:szCs w:val="32"/>
          <w:highlight w:val="none"/>
        </w:rPr>
      </w:pPr>
    </w:p>
    <w:p w14:paraId="4D98F8A9">
      <w:pPr>
        <w:kinsoku/>
        <w:wordWrap w:val="0"/>
        <w:topLinePunct w:val="0"/>
        <w:bidi w:val="0"/>
        <w:jc w:val="center"/>
        <w:rPr>
          <w:rFonts w:ascii="仿宋_GB2312" w:hAnsi="仿宋" w:eastAsia="仿宋_GB2312" w:cs="仿宋_GB2312"/>
          <w:b/>
          <w:kern w:val="0"/>
          <w:sz w:val="32"/>
          <w:szCs w:val="32"/>
          <w:highlight w:val="none"/>
        </w:rPr>
      </w:pPr>
    </w:p>
    <w:p w14:paraId="4EDD6717">
      <w:pP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5CE88693">
      <w:pPr>
        <w:kinsoku/>
        <w:wordWrap w:val="0"/>
        <w:topLinePunct w:val="0"/>
        <w:bidi w:val="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30E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BF79EF">
            <w:pPr>
              <w:kinsoku/>
              <w:wordWrap w:val="0"/>
              <w:topLinePunct w:val="0"/>
              <w:bidi w:val="0"/>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tcPr>
          <w:p w14:paraId="7F8F58C7">
            <w:pPr>
              <w:kinsoku/>
              <w:wordWrap w:val="0"/>
              <w:topLinePunct w:val="0"/>
              <w:bidi w:val="0"/>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tcPr>
          <w:p w14:paraId="1B64CDF5">
            <w:pPr>
              <w:kinsoku/>
              <w:wordWrap w:val="0"/>
              <w:topLinePunct w:val="0"/>
              <w:bidi w:val="0"/>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tcPr>
          <w:p w14:paraId="5CBB8183">
            <w:pPr>
              <w:kinsoku/>
              <w:wordWrap w:val="0"/>
              <w:topLinePunct w:val="0"/>
              <w:bidi w:val="0"/>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14:paraId="520E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4D9A8E">
            <w:pPr>
              <w:kinsoku/>
              <w:wordWrap w:val="0"/>
              <w:topLinePunct w:val="0"/>
              <w:bidi w:val="0"/>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tcPr>
          <w:p w14:paraId="22BA02C7">
            <w:pPr>
              <w:kinsoku/>
              <w:wordWrap w:val="0"/>
              <w:topLinePunct w:val="0"/>
              <w:bidi w:val="0"/>
              <w:jc w:val="center"/>
              <w:rPr>
                <w:rFonts w:ascii="仿宋_GB2312" w:hAnsi="仿宋" w:eastAsia="仿宋_GB2312" w:cs="仿宋_GB2312"/>
                <w:b/>
                <w:kern w:val="0"/>
                <w:sz w:val="32"/>
                <w:szCs w:val="32"/>
                <w:highlight w:val="none"/>
              </w:rPr>
            </w:pPr>
          </w:p>
        </w:tc>
        <w:tc>
          <w:tcPr>
            <w:tcW w:w="3546" w:type="dxa"/>
          </w:tcPr>
          <w:p w14:paraId="69AC9C2A">
            <w:pPr>
              <w:kinsoku/>
              <w:wordWrap w:val="0"/>
              <w:topLinePunct w:val="0"/>
              <w:bidi w:val="0"/>
              <w:jc w:val="center"/>
              <w:rPr>
                <w:rFonts w:ascii="仿宋_GB2312" w:hAnsi="仿宋" w:eastAsia="仿宋_GB2312" w:cs="仿宋_GB2312"/>
                <w:b/>
                <w:kern w:val="0"/>
                <w:sz w:val="32"/>
                <w:szCs w:val="32"/>
                <w:highlight w:val="none"/>
              </w:rPr>
            </w:pPr>
          </w:p>
        </w:tc>
        <w:tc>
          <w:tcPr>
            <w:tcW w:w="1276" w:type="dxa"/>
          </w:tcPr>
          <w:p w14:paraId="5789DCD9">
            <w:pPr>
              <w:kinsoku/>
              <w:wordWrap w:val="0"/>
              <w:topLinePunct w:val="0"/>
              <w:bidi w:val="0"/>
              <w:jc w:val="center"/>
              <w:rPr>
                <w:rFonts w:ascii="仿宋_GB2312" w:hAnsi="仿宋" w:eastAsia="仿宋_GB2312" w:cs="仿宋_GB2312"/>
                <w:b/>
                <w:kern w:val="0"/>
                <w:sz w:val="32"/>
                <w:szCs w:val="32"/>
                <w:highlight w:val="none"/>
              </w:rPr>
            </w:pPr>
          </w:p>
        </w:tc>
      </w:tr>
      <w:tr w14:paraId="2B22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37C393">
            <w:pPr>
              <w:kinsoku/>
              <w:wordWrap w:val="0"/>
              <w:topLinePunct w:val="0"/>
              <w:bidi w:val="0"/>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tcPr>
          <w:p w14:paraId="4CD96C39">
            <w:pPr>
              <w:kinsoku/>
              <w:wordWrap w:val="0"/>
              <w:topLinePunct w:val="0"/>
              <w:bidi w:val="0"/>
              <w:jc w:val="center"/>
              <w:rPr>
                <w:rFonts w:ascii="仿宋_GB2312" w:hAnsi="仿宋" w:eastAsia="仿宋_GB2312" w:cs="仿宋_GB2312"/>
                <w:b/>
                <w:kern w:val="0"/>
                <w:sz w:val="32"/>
                <w:szCs w:val="32"/>
                <w:highlight w:val="none"/>
              </w:rPr>
            </w:pPr>
          </w:p>
        </w:tc>
        <w:tc>
          <w:tcPr>
            <w:tcW w:w="3546" w:type="dxa"/>
          </w:tcPr>
          <w:p w14:paraId="0A8FBD13">
            <w:pPr>
              <w:kinsoku/>
              <w:wordWrap w:val="0"/>
              <w:topLinePunct w:val="0"/>
              <w:bidi w:val="0"/>
              <w:jc w:val="center"/>
              <w:rPr>
                <w:rFonts w:ascii="仿宋_GB2312" w:hAnsi="仿宋" w:eastAsia="仿宋_GB2312" w:cs="仿宋_GB2312"/>
                <w:b/>
                <w:kern w:val="0"/>
                <w:sz w:val="32"/>
                <w:szCs w:val="32"/>
                <w:highlight w:val="none"/>
              </w:rPr>
            </w:pPr>
          </w:p>
        </w:tc>
        <w:tc>
          <w:tcPr>
            <w:tcW w:w="1276" w:type="dxa"/>
          </w:tcPr>
          <w:p w14:paraId="6639ADB9">
            <w:pPr>
              <w:kinsoku/>
              <w:wordWrap w:val="0"/>
              <w:topLinePunct w:val="0"/>
              <w:bidi w:val="0"/>
              <w:jc w:val="center"/>
              <w:rPr>
                <w:rFonts w:ascii="仿宋_GB2312" w:hAnsi="仿宋" w:eastAsia="仿宋_GB2312" w:cs="仿宋_GB2312"/>
                <w:b/>
                <w:kern w:val="0"/>
                <w:sz w:val="32"/>
                <w:szCs w:val="32"/>
                <w:highlight w:val="none"/>
              </w:rPr>
            </w:pPr>
          </w:p>
        </w:tc>
      </w:tr>
      <w:tr w14:paraId="258C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F48D26">
            <w:pPr>
              <w:kinsoku/>
              <w:wordWrap w:val="0"/>
              <w:topLinePunct w:val="0"/>
              <w:bidi w:val="0"/>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tcPr>
          <w:p w14:paraId="27D09CDF">
            <w:pPr>
              <w:kinsoku/>
              <w:wordWrap w:val="0"/>
              <w:topLinePunct w:val="0"/>
              <w:bidi w:val="0"/>
              <w:jc w:val="center"/>
              <w:rPr>
                <w:rFonts w:ascii="仿宋_GB2312" w:hAnsi="仿宋" w:eastAsia="仿宋_GB2312" w:cs="仿宋_GB2312"/>
                <w:b/>
                <w:kern w:val="0"/>
                <w:sz w:val="32"/>
                <w:szCs w:val="32"/>
                <w:highlight w:val="none"/>
              </w:rPr>
            </w:pPr>
          </w:p>
        </w:tc>
        <w:tc>
          <w:tcPr>
            <w:tcW w:w="3546" w:type="dxa"/>
          </w:tcPr>
          <w:p w14:paraId="767ABC64">
            <w:pPr>
              <w:kinsoku/>
              <w:wordWrap w:val="0"/>
              <w:topLinePunct w:val="0"/>
              <w:bidi w:val="0"/>
              <w:jc w:val="center"/>
              <w:rPr>
                <w:rFonts w:ascii="仿宋_GB2312" w:hAnsi="仿宋" w:eastAsia="仿宋_GB2312" w:cs="仿宋_GB2312"/>
                <w:b/>
                <w:kern w:val="0"/>
                <w:sz w:val="32"/>
                <w:szCs w:val="32"/>
                <w:highlight w:val="none"/>
              </w:rPr>
            </w:pPr>
          </w:p>
        </w:tc>
        <w:tc>
          <w:tcPr>
            <w:tcW w:w="1276" w:type="dxa"/>
          </w:tcPr>
          <w:p w14:paraId="0C98F225">
            <w:pPr>
              <w:kinsoku/>
              <w:wordWrap w:val="0"/>
              <w:topLinePunct w:val="0"/>
              <w:bidi w:val="0"/>
              <w:jc w:val="center"/>
              <w:rPr>
                <w:rFonts w:ascii="仿宋_GB2312" w:hAnsi="仿宋" w:eastAsia="仿宋_GB2312" w:cs="仿宋_GB2312"/>
                <w:b/>
                <w:kern w:val="0"/>
                <w:sz w:val="32"/>
                <w:szCs w:val="32"/>
                <w:highlight w:val="none"/>
              </w:rPr>
            </w:pPr>
          </w:p>
        </w:tc>
      </w:tr>
    </w:tbl>
    <w:p w14:paraId="561879B6">
      <w:pPr>
        <w:kinsoku/>
        <w:wordWrap w:val="0"/>
        <w:topLinePunct w:val="0"/>
        <w:bidi w:val="0"/>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14:paraId="22BFA566">
      <w:pPr>
        <w:kinsoku/>
        <w:wordWrap w:val="0"/>
        <w:topLinePunct w:val="0"/>
        <w:bidi w:val="0"/>
        <w:jc w:val="center"/>
        <w:rPr>
          <w:rFonts w:ascii="仿宋_GB2312" w:hAnsi="仿宋" w:eastAsia="仿宋_GB2312" w:cs="仿宋_GB2312"/>
          <w:b/>
          <w:kern w:val="0"/>
          <w:sz w:val="32"/>
          <w:szCs w:val="32"/>
          <w:highlight w:val="none"/>
        </w:rPr>
      </w:pPr>
    </w:p>
    <w:p w14:paraId="0713E0C6">
      <w:pPr>
        <w:kinsoku/>
        <w:wordWrap w:val="0"/>
        <w:topLinePunct w:val="0"/>
        <w:bidi w:val="0"/>
        <w:jc w:val="center"/>
        <w:rPr>
          <w:rFonts w:ascii="仿宋_GB2312" w:hAnsi="仿宋" w:eastAsia="仿宋_GB2312" w:cs="仿宋_GB2312"/>
          <w:b/>
          <w:kern w:val="0"/>
          <w:sz w:val="32"/>
          <w:szCs w:val="32"/>
          <w:highlight w:val="none"/>
        </w:rPr>
      </w:pPr>
    </w:p>
    <w:p w14:paraId="656E3BB9">
      <w:pPr>
        <w:kinsoku/>
        <w:wordWrap w:val="0"/>
        <w:topLinePunct w:val="0"/>
        <w:bidi w:val="0"/>
        <w:jc w:val="center"/>
        <w:rPr>
          <w:rFonts w:ascii="仿宋_GB2312" w:hAnsi="仿宋" w:eastAsia="仿宋_GB2312" w:cs="仿宋_GB2312"/>
          <w:b/>
          <w:kern w:val="0"/>
          <w:sz w:val="32"/>
          <w:szCs w:val="32"/>
          <w:highlight w:val="none"/>
        </w:rPr>
      </w:pPr>
    </w:p>
    <w:p w14:paraId="222652C7">
      <w:pPr>
        <w:kinsoku/>
        <w:wordWrap w:val="0"/>
        <w:topLinePunct w:val="0"/>
        <w:bidi w:val="0"/>
        <w:jc w:val="center"/>
        <w:rPr>
          <w:rFonts w:ascii="仿宋_GB2312" w:hAnsi="仿宋" w:eastAsia="仿宋_GB2312" w:cs="仿宋_GB2312"/>
          <w:b/>
          <w:kern w:val="0"/>
          <w:sz w:val="32"/>
          <w:szCs w:val="32"/>
          <w:highlight w:val="none"/>
        </w:rPr>
      </w:pPr>
    </w:p>
    <w:p w14:paraId="1055E3DD">
      <w:pPr>
        <w:kinsoku/>
        <w:wordWrap w:val="0"/>
        <w:topLinePunct w:val="0"/>
        <w:bidi w:val="0"/>
        <w:jc w:val="center"/>
        <w:rPr>
          <w:rFonts w:ascii="仿宋_GB2312" w:hAnsi="仿宋" w:eastAsia="仿宋_GB2312" w:cs="仿宋_GB2312"/>
          <w:b/>
          <w:kern w:val="0"/>
          <w:sz w:val="32"/>
          <w:szCs w:val="32"/>
          <w:highlight w:val="none"/>
        </w:rPr>
      </w:pPr>
    </w:p>
    <w:p w14:paraId="291A7D72">
      <w:pPr>
        <w:kinsoku/>
        <w:wordWrap w:val="0"/>
        <w:topLinePunct w:val="0"/>
        <w:bidi w:val="0"/>
        <w:jc w:val="center"/>
        <w:rPr>
          <w:rFonts w:ascii="仿宋_GB2312" w:hAnsi="仿宋" w:eastAsia="仿宋_GB2312" w:cs="仿宋_GB2312"/>
          <w:b/>
          <w:kern w:val="0"/>
          <w:sz w:val="32"/>
          <w:szCs w:val="32"/>
          <w:highlight w:val="none"/>
        </w:rPr>
      </w:pPr>
    </w:p>
    <w:p w14:paraId="199C1AD3">
      <w:pPr>
        <w:kinsoku/>
        <w:wordWrap w:val="0"/>
        <w:topLinePunct w:val="0"/>
        <w:bidi w:val="0"/>
        <w:jc w:val="center"/>
        <w:rPr>
          <w:rFonts w:ascii="仿宋_GB2312" w:hAnsi="仿宋" w:eastAsia="仿宋_GB2312" w:cs="仿宋_GB2312"/>
          <w:b/>
          <w:kern w:val="0"/>
          <w:sz w:val="32"/>
          <w:szCs w:val="32"/>
          <w:highlight w:val="none"/>
        </w:rPr>
      </w:pPr>
    </w:p>
    <w:p w14:paraId="5277EC15">
      <w:pPr>
        <w:kinsoku/>
        <w:wordWrap w:val="0"/>
        <w:topLinePunct w:val="0"/>
        <w:bidi w:val="0"/>
        <w:jc w:val="center"/>
        <w:rPr>
          <w:rFonts w:ascii="仿宋_GB2312" w:hAnsi="仿宋" w:eastAsia="仿宋_GB2312" w:cs="仿宋_GB2312"/>
          <w:b/>
          <w:kern w:val="0"/>
          <w:sz w:val="32"/>
          <w:szCs w:val="32"/>
          <w:highlight w:val="none"/>
        </w:rPr>
      </w:pPr>
    </w:p>
    <w:p w14:paraId="315D6DF4">
      <w:pPr>
        <w:kinsoku/>
        <w:wordWrap w:val="0"/>
        <w:topLinePunct w:val="0"/>
        <w:bidi w:val="0"/>
        <w:jc w:val="center"/>
        <w:rPr>
          <w:rFonts w:ascii="仿宋_GB2312" w:hAnsi="仿宋" w:eastAsia="仿宋_GB2312" w:cs="仿宋_GB2312"/>
          <w:b/>
          <w:kern w:val="0"/>
          <w:sz w:val="32"/>
          <w:szCs w:val="32"/>
          <w:highlight w:val="none"/>
        </w:rPr>
      </w:pPr>
    </w:p>
    <w:p w14:paraId="5851D450">
      <w:pPr>
        <w:kinsoku/>
        <w:wordWrap w:val="0"/>
        <w:topLinePunct w:val="0"/>
        <w:bidi w:val="0"/>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13CC7420">
      <w:pPr>
        <w:kinsoku/>
        <w:wordWrap w:val="0"/>
        <w:topLinePunct w:val="0"/>
        <w:bidi w:val="0"/>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八、</w:t>
      </w:r>
      <w:r>
        <w:rPr>
          <w:rFonts w:hint="eastAsia" w:ascii="仿宋_GB2312" w:hAnsi="仿宋" w:eastAsia="仿宋_GB2312" w:cs="仿宋_GB2312"/>
          <w:b/>
          <w:kern w:val="0"/>
          <w:sz w:val="32"/>
          <w:szCs w:val="32"/>
          <w:highlight w:val="none"/>
          <w:lang w:val="zh-CN"/>
        </w:rPr>
        <w:t>政府采购供应商廉洁自律承诺书</w:t>
      </w:r>
    </w:p>
    <w:p w14:paraId="4BDC630E">
      <w:pPr>
        <w:kinsoku/>
        <w:wordWrap w:val="0"/>
        <w:topLinePunct w:val="0"/>
        <w:bidi w:val="0"/>
        <w:snapToGrid w:val="0"/>
        <w:spacing w:line="360" w:lineRule="auto"/>
        <w:rPr>
          <w:rFonts w:ascii="仿宋_GB2312" w:hAnsi="仿宋" w:eastAsia="仿宋_GB2312" w:cs="仿宋_GB2312"/>
          <w:sz w:val="24"/>
          <w:highlight w:val="none"/>
        </w:rPr>
      </w:pPr>
    </w:p>
    <w:p w14:paraId="3D6211C7">
      <w:pPr>
        <w:kinsoku/>
        <w:wordWrap w:val="0"/>
        <w:topLinePunct w:val="0"/>
        <w:bidi w:val="0"/>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lang w:eastAsia="zh-CN"/>
        </w:rPr>
        <w:t>永嘉县公路与运输管理中心</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eastAsia="zh-CN"/>
        </w:rPr>
        <w:t>温州广信工程管理有限公司</w:t>
      </w:r>
      <w:r>
        <w:rPr>
          <w:rFonts w:hint="eastAsia" w:ascii="仿宋_GB2312" w:hAnsi="仿宋" w:eastAsia="仿宋_GB2312" w:cs="仿宋_GB2312"/>
          <w:kern w:val="0"/>
          <w:sz w:val="24"/>
          <w:highlight w:val="none"/>
          <w:lang w:val="zh-CN"/>
        </w:rPr>
        <w:t>：</w:t>
      </w:r>
    </w:p>
    <w:p w14:paraId="09F90A42">
      <w:pPr>
        <w:kinsoku/>
        <w:wordWrap w:val="0"/>
        <w:topLinePunct w:val="0"/>
        <w:autoSpaceDE w:val="0"/>
        <w:autoSpaceDN w:val="0"/>
        <w:bidi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14:paraId="414C9293">
      <w:pPr>
        <w:kinsoku/>
        <w:wordWrap w:val="0"/>
        <w:topLinePunct w:val="0"/>
        <w:autoSpaceDE w:val="0"/>
        <w:autoSpaceDN w:val="0"/>
        <w:bidi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14:paraId="566E0912">
      <w:pPr>
        <w:kinsoku/>
        <w:wordWrap w:val="0"/>
        <w:topLinePunct w:val="0"/>
        <w:autoSpaceDE w:val="0"/>
        <w:autoSpaceDN w:val="0"/>
        <w:bidi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14:paraId="317E3ACB">
      <w:pPr>
        <w:kinsoku/>
        <w:wordWrap w:val="0"/>
        <w:topLinePunct w:val="0"/>
        <w:autoSpaceDE w:val="0"/>
        <w:autoSpaceDN w:val="0"/>
        <w:bidi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14:paraId="35FDBD57">
      <w:pPr>
        <w:kinsoku/>
        <w:wordWrap w:val="0"/>
        <w:topLinePunct w:val="0"/>
        <w:autoSpaceDE w:val="0"/>
        <w:autoSpaceDN w:val="0"/>
        <w:bidi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14:paraId="02BB3A97">
      <w:pPr>
        <w:kinsoku/>
        <w:wordWrap w:val="0"/>
        <w:topLinePunct w:val="0"/>
        <w:autoSpaceDE w:val="0"/>
        <w:autoSpaceDN w:val="0"/>
        <w:bidi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14:paraId="0A529B78">
      <w:pPr>
        <w:kinsoku/>
        <w:wordWrap w:val="0"/>
        <w:topLinePunct w:val="0"/>
        <w:autoSpaceDE w:val="0"/>
        <w:autoSpaceDN w:val="0"/>
        <w:bidi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14:paraId="202E87A4">
      <w:pPr>
        <w:kinsoku/>
        <w:wordWrap w:val="0"/>
        <w:topLinePunct w:val="0"/>
        <w:autoSpaceDE w:val="0"/>
        <w:autoSpaceDN w:val="0"/>
        <w:bidi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14:paraId="200F1991">
      <w:pPr>
        <w:kinsoku/>
        <w:wordWrap w:val="0"/>
        <w:topLinePunct w:val="0"/>
        <w:autoSpaceDE w:val="0"/>
        <w:autoSpaceDN w:val="0"/>
        <w:bidi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14:paraId="6DBC4DF4">
      <w:pPr>
        <w:kinsoku/>
        <w:wordWrap w:val="0"/>
        <w:topLinePunct w:val="0"/>
        <w:autoSpaceDE w:val="0"/>
        <w:autoSpaceDN w:val="0"/>
        <w:bidi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14:paraId="3EDC8E70">
      <w:pPr>
        <w:kinsoku/>
        <w:wordWrap w:val="0"/>
        <w:topLinePunct w:val="0"/>
        <w:autoSpaceDE w:val="0"/>
        <w:autoSpaceDN w:val="0"/>
        <w:bidi w:val="0"/>
        <w:spacing w:line="360" w:lineRule="auto"/>
        <w:ind w:left="2"/>
        <w:jc w:val="left"/>
        <w:rPr>
          <w:rFonts w:ascii="仿宋_GB2312" w:hAnsi="仿宋_GB2312" w:eastAsia="仿宋_GB2312" w:cs="仿宋_GB2312"/>
          <w:kern w:val="0"/>
          <w:sz w:val="24"/>
          <w:highlight w:val="none"/>
          <w:lang w:val="zh-CN"/>
        </w:rPr>
      </w:pPr>
    </w:p>
    <w:p w14:paraId="241AFE28">
      <w:pPr>
        <w:kinsoku/>
        <w:wordWrap w:val="0"/>
        <w:topLinePunct w:val="0"/>
        <w:autoSpaceDE w:val="0"/>
        <w:autoSpaceDN w:val="0"/>
        <w:bidi w:val="0"/>
        <w:spacing w:line="360" w:lineRule="auto"/>
        <w:ind w:left="2"/>
        <w:jc w:val="left"/>
        <w:rPr>
          <w:rFonts w:ascii="仿宋_GB2312" w:hAnsi="仿宋_GB2312" w:eastAsia="仿宋_GB2312" w:cs="仿宋_GB2312"/>
          <w:kern w:val="0"/>
          <w:sz w:val="24"/>
          <w:highlight w:val="none"/>
          <w:lang w:val="zh-CN"/>
        </w:rPr>
      </w:pPr>
    </w:p>
    <w:p w14:paraId="146C1971">
      <w:pPr>
        <w:kinsoku/>
        <w:wordWrap w:val="0"/>
        <w:topLinePunct w:val="0"/>
        <w:autoSpaceDE w:val="0"/>
        <w:autoSpaceDN w:val="0"/>
        <w:bidi w:val="0"/>
        <w:spacing w:line="360" w:lineRule="auto"/>
        <w:ind w:left="2"/>
        <w:jc w:val="left"/>
        <w:rPr>
          <w:rFonts w:ascii="仿宋_GB2312" w:hAnsi="仿宋_GB2312" w:eastAsia="仿宋_GB2312" w:cs="仿宋_GB2312"/>
          <w:kern w:val="0"/>
          <w:sz w:val="24"/>
          <w:highlight w:val="none"/>
          <w:lang w:val="zh-CN"/>
        </w:rPr>
      </w:pPr>
    </w:p>
    <w:p w14:paraId="5342FCF2">
      <w:pPr>
        <w:kinsoku/>
        <w:wordWrap w:val="0"/>
        <w:topLinePunct w:val="0"/>
        <w:autoSpaceDE w:val="0"/>
        <w:autoSpaceDN w:val="0"/>
        <w:bidi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14:paraId="37F772E3">
      <w:pPr>
        <w:kinsoku/>
        <w:wordWrap w:val="0"/>
        <w:topLinePunct w:val="0"/>
        <w:bidi w:val="0"/>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14:paraId="0CE63514">
      <w:pPr>
        <w:kinsoku/>
        <w:wordWrap w:val="0"/>
        <w:topLinePunct w:val="0"/>
        <w:bidi w:val="0"/>
        <w:spacing w:line="360" w:lineRule="auto"/>
        <w:jc w:val="center"/>
        <w:rPr>
          <w:rFonts w:ascii="仿宋_GB2312" w:hAnsi="仿宋" w:eastAsia="仿宋_GB2312" w:cs="仿宋_GB2312"/>
          <w:b/>
          <w:bCs/>
          <w:sz w:val="24"/>
          <w:highlight w:val="none"/>
        </w:rPr>
      </w:pPr>
    </w:p>
    <w:p w14:paraId="1B078A03">
      <w:pPr>
        <w:kinsoku/>
        <w:wordWrap w:val="0"/>
        <w:topLinePunct w:val="0"/>
        <w:bidi w:val="0"/>
        <w:spacing w:line="360" w:lineRule="auto"/>
        <w:jc w:val="center"/>
        <w:rPr>
          <w:rFonts w:ascii="仿宋_GB2312" w:hAnsi="仿宋" w:eastAsia="仿宋_GB2312" w:cs="仿宋_GB2312"/>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E182599">
      <w:pPr>
        <w:kinsoku/>
        <w:wordWrap w:val="0"/>
        <w:topLinePunct w:val="0"/>
        <w:bidi w:val="0"/>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14:paraId="1AA2A204">
      <w:pPr>
        <w:kinsoku/>
        <w:wordWrap w:val="0"/>
        <w:topLinePunct w:val="0"/>
        <w:bidi w:val="0"/>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14:paraId="24A6C967">
      <w:pPr>
        <w:kinsoku/>
        <w:wordWrap w:val="0"/>
        <w:topLinePunct w:val="0"/>
        <w:bidi w:val="0"/>
        <w:spacing w:line="360" w:lineRule="auto"/>
        <w:jc w:val="center"/>
        <w:outlineLvl w:val="0"/>
        <w:rPr>
          <w:rFonts w:ascii="仿宋_GB2312" w:hAnsi="仿宋" w:eastAsia="仿宋_GB2312" w:cs="仿宋_GB2312"/>
          <w:b/>
          <w:kern w:val="0"/>
          <w:sz w:val="36"/>
          <w:szCs w:val="36"/>
          <w:highlight w:val="none"/>
        </w:rPr>
      </w:pPr>
    </w:p>
    <w:p w14:paraId="29BC0C59">
      <w:pPr>
        <w:kinsoku/>
        <w:wordWrap w:val="0"/>
        <w:topLinePunct w:val="0"/>
        <w:bidi w:val="0"/>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14:paraId="2D6721D8">
      <w:pPr>
        <w:kinsoku/>
        <w:wordWrap w:val="0"/>
        <w:topLinePunct w:val="0"/>
        <w:bidi w:val="0"/>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2）中小企业声明函……</w:t>
      </w:r>
      <w:r>
        <w:rPr>
          <w:rFonts w:hint="eastAsia" w:ascii="仿宋_GB2312" w:hAnsi="仿宋" w:eastAsia="仿宋_GB2312" w:cs="仿宋_GB2312"/>
          <w:sz w:val="24"/>
          <w:highlight w:val="none"/>
        </w:rPr>
        <w:t>…………………………………………………………（页码）</w:t>
      </w:r>
    </w:p>
    <w:p w14:paraId="3A5215B1">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02BA7DCC">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74397CE8">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6486E06A">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7C86C1CA">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5906FB08">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243019F3">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77660D60">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215EAB0D">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41C18BE0">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0DF0C122">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14503D4D">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14612E4B">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692F0515">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5DE966C1">
      <w:pPr>
        <w:kinsoku/>
        <w:wordWrap w:val="0"/>
        <w:topLinePunct w:val="0"/>
        <w:bidi w:val="0"/>
        <w:snapToGrid w:val="0"/>
        <w:spacing w:line="360" w:lineRule="auto"/>
        <w:ind w:right="480"/>
        <w:jc w:val="center"/>
        <w:rPr>
          <w:rFonts w:ascii="仿宋_GB2312" w:hAnsi="仿宋" w:eastAsia="仿宋_GB2312" w:cs="仿宋_GB2312"/>
          <w:b/>
          <w:kern w:val="0"/>
          <w:sz w:val="32"/>
          <w:szCs w:val="32"/>
          <w:highlight w:val="none"/>
        </w:rPr>
      </w:pPr>
    </w:p>
    <w:p w14:paraId="4E28C70F">
      <w:pPr>
        <w:pStyle w:val="690"/>
        <w:keepNext w:val="0"/>
        <w:pageBreakBefore w:val="0"/>
        <w:tabs>
          <w:tab w:val="clear" w:pos="720"/>
        </w:tabs>
        <w:kinsoku/>
        <w:wordWrap w:val="0"/>
        <w:topLinePunct w:val="0"/>
        <w:bidi w:val="0"/>
        <w:snapToGrid w:val="0"/>
        <w:spacing w:before="120" w:after="120"/>
        <w:ind w:firstLine="643"/>
        <w:outlineLvl w:val="9"/>
        <w:rPr>
          <w:rFonts w:ascii="仿宋_GB2312" w:hAnsi="仿宋" w:eastAsia="仿宋_GB2312" w:cs="仿宋_GB2312"/>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B73B579">
      <w:pPr>
        <w:pStyle w:val="690"/>
        <w:keepNext w:val="0"/>
        <w:pageBreakBefore w:val="0"/>
        <w:tabs>
          <w:tab w:val="clear" w:pos="720"/>
        </w:tabs>
        <w:kinsoku/>
        <w:wordWrap w:val="0"/>
        <w:topLinePunct w:val="0"/>
        <w:bidi w:val="0"/>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14:paraId="6E661E2C">
      <w:pPr>
        <w:kinsoku/>
        <w:wordWrap w:val="0"/>
        <w:topLinePunct w:val="0"/>
        <w:bidi w:val="0"/>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lang w:eastAsia="zh-CN"/>
        </w:rPr>
        <w:t>永嘉县公路与运输管理中心</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eastAsia="zh-CN"/>
        </w:rPr>
        <w:t>温州广信工程管理有限公司</w:t>
      </w:r>
      <w:r>
        <w:rPr>
          <w:rFonts w:hint="eastAsia" w:ascii="仿宋_GB2312" w:hAnsi="仿宋" w:eastAsia="仿宋_GB2312" w:cs="仿宋_GB2312"/>
          <w:kern w:val="0"/>
          <w:sz w:val="24"/>
          <w:highlight w:val="none"/>
          <w:lang w:val="zh-CN"/>
        </w:rPr>
        <w:t>：</w:t>
      </w:r>
    </w:p>
    <w:p w14:paraId="2BDBB01B">
      <w:pPr>
        <w:kinsoku/>
        <w:wordWrap w:val="0"/>
        <w:topLinePunct w:val="0"/>
        <w:bidi w:val="0"/>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（项目名称）</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lang w:eastAsia="zh-CN"/>
        </w:rPr>
        <w:t>WZGX-YJ-202410001</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14:paraId="62674FD1">
      <w:pPr>
        <w:kinsoku/>
        <w:wordWrap w:val="0"/>
        <w:topLinePunct w:val="0"/>
        <w:bidi w:val="0"/>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开标一览表（报价表）</w:t>
      </w:r>
      <w:r>
        <w:rPr>
          <w:rFonts w:ascii="仿宋_GB2312" w:hAnsi="仿宋" w:eastAsia="仿宋_GB2312" w:cs="仿宋_GB2312"/>
          <w:b/>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2A4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13F219C">
            <w:pPr>
              <w:kinsoku/>
              <w:wordWrap w:val="0"/>
              <w:topLinePunct w:val="0"/>
              <w:bidi w:val="0"/>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1417" w:type="dxa"/>
            <w:vAlign w:val="center"/>
          </w:tcPr>
          <w:p w14:paraId="5DD230D2">
            <w:pPr>
              <w:kinsoku/>
              <w:wordWrap w:val="0"/>
              <w:topLinePunct w:val="0"/>
              <w:bidi w:val="0"/>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名称</w:t>
            </w:r>
          </w:p>
        </w:tc>
        <w:tc>
          <w:tcPr>
            <w:tcW w:w="1843" w:type="dxa"/>
          </w:tcPr>
          <w:p w14:paraId="72295E50">
            <w:pPr>
              <w:kinsoku/>
              <w:wordWrap w:val="0"/>
              <w:topLinePunct w:val="0"/>
              <w:bidi w:val="0"/>
              <w:spacing w:line="360" w:lineRule="auto"/>
              <w:jc w:val="center"/>
              <w:rPr>
                <w:rFonts w:ascii="仿宋_GB2312" w:hAnsi="仿宋" w:eastAsia="仿宋_GB2312"/>
                <w:b/>
                <w:sz w:val="24"/>
                <w:highlight w:val="none"/>
              </w:rPr>
            </w:pPr>
          </w:p>
          <w:p w14:paraId="0C91F5D9">
            <w:pPr>
              <w:kinsoku/>
              <w:wordWrap w:val="0"/>
              <w:topLinePunct w:val="0"/>
              <w:bidi w:val="0"/>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品牌（如果有）</w:t>
            </w:r>
          </w:p>
        </w:tc>
        <w:tc>
          <w:tcPr>
            <w:tcW w:w="3118" w:type="dxa"/>
            <w:vAlign w:val="center"/>
          </w:tcPr>
          <w:p w14:paraId="3A63DF68">
            <w:pPr>
              <w:kinsoku/>
              <w:wordWrap w:val="0"/>
              <w:topLinePunct w:val="0"/>
              <w:bidi w:val="0"/>
              <w:spacing w:line="360" w:lineRule="auto"/>
              <w:jc w:val="center"/>
              <w:rPr>
                <w:rFonts w:hint="eastAsia" w:ascii="仿宋_GB2312" w:hAnsi="仿宋" w:eastAsia="仿宋_GB2312" w:cs="仿宋_GB2312"/>
                <w:b/>
                <w:sz w:val="24"/>
                <w:highlight w:val="none"/>
                <w:lang w:val="en-US" w:eastAsia="zh-CN"/>
              </w:rPr>
            </w:pPr>
            <w:r>
              <w:rPr>
                <w:rFonts w:hint="eastAsia" w:ascii="仿宋_GB2312" w:hAnsi="仿宋" w:eastAsia="仿宋_GB2312" w:cs="仿宋_GB2312"/>
                <w:b/>
                <w:sz w:val="24"/>
                <w:highlight w:val="none"/>
                <w:lang w:val="en-US" w:eastAsia="zh-CN"/>
              </w:rPr>
              <w:t>数量</w:t>
            </w:r>
          </w:p>
        </w:tc>
        <w:tc>
          <w:tcPr>
            <w:tcW w:w="993" w:type="dxa"/>
            <w:vAlign w:val="center"/>
          </w:tcPr>
          <w:p w14:paraId="1BEED28A">
            <w:pPr>
              <w:kinsoku/>
              <w:wordWrap w:val="0"/>
              <w:topLinePunct w:val="0"/>
              <w:bidi w:val="0"/>
              <w:spacing w:line="360" w:lineRule="auto"/>
              <w:jc w:val="center"/>
              <w:rPr>
                <w:rFonts w:hint="eastAsia" w:ascii="仿宋_GB2312" w:hAnsi="仿宋" w:eastAsia="仿宋_GB2312" w:cs="仿宋_GB2312"/>
                <w:b/>
                <w:sz w:val="24"/>
                <w:highlight w:val="none"/>
                <w:lang w:eastAsia="zh-CN"/>
              </w:rPr>
            </w:pPr>
            <w:r>
              <w:rPr>
                <w:rFonts w:hint="eastAsia" w:ascii="仿宋_GB2312" w:hAnsi="仿宋" w:eastAsia="仿宋_GB2312"/>
                <w:b/>
                <w:sz w:val="24"/>
                <w:highlight w:val="none"/>
                <w:lang w:val="en-US" w:eastAsia="zh-CN"/>
              </w:rPr>
              <w:t>单位</w:t>
            </w:r>
          </w:p>
        </w:tc>
        <w:tc>
          <w:tcPr>
            <w:tcW w:w="1559" w:type="dxa"/>
            <w:vAlign w:val="center"/>
          </w:tcPr>
          <w:p w14:paraId="5FAB81D4">
            <w:pPr>
              <w:kinsoku/>
              <w:wordWrap w:val="0"/>
              <w:topLinePunct w:val="0"/>
              <w:bidi w:val="0"/>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单价</w:t>
            </w:r>
          </w:p>
        </w:tc>
        <w:tc>
          <w:tcPr>
            <w:tcW w:w="1984" w:type="dxa"/>
            <w:vAlign w:val="center"/>
          </w:tcPr>
          <w:p w14:paraId="17A054D2">
            <w:pPr>
              <w:kinsoku/>
              <w:wordWrap w:val="0"/>
              <w:topLinePunct w:val="0"/>
              <w:bidi w:val="0"/>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总价</w:t>
            </w:r>
          </w:p>
        </w:tc>
        <w:tc>
          <w:tcPr>
            <w:tcW w:w="3119" w:type="dxa"/>
            <w:vAlign w:val="center"/>
          </w:tcPr>
          <w:p w14:paraId="16CA66E2">
            <w:pPr>
              <w:kinsoku/>
              <w:wordWrap w:val="0"/>
              <w:topLinePunct w:val="0"/>
              <w:bidi w:val="0"/>
              <w:spacing w:line="360" w:lineRule="auto"/>
              <w:jc w:val="center"/>
              <w:rPr>
                <w:rFonts w:ascii="仿宋_GB2312" w:hAnsi="仿宋" w:eastAsia="仿宋_GB2312"/>
                <w:b/>
                <w:sz w:val="24"/>
                <w:highlight w:val="none"/>
              </w:rPr>
            </w:pPr>
          </w:p>
          <w:p w14:paraId="7D1B54F1">
            <w:pPr>
              <w:kinsoku/>
              <w:wordWrap w:val="0"/>
              <w:topLinePunct w:val="0"/>
              <w:bidi w:val="0"/>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服务要求（年限）</w:t>
            </w:r>
          </w:p>
          <w:p w14:paraId="42BF7C40">
            <w:pPr>
              <w:kinsoku/>
              <w:wordWrap w:val="0"/>
              <w:topLinePunct w:val="0"/>
              <w:bidi w:val="0"/>
              <w:spacing w:line="360" w:lineRule="auto"/>
              <w:jc w:val="center"/>
              <w:rPr>
                <w:rFonts w:ascii="仿宋_GB2312" w:hAnsi="仿宋" w:eastAsia="仿宋_GB2312"/>
                <w:b/>
                <w:sz w:val="24"/>
                <w:highlight w:val="none"/>
              </w:rPr>
            </w:pPr>
          </w:p>
        </w:tc>
      </w:tr>
      <w:tr w14:paraId="096E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62642A1">
            <w:pPr>
              <w:kinsoku/>
              <w:wordWrap w:val="0"/>
              <w:topLinePunct w:val="0"/>
              <w:bidi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417" w:type="dxa"/>
            <w:vAlign w:val="center"/>
          </w:tcPr>
          <w:p w14:paraId="594D5C0B">
            <w:pPr>
              <w:kinsoku/>
              <w:wordWrap w:val="0"/>
              <w:topLinePunct w:val="0"/>
              <w:bidi w:val="0"/>
              <w:snapToGrid w:val="0"/>
              <w:spacing w:line="360" w:lineRule="auto"/>
              <w:jc w:val="center"/>
              <w:rPr>
                <w:rFonts w:ascii="仿宋_GB2312" w:hAnsi="仿宋" w:eastAsia="仿宋_GB2312" w:cs="仿宋_GB2312"/>
                <w:sz w:val="24"/>
                <w:highlight w:val="none"/>
              </w:rPr>
            </w:pPr>
          </w:p>
        </w:tc>
        <w:tc>
          <w:tcPr>
            <w:tcW w:w="1843" w:type="dxa"/>
            <w:vAlign w:val="center"/>
          </w:tcPr>
          <w:p w14:paraId="02200472">
            <w:pPr>
              <w:kinsoku/>
              <w:wordWrap w:val="0"/>
              <w:topLinePunct w:val="0"/>
              <w:bidi w:val="0"/>
              <w:snapToGrid w:val="0"/>
              <w:spacing w:line="360" w:lineRule="auto"/>
              <w:jc w:val="center"/>
              <w:rPr>
                <w:rFonts w:ascii="仿宋_GB2312" w:hAnsi="仿宋" w:eastAsia="仿宋_GB2312" w:cs="仿宋_GB2312"/>
                <w:sz w:val="24"/>
                <w:highlight w:val="none"/>
              </w:rPr>
            </w:pPr>
          </w:p>
        </w:tc>
        <w:tc>
          <w:tcPr>
            <w:tcW w:w="3118" w:type="dxa"/>
            <w:vAlign w:val="center"/>
          </w:tcPr>
          <w:p w14:paraId="3576F1A4">
            <w:pPr>
              <w:kinsoku/>
              <w:wordWrap w:val="0"/>
              <w:topLinePunct w:val="0"/>
              <w:bidi w:val="0"/>
              <w:snapToGrid w:val="0"/>
              <w:spacing w:line="360" w:lineRule="auto"/>
              <w:jc w:val="center"/>
              <w:rPr>
                <w:rFonts w:ascii="仿宋_GB2312" w:hAnsi="仿宋" w:eastAsia="仿宋_GB2312" w:cs="仿宋_GB2312"/>
                <w:sz w:val="24"/>
                <w:highlight w:val="none"/>
              </w:rPr>
            </w:pPr>
          </w:p>
        </w:tc>
        <w:tc>
          <w:tcPr>
            <w:tcW w:w="993" w:type="dxa"/>
            <w:vAlign w:val="center"/>
          </w:tcPr>
          <w:p w14:paraId="318F46C0">
            <w:pPr>
              <w:kinsoku/>
              <w:wordWrap w:val="0"/>
              <w:topLinePunct w:val="0"/>
              <w:bidi w:val="0"/>
              <w:snapToGrid w:val="0"/>
              <w:spacing w:line="360" w:lineRule="auto"/>
              <w:jc w:val="center"/>
              <w:rPr>
                <w:rFonts w:ascii="仿宋_GB2312" w:hAnsi="仿宋" w:eastAsia="仿宋_GB2312" w:cs="仿宋_GB2312"/>
                <w:sz w:val="24"/>
                <w:highlight w:val="none"/>
              </w:rPr>
            </w:pPr>
          </w:p>
        </w:tc>
        <w:tc>
          <w:tcPr>
            <w:tcW w:w="1559" w:type="dxa"/>
            <w:vAlign w:val="center"/>
          </w:tcPr>
          <w:p w14:paraId="4AD7CC6D">
            <w:pPr>
              <w:kinsoku/>
              <w:wordWrap w:val="0"/>
              <w:topLinePunct w:val="0"/>
              <w:bidi w:val="0"/>
              <w:spacing w:line="360" w:lineRule="auto"/>
              <w:jc w:val="center"/>
              <w:rPr>
                <w:rFonts w:ascii="仿宋_GB2312" w:hAnsi="仿宋" w:eastAsia="仿宋_GB2312" w:cs="仿宋_GB2312"/>
                <w:sz w:val="24"/>
                <w:highlight w:val="none"/>
              </w:rPr>
            </w:pPr>
          </w:p>
        </w:tc>
        <w:tc>
          <w:tcPr>
            <w:tcW w:w="1984" w:type="dxa"/>
            <w:vAlign w:val="center"/>
          </w:tcPr>
          <w:p w14:paraId="4A30E439">
            <w:pPr>
              <w:kinsoku/>
              <w:wordWrap w:val="0"/>
              <w:topLinePunct w:val="0"/>
              <w:bidi w:val="0"/>
              <w:spacing w:line="360" w:lineRule="auto"/>
              <w:jc w:val="center"/>
              <w:rPr>
                <w:rFonts w:ascii="仿宋_GB2312" w:hAnsi="仿宋" w:eastAsia="仿宋_GB2312" w:cs="仿宋_GB2312"/>
                <w:sz w:val="24"/>
                <w:highlight w:val="none"/>
              </w:rPr>
            </w:pPr>
          </w:p>
        </w:tc>
        <w:tc>
          <w:tcPr>
            <w:tcW w:w="3119" w:type="dxa"/>
            <w:vAlign w:val="center"/>
          </w:tcPr>
          <w:p w14:paraId="2DBA33CF">
            <w:pPr>
              <w:kinsoku/>
              <w:wordWrap w:val="0"/>
              <w:topLinePunct w:val="0"/>
              <w:bidi w:val="0"/>
              <w:spacing w:line="360" w:lineRule="auto"/>
              <w:jc w:val="center"/>
              <w:rPr>
                <w:rFonts w:hint="default"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1+1年</w:t>
            </w:r>
          </w:p>
        </w:tc>
      </w:tr>
      <w:tr w14:paraId="4D3C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30EF95B">
            <w:pPr>
              <w:kinsoku/>
              <w:wordWrap w:val="0"/>
              <w:topLinePunct w:val="0"/>
              <w:bidi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417" w:type="dxa"/>
            <w:vAlign w:val="center"/>
          </w:tcPr>
          <w:p w14:paraId="318B58D2">
            <w:pPr>
              <w:kinsoku/>
              <w:wordWrap w:val="0"/>
              <w:topLinePunct w:val="0"/>
              <w:bidi w:val="0"/>
              <w:snapToGrid w:val="0"/>
              <w:spacing w:line="360" w:lineRule="auto"/>
              <w:jc w:val="center"/>
              <w:rPr>
                <w:rFonts w:ascii="仿宋_GB2312" w:hAnsi="仿宋" w:eastAsia="仿宋_GB2312" w:cs="仿宋_GB2312"/>
                <w:sz w:val="24"/>
                <w:highlight w:val="none"/>
              </w:rPr>
            </w:pPr>
          </w:p>
        </w:tc>
        <w:tc>
          <w:tcPr>
            <w:tcW w:w="1843" w:type="dxa"/>
            <w:vAlign w:val="center"/>
          </w:tcPr>
          <w:p w14:paraId="6C08F8B4">
            <w:pPr>
              <w:kinsoku/>
              <w:wordWrap w:val="0"/>
              <w:topLinePunct w:val="0"/>
              <w:bidi w:val="0"/>
              <w:snapToGrid w:val="0"/>
              <w:spacing w:line="360" w:lineRule="auto"/>
              <w:jc w:val="center"/>
              <w:rPr>
                <w:rFonts w:ascii="仿宋_GB2312" w:hAnsi="仿宋" w:eastAsia="仿宋_GB2312" w:cs="仿宋_GB2312"/>
                <w:sz w:val="24"/>
                <w:highlight w:val="none"/>
              </w:rPr>
            </w:pPr>
          </w:p>
        </w:tc>
        <w:tc>
          <w:tcPr>
            <w:tcW w:w="3118" w:type="dxa"/>
            <w:vAlign w:val="center"/>
          </w:tcPr>
          <w:p w14:paraId="3CD57FAB">
            <w:pPr>
              <w:kinsoku/>
              <w:wordWrap w:val="0"/>
              <w:topLinePunct w:val="0"/>
              <w:bidi w:val="0"/>
              <w:snapToGrid w:val="0"/>
              <w:spacing w:line="360" w:lineRule="auto"/>
              <w:jc w:val="center"/>
              <w:rPr>
                <w:rFonts w:ascii="仿宋_GB2312" w:hAnsi="仿宋" w:eastAsia="仿宋_GB2312" w:cs="仿宋_GB2312"/>
                <w:sz w:val="24"/>
                <w:highlight w:val="none"/>
              </w:rPr>
            </w:pPr>
          </w:p>
        </w:tc>
        <w:tc>
          <w:tcPr>
            <w:tcW w:w="993" w:type="dxa"/>
            <w:vAlign w:val="center"/>
          </w:tcPr>
          <w:p w14:paraId="70844CF0">
            <w:pPr>
              <w:kinsoku/>
              <w:wordWrap w:val="0"/>
              <w:topLinePunct w:val="0"/>
              <w:bidi w:val="0"/>
              <w:snapToGrid w:val="0"/>
              <w:spacing w:line="360" w:lineRule="auto"/>
              <w:jc w:val="center"/>
              <w:rPr>
                <w:rFonts w:ascii="仿宋_GB2312" w:hAnsi="仿宋" w:eastAsia="仿宋_GB2312" w:cs="仿宋_GB2312"/>
                <w:sz w:val="24"/>
                <w:highlight w:val="none"/>
              </w:rPr>
            </w:pPr>
          </w:p>
        </w:tc>
        <w:tc>
          <w:tcPr>
            <w:tcW w:w="1559" w:type="dxa"/>
            <w:vAlign w:val="center"/>
          </w:tcPr>
          <w:p w14:paraId="7FDB75D5">
            <w:pPr>
              <w:kinsoku/>
              <w:wordWrap w:val="0"/>
              <w:topLinePunct w:val="0"/>
              <w:bidi w:val="0"/>
              <w:spacing w:line="360" w:lineRule="auto"/>
              <w:jc w:val="center"/>
              <w:rPr>
                <w:rFonts w:ascii="仿宋_GB2312" w:hAnsi="仿宋" w:eastAsia="仿宋_GB2312" w:cs="仿宋_GB2312"/>
                <w:sz w:val="24"/>
                <w:highlight w:val="none"/>
              </w:rPr>
            </w:pPr>
          </w:p>
        </w:tc>
        <w:tc>
          <w:tcPr>
            <w:tcW w:w="1984" w:type="dxa"/>
            <w:vAlign w:val="center"/>
          </w:tcPr>
          <w:p w14:paraId="6EE1C0E8">
            <w:pPr>
              <w:kinsoku/>
              <w:wordWrap w:val="0"/>
              <w:topLinePunct w:val="0"/>
              <w:bidi w:val="0"/>
              <w:spacing w:line="360" w:lineRule="auto"/>
              <w:jc w:val="center"/>
              <w:rPr>
                <w:rFonts w:ascii="仿宋_GB2312" w:hAnsi="仿宋" w:eastAsia="仿宋_GB2312" w:cs="仿宋_GB2312"/>
                <w:sz w:val="24"/>
                <w:highlight w:val="none"/>
              </w:rPr>
            </w:pPr>
          </w:p>
        </w:tc>
        <w:tc>
          <w:tcPr>
            <w:tcW w:w="3119" w:type="dxa"/>
            <w:vAlign w:val="center"/>
          </w:tcPr>
          <w:p w14:paraId="4EBEC604">
            <w:pPr>
              <w:kinsoku/>
              <w:wordWrap w:val="0"/>
              <w:topLinePunct w:val="0"/>
              <w:bidi w:val="0"/>
              <w:spacing w:line="360" w:lineRule="auto"/>
              <w:jc w:val="center"/>
              <w:rPr>
                <w:rFonts w:ascii="仿宋_GB2312" w:hAnsi="仿宋" w:eastAsia="仿宋_GB2312" w:cs="仿宋_GB2312"/>
                <w:sz w:val="24"/>
                <w:highlight w:val="none"/>
              </w:rPr>
            </w:pPr>
          </w:p>
        </w:tc>
      </w:tr>
      <w:tr w14:paraId="2374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FD7017A">
            <w:pPr>
              <w:kinsoku/>
              <w:wordWrap w:val="0"/>
              <w:topLinePunct w:val="0"/>
              <w:bidi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w:t>
            </w:r>
          </w:p>
        </w:tc>
        <w:tc>
          <w:tcPr>
            <w:tcW w:w="1417" w:type="dxa"/>
            <w:vAlign w:val="center"/>
          </w:tcPr>
          <w:p w14:paraId="5C93A205">
            <w:pPr>
              <w:kinsoku/>
              <w:wordWrap w:val="0"/>
              <w:topLinePunct w:val="0"/>
              <w:bidi w:val="0"/>
              <w:snapToGrid w:val="0"/>
              <w:spacing w:line="360" w:lineRule="auto"/>
              <w:jc w:val="center"/>
              <w:rPr>
                <w:rFonts w:ascii="仿宋_GB2312" w:hAnsi="仿宋" w:eastAsia="仿宋_GB2312" w:cs="仿宋_GB2312"/>
                <w:sz w:val="24"/>
                <w:highlight w:val="none"/>
              </w:rPr>
            </w:pPr>
          </w:p>
        </w:tc>
        <w:tc>
          <w:tcPr>
            <w:tcW w:w="1843" w:type="dxa"/>
            <w:vAlign w:val="center"/>
          </w:tcPr>
          <w:p w14:paraId="305AC24E">
            <w:pPr>
              <w:kinsoku/>
              <w:wordWrap w:val="0"/>
              <w:topLinePunct w:val="0"/>
              <w:bidi w:val="0"/>
              <w:snapToGrid w:val="0"/>
              <w:spacing w:line="360" w:lineRule="auto"/>
              <w:jc w:val="center"/>
              <w:rPr>
                <w:rFonts w:ascii="仿宋_GB2312" w:hAnsi="仿宋" w:eastAsia="仿宋_GB2312" w:cs="仿宋_GB2312"/>
                <w:sz w:val="24"/>
                <w:highlight w:val="none"/>
              </w:rPr>
            </w:pPr>
          </w:p>
        </w:tc>
        <w:tc>
          <w:tcPr>
            <w:tcW w:w="3118" w:type="dxa"/>
            <w:vAlign w:val="center"/>
          </w:tcPr>
          <w:p w14:paraId="5288471F">
            <w:pPr>
              <w:kinsoku/>
              <w:wordWrap w:val="0"/>
              <w:topLinePunct w:val="0"/>
              <w:bidi w:val="0"/>
              <w:snapToGrid w:val="0"/>
              <w:spacing w:line="360" w:lineRule="auto"/>
              <w:jc w:val="center"/>
              <w:rPr>
                <w:rFonts w:ascii="仿宋_GB2312" w:hAnsi="仿宋" w:eastAsia="仿宋_GB2312" w:cs="仿宋_GB2312"/>
                <w:sz w:val="24"/>
                <w:highlight w:val="none"/>
              </w:rPr>
            </w:pPr>
          </w:p>
        </w:tc>
        <w:tc>
          <w:tcPr>
            <w:tcW w:w="993" w:type="dxa"/>
            <w:vAlign w:val="center"/>
          </w:tcPr>
          <w:p w14:paraId="200A8C5D">
            <w:pPr>
              <w:kinsoku/>
              <w:wordWrap w:val="0"/>
              <w:topLinePunct w:val="0"/>
              <w:bidi w:val="0"/>
              <w:snapToGrid w:val="0"/>
              <w:spacing w:line="360" w:lineRule="auto"/>
              <w:jc w:val="center"/>
              <w:rPr>
                <w:rFonts w:ascii="仿宋_GB2312" w:hAnsi="仿宋" w:eastAsia="仿宋_GB2312" w:cs="仿宋_GB2312"/>
                <w:sz w:val="24"/>
                <w:highlight w:val="none"/>
              </w:rPr>
            </w:pPr>
          </w:p>
        </w:tc>
        <w:tc>
          <w:tcPr>
            <w:tcW w:w="1559" w:type="dxa"/>
            <w:vAlign w:val="center"/>
          </w:tcPr>
          <w:p w14:paraId="3F1CEF9E">
            <w:pPr>
              <w:kinsoku/>
              <w:wordWrap w:val="0"/>
              <w:topLinePunct w:val="0"/>
              <w:bidi w:val="0"/>
              <w:spacing w:line="360" w:lineRule="auto"/>
              <w:jc w:val="center"/>
              <w:rPr>
                <w:rFonts w:ascii="仿宋_GB2312" w:hAnsi="仿宋" w:eastAsia="仿宋_GB2312" w:cs="仿宋_GB2312"/>
                <w:sz w:val="24"/>
                <w:highlight w:val="none"/>
              </w:rPr>
            </w:pPr>
          </w:p>
        </w:tc>
        <w:tc>
          <w:tcPr>
            <w:tcW w:w="1984" w:type="dxa"/>
            <w:vAlign w:val="center"/>
          </w:tcPr>
          <w:p w14:paraId="1B3D776C">
            <w:pPr>
              <w:kinsoku/>
              <w:wordWrap w:val="0"/>
              <w:topLinePunct w:val="0"/>
              <w:bidi w:val="0"/>
              <w:spacing w:line="360" w:lineRule="auto"/>
              <w:jc w:val="center"/>
              <w:rPr>
                <w:rFonts w:ascii="仿宋_GB2312" w:hAnsi="仿宋" w:eastAsia="仿宋_GB2312" w:cs="仿宋_GB2312"/>
                <w:sz w:val="24"/>
                <w:highlight w:val="none"/>
              </w:rPr>
            </w:pPr>
          </w:p>
        </w:tc>
        <w:tc>
          <w:tcPr>
            <w:tcW w:w="3119" w:type="dxa"/>
            <w:vAlign w:val="center"/>
          </w:tcPr>
          <w:p w14:paraId="67D74414">
            <w:pPr>
              <w:kinsoku/>
              <w:wordWrap w:val="0"/>
              <w:topLinePunct w:val="0"/>
              <w:bidi w:val="0"/>
              <w:spacing w:line="360" w:lineRule="auto"/>
              <w:jc w:val="center"/>
              <w:rPr>
                <w:rFonts w:ascii="仿宋_GB2312" w:hAnsi="仿宋" w:eastAsia="仿宋_GB2312" w:cs="仿宋_GB2312"/>
                <w:sz w:val="24"/>
                <w:highlight w:val="none"/>
              </w:rPr>
            </w:pPr>
          </w:p>
        </w:tc>
      </w:tr>
      <w:tr w14:paraId="46F5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BA22906">
            <w:pPr>
              <w:kinsoku/>
              <w:wordWrap w:val="0"/>
              <w:topLinePunct w:val="0"/>
              <w:bidi w:val="0"/>
              <w:spacing w:line="360" w:lineRule="auto"/>
              <w:jc w:val="center"/>
              <w:rPr>
                <w:rFonts w:ascii="仿宋_GB2312" w:hAnsi="仿宋" w:eastAsia="仿宋_GB2312" w:cs="仿宋_GB2312"/>
                <w:sz w:val="24"/>
                <w:highlight w:val="none"/>
              </w:rPr>
            </w:pPr>
          </w:p>
        </w:tc>
        <w:tc>
          <w:tcPr>
            <w:tcW w:w="1417" w:type="dxa"/>
            <w:vAlign w:val="center"/>
          </w:tcPr>
          <w:p w14:paraId="6F9D5820">
            <w:pPr>
              <w:kinsoku/>
              <w:wordWrap w:val="0"/>
              <w:topLinePunct w:val="0"/>
              <w:bidi w:val="0"/>
              <w:snapToGrid w:val="0"/>
              <w:spacing w:line="360" w:lineRule="auto"/>
              <w:jc w:val="center"/>
              <w:rPr>
                <w:rFonts w:ascii="仿宋_GB2312" w:hAnsi="仿宋" w:eastAsia="仿宋_GB2312" w:cs="仿宋_GB2312"/>
                <w:sz w:val="24"/>
                <w:highlight w:val="none"/>
              </w:rPr>
            </w:pPr>
          </w:p>
        </w:tc>
        <w:tc>
          <w:tcPr>
            <w:tcW w:w="1843" w:type="dxa"/>
            <w:vAlign w:val="center"/>
          </w:tcPr>
          <w:p w14:paraId="1BDB5E05">
            <w:pPr>
              <w:kinsoku/>
              <w:wordWrap w:val="0"/>
              <w:topLinePunct w:val="0"/>
              <w:bidi w:val="0"/>
              <w:snapToGrid w:val="0"/>
              <w:spacing w:line="360" w:lineRule="auto"/>
              <w:jc w:val="center"/>
              <w:rPr>
                <w:rFonts w:ascii="仿宋_GB2312" w:hAnsi="仿宋" w:eastAsia="仿宋_GB2312" w:cs="仿宋_GB2312"/>
                <w:sz w:val="24"/>
                <w:highlight w:val="none"/>
              </w:rPr>
            </w:pPr>
          </w:p>
        </w:tc>
        <w:tc>
          <w:tcPr>
            <w:tcW w:w="3118" w:type="dxa"/>
            <w:vAlign w:val="center"/>
          </w:tcPr>
          <w:p w14:paraId="28DE0732">
            <w:pPr>
              <w:kinsoku/>
              <w:wordWrap w:val="0"/>
              <w:topLinePunct w:val="0"/>
              <w:bidi w:val="0"/>
              <w:snapToGrid w:val="0"/>
              <w:spacing w:line="360" w:lineRule="auto"/>
              <w:jc w:val="center"/>
              <w:rPr>
                <w:rFonts w:ascii="仿宋_GB2312" w:hAnsi="仿宋" w:eastAsia="仿宋_GB2312" w:cs="仿宋_GB2312"/>
                <w:sz w:val="24"/>
                <w:highlight w:val="none"/>
              </w:rPr>
            </w:pPr>
          </w:p>
        </w:tc>
        <w:tc>
          <w:tcPr>
            <w:tcW w:w="993" w:type="dxa"/>
            <w:vAlign w:val="center"/>
          </w:tcPr>
          <w:p w14:paraId="1A3A4BDB">
            <w:pPr>
              <w:kinsoku/>
              <w:wordWrap w:val="0"/>
              <w:topLinePunct w:val="0"/>
              <w:bidi w:val="0"/>
              <w:snapToGrid w:val="0"/>
              <w:spacing w:line="360" w:lineRule="auto"/>
              <w:jc w:val="center"/>
              <w:rPr>
                <w:rFonts w:ascii="仿宋_GB2312" w:hAnsi="仿宋" w:eastAsia="仿宋_GB2312" w:cs="仿宋_GB2312"/>
                <w:sz w:val="24"/>
                <w:highlight w:val="none"/>
              </w:rPr>
            </w:pPr>
          </w:p>
        </w:tc>
        <w:tc>
          <w:tcPr>
            <w:tcW w:w="1559" w:type="dxa"/>
            <w:vAlign w:val="center"/>
          </w:tcPr>
          <w:p w14:paraId="7C9D795A">
            <w:pPr>
              <w:kinsoku/>
              <w:wordWrap w:val="0"/>
              <w:topLinePunct w:val="0"/>
              <w:bidi w:val="0"/>
              <w:spacing w:line="360" w:lineRule="auto"/>
              <w:jc w:val="center"/>
              <w:rPr>
                <w:rFonts w:ascii="仿宋_GB2312" w:hAnsi="仿宋" w:eastAsia="仿宋_GB2312" w:cs="仿宋_GB2312"/>
                <w:sz w:val="24"/>
                <w:highlight w:val="none"/>
              </w:rPr>
            </w:pPr>
          </w:p>
        </w:tc>
        <w:tc>
          <w:tcPr>
            <w:tcW w:w="1984" w:type="dxa"/>
            <w:vAlign w:val="center"/>
          </w:tcPr>
          <w:p w14:paraId="6816AF04">
            <w:pPr>
              <w:kinsoku/>
              <w:wordWrap w:val="0"/>
              <w:topLinePunct w:val="0"/>
              <w:bidi w:val="0"/>
              <w:spacing w:line="360" w:lineRule="auto"/>
              <w:jc w:val="center"/>
              <w:rPr>
                <w:rFonts w:ascii="仿宋_GB2312" w:hAnsi="仿宋" w:eastAsia="仿宋_GB2312" w:cs="仿宋_GB2312"/>
                <w:sz w:val="24"/>
                <w:highlight w:val="none"/>
              </w:rPr>
            </w:pPr>
          </w:p>
        </w:tc>
        <w:tc>
          <w:tcPr>
            <w:tcW w:w="3119" w:type="dxa"/>
            <w:vAlign w:val="center"/>
          </w:tcPr>
          <w:p w14:paraId="1BBD4A65">
            <w:pPr>
              <w:kinsoku/>
              <w:wordWrap w:val="0"/>
              <w:topLinePunct w:val="0"/>
              <w:bidi w:val="0"/>
              <w:spacing w:line="360" w:lineRule="auto"/>
              <w:jc w:val="center"/>
              <w:rPr>
                <w:rFonts w:ascii="仿宋_GB2312" w:hAnsi="仿宋" w:eastAsia="仿宋_GB2312" w:cs="仿宋_GB2312"/>
                <w:sz w:val="24"/>
                <w:highlight w:val="none"/>
              </w:rPr>
            </w:pPr>
          </w:p>
        </w:tc>
      </w:tr>
      <w:tr w14:paraId="553A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65CB72A">
            <w:pPr>
              <w:kinsoku/>
              <w:wordWrap w:val="0"/>
              <w:topLinePunct w:val="0"/>
              <w:bidi w:val="0"/>
              <w:spacing w:line="360" w:lineRule="auto"/>
              <w:jc w:val="center"/>
              <w:rPr>
                <w:rFonts w:ascii="仿宋_GB2312" w:hAnsi="仿宋" w:eastAsia="仿宋_GB2312" w:cs="仿宋_GB2312"/>
                <w:sz w:val="24"/>
                <w:highlight w:val="none"/>
              </w:rPr>
            </w:pPr>
          </w:p>
        </w:tc>
        <w:tc>
          <w:tcPr>
            <w:tcW w:w="1417" w:type="dxa"/>
            <w:vAlign w:val="center"/>
          </w:tcPr>
          <w:p w14:paraId="6A8FE6A4">
            <w:pPr>
              <w:kinsoku/>
              <w:wordWrap w:val="0"/>
              <w:topLinePunct w:val="0"/>
              <w:bidi w:val="0"/>
              <w:snapToGrid w:val="0"/>
              <w:spacing w:line="360" w:lineRule="auto"/>
              <w:jc w:val="center"/>
              <w:rPr>
                <w:rFonts w:ascii="仿宋_GB2312" w:hAnsi="仿宋" w:eastAsia="仿宋_GB2312" w:cs="仿宋_GB2312"/>
                <w:sz w:val="24"/>
                <w:highlight w:val="none"/>
              </w:rPr>
            </w:pPr>
          </w:p>
        </w:tc>
        <w:tc>
          <w:tcPr>
            <w:tcW w:w="1843" w:type="dxa"/>
            <w:vAlign w:val="center"/>
          </w:tcPr>
          <w:p w14:paraId="3DAF974A">
            <w:pPr>
              <w:kinsoku/>
              <w:wordWrap w:val="0"/>
              <w:topLinePunct w:val="0"/>
              <w:bidi w:val="0"/>
              <w:snapToGrid w:val="0"/>
              <w:spacing w:line="360" w:lineRule="auto"/>
              <w:jc w:val="center"/>
              <w:rPr>
                <w:rFonts w:ascii="仿宋_GB2312" w:hAnsi="仿宋" w:eastAsia="仿宋_GB2312" w:cs="仿宋_GB2312"/>
                <w:sz w:val="24"/>
                <w:highlight w:val="none"/>
              </w:rPr>
            </w:pPr>
          </w:p>
        </w:tc>
        <w:tc>
          <w:tcPr>
            <w:tcW w:w="3118" w:type="dxa"/>
            <w:vAlign w:val="center"/>
          </w:tcPr>
          <w:p w14:paraId="49F831B7">
            <w:pPr>
              <w:kinsoku/>
              <w:wordWrap w:val="0"/>
              <w:topLinePunct w:val="0"/>
              <w:bidi w:val="0"/>
              <w:snapToGrid w:val="0"/>
              <w:spacing w:line="360" w:lineRule="auto"/>
              <w:jc w:val="center"/>
              <w:rPr>
                <w:rFonts w:ascii="仿宋_GB2312" w:hAnsi="仿宋" w:eastAsia="仿宋_GB2312" w:cs="仿宋_GB2312"/>
                <w:sz w:val="24"/>
                <w:highlight w:val="none"/>
              </w:rPr>
            </w:pPr>
          </w:p>
        </w:tc>
        <w:tc>
          <w:tcPr>
            <w:tcW w:w="993" w:type="dxa"/>
            <w:vAlign w:val="center"/>
          </w:tcPr>
          <w:p w14:paraId="40DD065C">
            <w:pPr>
              <w:kinsoku/>
              <w:wordWrap w:val="0"/>
              <w:topLinePunct w:val="0"/>
              <w:bidi w:val="0"/>
              <w:snapToGrid w:val="0"/>
              <w:spacing w:line="360" w:lineRule="auto"/>
              <w:jc w:val="center"/>
              <w:rPr>
                <w:rFonts w:ascii="仿宋_GB2312" w:hAnsi="仿宋" w:eastAsia="仿宋_GB2312" w:cs="仿宋_GB2312"/>
                <w:sz w:val="24"/>
                <w:highlight w:val="none"/>
              </w:rPr>
            </w:pPr>
          </w:p>
        </w:tc>
        <w:tc>
          <w:tcPr>
            <w:tcW w:w="1559" w:type="dxa"/>
            <w:vAlign w:val="center"/>
          </w:tcPr>
          <w:p w14:paraId="4B696689">
            <w:pPr>
              <w:kinsoku/>
              <w:wordWrap w:val="0"/>
              <w:topLinePunct w:val="0"/>
              <w:bidi w:val="0"/>
              <w:spacing w:line="360" w:lineRule="auto"/>
              <w:jc w:val="center"/>
              <w:rPr>
                <w:rFonts w:ascii="仿宋_GB2312" w:hAnsi="仿宋" w:eastAsia="仿宋_GB2312" w:cs="仿宋_GB2312"/>
                <w:sz w:val="24"/>
                <w:highlight w:val="none"/>
              </w:rPr>
            </w:pPr>
          </w:p>
        </w:tc>
        <w:tc>
          <w:tcPr>
            <w:tcW w:w="1984" w:type="dxa"/>
            <w:vAlign w:val="center"/>
          </w:tcPr>
          <w:p w14:paraId="5F06EA9B">
            <w:pPr>
              <w:kinsoku/>
              <w:wordWrap w:val="0"/>
              <w:topLinePunct w:val="0"/>
              <w:bidi w:val="0"/>
              <w:spacing w:line="360" w:lineRule="auto"/>
              <w:jc w:val="center"/>
              <w:rPr>
                <w:rFonts w:ascii="仿宋_GB2312" w:hAnsi="仿宋" w:eastAsia="仿宋_GB2312" w:cs="仿宋_GB2312"/>
                <w:sz w:val="24"/>
                <w:highlight w:val="none"/>
              </w:rPr>
            </w:pPr>
          </w:p>
        </w:tc>
        <w:tc>
          <w:tcPr>
            <w:tcW w:w="3119" w:type="dxa"/>
            <w:vAlign w:val="center"/>
          </w:tcPr>
          <w:p w14:paraId="2E0A3C4E">
            <w:pPr>
              <w:kinsoku/>
              <w:wordWrap w:val="0"/>
              <w:topLinePunct w:val="0"/>
              <w:bidi w:val="0"/>
              <w:spacing w:line="360" w:lineRule="auto"/>
              <w:jc w:val="center"/>
              <w:rPr>
                <w:rFonts w:ascii="仿宋_GB2312" w:hAnsi="仿宋" w:eastAsia="仿宋_GB2312" w:cs="仿宋_GB2312"/>
                <w:sz w:val="24"/>
                <w:highlight w:val="none"/>
              </w:rPr>
            </w:pPr>
          </w:p>
        </w:tc>
      </w:tr>
      <w:tr w14:paraId="1A2E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99D2307">
            <w:pPr>
              <w:kinsoku/>
              <w:wordWrap w:val="0"/>
              <w:topLinePunct w:val="0"/>
              <w:bidi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投标报价（小写）</w:t>
            </w:r>
          </w:p>
        </w:tc>
        <w:tc>
          <w:tcPr>
            <w:tcW w:w="7655" w:type="dxa"/>
            <w:gridSpan w:val="4"/>
            <w:vAlign w:val="center"/>
          </w:tcPr>
          <w:p w14:paraId="06849843">
            <w:pPr>
              <w:kinsoku/>
              <w:wordWrap w:val="0"/>
              <w:topLinePunct w:val="0"/>
              <w:bidi w:val="0"/>
              <w:spacing w:line="360" w:lineRule="auto"/>
              <w:jc w:val="center"/>
              <w:rPr>
                <w:rFonts w:ascii="仿宋_GB2312" w:hAnsi="仿宋" w:eastAsia="仿宋_GB2312" w:cs="仿宋_GB2312"/>
                <w:sz w:val="24"/>
                <w:highlight w:val="none"/>
              </w:rPr>
            </w:pPr>
          </w:p>
        </w:tc>
      </w:tr>
      <w:tr w14:paraId="4641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B90B624">
            <w:pPr>
              <w:kinsoku/>
              <w:wordWrap w:val="0"/>
              <w:topLinePunct w:val="0"/>
              <w:bidi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投标报价（大写）</w:t>
            </w:r>
          </w:p>
        </w:tc>
        <w:tc>
          <w:tcPr>
            <w:tcW w:w="7655" w:type="dxa"/>
            <w:gridSpan w:val="4"/>
            <w:vAlign w:val="center"/>
          </w:tcPr>
          <w:p w14:paraId="7CB48124">
            <w:pPr>
              <w:kinsoku/>
              <w:wordWrap w:val="0"/>
              <w:topLinePunct w:val="0"/>
              <w:bidi w:val="0"/>
              <w:spacing w:line="360" w:lineRule="auto"/>
              <w:jc w:val="center"/>
              <w:rPr>
                <w:rFonts w:ascii="仿宋_GB2312" w:hAnsi="仿宋" w:eastAsia="仿宋_GB2312" w:cs="仿宋_GB2312"/>
                <w:sz w:val="24"/>
                <w:highlight w:val="none"/>
              </w:rPr>
            </w:pPr>
          </w:p>
        </w:tc>
      </w:tr>
    </w:tbl>
    <w:p w14:paraId="66CDE706">
      <w:pPr>
        <w:kinsoku/>
        <w:wordWrap w:val="0"/>
        <w:topLinePunct w:val="0"/>
        <w:bidi w:val="0"/>
        <w:snapToGrid w:val="0"/>
        <w:spacing w:line="360" w:lineRule="auto"/>
        <w:ind w:left="480"/>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14:paraId="66782D1D">
      <w:pPr>
        <w:kinsoku/>
        <w:wordWrap w:val="0"/>
        <w:topLinePunct w:val="0"/>
        <w:bidi w:val="0"/>
        <w:spacing w:line="360" w:lineRule="auto"/>
        <w:ind w:left="-2" w:leftChars="-1"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14:paraId="1EC82121">
      <w:pPr>
        <w:kinsoku/>
        <w:wordWrap w:val="0"/>
        <w:topLinePunct w:val="0"/>
        <w:bidi w:val="0"/>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w:t>
      </w:r>
      <w:r>
        <w:rPr>
          <w:rFonts w:hint="eastAsia" w:ascii="仿宋_GB2312" w:hAnsi="仿宋" w:eastAsia="仿宋_GB2312" w:cs="仿宋_GB2312"/>
          <w:kern w:val="0"/>
          <w:sz w:val="24"/>
          <w:highlight w:val="yellow"/>
          <w:lang w:val="zh-CN"/>
        </w:rPr>
        <w:t>投标报价为</w:t>
      </w:r>
      <w:r>
        <w:rPr>
          <w:rFonts w:hint="eastAsia" w:ascii="仿宋_GB2312" w:hAnsi="仿宋" w:eastAsia="仿宋_GB2312" w:cs="仿宋_GB2312"/>
          <w:kern w:val="0"/>
          <w:sz w:val="24"/>
          <w:highlight w:val="yellow"/>
          <w:lang w:val="en-US" w:eastAsia="zh-CN"/>
        </w:rPr>
        <w:t>2年度的总价。</w:t>
      </w:r>
      <w:r>
        <w:rPr>
          <w:rFonts w:ascii="仿宋_GB2312" w:hAnsi="仿宋" w:eastAsia="仿宋_GB2312" w:cs="仿宋_GB2312"/>
          <w:kern w:val="0"/>
          <w:sz w:val="24"/>
          <w:highlight w:val="none"/>
          <w:lang w:val="zh-CN"/>
        </w:rPr>
        <w:t>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14:paraId="00F3D006">
      <w:pPr>
        <w:kinsoku/>
        <w:wordWrap w:val="0"/>
        <w:topLinePunct w:val="0"/>
        <w:bidi w:val="0"/>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3、以上表格要求细分项目及报价，在“规格型号（或具体服务）”一栏中，货物类项目填写规格型号，服务类项目填写具体服务。</w:t>
      </w:r>
    </w:p>
    <w:p w14:paraId="1370ACA7">
      <w:pPr>
        <w:kinsoku/>
        <w:wordWrap w:val="0"/>
        <w:topLinePunct w:val="0"/>
        <w:bidi w:val="0"/>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14:paraId="39A28B91">
      <w:pPr>
        <w:kinsoku/>
        <w:wordWrap w:val="0"/>
        <w:topLinePunct w:val="0"/>
        <w:bidi w:val="0"/>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14:paraId="3F587ECB">
      <w:pPr>
        <w:kinsoku/>
        <w:wordWrap w:val="0"/>
        <w:topLinePunct w:val="0"/>
        <w:bidi w:val="0"/>
        <w:spacing w:line="360" w:lineRule="auto"/>
        <w:ind w:firstLine="482" w:firstLineChars="200"/>
        <w:rPr>
          <w:rFonts w:ascii="仿宋_GB2312" w:hAnsi="仿宋" w:eastAsia="仿宋_GB2312"/>
          <w:b/>
          <w:kern w:val="0"/>
          <w:sz w:val="24"/>
          <w:highlight w:val="none"/>
        </w:rPr>
      </w:pPr>
    </w:p>
    <w:p w14:paraId="3BD4328B">
      <w:pPr>
        <w:pStyle w:val="690"/>
        <w:keepNext w:val="0"/>
        <w:pageBreakBefore w:val="0"/>
        <w:tabs>
          <w:tab w:val="clear" w:pos="720"/>
        </w:tabs>
        <w:kinsoku/>
        <w:wordWrap w:val="0"/>
        <w:topLinePunct w:val="0"/>
        <w:bidi w:val="0"/>
        <w:snapToGrid w:val="0"/>
        <w:spacing w:before="120" w:after="120"/>
        <w:ind w:firstLine="643"/>
        <w:outlineLvl w:val="9"/>
        <w:rPr>
          <w:rFonts w:ascii="仿宋_GB2312" w:hAnsi="仿宋" w:eastAsia="仿宋_GB2312" w:cs="仿宋_GB2312"/>
          <w:kern w:val="2"/>
          <w:sz w:val="32"/>
          <w:szCs w:val="32"/>
          <w:highlight w:val="none"/>
        </w:rPr>
      </w:pPr>
    </w:p>
    <w:p w14:paraId="41801387">
      <w:pPr>
        <w:pStyle w:val="690"/>
        <w:keepNext w:val="0"/>
        <w:pageBreakBefore w:val="0"/>
        <w:tabs>
          <w:tab w:val="clear" w:pos="720"/>
        </w:tabs>
        <w:kinsoku/>
        <w:wordWrap w:val="0"/>
        <w:topLinePunct w:val="0"/>
        <w:bidi w:val="0"/>
        <w:snapToGrid w:val="0"/>
        <w:spacing w:before="120" w:after="120"/>
        <w:ind w:firstLine="643"/>
        <w:outlineLvl w:val="9"/>
        <w:rPr>
          <w:rFonts w:ascii="仿宋_GB2312" w:hAnsi="仿宋" w:eastAsia="仿宋_GB2312" w:cs="仿宋_GB2312"/>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433F2EC4">
      <w:pPr>
        <w:pStyle w:val="690"/>
        <w:keepNext w:val="0"/>
        <w:pageBreakBefore w:val="0"/>
        <w:tabs>
          <w:tab w:val="clear" w:pos="720"/>
        </w:tabs>
        <w:kinsoku/>
        <w:wordWrap w:val="0"/>
        <w:topLinePunct w:val="0"/>
        <w:bidi w:val="0"/>
        <w:snapToGrid w:val="0"/>
        <w:spacing w:before="120" w:after="120"/>
        <w:ind w:firstLine="643"/>
        <w:outlineLvl w:val="9"/>
        <w:rPr>
          <w:rFonts w:ascii="仿宋_GB2312" w:hAnsi="宋体" w:eastAsia="仿宋_GB2312"/>
          <w:sz w:val="32"/>
          <w:szCs w:val="32"/>
          <w:highlight w:val="none"/>
        </w:rPr>
      </w:pPr>
      <w:r>
        <w:rPr>
          <w:rFonts w:hint="eastAsia" w:ascii="仿宋_GB2312" w:hAnsi="仿宋" w:eastAsia="仿宋_GB2312" w:cs="仿宋_GB2312"/>
          <w:kern w:val="2"/>
          <w:sz w:val="32"/>
          <w:szCs w:val="32"/>
          <w:highlight w:val="none"/>
        </w:rPr>
        <w:t>二、</w:t>
      </w:r>
      <w:r>
        <w:rPr>
          <w:rFonts w:hint="eastAsia" w:ascii="仿宋_GB2312" w:hAnsi="宋体" w:eastAsia="仿宋_GB2312"/>
          <w:sz w:val="32"/>
          <w:szCs w:val="32"/>
          <w:highlight w:val="none"/>
        </w:rPr>
        <w:t>中小企业声明函</w:t>
      </w:r>
    </w:p>
    <w:p w14:paraId="2C9DD378">
      <w:pPr>
        <w:widowControl/>
        <w:kinsoku/>
        <w:wordWrap w:val="0"/>
        <w:topLinePunct w:val="0"/>
        <w:bidi w:val="0"/>
        <w:spacing w:line="360" w:lineRule="auto"/>
        <w:ind w:firstLine="120" w:firstLineChars="5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highlight w:val="none"/>
        </w:rPr>
        <w:t>5）。</w:t>
      </w:r>
      <w:r>
        <w:rPr>
          <w:rFonts w:hint="eastAsia" w:ascii="仿宋_GB2312" w:hAnsi="仿宋" w:eastAsia="仿宋_GB2312" w:cs="仿宋_GB2312"/>
          <w:b/>
          <w:sz w:val="24"/>
          <w:highlight w:val="none"/>
        </w:rPr>
        <w:t>]</w:t>
      </w:r>
    </w:p>
    <w:p w14:paraId="170E76AB">
      <w:pPr>
        <w:pStyle w:val="690"/>
        <w:keepNext w:val="0"/>
        <w:pageBreakBefore w:val="0"/>
        <w:tabs>
          <w:tab w:val="clear" w:pos="720"/>
        </w:tabs>
        <w:kinsoku/>
        <w:wordWrap w:val="0"/>
        <w:topLinePunct w:val="0"/>
        <w:bidi w:val="0"/>
        <w:snapToGrid w:val="0"/>
        <w:spacing w:before="120" w:after="120"/>
        <w:ind w:firstLine="643"/>
        <w:outlineLvl w:val="9"/>
        <w:rPr>
          <w:rFonts w:ascii="仿宋_GB2312" w:hAnsi="宋体" w:eastAsia="仿宋_GB2312"/>
          <w:b w:val="0"/>
          <w:sz w:val="32"/>
          <w:szCs w:val="32"/>
          <w:highlight w:val="none"/>
        </w:rPr>
      </w:pPr>
    </w:p>
    <w:p w14:paraId="043DC772">
      <w:pPr>
        <w:kinsoku/>
        <w:wordWrap w:val="0"/>
        <w:topLinePunct w:val="0"/>
        <w:bidi w:val="0"/>
        <w:spacing w:line="360" w:lineRule="auto"/>
        <w:ind w:right="420" w:firstLine="3614" w:firstLineChars="1000"/>
        <w:rPr>
          <w:rFonts w:ascii="仿宋_GB2312" w:hAnsi="仿宋" w:eastAsia="仿宋_GB2312" w:cs="仿宋_GB2312"/>
          <w:b/>
          <w:kern w:val="0"/>
          <w:sz w:val="36"/>
          <w:szCs w:val="36"/>
          <w:highlight w:val="none"/>
        </w:rPr>
      </w:pPr>
    </w:p>
    <w:p w14:paraId="4E8E35CF">
      <w:pPr>
        <w:kinsoku/>
        <w:wordWrap w:val="0"/>
        <w:topLinePunct w:val="0"/>
        <w:bidi w:val="0"/>
        <w:spacing w:line="360" w:lineRule="auto"/>
        <w:ind w:right="420" w:firstLine="3614" w:firstLineChars="1000"/>
        <w:rPr>
          <w:rFonts w:ascii="仿宋_GB2312" w:hAnsi="仿宋" w:eastAsia="仿宋_GB2312" w:cs="仿宋_GB2312"/>
          <w:b/>
          <w:kern w:val="0"/>
          <w:sz w:val="36"/>
          <w:szCs w:val="36"/>
          <w:highlight w:val="none"/>
        </w:rPr>
      </w:pPr>
    </w:p>
    <w:p w14:paraId="1D30C853">
      <w:pPr>
        <w:kinsoku/>
        <w:wordWrap w:val="0"/>
        <w:topLinePunct w:val="0"/>
        <w:bidi w:val="0"/>
        <w:spacing w:line="360" w:lineRule="auto"/>
        <w:ind w:right="420" w:firstLine="3614" w:firstLineChars="1000"/>
        <w:rPr>
          <w:rFonts w:ascii="仿宋_GB2312" w:hAnsi="仿宋" w:eastAsia="仿宋_GB2312" w:cs="仿宋_GB2312"/>
          <w:b/>
          <w:kern w:val="0"/>
          <w:sz w:val="36"/>
          <w:szCs w:val="36"/>
          <w:highlight w:val="none"/>
        </w:rPr>
      </w:pPr>
    </w:p>
    <w:p w14:paraId="52327338">
      <w:pPr>
        <w:kinsoku/>
        <w:wordWrap w:val="0"/>
        <w:topLinePunct w:val="0"/>
        <w:bidi w:val="0"/>
        <w:spacing w:line="360" w:lineRule="auto"/>
        <w:ind w:right="420" w:firstLine="3614" w:firstLineChars="1000"/>
        <w:rPr>
          <w:rFonts w:ascii="仿宋_GB2312" w:hAnsi="仿宋" w:eastAsia="仿宋_GB2312" w:cs="仿宋_GB2312"/>
          <w:b/>
          <w:kern w:val="0"/>
          <w:sz w:val="36"/>
          <w:szCs w:val="36"/>
          <w:highlight w:val="none"/>
        </w:rPr>
      </w:pPr>
    </w:p>
    <w:p w14:paraId="0FEBEB24">
      <w:pPr>
        <w:kinsoku/>
        <w:wordWrap w:val="0"/>
        <w:topLinePunct w:val="0"/>
        <w:bidi w:val="0"/>
        <w:spacing w:line="360" w:lineRule="auto"/>
        <w:ind w:right="420" w:firstLine="3614" w:firstLineChars="1000"/>
        <w:rPr>
          <w:rFonts w:ascii="仿宋_GB2312" w:hAnsi="仿宋" w:eastAsia="仿宋_GB2312" w:cs="仿宋_GB2312"/>
          <w:b/>
          <w:kern w:val="0"/>
          <w:sz w:val="36"/>
          <w:szCs w:val="36"/>
          <w:highlight w:val="none"/>
        </w:rPr>
      </w:pPr>
    </w:p>
    <w:p w14:paraId="638872E5">
      <w:pPr>
        <w:kinsoku/>
        <w:wordWrap w:val="0"/>
        <w:topLinePunct w:val="0"/>
        <w:bidi w:val="0"/>
        <w:spacing w:line="360" w:lineRule="auto"/>
        <w:ind w:right="420" w:firstLine="3614" w:firstLineChars="1000"/>
        <w:rPr>
          <w:rFonts w:ascii="仿宋_GB2312" w:hAnsi="仿宋" w:eastAsia="仿宋_GB2312" w:cs="仿宋_GB2312"/>
          <w:b/>
          <w:kern w:val="0"/>
          <w:sz w:val="36"/>
          <w:szCs w:val="36"/>
          <w:highlight w:val="none"/>
        </w:rPr>
      </w:pPr>
    </w:p>
    <w:p w14:paraId="52FFF737">
      <w:pPr>
        <w:kinsoku/>
        <w:wordWrap w:val="0"/>
        <w:topLinePunct w:val="0"/>
        <w:bidi w:val="0"/>
        <w:spacing w:line="360" w:lineRule="auto"/>
        <w:ind w:right="420" w:firstLine="3614" w:firstLineChars="1000"/>
        <w:rPr>
          <w:rFonts w:ascii="仿宋_GB2312" w:hAnsi="仿宋" w:eastAsia="仿宋_GB2312" w:cs="仿宋_GB2312"/>
          <w:b/>
          <w:kern w:val="0"/>
          <w:sz w:val="36"/>
          <w:szCs w:val="36"/>
          <w:highlight w:val="none"/>
        </w:rPr>
      </w:pPr>
    </w:p>
    <w:p w14:paraId="02262449">
      <w:pPr>
        <w:kinsoku/>
        <w:wordWrap w:val="0"/>
        <w:topLinePunct w:val="0"/>
        <w:bidi w:val="0"/>
        <w:spacing w:line="360" w:lineRule="auto"/>
        <w:ind w:right="420" w:firstLine="3614" w:firstLineChars="1000"/>
        <w:rPr>
          <w:rFonts w:ascii="仿宋_GB2312" w:hAnsi="仿宋" w:eastAsia="仿宋_GB2312" w:cs="仿宋_GB2312"/>
          <w:b/>
          <w:kern w:val="0"/>
          <w:sz w:val="36"/>
          <w:szCs w:val="36"/>
          <w:highlight w:val="none"/>
        </w:rPr>
      </w:pPr>
    </w:p>
    <w:p w14:paraId="078A6B11">
      <w:pPr>
        <w:kinsoku/>
        <w:wordWrap w:val="0"/>
        <w:topLinePunct w:val="0"/>
        <w:bidi w:val="0"/>
        <w:spacing w:line="360" w:lineRule="auto"/>
        <w:ind w:right="420" w:firstLine="3614" w:firstLineChars="1000"/>
        <w:rPr>
          <w:rFonts w:ascii="仿宋_GB2312" w:hAnsi="仿宋" w:eastAsia="仿宋_GB2312" w:cs="仿宋_GB2312"/>
          <w:b/>
          <w:kern w:val="0"/>
          <w:sz w:val="36"/>
          <w:szCs w:val="36"/>
          <w:highlight w:val="none"/>
        </w:rPr>
      </w:pPr>
    </w:p>
    <w:p w14:paraId="1581E16C">
      <w:pPr>
        <w:kinsoku/>
        <w:wordWrap w:val="0"/>
        <w:topLinePunct w:val="0"/>
        <w:bidi w:val="0"/>
        <w:spacing w:line="360" w:lineRule="auto"/>
        <w:ind w:right="420" w:firstLine="3614" w:firstLineChars="1000"/>
        <w:rPr>
          <w:rFonts w:ascii="仿宋_GB2312" w:hAnsi="仿宋" w:eastAsia="仿宋_GB2312" w:cs="仿宋_GB2312"/>
          <w:b/>
          <w:kern w:val="0"/>
          <w:sz w:val="36"/>
          <w:szCs w:val="36"/>
          <w:highlight w:val="none"/>
        </w:rPr>
      </w:pPr>
    </w:p>
    <w:p w14:paraId="14BBD2EA">
      <w:pPr>
        <w:kinsoku/>
        <w:wordWrap w:val="0"/>
        <w:topLinePunct w:val="0"/>
        <w:bidi w:val="0"/>
        <w:spacing w:line="360" w:lineRule="auto"/>
        <w:ind w:right="420" w:firstLine="3614" w:firstLineChars="1000"/>
        <w:rPr>
          <w:rFonts w:ascii="仿宋_GB2312" w:hAnsi="仿宋" w:eastAsia="仿宋_GB2312" w:cs="仿宋_GB2312"/>
          <w:b/>
          <w:kern w:val="0"/>
          <w:sz w:val="36"/>
          <w:szCs w:val="36"/>
          <w:highlight w:val="none"/>
        </w:rPr>
      </w:pPr>
    </w:p>
    <w:p w14:paraId="03526C60">
      <w:pPr>
        <w:kinsoku/>
        <w:wordWrap w:val="0"/>
        <w:topLinePunct w:val="0"/>
        <w:bidi w:val="0"/>
        <w:spacing w:line="360" w:lineRule="auto"/>
        <w:ind w:right="420" w:firstLine="3614" w:firstLineChars="1000"/>
        <w:rPr>
          <w:rFonts w:ascii="仿宋_GB2312" w:hAnsi="仿宋" w:eastAsia="仿宋_GB2312" w:cs="仿宋_GB2312"/>
          <w:b/>
          <w:kern w:val="0"/>
          <w:sz w:val="36"/>
          <w:szCs w:val="36"/>
          <w:highlight w:val="none"/>
        </w:rPr>
      </w:pPr>
    </w:p>
    <w:p w14:paraId="4EF2C10A">
      <w:pPr>
        <w:kinsoku/>
        <w:wordWrap w:val="0"/>
        <w:topLinePunct w:val="0"/>
        <w:bidi w:val="0"/>
        <w:spacing w:line="360" w:lineRule="auto"/>
        <w:ind w:right="420" w:firstLine="3614" w:firstLineChars="1000"/>
        <w:rPr>
          <w:rFonts w:ascii="仿宋_GB2312" w:hAnsi="仿宋" w:eastAsia="仿宋_GB2312" w:cs="仿宋_GB2312"/>
          <w:b/>
          <w:kern w:val="0"/>
          <w:sz w:val="36"/>
          <w:szCs w:val="36"/>
          <w:highlight w:val="none"/>
        </w:rPr>
      </w:pPr>
    </w:p>
    <w:p w14:paraId="7E306604">
      <w:pPr>
        <w:kinsoku/>
        <w:wordWrap w:val="0"/>
        <w:topLinePunct w:val="0"/>
        <w:bidi w:val="0"/>
        <w:spacing w:line="360" w:lineRule="auto"/>
        <w:ind w:right="420" w:firstLine="3614" w:firstLineChars="1000"/>
        <w:rPr>
          <w:rFonts w:ascii="仿宋_GB2312" w:hAnsi="仿宋" w:eastAsia="仿宋_GB2312" w:cs="仿宋_GB2312"/>
          <w:b/>
          <w:kern w:val="0"/>
          <w:sz w:val="36"/>
          <w:szCs w:val="36"/>
          <w:highlight w:val="none"/>
        </w:rPr>
      </w:pPr>
    </w:p>
    <w:p w14:paraId="7609BACB">
      <w:pPr>
        <w:kinsoku/>
        <w:wordWrap w:val="0"/>
        <w:topLinePunct w:val="0"/>
        <w:bidi w:val="0"/>
        <w:spacing w:line="360" w:lineRule="auto"/>
        <w:ind w:right="420" w:firstLine="3614" w:firstLineChars="1000"/>
        <w:rPr>
          <w:rFonts w:ascii="仿宋_GB2312" w:hAnsi="仿宋" w:eastAsia="仿宋_GB2312" w:cs="仿宋_GB2312"/>
          <w:b/>
          <w:kern w:val="0"/>
          <w:sz w:val="36"/>
          <w:szCs w:val="36"/>
          <w:highlight w:val="none"/>
        </w:rPr>
      </w:pPr>
    </w:p>
    <w:p w14:paraId="31E150E9">
      <w:pPr>
        <w:kinsoku/>
        <w:wordWrap w:val="0"/>
        <w:topLinePunct w:val="0"/>
        <w:bidi w:val="0"/>
        <w:spacing w:line="360" w:lineRule="auto"/>
        <w:ind w:right="420" w:firstLine="3614" w:firstLineChars="1000"/>
        <w:rPr>
          <w:rFonts w:ascii="仿宋_GB2312" w:hAnsi="仿宋" w:eastAsia="仿宋_GB2312" w:cs="仿宋_GB2312"/>
          <w:b/>
          <w:kern w:val="0"/>
          <w:sz w:val="36"/>
          <w:szCs w:val="36"/>
          <w:highlight w:val="none"/>
        </w:rPr>
      </w:pPr>
    </w:p>
    <w:p w14:paraId="6170EC27">
      <w:pPr>
        <w:pStyle w:val="3"/>
        <w:keepNext w:val="0"/>
        <w:keepLines w:val="0"/>
        <w:pageBreakBefore/>
        <w:widowControl/>
        <w:kinsoku/>
        <w:wordWrap w:val="0"/>
        <w:topLinePunct w:val="0"/>
        <w:bidi w:val="0"/>
        <w:spacing w:before="100" w:beforeAutospacing="1" w:after="100" w:afterAutospacing="1" w:line="360" w:lineRule="auto"/>
        <w:ind w:left="1290" w:firstLine="3092" w:firstLineChars="700"/>
        <w:rPr>
          <w:rFonts w:ascii="仿宋_GB2312" w:hAnsi="仿宋" w:eastAsia="仿宋_GB2312"/>
          <w:highlight w:val="none"/>
        </w:rPr>
      </w:pPr>
      <w:bookmarkStart w:id="463" w:name="_Toc465665161"/>
      <w:r>
        <w:rPr>
          <w:rFonts w:hint="eastAsia" w:ascii="仿宋_GB2312" w:hAnsi="仿宋" w:eastAsia="仿宋_GB2312"/>
          <w:highlight w:val="none"/>
        </w:rPr>
        <w:t>附件</w:t>
      </w:r>
      <w:bookmarkEnd w:id="463"/>
    </w:p>
    <w:p w14:paraId="3242FF0F">
      <w:pPr>
        <w:kinsoku/>
        <w:wordWrap w:val="0"/>
        <w:topLinePunct w:val="0"/>
        <w:bidi w:val="0"/>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14:paraId="7E77C7B5">
      <w:pPr>
        <w:kinsoku/>
        <w:wordWrap w:val="0"/>
        <w:topLinePunct w:val="0"/>
        <w:bidi w:val="0"/>
        <w:spacing w:line="360" w:lineRule="auto"/>
        <w:jc w:val="center"/>
        <w:rPr>
          <w:rFonts w:ascii="仿宋_GB2312" w:hAnsi="仿宋" w:eastAsia="仿宋_GB2312"/>
          <w:b/>
          <w:spacing w:val="6"/>
          <w:sz w:val="32"/>
          <w:szCs w:val="32"/>
          <w:highlight w:val="none"/>
        </w:rPr>
      </w:pPr>
      <w:bookmarkStart w:id="464" w:name="OLE_LINK13"/>
      <w:bookmarkStart w:id="465" w:name="OLE_LINK14"/>
      <w:r>
        <w:rPr>
          <w:rFonts w:hint="eastAsia" w:ascii="仿宋_GB2312" w:hAnsi="仿宋" w:eastAsia="仿宋_GB2312"/>
          <w:b/>
          <w:spacing w:val="6"/>
          <w:sz w:val="32"/>
          <w:szCs w:val="32"/>
          <w:highlight w:val="none"/>
        </w:rPr>
        <w:t>残疾人福利性单位声明函</w:t>
      </w:r>
    </w:p>
    <w:bookmarkEnd w:id="464"/>
    <w:bookmarkEnd w:id="465"/>
    <w:p w14:paraId="66B47BC1">
      <w:pPr>
        <w:kinsoku/>
        <w:wordWrap w:val="0"/>
        <w:topLinePunct w:val="0"/>
        <w:bidi w:val="0"/>
        <w:spacing w:line="360" w:lineRule="auto"/>
        <w:rPr>
          <w:rFonts w:ascii="仿宋_GB2312" w:hAnsi="仿宋" w:eastAsia="仿宋_GB2312"/>
          <w:b/>
          <w:spacing w:val="6"/>
          <w:sz w:val="30"/>
          <w:szCs w:val="30"/>
          <w:highlight w:val="none"/>
        </w:rPr>
      </w:pPr>
    </w:p>
    <w:p w14:paraId="37EAAE96">
      <w:pPr>
        <w:kinsoku/>
        <w:wordWrap w:val="0"/>
        <w:topLinePunct w:val="0"/>
        <w:bidi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173639">
      <w:pPr>
        <w:kinsoku/>
        <w:wordWrap w:val="0"/>
        <w:topLinePunct w:val="0"/>
        <w:bidi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14:paraId="23D7283F">
      <w:pPr>
        <w:kinsoku/>
        <w:wordWrap w:val="0"/>
        <w:topLinePunct w:val="0"/>
        <w:bidi w:val="0"/>
        <w:spacing w:line="360" w:lineRule="auto"/>
        <w:ind w:firstLine="480" w:firstLineChars="200"/>
        <w:rPr>
          <w:rFonts w:ascii="仿宋_GB2312" w:hAnsi="仿宋" w:eastAsia="仿宋_GB2312" w:cs="仿宋_GB2312"/>
          <w:sz w:val="24"/>
          <w:highlight w:val="none"/>
        </w:rPr>
      </w:pPr>
    </w:p>
    <w:p w14:paraId="5BBFAD73">
      <w:pPr>
        <w:kinsoku/>
        <w:wordWrap w:val="0"/>
        <w:topLinePunct w:val="0"/>
        <w:bidi w:val="0"/>
        <w:spacing w:line="360" w:lineRule="auto"/>
        <w:ind w:firstLine="480" w:firstLineChars="200"/>
        <w:rPr>
          <w:rFonts w:ascii="仿宋_GB2312" w:hAnsi="仿宋" w:eastAsia="仿宋_GB2312" w:cs="仿宋_GB2312"/>
          <w:sz w:val="24"/>
          <w:highlight w:val="none"/>
        </w:rPr>
      </w:pPr>
    </w:p>
    <w:p w14:paraId="5628EDF4">
      <w:pPr>
        <w:tabs>
          <w:tab w:val="left" w:pos="4860"/>
        </w:tabs>
        <w:kinsoku/>
        <w:wordWrap w:val="0"/>
        <w:topLinePunct w:val="0"/>
        <w:bidi w:val="0"/>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14:paraId="2D95D3FA">
      <w:pPr>
        <w:tabs>
          <w:tab w:val="left" w:pos="4860"/>
        </w:tabs>
        <w:kinsoku/>
        <w:wordWrap w:val="0"/>
        <w:topLinePunct w:val="0"/>
        <w:bidi w:val="0"/>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14:paraId="1C696402">
      <w:pPr>
        <w:kinsoku/>
        <w:wordWrap w:val="0"/>
        <w:topLinePunct w:val="0"/>
        <w:bidi w:val="0"/>
        <w:spacing w:line="360" w:lineRule="auto"/>
        <w:ind w:firstLine="480" w:firstLineChars="200"/>
        <w:rPr>
          <w:rFonts w:ascii="仿宋_GB2312" w:hAnsi="仿宋" w:eastAsia="仿宋_GB2312" w:cs="仿宋_GB2312"/>
          <w:sz w:val="24"/>
          <w:highlight w:val="none"/>
        </w:rPr>
      </w:pPr>
    </w:p>
    <w:p w14:paraId="10A49332">
      <w:pPr>
        <w:kinsoku/>
        <w:wordWrap w:val="0"/>
        <w:topLinePunct w:val="0"/>
        <w:bidi w:val="0"/>
        <w:spacing w:line="360" w:lineRule="auto"/>
        <w:ind w:firstLine="420" w:firstLineChars="200"/>
        <w:rPr>
          <w:rFonts w:ascii="仿宋_GB2312" w:hAnsi="仿宋" w:eastAsia="仿宋_GB2312"/>
          <w:highlight w:val="none"/>
        </w:rPr>
      </w:pPr>
    </w:p>
    <w:p w14:paraId="19E6A7F8">
      <w:pPr>
        <w:kinsoku/>
        <w:wordWrap w:val="0"/>
        <w:topLinePunct w:val="0"/>
        <w:bidi w:val="0"/>
        <w:spacing w:line="360" w:lineRule="auto"/>
        <w:ind w:firstLine="420" w:firstLineChars="200"/>
        <w:rPr>
          <w:rFonts w:ascii="仿宋_GB2312" w:hAnsi="仿宋" w:eastAsia="仿宋_GB2312"/>
          <w:highlight w:val="none"/>
        </w:rPr>
      </w:pPr>
    </w:p>
    <w:p w14:paraId="6C89EF72">
      <w:pPr>
        <w:kinsoku/>
        <w:wordWrap w:val="0"/>
        <w:topLinePunct w:val="0"/>
        <w:bidi w:val="0"/>
        <w:spacing w:line="360" w:lineRule="auto"/>
        <w:ind w:firstLine="420" w:firstLineChars="200"/>
        <w:rPr>
          <w:rFonts w:ascii="仿宋_GB2312" w:hAnsi="仿宋" w:eastAsia="仿宋_GB2312"/>
          <w:highlight w:val="none"/>
        </w:rPr>
      </w:pPr>
    </w:p>
    <w:p w14:paraId="1D29C20F">
      <w:pPr>
        <w:kinsoku/>
        <w:wordWrap w:val="0"/>
        <w:topLinePunct w:val="0"/>
        <w:bidi w:val="0"/>
        <w:spacing w:line="360" w:lineRule="auto"/>
        <w:ind w:firstLine="420" w:firstLineChars="200"/>
        <w:rPr>
          <w:rFonts w:ascii="仿宋_GB2312" w:hAnsi="仿宋" w:eastAsia="仿宋_GB2312"/>
          <w:highlight w:val="none"/>
        </w:rPr>
      </w:pPr>
    </w:p>
    <w:p w14:paraId="565BB5D3">
      <w:pPr>
        <w:kinsoku/>
        <w:wordWrap w:val="0"/>
        <w:topLinePunct w:val="0"/>
        <w:bidi w:val="0"/>
        <w:spacing w:line="360" w:lineRule="auto"/>
        <w:rPr>
          <w:rFonts w:ascii="仿宋_GB2312" w:hAnsi="仿宋" w:eastAsia="仿宋_GB2312" w:cs="仿宋_GB2312"/>
          <w:b/>
          <w:sz w:val="24"/>
          <w:highlight w:val="none"/>
        </w:rPr>
      </w:pPr>
    </w:p>
    <w:p w14:paraId="59ADCD89">
      <w:pPr>
        <w:kinsoku/>
        <w:wordWrap w:val="0"/>
        <w:topLinePunct w:val="0"/>
        <w:bidi w:val="0"/>
        <w:spacing w:line="360" w:lineRule="auto"/>
        <w:rPr>
          <w:rFonts w:ascii="仿宋_GB2312" w:hAnsi="仿宋" w:eastAsia="仿宋_GB2312" w:cs="仿宋_GB2312"/>
          <w:b/>
          <w:sz w:val="24"/>
          <w:highlight w:val="none"/>
        </w:rPr>
      </w:pPr>
    </w:p>
    <w:p w14:paraId="284E525F">
      <w:pPr>
        <w:kinsoku/>
        <w:wordWrap w:val="0"/>
        <w:topLinePunct w:val="0"/>
        <w:bidi w:val="0"/>
        <w:spacing w:line="360" w:lineRule="auto"/>
        <w:rPr>
          <w:rFonts w:ascii="仿宋_GB2312" w:hAnsi="仿宋" w:eastAsia="仿宋_GB2312" w:cs="仿宋_GB2312"/>
          <w:b/>
          <w:sz w:val="24"/>
          <w:highlight w:val="none"/>
        </w:rPr>
      </w:pPr>
    </w:p>
    <w:p w14:paraId="2738C5BD">
      <w:pPr>
        <w:kinsoku/>
        <w:wordWrap w:val="0"/>
        <w:topLinePunct w:val="0"/>
        <w:bidi w:val="0"/>
        <w:spacing w:line="360" w:lineRule="auto"/>
        <w:rPr>
          <w:rFonts w:ascii="仿宋_GB2312" w:hAnsi="仿宋" w:eastAsia="仿宋_GB2312" w:cs="仿宋_GB2312"/>
          <w:b/>
          <w:sz w:val="24"/>
          <w:highlight w:val="none"/>
        </w:rPr>
      </w:pPr>
    </w:p>
    <w:p w14:paraId="37DE02CF">
      <w:pPr>
        <w:kinsoku/>
        <w:wordWrap w:val="0"/>
        <w:topLinePunct w:val="0"/>
        <w:bidi w:val="0"/>
        <w:spacing w:line="360" w:lineRule="auto"/>
        <w:rPr>
          <w:rFonts w:ascii="仿宋_GB2312" w:hAnsi="仿宋" w:eastAsia="仿宋_GB2312" w:cs="仿宋_GB2312"/>
          <w:b/>
          <w:sz w:val="24"/>
          <w:highlight w:val="none"/>
        </w:rPr>
      </w:pPr>
    </w:p>
    <w:p w14:paraId="44FA6B9F">
      <w:pPr>
        <w:kinsoku/>
        <w:wordWrap w:val="0"/>
        <w:topLinePunct w:val="0"/>
        <w:bidi w:val="0"/>
        <w:spacing w:line="360" w:lineRule="auto"/>
        <w:rPr>
          <w:rFonts w:ascii="仿宋_GB2312" w:hAnsi="仿宋" w:eastAsia="仿宋_GB2312" w:cs="仿宋_GB2312"/>
          <w:b/>
          <w:sz w:val="24"/>
          <w:highlight w:val="none"/>
        </w:rPr>
      </w:pPr>
    </w:p>
    <w:p w14:paraId="3B6A5455">
      <w:pPr>
        <w:kinsoku/>
        <w:wordWrap w:val="0"/>
        <w:topLinePunct w:val="0"/>
        <w:bidi w:val="0"/>
        <w:spacing w:line="360" w:lineRule="auto"/>
        <w:rPr>
          <w:rFonts w:ascii="仿宋_GB2312" w:hAnsi="仿宋" w:eastAsia="仿宋_GB2312" w:cs="仿宋_GB2312"/>
          <w:b/>
          <w:sz w:val="24"/>
          <w:highlight w:val="none"/>
        </w:rPr>
      </w:pPr>
    </w:p>
    <w:p w14:paraId="734CFF00">
      <w:pPr>
        <w:kinsoku/>
        <w:wordWrap w:val="0"/>
        <w:topLinePunct w:val="0"/>
        <w:bidi w:val="0"/>
        <w:spacing w:line="360" w:lineRule="auto"/>
        <w:rPr>
          <w:rFonts w:ascii="仿宋_GB2312" w:hAnsi="仿宋" w:eastAsia="仿宋_GB2312" w:cs="仿宋_GB2312"/>
          <w:b/>
          <w:sz w:val="24"/>
          <w:highlight w:val="none"/>
        </w:rPr>
      </w:pPr>
    </w:p>
    <w:p w14:paraId="683FB1E9">
      <w:pPr>
        <w:kinsoku/>
        <w:wordWrap w:val="0"/>
        <w:topLinePunct w:val="0"/>
        <w:bidi w:val="0"/>
        <w:spacing w:line="360" w:lineRule="auto"/>
        <w:rPr>
          <w:rFonts w:ascii="仿宋_GB2312" w:hAnsi="仿宋" w:eastAsia="仿宋_GB2312" w:cs="仿宋_GB2312"/>
          <w:b/>
          <w:sz w:val="24"/>
          <w:highlight w:val="none"/>
        </w:rPr>
      </w:pPr>
    </w:p>
    <w:p w14:paraId="105B4EA8">
      <w:pPr>
        <w:rPr>
          <w:rFonts w:hint="eastAsia"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br w:type="page"/>
      </w:r>
    </w:p>
    <w:p w14:paraId="025EF3F6">
      <w:pPr>
        <w:kinsoku/>
        <w:wordWrap w:val="0"/>
        <w:topLinePunct w:val="0"/>
        <w:bidi w:val="0"/>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14:paraId="33607DC3">
      <w:pPr>
        <w:kinsoku/>
        <w:wordWrap w:val="0"/>
        <w:topLinePunct w:val="0"/>
        <w:bidi w:val="0"/>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14:paraId="2E8665B7">
      <w:pPr>
        <w:kinsoku/>
        <w:wordWrap w:val="0"/>
        <w:topLinePunct w:val="0"/>
        <w:bidi w:val="0"/>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14:paraId="55CAC5F3">
      <w:pPr>
        <w:kinsoku/>
        <w:wordWrap w:val="0"/>
        <w:topLinePunct w:val="0"/>
        <w:bidi w:val="0"/>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r>
        <w:rPr>
          <w:rFonts w:ascii="仿宋_GB2312" w:hAnsi="仿宋" w:eastAsia="仿宋_GB2312" w:cs="仿宋"/>
          <w:sz w:val="24"/>
          <w:highlight w:val="none"/>
          <w:u w:val="dotted"/>
        </w:rPr>
        <w:t xml:space="preserve">                                        </w:t>
      </w:r>
    </w:p>
    <w:p w14:paraId="45820782">
      <w:pPr>
        <w:kinsoku/>
        <w:wordWrap w:val="0"/>
        <w:topLinePunct w:val="0"/>
        <w:bidi w:val="0"/>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14:paraId="0E89809E">
      <w:pPr>
        <w:kinsoku/>
        <w:wordWrap w:val="0"/>
        <w:topLinePunct w:val="0"/>
        <w:bidi w:val="0"/>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p>
    <w:p w14:paraId="6557A1ED">
      <w:pPr>
        <w:kinsoku/>
        <w:wordWrap w:val="0"/>
        <w:topLinePunct w:val="0"/>
        <w:bidi w:val="0"/>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r>
        <w:rPr>
          <w:rFonts w:ascii="仿宋_GB2312" w:hAnsi="仿宋" w:eastAsia="仿宋_GB2312" w:cs="仿宋"/>
          <w:sz w:val="24"/>
          <w:highlight w:val="none"/>
          <w:u w:val="dotted"/>
        </w:rPr>
        <w:t xml:space="preserve">                                          </w:t>
      </w:r>
    </w:p>
    <w:p w14:paraId="31ECC0C3">
      <w:pPr>
        <w:kinsoku/>
        <w:wordWrap w:val="0"/>
        <w:topLinePunct w:val="0"/>
        <w:bidi w:val="0"/>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r>
        <w:rPr>
          <w:rFonts w:ascii="仿宋_GB2312" w:hAnsi="仿宋" w:eastAsia="仿宋_GB2312" w:cs="仿宋"/>
          <w:sz w:val="24"/>
          <w:highlight w:val="none"/>
        </w:rPr>
        <w:t xml:space="preserve"> </w:t>
      </w:r>
    </w:p>
    <w:p w14:paraId="6F2404E0">
      <w:pPr>
        <w:kinsoku/>
        <w:wordWrap w:val="0"/>
        <w:topLinePunct w:val="0"/>
        <w:bidi w:val="0"/>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rPr>
        <w:t xml:space="preserve"> </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14:paraId="227F7851">
      <w:pPr>
        <w:kinsoku/>
        <w:wordWrap w:val="0"/>
        <w:topLinePunct w:val="0"/>
        <w:bidi w:val="0"/>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14:paraId="648DE9FA">
      <w:pPr>
        <w:kinsoku/>
        <w:wordWrap w:val="0"/>
        <w:topLinePunct w:val="0"/>
        <w:bidi w:val="0"/>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r>
        <w:rPr>
          <w:rFonts w:ascii="仿宋_GB2312" w:hAnsi="仿宋" w:eastAsia="仿宋_GB2312" w:cs="仿宋"/>
          <w:sz w:val="24"/>
          <w:highlight w:val="none"/>
          <w:u w:val="dotted"/>
        </w:rPr>
        <w:t xml:space="preserve">                                      </w:t>
      </w:r>
    </w:p>
    <w:p w14:paraId="34A54ECC">
      <w:pPr>
        <w:kinsoku/>
        <w:wordWrap w:val="0"/>
        <w:topLinePunct w:val="0"/>
        <w:bidi w:val="0"/>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包号：</w:t>
      </w:r>
      <w:r>
        <w:rPr>
          <w:rFonts w:ascii="仿宋_GB2312" w:hAnsi="仿宋" w:eastAsia="仿宋_GB2312" w:cs="仿宋"/>
          <w:sz w:val="24"/>
          <w:highlight w:val="none"/>
          <w:u w:val="dotted"/>
        </w:rPr>
        <w:t xml:space="preserve">                 </w:t>
      </w:r>
    </w:p>
    <w:p w14:paraId="280B1B05">
      <w:pPr>
        <w:kinsoku/>
        <w:wordWrap w:val="0"/>
        <w:topLinePunct w:val="0"/>
        <w:bidi w:val="0"/>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r>
        <w:rPr>
          <w:rFonts w:ascii="仿宋_GB2312" w:hAnsi="仿宋" w:eastAsia="仿宋_GB2312" w:cs="仿宋"/>
          <w:sz w:val="24"/>
          <w:highlight w:val="none"/>
          <w:u w:val="dotted"/>
        </w:rPr>
        <w:t xml:space="preserve">                                         </w:t>
      </w:r>
    </w:p>
    <w:p w14:paraId="6DDCE56C">
      <w:pPr>
        <w:kinsoku/>
        <w:wordWrap w:val="0"/>
        <w:topLinePunct w:val="0"/>
        <w:bidi w:val="0"/>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r>
        <w:rPr>
          <w:rFonts w:ascii="仿宋_GB2312" w:hAnsi="仿宋" w:eastAsia="仿宋_GB2312" w:cs="仿宋"/>
          <w:sz w:val="24"/>
          <w:highlight w:val="none"/>
          <w:u w:val="dotted"/>
        </w:rPr>
        <w:t xml:space="preserve">                                           </w:t>
      </w:r>
    </w:p>
    <w:p w14:paraId="33F8A476">
      <w:pPr>
        <w:kinsoku/>
        <w:wordWrap w:val="0"/>
        <w:topLinePunct w:val="0"/>
        <w:bidi w:val="0"/>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14:paraId="6D49722B">
      <w:pPr>
        <w:kinsoku/>
        <w:wordWrap w:val="0"/>
        <w:topLinePunct w:val="0"/>
        <w:bidi w:val="0"/>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r>
        <w:rPr>
          <w:rFonts w:ascii="仿宋_GB2312" w:hAnsi="仿宋" w:eastAsia="仿宋_GB2312" w:cs="仿宋"/>
          <w:sz w:val="24"/>
          <w:highlight w:val="none"/>
          <w:u w:val="dotted"/>
        </w:rPr>
        <w:t xml:space="preserve">                                         </w:t>
      </w:r>
    </w:p>
    <w:p w14:paraId="4ED0B5C5">
      <w:pPr>
        <w:kinsoku/>
        <w:wordWrap w:val="0"/>
        <w:topLinePunct w:val="0"/>
        <w:bidi w:val="0"/>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r>
        <w:rPr>
          <w:rFonts w:ascii="仿宋_GB2312" w:hAnsi="仿宋" w:eastAsia="仿宋_GB2312" w:cs="仿宋"/>
          <w:sz w:val="24"/>
          <w:highlight w:val="none"/>
          <w:u w:val="dotted"/>
        </w:rPr>
        <w:t xml:space="preserve">                                          </w:t>
      </w:r>
    </w:p>
    <w:p w14:paraId="06CDCCC1">
      <w:pPr>
        <w:kinsoku/>
        <w:wordWrap w:val="0"/>
        <w:topLinePunct w:val="0"/>
        <w:bidi w:val="0"/>
        <w:snapToGrid w:val="0"/>
        <w:spacing w:line="360" w:lineRule="auto"/>
        <w:rPr>
          <w:rFonts w:ascii="仿宋_GB2312" w:hAnsi="仿宋" w:eastAsia="仿宋_GB2312" w:cs="仿宋"/>
          <w:sz w:val="24"/>
          <w:highlight w:val="none"/>
        </w:rPr>
      </w:pPr>
      <w:r>
        <w:rPr>
          <w:rFonts w:ascii="仿宋_GB2312" w:hAnsi="仿宋" w:eastAsia="仿宋_GB2312" w:cs="仿宋"/>
          <w:sz w:val="24"/>
          <w:highlight w:val="none"/>
          <w:u w:val="dotted"/>
        </w:rPr>
        <w:t xml:space="preserve">                                                       </w:t>
      </w:r>
    </w:p>
    <w:p w14:paraId="58E244DC">
      <w:pPr>
        <w:kinsoku/>
        <w:wordWrap w:val="0"/>
        <w:topLinePunct w:val="0"/>
        <w:bidi w:val="0"/>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r>
        <w:rPr>
          <w:rFonts w:ascii="仿宋_GB2312" w:hAnsi="仿宋" w:eastAsia="仿宋_GB2312" w:cs="仿宋"/>
          <w:sz w:val="24"/>
          <w:highlight w:val="none"/>
          <w:u w:val="dotted"/>
        </w:rPr>
        <w:t xml:space="preserve">                                          </w:t>
      </w:r>
    </w:p>
    <w:p w14:paraId="624DE4E8">
      <w:pPr>
        <w:kinsoku/>
        <w:wordWrap w:val="0"/>
        <w:topLinePunct w:val="0"/>
        <w:bidi w:val="0"/>
        <w:snapToGrid w:val="0"/>
        <w:spacing w:line="360" w:lineRule="auto"/>
        <w:rPr>
          <w:rFonts w:ascii="仿宋_GB2312" w:hAnsi="仿宋" w:eastAsia="仿宋_GB2312" w:cs="仿宋"/>
          <w:sz w:val="24"/>
          <w:highlight w:val="none"/>
          <w:u w:val="dotted"/>
        </w:rPr>
      </w:pPr>
      <w:r>
        <w:rPr>
          <w:rFonts w:ascii="仿宋_GB2312" w:hAnsi="仿宋" w:eastAsia="仿宋_GB2312" w:cs="仿宋"/>
          <w:sz w:val="24"/>
          <w:highlight w:val="none"/>
          <w:u w:val="dotted"/>
        </w:rPr>
        <w:t xml:space="preserve">                                                     </w:t>
      </w:r>
    </w:p>
    <w:p w14:paraId="183C6D23">
      <w:pPr>
        <w:kinsoku/>
        <w:wordWrap w:val="0"/>
        <w:topLinePunct w:val="0"/>
        <w:bidi w:val="0"/>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14:paraId="4FE54955">
      <w:pPr>
        <w:kinsoku/>
        <w:wordWrap w:val="0"/>
        <w:topLinePunct w:val="0"/>
        <w:bidi w:val="0"/>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14:paraId="26160A87">
      <w:pPr>
        <w:kinsoku/>
        <w:wordWrap w:val="0"/>
        <w:topLinePunct w:val="0"/>
        <w:bidi w:val="0"/>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14:paraId="4AA273CB">
      <w:pPr>
        <w:kinsoku/>
        <w:wordWrap w:val="0"/>
        <w:topLinePunct w:val="0"/>
        <w:bidi w:val="0"/>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r>
        <w:rPr>
          <w:rFonts w:ascii="仿宋_GB2312" w:hAnsi="仿宋" w:eastAsia="仿宋_GB2312" w:cs="仿宋"/>
          <w:sz w:val="24"/>
          <w:highlight w:val="none"/>
          <w:u w:val="dotted"/>
        </w:rPr>
        <w:t xml:space="preserve">                                               </w:t>
      </w:r>
    </w:p>
    <w:p w14:paraId="54D34B9F">
      <w:pPr>
        <w:kinsoku/>
        <w:wordWrap w:val="0"/>
        <w:topLinePunct w:val="0"/>
        <w:bidi w:val="0"/>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14:paraId="24DBF04D">
      <w:pPr>
        <w:kinsoku/>
        <w:wordWrap w:val="0"/>
        <w:topLinePunct w:val="0"/>
        <w:bidi w:val="0"/>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14:paraId="264D0D10">
      <w:pPr>
        <w:kinsoku/>
        <w:wordWrap w:val="0"/>
        <w:topLinePunct w:val="0"/>
        <w:bidi w:val="0"/>
        <w:spacing w:line="360" w:lineRule="auto"/>
        <w:jc w:val="center"/>
        <w:rPr>
          <w:rFonts w:ascii="仿宋_GB2312" w:hAnsi="仿宋" w:eastAsia="仿宋_GB2312" w:cs="仿宋"/>
          <w:b/>
          <w:bCs/>
          <w:sz w:val="24"/>
          <w:highlight w:val="none"/>
        </w:rPr>
      </w:pPr>
    </w:p>
    <w:p w14:paraId="7BADAE02">
      <w:pPr>
        <w:kinsoku/>
        <w:wordWrap w:val="0"/>
        <w:topLinePunct w:val="0"/>
        <w:bidi w:val="0"/>
        <w:spacing w:line="360" w:lineRule="auto"/>
        <w:rPr>
          <w:rFonts w:ascii="仿宋_GB2312" w:hAnsi="仿宋" w:eastAsia="仿宋_GB2312"/>
          <w:b/>
          <w:sz w:val="24"/>
          <w:highlight w:val="none"/>
        </w:rPr>
      </w:pPr>
    </w:p>
    <w:p w14:paraId="3659794E">
      <w:pPr>
        <w:kinsoku/>
        <w:wordWrap w:val="0"/>
        <w:topLinePunct w:val="0"/>
        <w:bidi w:val="0"/>
        <w:spacing w:line="360" w:lineRule="auto"/>
        <w:rPr>
          <w:rFonts w:ascii="仿宋_GB2312" w:hAnsi="仿宋" w:eastAsia="仿宋_GB2312"/>
          <w:b/>
          <w:sz w:val="24"/>
          <w:highlight w:val="none"/>
        </w:rPr>
      </w:pPr>
    </w:p>
    <w:p w14:paraId="7DD06DA5">
      <w:pPr>
        <w:kinsoku/>
        <w:wordWrap w:val="0"/>
        <w:topLinePunct w:val="0"/>
        <w:bidi w:val="0"/>
        <w:spacing w:line="360" w:lineRule="auto"/>
        <w:rPr>
          <w:rFonts w:ascii="仿宋_GB2312" w:hAnsi="仿宋" w:eastAsia="仿宋_GB2312"/>
          <w:b/>
          <w:sz w:val="24"/>
          <w:highlight w:val="none"/>
        </w:rPr>
      </w:pPr>
    </w:p>
    <w:p w14:paraId="1513AA30">
      <w:pPr>
        <w:kinsoku/>
        <w:wordWrap w:val="0"/>
        <w:topLinePunct w:val="0"/>
        <w:bidi w:val="0"/>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14:paraId="0EF50C44">
      <w:pPr>
        <w:widowControl/>
        <w:kinsoku/>
        <w:wordWrap w:val="0"/>
        <w:topLinePunct w:val="0"/>
        <w:bidi w:val="0"/>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14:paraId="33CCA5F5">
      <w:pPr>
        <w:widowControl/>
        <w:kinsoku/>
        <w:wordWrap w:val="0"/>
        <w:topLinePunct w:val="0"/>
        <w:bidi w:val="0"/>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14:paraId="41BCD110">
      <w:pPr>
        <w:widowControl/>
        <w:kinsoku/>
        <w:wordWrap w:val="0"/>
        <w:topLinePunct w:val="0"/>
        <w:bidi w:val="0"/>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14:paraId="111EB11F">
      <w:pPr>
        <w:widowControl/>
        <w:kinsoku/>
        <w:wordWrap w:val="0"/>
        <w:topLinePunct w:val="0"/>
        <w:bidi w:val="0"/>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14:paraId="210AA1F7">
      <w:pPr>
        <w:widowControl/>
        <w:kinsoku/>
        <w:wordWrap w:val="0"/>
        <w:topLinePunct w:val="0"/>
        <w:bidi w:val="0"/>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14:paraId="39377A34">
      <w:pPr>
        <w:widowControl/>
        <w:kinsoku/>
        <w:wordWrap w:val="0"/>
        <w:topLinePunct w:val="0"/>
        <w:bidi w:val="0"/>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14:paraId="6C6BD0E6">
      <w:pPr>
        <w:widowControl/>
        <w:kinsoku/>
        <w:wordWrap w:val="0"/>
        <w:topLinePunct w:val="0"/>
        <w:bidi w:val="0"/>
        <w:spacing w:line="360" w:lineRule="auto"/>
        <w:ind w:firstLine="600" w:firstLineChars="200"/>
        <w:jc w:val="left"/>
        <w:rPr>
          <w:rFonts w:ascii="仿宋_GB2312" w:hAnsi="仿宋" w:eastAsia="仿宋_GB2312"/>
          <w:sz w:val="30"/>
          <w:szCs w:val="30"/>
          <w:highlight w:val="none"/>
        </w:rPr>
      </w:pPr>
    </w:p>
    <w:p w14:paraId="509B5EE5">
      <w:pPr>
        <w:kinsoku/>
        <w:wordWrap w:val="0"/>
        <w:topLinePunct w:val="0"/>
        <w:bidi w:val="0"/>
        <w:spacing w:line="360" w:lineRule="auto"/>
        <w:jc w:val="center"/>
        <w:rPr>
          <w:rFonts w:ascii="仿宋_GB2312" w:hAnsi="仿宋" w:eastAsia="仿宋_GB2312"/>
          <w:b/>
          <w:spacing w:val="6"/>
          <w:sz w:val="32"/>
          <w:szCs w:val="32"/>
          <w:highlight w:val="none"/>
        </w:rPr>
      </w:pPr>
    </w:p>
    <w:p w14:paraId="1C2A4E35">
      <w:pPr>
        <w:kinsoku/>
        <w:wordWrap w:val="0"/>
        <w:topLinePunct w:val="0"/>
        <w:bidi w:val="0"/>
        <w:spacing w:line="360" w:lineRule="auto"/>
        <w:jc w:val="center"/>
        <w:rPr>
          <w:rFonts w:ascii="仿宋_GB2312" w:hAnsi="仿宋" w:eastAsia="仿宋_GB2312"/>
          <w:b/>
          <w:spacing w:val="6"/>
          <w:sz w:val="32"/>
          <w:szCs w:val="32"/>
          <w:highlight w:val="none"/>
        </w:rPr>
      </w:pPr>
    </w:p>
    <w:p w14:paraId="410B477C">
      <w:pPr>
        <w:kinsoku/>
        <w:wordWrap w:val="0"/>
        <w:topLinePunct w:val="0"/>
        <w:bidi w:val="0"/>
        <w:spacing w:line="360" w:lineRule="auto"/>
        <w:jc w:val="center"/>
        <w:rPr>
          <w:rFonts w:ascii="仿宋_GB2312" w:hAnsi="仿宋" w:eastAsia="仿宋_GB2312"/>
          <w:b/>
          <w:spacing w:val="6"/>
          <w:sz w:val="32"/>
          <w:szCs w:val="32"/>
          <w:highlight w:val="none"/>
        </w:rPr>
      </w:pPr>
    </w:p>
    <w:p w14:paraId="76CC883B">
      <w:pPr>
        <w:kinsoku/>
        <w:wordWrap w:val="0"/>
        <w:topLinePunct w:val="0"/>
        <w:bidi w:val="0"/>
        <w:spacing w:line="360" w:lineRule="auto"/>
        <w:jc w:val="center"/>
        <w:rPr>
          <w:rFonts w:ascii="仿宋_GB2312" w:hAnsi="仿宋" w:eastAsia="仿宋_GB2312"/>
          <w:b/>
          <w:spacing w:val="6"/>
          <w:sz w:val="32"/>
          <w:szCs w:val="32"/>
          <w:highlight w:val="none"/>
        </w:rPr>
      </w:pPr>
    </w:p>
    <w:p w14:paraId="10FFD2B4">
      <w:pPr>
        <w:kinsoku/>
        <w:wordWrap w:val="0"/>
        <w:topLinePunct w:val="0"/>
        <w:bidi w:val="0"/>
        <w:spacing w:line="360" w:lineRule="auto"/>
        <w:jc w:val="center"/>
        <w:rPr>
          <w:rFonts w:ascii="仿宋_GB2312" w:hAnsi="仿宋" w:eastAsia="仿宋_GB2312"/>
          <w:b/>
          <w:spacing w:val="6"/>
          <w:sz w:val="32"/>
          <w:szCs w:val="32"/>
          <w:highlight w:val="none"/>
        </w:rPr>
      </w:pPr>
    </w:p>
    <w:p w14:paraId="2300BE1E">
      <w:pPr>
        <w:kinsoku/>
        <w:wordWrap w:val="0"/>
        <w:topLinePunct w:val="0"/>
        <w:bidi w:val="0"/>
        <w:spacing w:line="360" w:lineRule="auto"/>
        <w:jc w:val="center"/>
        <w:rPr>
          <w:rFonts w:ascii="仿宋_GB2312" w:hAnsi="仿宋" w:eastAsia="仿宋_GB2312"/>
          <w:b/>
          <w:spacing w:val="6"/>
          <w:sz w:val="32"/>
          <w:szCs w:val="32"/>
          <w:highlight w:val="none"/>
        </w:rPr>
      </w:pPr>
    </w:p>
    <w:p w14:paraId="0EB8BB79">
      <w:pPr>
        <w:kinsoku/>
        <w:wordWrap w:val="0"/>
        <w:topLinePunct w:val="0"/>
        <w:bidi w:val="0"/>
        <w:spacing w:line="360" w:lineRule="auto"/>
        <w:jc w:val="center"/>
        <w:rPr>
          <w:rFonts w:ascii="仿宋_GB2312" w:hAnsi="仿宋" w:eastAsia="仿宋_GB2312"/>
          <w:b/>
          <w:spacing w:val="6"/>
          <w:sz w:val="32"/>
          <w:szCs w:val="32"/>
          <w:highlight w:val="none"/>
        </w:rPr>
      </w:pPr>
    </w:p>
    <w:p w14:paraId="3BED4F4F">
      <w:pPr>
        <w:kinsoku/>
        <w:wordWrap w:val="0"/>
        <w:topLinePunct w:val="0"/>
        <w:bidi w:val="0"/>
        <w:spacing w:line="360" w:lineRule="auto"/>
        <w:jc w:val="center"/>
        <w:rPr>
          <w:rFonts w:ascii="仿宋_GB2312" w:hAnsi="仿宋" w:eastAsia="仿宋_GB2312"/>
          <w:b/>
          <w:spacing w:val="6"/>
          <w:sz w:val="32"/>
          <w:szCs w:val="32"/>
          <w:highlight w:val="none"/>
        </w:rPr>
      </w:pPr>
    </w:p>
    <w:p w14:paraId="4C837DBB">
      <w:pPr>
        <w:kinsoku/>
        <w:wordWrap w:val="0"/>
        <w:topLinePunct w:val="0"/>
        <w:bidi w:val="0"/>
        <w:spacing w:line="360" w:lineRule="auto"/>
        <w:jc w:val="left"/>
        <w:rPr>
          <w:rFonts w:ascii="仿宋_GB2312" w:hAnsi="仿宋" w:eastAsia="仿宋_GB2312"/>
          <w:b/>
          <w:spacing w:val="6"/>
          <w:sz w:val="32"/>
          <w:szCs w:val="32"/>
          <w:highlight w:val="none"/>
        </w:rPr>
      </w:pPr>
    </w:p>
    <w:p w14:paraId="6B69A44B">
      <w:pPr>
        <w:kinsoku/>
        <w:wordWrap w:val="0"/>
        <w:topLinePunct w:val="0"/>
        <w:bidi w:val="0"/>
        <w:spacing w:line="360" w:lineRule="auto"/>
        <w:jc w:val="left"/>
        <w:rPr>
          <w:rFonts w:ascii="仿宋_GB2312" w:hAnsi="仿宋" w:eastAsia="仿宋_GB2312"/>
          <w:b/>
          <w:spacing w:val="6"/>
          <w:sz w:val="32"/>
          <w:szCs w:val="32"/>
          <w:highlight w:val="none"/>
        </w:rPr>
      </w:pPr>
    </w:p>
    <w:p w14:paraId="03A2C0AC">
      <w:pPr>
        <w:rPr>
          <w:rFonts w:hint="eastAsia"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br w:type="page"/>
      </w:r>
    </w:p>
    <w:p w14:paraId="71933F17">
      <w:pPr>
        <w:kinsoku/>
        <w:wordWrap w:val="0"/>
        <w:topLinePunct w:val="0"/>
        <w:bidi w:val="0"/>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14:paraId="4AC6C79F">
      <w:pPr>
        <w:kinsoku/>
        <w:wordWrap w:val="0"/>
        <w:topLinePunct w:val="0"/>
        <w:bidi w:val="0"/>
        <w:spacing w:line="360" w:lineRule="auto"/>
        <w:jc w:val="center"/>
        <w:rPr>
          <w:rFonts w:ascii="仿宋_GB2312" w:hAnsi="仿宋" w:eastAsia="仿宋_GB2312"/>
          <w:b/>
          <w:sz w:val="24"/>
          <w:highlight w:val="none"/>
        </w:rPr>
      </w:pPr>
    </w:p>
    <w:p w14:paraId="4488B88D">
      <w:pPr>
        <w:kinsoku/>
        <w:wordWrap w:val="0"/>
        <w:topLinePunct w:val="0"/>
        <w:bidi w:val="0"/>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14:paraId="0917530C">
      <w:pPr>
        <w:kinsoku/>
        <w:wordWrap w:val="0"/>
        <w:topLinePunct w:val="0"/>
        <w:bidi w:val="0"/>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14:paraId="0A73C887">
      <w:pPr>
        <w:kinsoku/>
        <w:wordWrap w:val="0"/>
        <w:topLinePunct w:val="0"/>
        <w:bidi w:val="0"/>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r>
        <w:rPr>
          <w:rFonts w:ascii="仿宋_GB2312" w:hAnsi="仿宋" w:eastAsia="仿宋_GB2312"/>
          <w:sz w:val="24"/>
          <w:highlight w:val="none"/>
          <w:u w:val="dotted"/>
        </w:rPr>
        <w:t xml:space="preserve">                                               </w:t>
      </w:r>
    </w:p>
    <w:p w14:paraId="738EA8EE">
      <w:pPr>
        <w:kinsoku/>
        <w:wordWrap w:val="0"/>
        <w:topLinePunct w:val="0"/>
        <w:bidi w:val="0"/>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5B5A7DD1">
      <w:pPr>
        <w:tabs>
          <w:tab w:val="left" w:pos="6510"/>
        </w:tabs>
        <w:kinsoku/>
        <w:wordWrap w:val="0"/>
        <w:topLinePunct w:val="0"/>
        <w:bidi w:val="0"/>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0F2718E8">
      <w:pPr>
        <w:tabs>
          <w:tab w:val="left" w:pos="6510"/>
        </w:tabs>
        <w:kinsoku/>
        <w:wordWrap w:val="0"/>
        <w:topLinePunct w:val="0"/>
        <w:bidi w:val="0"/>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p>
    <w:p w14:paraId="1F0F61CD">
      <w:pPr>
        <w:kinsoku/>
        <w:wordWrap w:val="0"/>
        <w:topLinePunct w:val="0"/>
        <w:bidi w:val="0"/>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hint="eastAsia" w:ascii="仿宋_GB2312" w:hAnsi="仿宋" w:eastAsia="仿宋_GB2312"/>
          <w:sz w:val="24"/>
          <w:highlight w:val="none"/>
          <w:u w:val="dotted"/>
        </w:rPr>
        <w:t>：</w:t>
      </w:r>
      <w:r>
        <w:rPr>
          <w:rFonts w:ascii="仿宋_GB2312" w:hAnsi="仿宋" w:eastAsia="仿宋_GB2312"/>
          <w:sz w:val="24"/>
          <w:highlight w:val="none"/>
          <w:u w:val="dotted"/>
        </w:rPr>
        <w:t xml:space="preserve">                  </w:t>
      </w:r>
    </w:p>
    <w:p w14:paraId="7DAB3FE5">
      <w:pPr>
        <w:kinsoku/>
        <w:wordWrap w:val="0"/>
        <w:topLinePunct w:val="0"/>
        <w:bidi w:val="0"/>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u w:val="dotted"/>
        </w:rPr>
        <w:t xml:space="preserve">                   </w:t>
      </w:r>
    </w:p>
    <w:p w14:paraId="6F0DC424">
      <w:pPr>
        <w:kinsoku/>
        <w:wordWrap w:val="0"/>
        <w:topLinePunct w:val="0"/>
        <w:bidi w:val="0"/>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6715C455">
      <w:pPr>
        <w:kinsoku/>
        <w:wordWrap w:val="0"/>
        <w:topLinePunct w:val="0"/>
        <w:bidi w:val="0"/>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73FAEA7C">
      <w:pPr>
        <w:kinsoku/>
        <w:wordWrap w:val="0"/>
        <w:topLinePunct w:val="0"/>
        <w:bidi w:val="0"/>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167DCEA7">
      <w:pPr>
        <w:kinsoku/>
        <w:wordWrap w:val="0"/>
        <w:topLinePunct w:val="0"/>
        <w:bidi w:val="0"/>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14:paraId="3EE3A7AC">
      <w:pPr>
        <w:kinsoku/>
        <w:wordWrap w:val="0"/>
        <w:topLinePunct w:val="0"/>
        <w:bidi w:val="0"/>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14:paraId="1B8B39FA">
      <w:pPr>
        <w:kinsoku/>
        <w:wordWrap w:val="0"/>
        <w:topLinePunct w:val="0"/>
        <w:bidi w:val="0"/>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6C0631B3">
      <w:pPr>
        <w:kinsoku/>
        <w:wordWrap w:val="0"/>
        <w:topLinePunct w:val="0"/>
        <w:bidi w:val="0"/>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3CED61A7">
      <w:pPr>
        <w:kinsoku/>
        <w:wordWrap w:val="0"/>
        <w:topLinePunct w:val="0"/>
        <w:bidi w:val="0"/>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646F493D">
      <w:pPr>
        <w:kinsoku/>
        <w:wordWrap w:val="0"/>
        <w:topLinePunct w:val="0"/>
        <w:bidi w:val="0"/>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14:paraId="32DE8B52">
      <w:pPr>
        <w:kinsoku/>
        <w:wordWrap w:val="0"/>
        <w:topLinePunct w:val="0"/>
        <w:bidi w:val="0"/>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采购项目名称：</w:t>
      </w:r>
      <w:r>
        <w:rPr>
          <w:rFonts w:ascii="仿宋_GB2312" w:hAnsi="仿宋" w:eastAsia="仿宋_GB2312"/>
          <w:sz w:val="24"/>
          <w:highlight w:val="none"/>
          <w:u w:val="dotted"/>
        </w:rPr>
        <w:t xml:space="preserve">                                        </w:t>
      </w:r>
    </w:p>
    <w:p w14:paraId="00925B65">
      <w:pPr>
        <w:kinsoku/>
        <w:wordWrap w:val="0"/>
        <w:topLinePunct w:val="0"/>
        <w:bidi w:val="0"/>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w:t>
      </w:r>
      <w:r>
        <w:rPr>
          <w:rFonts w:ascii="仿宋_GB2312" w:hAnsi="仿宋" w:eastAsia="仿宋_GB2312"/>
          <w:sz w:val="24"/>
          <w:highlight w:val="none"/>
          <w:u w:val="dotted"/>
        </w:rPr>
        <w:t xml:space="preserve">                 </w:t>
      </w:r>
      <w:r>
        <w:rPr>
          <w:rFonts w:hint="eastAsia" w:ascii="仿宋_GB2312" w:hAnsi="仿宋" w:eastAsia="仿宋_GB2312"/>
          <w:sz w:val="24"/>
          <w:highlight w:val="none"/>
        </w:rPr>
        <w:t>包号：</w:t>
      </w:r>
      <w:r>
        <w:rPr>
          <w:rFonts w:ascii="仿宋_GB2312" w:hAnsi="仿宋" w:eastAsia="仿宋_GB2312"/>
          <w:sz w:val="24"/>
          <w:highlight w:val="none"/>
          <w:u w:val="dotted"/>
        </w:rPr>
        <w:t xml:space="preserve">              </w:t>
      </w:r>
    </w:p>
    <w:p w14:paraId="6CDFB673">
      <w:pPr>
        <w:kinsoku/>
        <w:wordWrap w:val="0"/>
        <w:topLinePunct w:val="0"/>
        <w:bidi w:val="0"/>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758ABEBC">
      <w:pPr>
        <w:kinsoku/>
        <w:wordWrap w:val="0"/>
        <w:topLinePunct w:val="0"/>
        <w:bidi w:val="0"/>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r>
        <w:rPr>
          <w:rFonts w:ascii="仿宋_GB2312" w:hAnsi="仿宋" w:eastAsia="仿宋_GB2312"/>
          <w:sz w:val="24"/>
          <w:highlight w:val="none"/>
          <w:u w:val="dotted"/>
        </w:rPr>
        <w:t xml:space="preserve">                                         </w:t>
      </w:r>
    </w:p>
    <w:p w14:paraId="59062F7C">
      <w:pPr>
        <w:kinsoku/>
        <w:wordWrap w:val="0"/>
        <w:topLinePunct w:val="0"/>
        <w:bidi w:val="0"/>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14:paraId="0A29FAA8">
      <w:pPr>
        <w:kinsoku/>
        <w:wordWrap w:val="0"/>
        <w:topLinePunct w:val="0"/>
        <w:bidi w:val="0"/>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14:paraId="367651E4">
      <w:pPr>
        <w:kinsoku/>
        <w:wordWrap w:val="0"/>
        <w:topLinePunct w:val="0"/>
        <w:bidi w:val="0"/>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14:paraId="5139614B">
      <w:pPr>
        <w:kinsoku/>
        <w:wordWrap w:val="0"/>
        <w:topLinePunct w:val="0"/>
        <w:bidi w:val="0"/>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,向</w:t>
      </w:r>
      <w:r>
        <w:rPr>
          <w:rFonts w:ascii="仿宋_GB2312" w:hAnsi="仿宋" w:eastAsia="仿宋_GB2312"/>
          <w:sz w:val="24"/>
          <w:highlight w:val="none"/>
          <w:u w:val="dotted"/>
        </w:rPr>
        <w:t xml:space="preserve">                   </w:t>
      </w:r>
      <w:r>
        <w:rPr>
          <w:rFonts w:hint="eastAsia" w:ascii="仿宋_GB2312" w:hAnsi="仿宋" w:eastAsia="仿宋_GB2312"/>
          <w:sz w:val="24"/>
          <w:highlight w:val="none"/>
        </w:rPr>
        <w:t>提出质疑，质疑事项为：</w:t>
      </w:r>
      <w:r>
        <w:rPr>
          <w:rFonts w:ascii="仿宋_GB2312" w:hAnsi="仿宋" w:eastAsia="仿宋_GB2312"/>
          <w:sz w:val="24"/>
          <w:highlight w:val="none"/>
          <w:u w:val="dotted"/>
        </w:rPr>
        <w:t xml:space="preserve">                                </w:t>
      </w:r>
    </w:p>
    <w:p w14:paraId="24434250">
      <w:pPr>
        <w:kinsoku/>
        <w:wordWrap w:val="0"/>
        <w:topLinePunct w:val="0"/>
        <w:bidi w:val="0"/>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7038B5E4">
      <w:pPr>
        <w:kinsoku/>
        <w:wordWrap w:val="0"/>
        <w:topLinePunct w:val="0"/>
        <w:bidi w:val="0"/>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14:paraId="028EACCE">
      <w:pPr>
        <w:kinsoku/>
        <w:wordWrap w:val="0"/>
        <w:topLinePunct w:val="0"/>
        <w:bidi w:val="0"/>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14:paraId="39E18662">
      <w:pPr>
        <w:kinsoku/>
        <w:wordWrap w:val="0"/>
        <w:topLinePunct w:val="0"/>
        <w:bidi w:val="0"/>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r>
        <w:rPr>
          <w:rFonts w:ascii="仿宋_GB2312" w:hAnsi="仿宋" w:eastAsia="仿宋_GB2312"/>
          <w:sz w:val="24"/>
          <w:highlight w:val="none"/>
          <w:u w:val="dotted"/>
        </w:rPr>
        <w:t xml:space="preserve">                                       </w:t>
      </w:r>
    </w:p>
    <w:p w14:paraId="74054246">
      <w:pPr>
        <w:kinsoku/>
        <w:wordWrap w:val="0"/>
        <w:topLinePunct w:val="0"/>
        <w:bidi w:val="0"/>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r>
        <w:rPr>
          <w:rFonts w:ascii="仿宋_GB2312" w:hAnsi="仿宋" w:eastAsia="仿宋_GB2312"/>
          <w:sz w:val="24"/>
          <w:highlight w:val="none"/>
          <w:u w:val="dotted"/>
        </w:rPr>
        <w:t xml:space="preserve">                                         </w:t>
      </w:r>
    </w:p>
    <w:p w14:paraId="4EF6FB68">
      <w:pPr>
        <w:kinsoku/>
        <w:wordWrap w:val="0"/>
        <w:topLinePunct w:val="0"/>
        <w:bidi w:val="0"/>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14:paraId="7BFC79EF">
      <w:pPr>
        <w:kinsoku/>
        <w:wordWrap w:val="0"/>
        <w:topLinePunct w:val="0"/>
        <w:bidi w:val="0"/>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r>
        <w:rPr>
          <w:rFonts w:ascii="仿宋_GB2312" w:hAnsi="仿宋" w:eastAsia="仿宋_GB2312"/>
          <w:sz w:val="24"/>
          <w:highlight w:val="none"/>
          <w:u w:val="dotted"/>
        </w:rPr>
        <w:t xml:space="preserve">                                          </w:t>
      </w:r>
    </w:p>
    <w:p w14:paraId="2DD4716B">
      <w:pPr>
        <w:kinsoku/>
        <w:wordWrap w:val="0"/>
        <w:topLinePunct w:val="0"/>
        <w:bidi w:val="0"/>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14:paraId="410BF0FB">
      <w:pPr>
        <w:kinsoku/>
        <w:wordWrap w:val="0"/>
        <w:topLinePunct w:val="0"/>
        <w:bidi w:val="0"/>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14:paraId="383B5F42">
      <w:pPr>
        <w:kinsoku/>
        <w:wordWrap w:val="0"/>
        <w:topLinePunct w:val="0"/>
        <w:bidi w:val="0"/>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14:paraId="16A4B241">
      <w:pPr>
        <w:kinsoku/>
        <w:wordWrap w:val="0"/>
        <w:topLinePunct w:val="0"/>
        <w:bidi w:val="0"/>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14:paraId="591F00AE">
      <w:pPr>
        <w:kinsoku/>
        <w:wordWrap w:val="0"/>
        <w:topLinePunct w:val="0"/>
        <w:bidi w:val="0"/>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4E90EA24">
      <w:pPr>
        <w:kinsoku/>
        <w:wordWrap w:val="0"/>
        <w:topLinePunct w:val="0"/>
        <w:bidi w:val="0"/>
        <w:spacing w:line="360" w:lineRule="auto"/>
        <w:rPr>
          <w:rFonts w:ascii="仿宋_GB2312" w:hAnsi="仿宋" w:eastAsia="仿宋_GB2312"/>
          <w:sz w:val="24"/>
          <w:highlight w:val="none"/>
          <w:u w:val="single"/>
        </w:rPr>
      </w:pPr>
      <w:r>
        <w:rPr>
          <w:rFonts w:ascii="仿宋_GB2312" w:hAnsi="仿宋" w:eastAsia="仿宋_GB2312"/>
          <w:sz w:val="24"/>
          <w:highlight w:val="none"/>
        </w:rPr>
        <w:t xml:space="preserve">                                                                                                    </w:t>
      </w:r>
    </w:p>
    <w:p w14:paraId="16608A6B">
      <w:pPr>
        <w:kinsoku/>
        <w:wordWrap w:val="0"/>
        <w:topLinePunct w:val="0"/>
        <w:bidi w:val="0"/>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14:paraId="39A5CC5E">
      <w:pPr>
        <w:kinsoku/>
        <w:wordWrap w:val="0"/>
        <w:topLinePunct w:val="0"/>
        <w:bidi w:val="0"/>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14:paraId="3AF4DD61">
      <w:pPr>
        <w:kinsoku/>
        <w:wordWrap w:val="0"/>
        <w:topLinePunct w:val="0"/>
        <w:bidi w:val="0"/>
        <w:spacing w:line="360" w:lineRule="auto"/>
        <w:rPr>
          <w:rFonts w:ascii="仿宋_GB2312" w:hAnsi="仿宋" w:eastAsia="仿宋_GB2312"/>
          <w:b/>
          <w:sz w:val="24"/>
          <w:highlight w:val="none"/>
        </w:rPr>
      </w:pPr>
    </w:p>
    <w:p w14:paraId="5E194E3D">
      <w:pPr>
        <w:kinsoku/>
        <w:wordWrap w:val="0"/>
        <w:topLinePunct w:val="0"/>
        <w:bidi w:val="0"/>
        <w:spacing w:line="360" w:lineRule="auto"/>
        <w:rPr>
          <w:rFonts w:ascii="仿宋_GB2312" w:hAnsi="仿宋" w:eastAsia="仿宋_GB2312"/>
          <w:b/>
          <w:sz w:val="24"/>
          <w:highlight w:val="none"/>
        </w:rPr>
      </w:pPr>
    </w:p>
    <w:p w14:paraId="47171538">
      <w:pPr>
        <w:kinsoku/>
        <w:wordWrap w:val="0"/>
        <w:topLinePunct w:val="0"/>
        <w:bidi w:val="0"/>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14:paraId="248F2004">
      <w:pPr>
        <w:widowControl/>
        <w:kinsoku/>
        <w:wordWrap w:val="0"/>
        <w:topLinePunct w:val="0"/>
        <w:bidi w:val="0"/>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14:paraId="271D0813">
      <w:pPr>
        <w:widowControl/>
        <w:kinsoku/>
        <w:wordWrap w:val="0"/>
        <w:topLinePunct w:val="0"/>
        <w:bidi w:val="0"/>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14:paraId="7261F292">
      <w:pPr>
        <w:widowControl/>
        <w:kinsoku/>
        <w:wordWrap w:val="0"/>
        <w:topLinePunct w:val="0"/>
        <w:bidi w:val="0"/>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14:paraId="289F4666">
      <w:pPr>
        <w:widowControl/>
        <w:kinsoku/>
        <w:wordWrap w:val="0"/>
        <w:topLinePunct w:val="0"/>
        <w:bidi w:val="0"/>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14:paraId="5803C230">
      <w:pPr>
        <w:widowControl/>
        <w:kinsoku/>
        <w:wordWrap w:val="0"/>
        <w:topLinePunct w:val="0"/>
        <w:bidi w:val="0"/>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14:paraId="1FF11847">
      <w:pPr>
        <w:widowControl/>
        <w:kinsoku/>
        <w:wordWrap w:val="0"/>
        <w:topLinePunct w:val="0"/>
        <w:bidi w:val="0"/>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14:paraId="1E6EBC56">
      <w:pPr>
        <w:widowControl/>
        <w:kinsoku/>
        <w:wordWrap w:val="0"/>
        <w:topLinePunct w:val="0"/>
        <w:bidi w:val="0"/>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14:paraId="76D22278">
      <w:pPr>
        <w:kinsoku/>
        <w:wordWrap w:val="0"/>
        <w:topLinePunct w:val="0"/>
        <w:autoSpaceDE w:val="0"/>
        <w:autoSpaceDN w:val="0"/>
        <w:bidi w:val="0"/>
        <w:jc w:val="center"/>
        <w:rPr>
          <w:rFonts w:ascii="仿宋" w:hAnsi="仿宋" w:eastAsia="仿宋"/>
          <w:b/>
          <w:spacing w:val="6"/>
          <w:sz w:val="32"/>
          <w:szCs w:val="32"/>
          <w:highlight w:val="none"/>
        </w:rPr>
      </w:pPr>
    </w:p>
    <w:p w14:paraId="72C7550D">
      <w:pPr>
        <w:rPr>
          <w:rFonts w:hint="eastAsia" w:ascii="仿宋" w:hAnsi="仿宋" w:eastAsia="仿宋"/>
          <w:b/>
          <w:spacing w:val="6"/>
          <w:sz w:val="32"/>
          <w:szCs w:val="32"/>
          <w:highlight w:val="none"/>
        </w:rPr>
      </w:pPr>
      <w:r>
        <w:rPr>
          <w:rFonts w:hint="eastAsia" w:ascii="仿宋" w:hAnsi="仿宋" w:eastAsia="仿宋"/>
          <w:b/>
          <w:spacing w:val="6"/>
          <w:sz w:val="32"/>
          <w:szCs w:val="32"/>
          <w:highlight w:val="none"/>
        </w:rPr>
        <w:br w:type="page"/>
      </w:r>
    </w:p>
    <w:p w14:paraId="4389A90D">
      <w:pPr>
        <w:kinsoku/>
        <w:wordWrap w:val="0"/>
        <w:topLinePunct w:val="0"/>
        <w:autoSpaceDE w:val="0"/>
        <w:autoSpaceDN w:val="0"/>
        <w:bidi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14:paraId="2F8467E8">
      <w:pPr>
        <w:kinsoku/>
        <w:wordWrap w:val="0"/>
        <w:topLinePunct w:val="0"/>
        <w:bidi w:val="0"/>
        <w:spacing w:line="360" w:lineRule="auto"/>
        <w:ind w:firstLine="480" w:firstLineChars="200"/>
        <w:rPr>
          <w:rFonts w:ascii="仿宋" w:hAnsi="仿宋" w:eastAsia="仿宋" w:cs="宋体"/>
          <w:sz w:val="24"/>
          <w:highlight w:val="none"/>
        </w:rPr>
      </w:pPr>
      <w:r>
        <w:rPr>
          <w:rFonts w:hint="eastAsia" w:ascii="仿宋" w:hAnsi="仿宋" w:eastAsia="仿宋" w:cs="仿宋_GB2312"/>
          <w:sz w:val="24"/>
          <w:highlight w:val="none"/>
          <w:u w:val="single"/>
          <w:lang w:eastAsia="zh-CN"/>
        </w:rPr>
        <w:t>永嘉县公路与运输管理中心</w:t>
      </w:r>
      <w:r>
        <w:rPr>
          <w:rFonts w:hint="eastAsia" w:ascii="仿宋" w:hAnsi="仿宋" w:eastAsia="仿宋" w:cs="仿宋_GB2312"/>
          <w:sz w:val="24"/>
          <w:highlight w:val="none"/>
          <w:u w:val="single"/>
        </w:rPr>
        <w:t>、</w:t>
      </w:r>
      <w:r>
        <w:rPr>
          <w:rFonts w:hint="eastAsia" w:ascii="仿宋" w:hAnsi="仿宋" w:eastAsia="仿宋" w:cs="仿宋_GB2312"/>
          <w:sz w:val="24"/>
          <w:highlight w:val="none"/>
          <w:u w:val="single"/>
          <w:lang w:eastAsia="zh-CN"/>
        </w:rPr>
        <w:t>温州广信工程管理有限公司</w:t>
      </w:r>
      <w:r>
        <w:rPr>
          <w:rFonts w:hint="eastAsia" w:ascii="仿宋" w:hAnsi="仿宋" w:eastAsia="仿宋" w:cs="仿宋_GB2312"/>
          <w:kern w:val="0"/>
          <w:sz w:val="24"/>
          <w:highlight w:val="none"/>
          <w:lang w:val="zh-CN"/>
        </w:rPr>
        <w:t>我方</w:t>
      </w:r>
      <w:r>
        <w:rPr>
          <w:rFonts w:ascii="仿宋" w:hAnsi="仿宋" w:eastAsia="仿宋" w:cs="仿宋_GB2312"/>
          <w:kern w:val="0"/>
          <w:sz w:val="24"/>
          <w:highlight w:val="none"/>
          <w:u w:val="single"/>
          <w:lang w:val="zh-CN"/>
        </w:rPr>
        <w:t xml:space="preserve">                         </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rPr>
        <w:t>（项目名称）项目</w:t>
      </w:r>
      <w:r>
        <w:rPr>
          <w:rFonts w:hint="eastAsia" w:ascii="仿宋" w:hAnsi="仿宋" w:eastAsia="仿宋" w:cs="仿宋_GB2312"/>
          <w:sz w:val="24"/>
          <w:highlight w:val="none"/>
        </w:rPr>
        <w:t>【招标编号：（采购编号）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r>
        <w:rPr>
          <w:rFonts w:ascii="仿宋" w:hAnsi="仿宋" w:eastAsia="仿宋" w:cs="宋体"/>
          <w:sz w:val="24"/>
          <w:highlight w:val="none"/>
        </w:rPr>
        <w:t xml:space="preserve">   </w:t>
      </w:r>
    </w:p>
    <w:p w14:paraId="27D1386B">
      <w:pPr>
        <w:kinsoku/>
        <w:wordWrap w:val="0"/>
        <w:topLinePunct w:val="0"/>
        <w:bidi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14:paraId="75F961C0">
      <w:pPr>
        <w:kinsoku/>
        <w:wordWrap w:val="0"/>
        <w:topLinePunct w:val="0"/>
        <w:bidi w:val="0"/>
        <w:spacing w:line="360" w:lineRule="auto"/>
        <w:ind w:firstLine="494"/>
        <w:rPr>
          <w:rFonts w:ascii="仿宋" w:hAnsi="仿宋" w:eastAsia="仿宋" w:cs="宋体"/>
          <w:sz w:val="24"/>
          <w:highlight w:val="none"/>
        </w:rPr>
      </w:pPr>
    </w:p>
    <w:p w14:paraId="2C953941">
      <w:pPr>
        <w:kinsoku/>
        <w:wordWrap w:val="0"/>
        <w:topLinePunct w:val="0"/>
        <w:bidi w:val="0"/>
        <w:spacing w:line="360" w:lineRule="auto"/>
        <w:ind w:firstLine="494"/>
        <w:rPr>
          <w:rFonts w:ascii="仿宋" w:hAnsi="仿宋" w:eastAsia="仿宋" w:cs="宋体"/>
          <w:sz w:val="24"/>
          <w:highlight w:val="none"/>
        </w:rPr>
      </w:pPr>
    </w:p>
    <w:p w14:paraId="1A0CCDAB">
      <w:pPr>
        <w:kinsoku/>
        <w:wordWrap w:val="0"/>
        <w:topLinePunct w:val="0"/>
        <w:bidi w:val="0"/>
        <w:spacing w:line="360" w:lineRule="auto"/>
        <w:ind w:firstLine="494"/>
        <w:rPr>
          <w:rFonts w:ascii="仿宋" w:hAnsi="仿宋" w:eastAsia="仿宋" w:cs="宋体"/>
          <w:sz w:val="24"/>
          <w:highlight w:val="none"/>
        </w:rPr>
      </w:pPr>
    </w:p>
    <w:p w14:paraId="35E44936">
      <w:pPr>
        <w:kinsoku/>
        <w:wordWrap w:val="0"/>
        <w:topLinePunct w:val="0"/>
        <w:bidi w:val="0"/>
        <w:spacing w:line="360" w:lineRule="auto"/>
        <w:ind w:firstLine="494"/>
        <w:rPr>
          <w:rFonts w:ascii="仿宋" w:hAnsi="仿宋" w:eastAsia="仿宋" w:cs="宋体"/>
          <w:sz w:val="24"/>
          <w:highlight w:val="none"/>
        </w:rPr>
      </w:pPr>
    </w:p>
    <w:p w14:paraId="1DF2AD9B">
      <w:pPr>
        <w:kinsoku/>
        <w:wordWrap w:val="0"/>
        <w:topLinePunct w:val="0"/>
        <w:bidi w:val="0"/>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14:paraId="28732067">
      <w:pPr>
        <w:kinsoku/>
        <w:wordWrap w:val="0"/>
        <w:topLinePunct w:val="0"/>
        <w:bidi w:val="0"/>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14:paraId="3C0F96BE">
      <w:pPr>
        <w:kinsoku/>
        <w:wordWrap w:val="0"/>
        <w:topLinePunct w:val="0"/>
        <w:bidi w:val="0"/>
        <w:rPr>
          <w:rFonts w:ascii="仿宋" w:hAnsi="仿宋" w:eastAsia="仿宋" w:cs="宋体"/>
          <w:sz w:val="24"/>
          <w:highlight w:val="none"/>
        </w:rPr>
      </w:pPr>
      <w:r>
        <w:rPr>
          <w:rFonts w:hint="eastAsia" w:ascii="仿宋" w:hAnsi="仿宋" w:eastAsia="仿宋" w:cs="宋体"/>
          <w:b/>
          <w:bCs/>
          <w:sz w:val="24"/>
          <w:highlight w:val="none"/>
        </w:rPr>
        <w:t>附：</w:t>
      </w:r>
    </w:p>
    <w:p w14:paraId="2B6C5F6D">
      <w:pPr>
        <w:kinsoku/>
        <w:wordWrap w:val="0"/>
        <w:topLinePunct w:val="0"/>
        <w:bidi w:val="0"/>
        <w:spacing w:line="360" w:lineRule="auto"/>
        <w:rPr>
          <w:rFonts w:ascii="仿宋" w:hAnsi="仿宋" w:eastAsia="仿宋"/>
          <w:bCs/>
          <w:sz w:val="24"/>
          <w:highlight w:val="none"/>
        </w:rPr>
      </w:pPr>
      <w:r>
        <w:rPr>
          <w:rFonts w:ascii="仿宋" w:hAnsi="仿宋" w:eastAsia="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924124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9241246">
                      <w:pPr>
                        <w:jc w:val="center"/>
                      </w:pPr>
                    </w:p>
                  </w:txbxContent>
                </v:textbox>
              </v:rect>
            </w:pict>
          </mc:Fallback>
        </mc:AlternateContent>
      </w:r>
      <w:r>
        <w:rPr>
          <w:rFonts w:ascii="仿宋" w:hAnsi="仿宋" w:eastAsia="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F2F043A">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F2F043A">
                      <w:pPr>
                        <w:jc w:val="center"/>
                      </w:pPr>
                    </w:p>
                  </w:txbxContent>
                </v:textbox>
              </v:rect>
            </w:pict>
          </mc:Fallback>
        </mc:AlternateContent>
      </w:r>
      <w:r>
        <w:rPr>
          <w:rFonts w:hint="eastAsia" w:ascii="仿宋" w:hAnsi="仿宋" w:eastAsia="仿宋" w:cs="宋体"/>
          <w:sz w:val="24"/>
          <w:highlight w:val="none"/>
        </w:rPr>
        <w:t>投标单位法定名称章（印模）</w:t>
      </w:r>
      <w:r>
        <w:rPr>
          <w:rFonts w:ascii="仿宋" w:hAnsi="仿宋" w:eastAsia="仿宋" w:cs="宋体"/>
          <w:sz w:val="24"/>
          <w:highlight w:val="none"/>
        </w:rPr>
        <w:t xml:space="preserve">                </w:t>
      </w:r>
      <w:r>
        <w:rPr>
          <w:rFonts w:hint="eastAsia" w:ascii="仿宋" w:hAnsi="仿宋" w:eastAsia="仿宋" w:cs="宋体"/>
          <w:sz w:val="24"/>
          <w:highlight w:val="none"/>
        </w:rPr>
        <w:t>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14:paraId="37A6472E">
      <w:pPr>
        <w:kinsoku/>
        <w:wordWrap w:val="0"/>
        <w:topLinePunct w:val="0"/>
        <w:autoSpaceDE w:val="0"/>
        <w:autoSpaceDN w:val="0"/>
        <w:bidi w:val="0"/>
        <w:jc w:val="center"/>
        <w:rPr>
          <w:rFonts w:ascii="仿宋" w:hAnsi="仿宋" w:eastAsia="仿宋"/>
          <w:b/>
          <w:spacing w:val="6"/>
          <w:sz w:val="32"/>
          <w:szCs w:val="32"/>
          <w:highlight w:val="none"/>
        </w:rPr>
      </w:pPr>
    </w:p>
    <w:p w14:paraId="441DB45E">
      <w:pPr>
        <w:kinsoku/>
        <w:wordWrap w:val="0"/>
        <w:topLinePunct w:val="0"/>
        <w:autoSpaceDE w:val="0"/>
        <w:autoSpaceDN w:val="0"/>
        <w:bidi w:val="0"/>
        <w:jc w:val="center"/>
        <w:rPr>
          <w:rFonts w:ascii="仿宋" w:hAnsi="仿宋" w:eastAsia="仿宋"/>
          <w:b/>
          <w:spacing w:val="6"/>
          <w:sz w:val="32"/>
          <w:szCs w:val="32"/>
          <w:highlight w:val="none"/>
        </w:rPr>
      </w:pPr>
    </w:p>
    <w:p w14:paraId="739CA639">
      <w:pPr>
        <w:kinsoku/>
        <w:wordWrap w:val="0"/>
        <w:topLinePunct w:val="0"/>
        <w:autoSpaceDE w:val="0"/>
        <w:autoSpaceDN w:val="0"/>
        <w:bidi w:val="0"/>
        <w:jc w:val="center"/>
        <w:rPr>
          <w:rFonts w:ascii="仿宋" w:hAnsi="仿宋" w:eastAsia="仿宋"/>
          <w:b/>
          <w:spacing w:val="6"/>
          <w:sz w:val="32"/>
          <w:szCs w:val="32"/>
          <w:highlight w:val="none"/>
        </w:rPr>
      </w:pPr>
    </w:p>
    <w:p w14:paraId="218BFD15">
      <w:pPr>
        <w:kinsoku/>
        <w:wordWrap w:val="0"/>
        <w:topLinePunct w:val="0"/>
        <w:autoSpaceDE w:val="0"/>
        <w:autoSpaceDN w:val="0"/>
        <w:bidi w:val="0"/>
        <w:jc w:val="center"/>
        <w:rPr>
          <w:rFonts w:ascii="仿宋" w:hAnsi="仿宋" w:eastAsia="仿宋"/>
          <w:b/>
          <w:spacing w:val="6"/>
          <w:sz w:val="32"/>
          <w:szCs w:val="32"/>
          <w:highlight w:val="none"/>
        </w:rPr>
      </w:pPr>
    </w:p>
    <w:p w14:paraId="62C5BC09">
      <w:pPr>
        <w:kinsoku/>
        <w:wordWrap w:val="0"/>
        <w:topLinePunct w:val="0"/>
        <w:autoSpaceDE w:val="0"/>
        <w:autoSpaceDN w:val="0"/>
        <w:bidi w:val="0"/>
        <w:jc w:val="center"/>
        <w:rPr>
          <w:rFonts w:ascii="仿宋" w:hAnsi="仿宋" w:eastAsia="仿宋"/>
          <w:b/>
          <w:spacing w:val="6"/>
          <w:sz w:val="32"/>
          <w:szCs w:val="32"/>
          <w:highlight w:val="none"/>
        </w:rPr>
      </w:pPr>
    </w:p>
    <w:p w14:paraId="24667C1D">
      <w:pPr>
        <w:kinsoku/>
        <w:wordWrap w:val="0"/>
        <w:topLinePunct w:val="0"/>
        <w:autoSpaceDE w:val="0"/>
        <w:autoSpaceDN w:val="0"/>
        <w:bidi w:val="0"/>
        <w:jc w:val="center"/>
        <w:rPr>
          <w:rFonts w:ascii="仿宋" w:hAnsi="仿宋" w:eastAsia="仿宋"/>
          <w:b/>
          <w:spacing w:val="6"/>
          <w:sz w:val="32"/>
          <w:szCs w:val="32"/>
          <w:highlight w:val="none"/>
        </w:rPr>
      </w:pPr>
    </w:p>
    <w:p w14:paraId="752AFD37">
      <w:pPr>
        <w:kinsoku/>
        <w:wordWrap w:val="0"/>
        <w:topLinePunct w:val="0"/>
        <w:autoSpaceDE w:val="0"/>
        <w:autoSpaceDN w:val="0"/>
        <w:bidi w:val="0"/>
        <w:jc w:val="center"/>
        <w:rPr>
          <w:rFonts w:ascii="仿宋" w:hAnsi="仿宋" w:eastAsia="仿宋"/>
          <w:b/>
          <w:spacing w:val="6"/>
          <w:sz w:val="32"/>
          <w:szCs w:val="32"/>
          <w:highlight w:val="none"/>
        </w:rPr>
      </w:pPr>
    </w:p>
    <w:p w14:paraId="12115C95">
      <w:pPr>
        <w:kinsoku/>
        <w:wordWrap w:val="0"/>
        <w:topLinePunct w:val="0"/>
        <w:autoSpaceDE w:val="0"/>
        <w:autoSpaceDN w:val="0"/>
        <w:bidi w:val="0"/>
        <w:jc w:val="center"/>
        <w:rPr>
          <w:rFonts w:ascii="仿宋" w:hAnsi="仿宋" w:eastAsia="仿宋"/>
          <w:b/>
          <w:spacing w:val="6"/>
          <w:sz w:val="32"/>
          <w:szCs w:val="32"/>
          <w:highlight w:val="none"/>
        </w:rPr>
      </w:pPr>
    </w:p>
    <w:p w14:paraId="2558DE3B">
      <w:pPr>
        <w:kinsoku/>
        <w:wordWrap w:val="0"/>
        <w:topLinePunct w:val="0"/>
        <w:autoSpaceDE w:val="0"/>
        <w:autoSpaceDN w:val="0"/>
        <w:bidi w:val="0"/>
        <w:jc w:val="center"/>
        <w:rPr>
          <w:rFonts w:ascii="仿宋" w:hAnsi="仿宋" w:eastAsia="仿宋"/>
          <w:b/>
          <w:spacing w:val="6"/>
          <w:sz w:val="32"/>
          <w:szCs w:val="32"/>
          <w:highlight w:val="none"/>
        </w:rPr>
      </w:pPr>
    </w:p>
    <w:p w14:paraId="0961C1BA">
      <w:pPr>
        <w:kinsoku/>
        <w:wordWrap w:val="0"/>
        <w:topLinePunct w:val="0"/>
        <w:autoSpaceDE w:val="0"/>
        <w:autoSpaceDN w:val="0"/>
        <w:bidi w:val="0"/>
        <w:jc w:val="center"/>
        <w:rPr>
          <w:rFonts w:ascii="仿宋" w:hAnsi="仿宋" w:eastAsia="仿宋"/>
          <w:b/>
          <w:spacing w:val="6"/>
          <w:sz w:val="32"/>
          <w:szCs w:val="32"/>
          <w:highlight w:val="none"/>
        </w:rPr>
      </w:pPr>
    </w:p>
    <w:p w14:paraId="3B2A5B66">
      <w:pPr>
        <w:kinsoku/>
        <w:wordWrap w:val="0"/>
        <w:topLinePunct w:val="0"/>
        <w:autoSpaceDE w:val="0"/>
        <w:autoSpaceDN w:val="0"/>
        <w:bidi w:val="0"/>
        <w:jc w:val="center"/>
        <w:rPr>
          <w:rFonts w:ascii="仿宋" w:hAnsi="仿宋" w:eastAsia="仿宋"/>
          <w:b/>
          <w:spacing w:val="6"/>
          <w:sz w:val="32"/>
          <w:szCs w:val="32"/>
          <w:highlight w:val="none"/>
        </w:rPr>
      </w:pPr>
    </w:p>
    <w:p w14:paraId="0E83093F">
      <w:pPr>
        <w:kinsoku/>
        <w:wordWrap w:val="0"/>
        <w:topLinePunct w:val="0"/>
        <w:autoSpaceDE w:val="0"/>
        <w:autoSpaceDN w:val="0"/>
        <w:bidi w:val="0"/>
        <w:jc w:val="center"/>
        <w:rPr>
          <w:rFonts w:ascii="仿宋" w:hAnsi="仿宋" w:eastAsia="仿宋"/>
          <w:b/>
          <w:spacing w:val="6"/>
          <w:sz w:val="32"/>
          <w:szCs w:val="32"/>
          <w:highlight w:val="none"/>
        </w:rPr>
      </w:pPr>
    </w:p>
    <w:p w14:paraId="795CF422">
      <w:pPr>
        <w:kinsoku/>
        <w:wordWrap w:val="0"/>
        <w:topLinePunct w:val="0"/>
        <w:autoSpaceDE w:val="0"/>
        <w:autoSpaceDN w:val="0"/>
        <w:bidi w:val="0"/>
        <w:jc w:val="center"/>
        <w:rPr>
          <w:rFonts w:ascii="仿宋" w:hAnsi="仿宋" w:eastAsia="仿宋"/>
          <w:b/>
          <w:spacing w:val="6"/>
          <w:sz w:val="32"/>
          <w:szCs w:val="32"/>
          <w:highlight w:val="none"/>
        </w:rPr>
      </w:pPr>
    </w:p>
    <w:p w14:paraId="4B456224">
      <w:pPr>
        <w:kinsoku/>
        <w:wordWrap w:val="0"/>
        <w:topLinePunct w:val="0"/>
        <w:autoSpaceDE w:val="0"/>
        <w:autoSpaceDN w:val="0"/>
        <w:bidi w:val="0"/>
        <w:jc w:val="center"/>
        <w:rPr>
          <w:rFonts w:ascii="仿宋" w:hAnsi="仿宋" w:eastAsia="仿宋"/>
          <w:b/>
          <w:spacing w:val="6"/>
          <w:sz w:val="32"/>
          <w:szCs w:val="32"/>
          <w:highlight w:val="none"/>
        </w:rPr>
      </w:pPr>
    </w:p>
    <w:p w14:paraId="748F564E">
      <w:pPr>
        <w:kinsoku/>
        <w:wordWrap w:val="0"/>
        <w:topLinePunct w:val="0"/>
        <w:autoSpaceDE w:val="0"/>
        <w:autoSpaceDN w:val="0"/>
        <w:bidi w:val="0"/>
        <w:jc w:val="center"/>
        <w:rPr>
          <w:rFonts w:ascii="仿宋" w:hAnsi="仿宋" w:eastAsia="仿宋"/>
          <w:b/>
          <w:spacing w:val="6"/>
          <w:sz w:val="32"/>
          <w:szCs w:val="32"/>
          <w:highlight w:val="none"/>
        </w:rPr>
      </w:pPr>
    </w:p>
    <w:p w14:paraId="4425870E">
      <w:pPr>
        <w:kinsoku/>
        <w:wordWrap w:val="0"/>
        <w:topLinePunct w:val="0"/>
        <w:autoSpaceDE w:val="0"/>
        <w:autoSpaceDN w:val="0"/>
        <w:bidi w:val="0"/>
        <w:jc w:val="center"/>
        <w:rPr>
          <w:rFonts w:ascii="仿宋" w:hAnsi="仿宋" w:eastAsia="仿宋"/>
          <w:b/>
          <w:spacing w:val="6"/>
          <w:sz w:val="32"/>
          <w:szCs w:val="32"/>
          <w:highlight w:val="none"/>
        </w:rPr>
      </w:pPr>
    </w:p>
    <w:p w14:paraId="5DCDA3BE">
      <w:pPr>
        <w:kinsoku/>
        <w:wordWrap w:val="0"/>
        <w:topLinePunct w:val="0"/>
        <w:autoSpaceDE w:val="0"/>
        <w:autoSpaceDN w:val="0"/>
        <w:bidi w:val="0"/>
        <w:jc w:val="center"/>
        <w:rPr>
          <w:rFonts w:ascii="仿宋" w:hAnsi="仿宋" w:eastAsia="仿宋"/>
          <w:b/>
          <w:spacing w:val="6"/>
          <w:sz w:val="32"/>
          <w:szCs w:val="32"/>
          <w:highlight w:val="none"/>
        </w:rPr>
      </w:pPr>
    </w:p>
    <w:p w14:paraId="4E233544">
      <w:pPr>
        <w:kinsoku/>
        <w:wordWrap w:val="0"/>
        <w:topLinePunct w:val="0"/>
        <w:autoSpaceDE w:val="0"/>
        <w:autoSpaceDN w:val="0"/>
        <w:bidi w:val="0"/>
        <w:jc w:val="center"/>
        <w:rPr>
          <w:rFonts w:hint="eastAsia" w:ascii="仿宋" w:hAnsi="仿宋" w:eastAsia="仿宋"/>
          <w:b/>
          <w:spacing w:val="6"/>
          <w:sz w:val="32"/>
          <w:szCs w:val="32"/>
          <w:highlight w:val="none"/>
        </w:rPr>
      </w:pPr>
    </w:p>
    <w:p w14:paraId="62831325">
      <w:pPr>
        <w:rPr>
          <w:rFonts w:hint="eastAsia" w:ascii="仿宋" w:hAnsi="仿宋" w:eastAsia="仿宋"/>
          <w:b/>
          <w:spacing w:val="6"/>
          <w:sz w:val="32"/>
          <w:szCs w:val="32"/>
          <w:highlight w:val="none"/>
        </w:rPr>
      </w:pPr>
      <w:r>
        <w:rPr>
          <w:rFonts w:hint="eastAsia" w:ascii="仿宋" w:hAnsi="仿宋" w:eastAsia="仿宋"/>
          <w:b/>
          <w:spacing w:val="6"/>
          <w:sz w:val="32"/>
          <w:szCs w:val="32"/>
          <w:highlight w:val="none"/>
        </w:rPr>
        <w:br w:type="page"/>
      </w:r>
    </w:p>
    <w:p w14:paraId="2F15C6EF">
      <w:pPr>
        <w:kinsoku/>
        <w:wordWrap w:val="0"/>
        <w:topLinePunct w:val="0"/>
        <w:autoSpaceDE w:val="0"/>
        <w:autoSpaceDN w:val="0"/>
        <w:bidi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14:paraId="6AF43AE6">
      <w:pPr>
        <w:kinsoku/>
        <w:wordWrap w:val="0"/>
        <w:topLinePunct w:val="0"/>
        <w:bidi w:val="0"/>
        <w:spacing w:line="360" w:lineRule="auto"/>
        <w:jc w:val="center"/>
        <w:rPr>
          <w:rFonts w:ascii="仿宋" w:hAnsi="仿宋" w:eastAsia="仿宋" w:cs="仿宋_GB2312"/>
          <w:sz w:val="24"/>
          <w:highlight w:val="none"/>
          <w:u w:val="single"/>
        </w:rPr>
      </w:pPr>
    </w:p>
    <w:p w14:paraId="22CCC11E">
      <w:pPr>
        <w:kinsoku/>
        <w:wordWrap w:val="0"/>
        <w:topLinePunct w:val="0"/>
        <w:bidi w:val="0"/>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14:paraId="1D8FE24B">
      <w:pPr>
        <w:kinsoku/>
        <w:wordWrap w:val="0"/>
        <w:topLinePunct w:val="0"/>
        <w:bidi w:val="0"/>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14:paraId="3C6746F7">
      <w:pPr>
        <w:kinsoku/>
        <w:wordWrap w:val="0"/>
        <w:topLinePunct w:val="0"/>
        <w:bidi w:val="0"/>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14:paraId="5833669A">
      <w:pPr>
        <w:kinsoku/>
        <w:wordWrap w:val="0"/>
        <w:topLinePunct w:val="0"/>
        <w:bidi w:val="0"/>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14:paraId="5BB8ED7E">
      <w:pPr>
        <w:kinsoku/>
        <w:wordWrap w:val="0"/>
        <w:topLinePunct w:val="0"/>
        <w:bidi w:val="0"/>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w:t>
      </w:r>
    </w:p>
    <w:p w14:paraId="2EAF3A77">
      <w:pPr>
        <w:kinsoku/>
        <w:wordWrap w:val="0"/>
        <w:topLinePunct w:val="0"/>
        <w:bidi w:val="0"/>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14:paraId="1F1CB0D4">
      <w:pPr>
        <w:kinsoku/>
        <w:wordWrap w:val="0"/>
        <w:topLinePunct w:val="0"/>
        <w:bidi w:val="0"/>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14:paraId="62B63D38">
      <w:pPr>
        <w:kinsoku/>
        <w:wordWrap w:val="0"/>
        <w:topLinePunct w:val="0"/>
        <w:bidi w:val="0"/>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14:paraId="66C9A7B3">
      <w:pPr>
        <w:kinsoku/>
        <w:wordWrap w:val="0"/>
        <w:topLinePunct w:val="0"/>
        <w:bidi w:val="0"/>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5A3DA5E9">
      <w:pPr>
        <w:kinsoku/>
        <w:wordWrap w:val="0"/>
        <w:topLinePunct w:val="0"/>
        <w:bidi w:val="0"/>
        <w:spacing w:line="360" w:lineRule="auto"/>
        <w:jc w:val="left"/>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14:paraId="149E039F">
      <w:pPr>
        <w:kinsoku/>
        <w:wordWrap w:val="0"/>
        <w:topLinePunct w:val="0"/>
        <w:bidi w:val="0"/>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D94B807">
      <w:pPr>
        <w:kinsoku/>
        <w:wordWrap w:val="0"/>
        <w:topLinePunct w:val="0"/>
        <w:bidi w:val="0"/>
        <w:spacing w:line="360" w:lineRule="auto"/>
        <w:jc w:val="center"/>
        <w:rPr>
          <w:rFonts w:ascii="仿宋_GB2312" w:hAnsi="仿宋" w:eastAsia="仿宋_GB2312" w:cs="仿宋_GB2312"/>
          <w:b/>
          <w:sz w:val="32"/>
          <w:szCs w:val="32"/>
          <w:highlight w:val="none"/>
        </w:rPr>
      </w:pPr>
    </w:p>
    <w:p w14:paraId="43381472">
      <w:pPr>
        <w:kinsoku/>
        <w:wordWrap w:val="0"/>
        <w:topLinePunct w:val="0"/>
        <w:bidi w:val="0"/>
        <w:spacing w:line="360" w:lineRule="auto"/>
        <w:jc w:val="center"/>
        <w:rPr>
          <w:rFonts w:ascii="仿宋_GB2312" w:hAnsi="仿宋" w:eastAsia="仿宋_GB2312" w:cs="仿宋_GB2312"/>
          <w:b/>
          <w:sz w:val="32"/>
          <w:szCs w:val="32"/>
          <w:highlight w:val="none"/>
        </w:rPr>
      </w:pPr>
    </w:p>
    <w:p w14:paraId="7B038AB1">
      <w:pPr>
        <w:kinsoku/>
        <w:wordWrap w:val="0"/>
        <w:topLinePunct w:val="0"/>
        <w:bidi w:val="0"/>
        <w:spacing w:line="360" w:lineRule="auto"/>
        <w:jc w:val="center"/>
        <w:rPr>
          <w:rFonts w:ascii="仿宋_GB2312" w:hAnsi="仿宋" w:eastAsia="仿宋_GB2312" w:cs="仿宋_GB2312"/>
          <w:b/>
          <w:sz w:val="32"/>
          <w:szCs w:val="32"/>
          <w:highlight w:val="none"/>
        </w:rPr>
      </w:pPr>
    </w:p>
    <w:p w14:paraId="059F528A">
      <w:pPr>
        <w:kinsoku/>
        <w:wordWrap w:val="0"/>
        <w:topLinePunct w:val="0"/>
        <w:bidi w:val="0"/>
        <w:spacing w:line="360" w:lineRule="auto"/>
        <w:jc w:val="center"/>
        <w:rPr>
          <w:rFonts w:ascii="仿宋_GB2312" w:hAnsi="仿宋" w:eastAsia="仿宋_GB2312" w:cs="仿宋_GB2312"/>
          <w:b/>
          <w:sz w:val="32"/>
          <w:szCs w:val="32"/>
          <w:highlight w:val="none"/>
        </w:rPr>
      </w:pPr>
    </w:p>
    <w:p w14:paraId="5F426117">
      <w:pPr>
        <w:rPr>
          <w:rFonts w:hint="eastAsia"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br w:type="page"/>
      </w:r>
    </w:p>
    <w:p w14:paraId="02BFBC1D">
      <w:pPr>
        <w:kinsoku/>
        <w:wordWrap w:val="0"/>
        <w:topLinePunct w:val="0"/>
        <w:bidi w:val="0"/>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14:paraId="5EEC90B3">
      <w:pPr>
        <w:kinsoku/>
        <w:wordWrap w:val="0"/>
        <w:topLinePunct w:val="0"/>
        <w:bidi w:val="0"/>
        <w:spacing w:line="360" w:lineRule="auto"/>
        <w:rPr>
          <w:rFonts w:ascii="仿宋_GB2312" w:hAnsi="仿宋" w:eastAsia="仿宋_GB2312"/>
          <w:highlight w:val="none"/>
        </w:rPr>
      </w:pPr>
    </w:p>
    <w:p w14:paraId="5D54F766">
      <w:pPr>
        <w:kinsoku/>
        <w:wordWrap w:val="0"/>
        <w:topLinePunct w:val="0"/>
        <w:bidi w:val="0"/>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63A53CE">
      <w:pPr>
        <w:kinsoku/>
        <w:wordWrap w:val="0"/>
        <w:topLinePunct w:val="0"/>
        <w:bidi w:val="0"/>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172FF9D0">
      <w:pPr>
        <w:kinsoku/>
        <w:wordWrap w:val="0"/>
        <w:topLinePunct w:val="0"/>
        <w:bidi w:val="0"/>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31A6451B">
      <w:pPr>
        <w:kinsoku/>
        <w:wordWrap w:val="0"/>
        <w:topLinePunct w:val="0"/>
        <w:bidi w:val="0"/>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14:paraId="4BC521AA">
      <w:pPr>
        <w:kinsoku/>
        <w:wordWrap w:val="0"/>
        <w:topLinePunct w:val="0"/>
        <w:bidi w:val="0"/>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14:paraId="3D0A6456">
      <w:pPr>
        <w:kinsoku/>
        <w:wordWrap w:val="0"/>
        <w:topLinePunct w:val="0"/>
        <w:bidi w:val="0"/>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14:paraId="5D7EB871">
      <w:pPr>
        <w:kinsoku/>
        <w:wordWrap w:val="0"/>
        <w:topLinePunct w:val="0"/>
        <w:bidi w:val="0"/>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14:paraId="3E07F2B0">
      <w:pPr>
        <w:kinsoku/>
        <w:wordWrap w:val="0"/>
        <w:topLinePunct w:val="0"/>
        <w:bidi w:val="0"/>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14:paraId="526C4BBE">
      <w:pPr>
        <w:kinsoku/>
        <w:wordWrap w:val="0"/>
        <w:topLinePunct w:val="0"/>
        <w:bidi w:val="0"/>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14:paraId="1E647CE9">
      <w:pPr>
        <w:kinsoku/>
        <w:wordWrap w:val="0"/>
        <w:topLinePunct w:val="0"/>
        <w:bidi w:val="0"/>
        <w:spacing w:line="360" w:lineRule="auto"/>
        <w:ind w:right="420"/>
        <w:rPr>
          <w:rFonts w:ascii="仿宋_GB2312" w:hAnsi="仿宋" w:eastAsia="仿宋_GB2312" w:cs="仿宋_GB2312"/>
          <w:sz w:val="24"/>
          <w:highlight w:val="none"/>
        </w:rPr>
      </w:pPr>
    </w:p>
    <w:p w14:paraId="384E5557">
      <w:pPr>
        <w:kinsoku/>
        <w:wordWrap w:val="0"/>
        <w:topLinePunct w:val="0"/>
        <w:bidi w:val="0"/>
        <w:spacing w:line="360" w:lineRule="auto"/>
        <w:ind w:right="420"/>
        <w:rPr>
          <w:rFonts w:ascii="仿宋_GB2312" w:hAnsi="仿宋" w:eastAsia="仿宋_GB2312" w:cs="仿宋_GB2312"/>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AC98A9">
      <w:pPr>
        <w:pStyle w:val="4"/>
        <w:kinsoku/>
        <w:wordWrap w:val="0"/>
        <w:topLinePunct w:val="0"/>
        <w:bidi w:val="0"/>
        <w:rPr>
          <w:highlight w:val="none"/>
          <w:lang w:val="en-US"/>
        </w:rPr>
      </w:pPr>
    </w:p>
    <w:p w14:paraId="5EE552D3">
      <w:pPr>
        <w:kinsoku/>
        <w:wordWrap w:val="0"/>
        <w:topLinePunct w:val="0"/>
        <w:bidi w:val="0"/>
        <w:spacing w:line="360" w:lineRule="auto"/>
        <w:ind w:right="420"/>
        <w:rPr>
          <w:highlight w:val="none"/>
        </w:rPr>
      </w:pPr>
    </w:p>
    <w:p w14:paraId="5EF9ED4E">
      <w:pPr>
        <w:kinsoku/>
        <w:wordWrap w:val="0"/>
        <w:topLinePunct w:val="0"/>
        <w:bidi w:val="0"/>
        <w:spacing w:line="360" w:lineRule="auto"/>
        <w:rPr>
          <w:rFonts w:ascii="仿宋" w:hAnsi="仿宋" w:eastAsia="仿宋"/>
          <w:bCs/>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BF33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87E3">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5648A">
    <w:pPr>
      <w:pStyle w:val="42"/>
      <w:framePr w:wrap="around" w:vAnchor="text" w:hAnchor="margin" w:xAlign="right" w:y="1"/>
      <w:rPr>
        <w:rStyle w:val="72"/>
      </w:rPr>
    </w:pPr>
    <w:r>
      <w:fldChar w:fldCharType="begin"/>
    </w:r>
    <w:r>
      <w:rPr>
        <w:rStyle w:val="72"/>
      </w:rPr>
      <w:instrText xml:space="preserve">PAGE  </w:instrText>
    </w:r>
    <w:r>
      <w:fldChar w:fldCharType="end"/>
    </w:r>
  </w:p>
  <w:p w14:paraId="66EDDA45">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2295A">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66" w:name="_Toc36110187"/>
    <w:bookmarkStart w:id="467" w:name="_Toc131845147"/>
    <w:bookmarkStart w:id="468" w:name="_Toc164085800"/>
    <w:bookmarkStart w:id="469" w:name="_Toc91899912"/>
    <w:r>
      <w:rPr>
        <w:rFonts w:hint="eastAsia" w:ascii="仿宋_GB2312" w:eastAsia="仿宋_GB2312"/>
        <w:kern w:val="0"/>
        <w:szCs w:val="21"/>
      </w:rPr>
      <w:t xml:space="preserve"> 页</w:t>
    </w:r>
    <w:bookmarkEnd w:id="466"/>
    <w:bookmarkEnd w:id="467"/>
    <w:bookmarkEnd w:id="468"/>
    <w:bookmarkEnd w:id="46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B83D">
    <w:pPr>
      <w:pStyle w:val="42"/>
      <w:framePr w:wrap="around" w:vAnchor="text" w:hAnchor="margin" w:xAlign="right" w:y="1"/>
      <w:rPr>
        <w:rStyle w:val="72"/>
      </w:rPr>
    </w:pPr>
    <w:r>
      <w:fldChar w:fldCharType="begin"/>
    </w:r>
    <w:r>
      <w:rPr>
        <w:rStyle w:val="72"/>
      </w:rPr>
      <w:instrText xml:space="preserve">PAGE  </w:instrText>
    </w:r>
    <w:r>
      <w:fldChar w:fldCharType="end"/>
    </w:r>
  </w:p>
  <w:p w14:paraId="368869C6">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D39F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764B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36FBDC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0FCE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EE0F9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EEE3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5232F1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635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F715F0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0B4E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6D40A9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8BD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48C279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B7FC2">
    <w:pPr>
      <w:pStyle w:val="43"/>
      <w:pBdr>
        <w:bottom w:val="single" w:color="auto" w:sz="6" w:space="4"/>
      </w:pBdr>
      <w:jc w:val="right"/>
      <w:rPr>
        <w:rFonts w:ascii="仿宋_GB2312" w:eastAsia="仿宋_GB2312"/>
        <w:b w:val="0"/>
        <w:i/>
        <w:sz w:val="18"/>
        <w:u w:val="single"/>
        <w:lang w:val="en-US"/>
      </w:rPr>
    </w:pPr>
    <w:r>
      <w:t></w:t>
    </w:r>
    <w:r>
      <w:rPr>
        <w:rFonts w:hint="eastAsia"/>
      </w:rPr>
      <w:t xml:space="preserve">             </w:t>
    </w:r>
    <w:r>
      <w:rPr>
        <w:rFonts w:hint="eastAsia"/>
        <w:lang w:eastAsia="zh-CN"/>
      </w:rPr>
      <w:t>永嘉县</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FB5FD">
    <w:pPr>
      <w:pStyle w:val="43"/>
    </w:pPr>
    <w:r>
      <w:t></w:t>
    </w:r>
    <w:r>
      <w:rPr>
        <w:rFonts w:hint="eastAsia"/>
      </w:rPr>
      <w:t xml:space="preserve">                                             </w:t>
    </w:r>
    <w:r>
      <w:rPr>
        <w:rFonts w:hint="eastAsia"/>
        <w:lang w:eastAsia="zh-CN"/>
      </w:rPr>
      <w:t>永嘉县</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D94E6">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永嘉县</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5CCE">
    <w:pPr>
      <w:pStyle w:val="43"/>
      <w:rPr>
        <w:rFonts w:ascii="仿宋_GB2312" w:eastAsia="仿宋_GB2312"/>
        <w:b/>
        <w:i/>
        <w:u w:val="single"/>
      </w:rPr>
    </w:pPr>
    <w:r>
      <w:t></w:t>
    </w:r>
    <w:r>
      <w:rPr>
        <w:rFonts w:hint="eastAsia"/>
      </w:rPr>
      <w:t xml:space="preserve">                                                 </w:t>
    </w:r>
    <w:r>
      <w:rPr>
        <w:rFonts w:hint="eastAsia"/>
        <w:lang w:eastAsia="zh-CN"/>
      </w:rPr>
      <w:t>永嘉县</w:t>
    </w:r>
    <w:r>
      <w:t>政府采购公开招标文件</w:t>
    </w:r>
  </w:p>
  <w:p w14:paraId="7FB5C66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35177">
    <w:pPr>
      <w:pStyle w:val="43"/>
    </w:pPr>
    <w:r>
      <w:t></w:t>
    </w:r>
    <w:r>
      <w:rPr>
        <w:rFonts w:hint="eastAsia"/>
      </w:rPr>
      <w:t xml:space="preserve">         </w:t>
    </w:r>
  </w:p>
  <w:p w14:paraId="5A03E666">
    <w:pPr>
      <w:pStyle w:val="43"/>
    </w:pPr>
    <w:r>
      <w:rPr>
        <w:rFonts w:hint="eastAsia"/>
      </w:rPr>
      <w:t xml:space="preserve">                                                                </w:t>
    </w:r>
    <w:r>
      <w:rPr>
        <w:rFonts w:hint="eastAsia"/>
        <w:lang w:eastAsia="zh-CN"/>
      </w:rPr>
      <w:t>永嘉县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1C068">
    <w:pPr>
      <w:pStyle w:val="43"/>
      <w:rPr>
        <w:rFonts w:ascii="仿宋_GB2312" w:eastAsia="仿宋_GB2312"/>
        <w:b/>
        <w:i/>
        <w:u w:val="single"/>
      </w:rPr>
    </w:pPr>
    <w:r>
      <w:t></w:t>
    </w:r>
    <w:r>
      <w:rPr>
        <w:rFonts w:hint="eastAsia"/>
      </w:rPr>
      <w:t xml:space="preserve">                                                  </w:t>
    </w:r>
    <w:r>
      <w:rPr>
        <w:rFonts w:hint="eastAsia"/>
        <w:lang w:eastAsia="zh-CN"/>
      </w:rPr>
      <w:t>永嘉县</w:t>
    </w:r>
    <w:r>
      <w:t>政府采购公开招标文件</w:t>
    </w:r>
  </w:p>
  <w:p w14:paraId="1FA6952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66DE2">
    <w:pPr>
      <w:pStyle w:val="43"/>
    </w:pPr>
    <w:r>
      <w:t></w:t>
    </w:r>
    <w:r>
      <w:rPr>
        <w:rFonts w:hint="eastAsia"/>
      </w:rPr>
      <w:t xml:space="preserve">         </w:t>
    </w:r>
  </w:p>
  <w:p w14:paraId="28D052A7">
    <w:pPr>
      <w:pStyle w:val="43"/>
    </w:pPr>
    <w:r>
      <w:rPr>
        <w:rFonts w:hint="eastAsia"/>
      </w:rPr>
      <w:t xml:space="preserve">                                                                  </w:t>
    </w:r>
    <w:r>
      <w:rPr>
        <w:rFonts w:hint="eastAsia"/>
        <w:lang w:eastAsia="zh-CN"/>
      </w:rPr>
      <w:t>永嘉县</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67AF">
    <w:pPr>
      <w:pStyle w:val="43"/>
      <w:jc w:val="right"/>
      <w:rPr>
        <w:rFonts w:ascii="仿宋_GB2312" w:eastAsia="仿宋_GB2312"/>
        <w:b/>
        <w:i/>
        <w:u w:val="single"/>
      </w:rPr>
    </w:pPr>
    <w:r>
      <w:rPr>
        <w:rFonts w:hint="eastAsia"/>
      </w:rPr>
      <w:t xml:space="preserve">                                  </w:t>
    </w:r>
    <w:r>
      <w:rPr>
        <w:rFonts w:hint="eastAsia"/>
        <w:lang w:eastAsia="zh-CN"/>
      </w:rPr>
      <w:t>永嘉县</w:t>
    </w:r>
    <w:r>
      <w:t>政府采购公开招标文件</w:t>
    </w:r>
  </w:p>
  <w:p w14:paraId="5B3A1AA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1D7A">
    <w:pPr>
      <w:pStyle w:val="43"/>
      <w:jc w:val="right"/>
    </w:pPr>
    <w:r>
      <w:rPr>
        <w:rFonts w:hint="eastAsia"/>
      </w:rPr>
      <w:t xml:space="preserve">                                                                                                        </w:t>
    </w:r>
    <w:r>
      <w:rPr>
        <w:rFonts w:hint="eastAsia"/>
        <w:lang w:eastAsia="zh-CN"/>
      </w:rPr>
      <w:t>永嘉县</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1903B">
    <w:pPr>
      <w:pStyle w:val="43"/>
      <w:jc w:val="right"/>
      <w:rPr>
        <w:rFonts w:ascii="仿宋_GB2312" w:eastAsia="仿宋_GB2312"/>
        <w:b/>
        <w:i/>
        <w:iCs/>
        <w:u w:val="single"/>
      </w:rPr>
    </w:pPr>
    <w:r>
      <w:t></w:t>
    </w:r>
    <w:r>
      <w:rPr>
        <w:rFonts w:hint="eastAsia"/>
        <w:lang w:eastAsia="zh-CN"/>
      </w:rPr>
      <w:t>永嘉县</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A8D85"/>
    <w:multiLevelType w:val="singleLevel"/>
    <w:tmpl w:val="C81A8D85"/>
    <w:lvl w:ilvl="0" w:tentative="0">
      <w:start w:val="2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ZmUzZGEzNjgyNThmNmM3N2I1ZDFmOGY3NjY3M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77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77B"/>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268AB"/>
    <w:rsid w:val="01D55165"/>
    <w:rsid w:val="01DF6BF8"/>
    <w:rsid w:val="01EC2C57"/>
    <w:rsid w:val="026B2E25"/>
    <w:rsid w:val="02824D4D"/>
    <w:rsid w:val="02DC4B10"/>
    <w:rsid w:val="02DD76CE"/>
    <w:rsid w:val="02F36323"/>
    <w:rsid w:val="02F5619C"/>
    <w:rsid w:val="0326446A"/>
    <w:rsid w:val="032D5555"/>
    <w:rsid w:val="03477A3F"/>
    <w:rsid w:val="036634D2"/>
    <w:rsid w:val="03DD35E4"/>
    <w:rsid w:val="04076900"/>
    <w:rsid w:val="041A5A3B"/>
    <w:rsid w:val="042311BA"/>
    <w:rsid w:val="042B157A"/>
    <w:rsid w:val="046A72EC"/>
    <w:rsid w:val="048F763B"/>
    <w:rsid w:val="049F330E"/>
    <w:rsid w:val="04AA775C"/>
    <w:rsid w:val="04AF1889"/>
    <w:rsid w:val="04F66F48"/>
    <w:rsid w:val="05251E14"/>
    <w:rsid w:val="05A16594"/>
    <w:rsid w:val="05A7762D"/>
    <w:rsid w:val="05D35A92"/>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8FE5029"/>
    <w:rsid w:val="09203990"/>
    <w:rsid w:val="09335624"/>
    <w:rsid w:val="093B0D48"/>
    <w:rsid w:val="0944690F"/>
    <w:rsid w:val="09535675"/>
    <w:rsid w:val="095F057D"/>
    <w:rsid w:val="09642282"/>
    <w:rsid w:val="09733572"/>
    <w:rsid w:val="09772C16"/>
    <w:rsid w:val="098353B5"/>
    <w:rsid w:val="09A92330"/>
    <w:rsid w:val="09B06B87"/>
    <w:rsid w:val="09C13146"/>
    <w:rsid w:val="09D53723"/>
    <w:rsid w:val="09E04166"/>
    <w:rsid w:val="0A1C0718"/>
    <w:rsid w:val="0A3E7710"/>
    <w:rsid w:val="0A5B7E63"/>
    <w:rsid w:val="0AA374A5"/>
    <w:rsid w:val="0AAB7649"/>
    <w:rsid w:val="0ABC5606"/>
    <w:rsid w:val="0B30404E"/>
    <w:rsid w:val="0B4C6C14"/>
    <w:rsid w:val="0B631A88"/>
    <w:rsid w:val="0B683D45"/>
    <w:rsid w:val="0B7F3F11"/>
    <w:rsid w:val="0B884417"/>
    <w:rsid w:val="0B8C6DF1"/>
    <w:rsid w:val="0BF6188C"/>
    <w:rsid w:val="0BF73C91"/>
    <w:rsid w:val="0C170175"/>
    <w:rsid w:val="0C571A41"/>
    <w:rsid w:val="0C5C1171"/>
    <w:rsid w:val="0C5E1CBC"/>
    <w:rsid w:val="0C615B50"/>
    <w:rsid w:val="0C7478E6"/>
    <w:rsid w:val="0C8445DA"/>
    <w:rsid w:val="0C87121B"/>
    <w:rsid w:val="0CC007F7"/>
    <w:rsid w:val="0CFE707A"/>
    <w:rsid w:val="0D063BDA"/>
    <w:rsid w:val="0D08375F"/>
    <w:rsid w:val="0D184CFB"/>
    <w:rsid w:val="0D4A7419"/>
    <w:rsid w:val="0D705975"/>
    <w:rsid w:val="0D827401"/>
    <w:rsid w:val="0D84094E"/>
    <w:rsid w:val="0D8A00E9"/>
    <w:rsid w:val="0D8D589E"/>
    <w:rsid w:val="0DA01C73"/>
    <w:rsid w:val="0DB61AF4"/>
    <w:rsid w:val="0DC66A0A"/>
    <w:rsid w:val="0DD63300"/>
    <w:rsid w:val="0DF50604"/>
    <w:rsid w:val="0DF702FE"/>
    <w:rsid w:val="0E060E51"/>
    <w:rsid w:val="0E4D71EC"/>
    <w:rsid w:val="0E5604B2"/>
    <w:rsid w:val="0E6D5D79"/>
    <w:rsid w:val="0E9D0089"/>
    <w:rsid w:val="0EB803EE"/>
    <w:rsid w:val="0EB973F4"/>
    <w:rsid w:val="0EF94D4B"/>
    <w:rsid w:val="0F4958DC"/>
    <w:rsid w:val="0F515DF7"/>
    <w:rsid w:val="0F53696F"/>
    <w:rsid w:val="0F5547AD"/>
    <w:rsid w:val="0F596BA8"/>
    <w:rsid w:val="0F6248D2"/>
    <w:rsid w:val="0F693536"/>
    <w:rsid w:val="0F7B0511"/>
    <w:rsid w:val="0F7B76D9"/>
    <w:rsid w:val="0F816ACD"/>
    <w:rsid w:val="0F9832DB"/>
    <w:rsid w:val="0FBF3FD2"/>
    <w:rsid w:val="0FBF7FF3"/>
    <w:rsid w:val="10603445"/>
    <w:rsid w:val="10646583"/>
    <w:rsid w:val="107D4B15"/>
    <w:rsid w:val="108A3C80"/>
    <w:rsid w:val="10AD61E8"/>
    <w:rsid w:val="10C26171"/>
    <w:rsid w:val="10F33360"/>
    <w:rsid w:val="10FC16EA"/>
    <w:rsid w:val="110F1D40"/>
    <w:rsid w:val="11266F33"/>
    <w:rsid w:val="11462859"/>
    <w:rsid w:val="118963A1"/>
    <w:rsid w:val="11AC6C2C"/>
    <w:rsid w:val="11C6522A"/>
    <w:rsid w:val="11E104CC"/>
    <w:rsid w:val="11E20309"/>
    <w:rsid w:val="12255233"/>
    <w:rsid w:val="12530213"/>
    <w:rsid w:val="127723A9"/>
    <w:rsid w:val="12862074"/>
    <w:rsid w:val="12883966"/>
    <w:rsid w:val="129E45B4"/>
    <w:rsid w:val="12D81596"/>
    <w:rsid w:val="12F02F73"/>
    <w:rsid w:val="13072A44"/>
    <w:rsid w:val="135F4BE2"/>
    <w:rsid w:val="139B1A0A"/>
    <w:rsid w:val="139D25C7"/>
    <w:rsid w:val="13BF3CE4"/>
    <w:rsid w:val="13CF195B"/>
    <w:rsid w:val="141008D8"/>
    <w:rsid w:val="14125FE6"/>
    <w:rsid w:val="146D271E"/>
    <w:rsid w:val="147605FE"/>
    <w:rsid w:val="1477159B"/>
    <w:rsid w:val="14982588"/>
    <w:rsid w:val="149A5AD9"/>
    <w:rsid w:val="14A7619D"/>
    <w:rsid w:val="15020922"/>
    <w:rsid w:val="150536C3"/>
    <w:rsid w:val="150C1963"/>
    <w:rsid w:val="151447A0"/>
    <w:rsid w:val="154940E8"/>
    <w:rsid w:val="154A6454"/>
    <w:rsid w:val="15762120"/>
    <w:rsid w:val="15A67C19"/>
    <w:rsid w:val="16A8729C"/>
    <w:rsid w:val="16B33777"/>
    <w:rsid w:val="16BC70A7"/>
    <w:rsid w:val="16C6339E"/>
    <w:rsid w:val="172F2D79"/>
    <w:rsid w:val="173E5900"/>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E95C3B"/>
    <w:rsid w:val="1AF06CFB"/>
    <w:rsid w:val="1AF11B8D"/>
    <w:rsid w:val="1B11359C"/>
    <w:rsid w:val="1B2A271F"/>
    <w:rsid w:val="1B441928"/>
    <w:rsid w:val="1B4A1D06"/>
    <w:rsid w:val="1B530544"/>
    <w:rsid w:val="1B713184"/>
    <w:rsid w:val="1B7C103E"/>
    <w:rsid w:val="1BA209CF"/>
    <w:rsid w:val="1BB02AF1"/>
    <w:rsid w:val="1BB4777D"/>
    <w:rsid w:val="1BD75AB8"/>
    <w:rsid w:val="1C0459C2"/>
    <w:rsid w:val="1C1B3B4A"/>
    <w:rsid w:val="1C88086E"/>
    <w:rsid w:val="1CEA334C"/>
    <w:rsid w:val="1D266CE1"/>
    <w:rsid w:val="1D3963AF"/>
    <w:rsid w:val="1D550B09"/>
    <w:rsid w:val="1D6A673C"/>
    <w:rsid w:val="1D7C7BDA"/>
    <w:rsid w:val="1D9247AE"/>
    <w:rsid w:val="1D9960C1"/>
    <w:rsid w:val="1DB567EC"/>
    <w:rsid w:val="1DF51A98"/>
    <w:rsid w:val="1E165472"/>
    <w:rsid w:val="1E3D060F"/>
    <w:rsid w:val="1E3F7D2E"/>
    <w:rsid w:val="1E4134E4"/>
    <w:rsid w:val="1E4838F9"/>
    <w:rsid w:val="1E5062B3"/>
    <w:rsid w:val="1E523514"/>
    <w:rsid w:val="1E714A66"/>
    <w:rsid w:val="1E802593"/>
    <w:rsid w:val="1E8B4B42"/>
    <w:rsid w:val="1EA703CC"/>
    <w:rsid w:val="1EB7330C"/>
    <w:rsid w:val="1F0A0FF3"/>
    <w:rsid w:val="1F287393"/>
    <w:rsid w:val="1F5771FF"/>
    <w:rsid w:val="1FE868A9"/>
    <w:rsid w:val="20034907"/>
    <w:rsid w:val="20173E4B"/>
    <w:rsid w:val="2026664E"/>
    <w:rsid w:val="204E48BC"/>
    <w:rsid w:val="208921B3"/>
    <w:rsid w:val="20973DEB"/>
    <w:rsid w:val="20B26522"/>
    <w:rsid w:val="20B44310"/>
    <w:rsid w:val="20EE7920"/>
    <w:rsid w:val="211116EB"/>
    <w:rsid w:val="216133FC"/>
    <w:rsid w:val="21A47F3A"/>
    <w:rsid w:val="21D56769"/>
    <w:rsid w:val="21E52EF3"/>
    <w:rsid w:val="21FB5D7B"/>
    <w:rsid w:val="220B1C3D"/>
    <w:rsid w:val="221D1D20"/>
    <w:rsid w:val="22334A87"/>
    <w:rsid w:val="22BE6801"/>
    <w:rsid w:val="22DB2B34"/>
    <w:rsid w:val="22E97C13"/>
    <w:rsid w:val="233500BF"/>
    <w:rsid w:val="23377FF7"/>
    <w:rsid w:val="236B425F"/>
    <w:rsid w:val="23836192"/>
    <w:rsid w:val="23901F29"/>
    <w:rsid w:val="239C0061"/>
    <w:rsid w:val="23B50391"/>
    <w:rsid w:val="23B908A4"/>
    <w:rsid w:val="23E95BEF"/>
    <w:rsid w:val="23FD0064"/>
    <w:rsid w:val="24232372"/>
    <w:rsid w:val="245375B0"/>
    <w:rsid w:val="24642C0A"/>
    <w:rsid w:val="24B22173"/>
    <w:rsid w:val="24B95AD9"/>
    <w:rsid w:val="24BE24DA"/>
    <w:rsid w:val="24CF5825"/>
    <w:rsid w:val="24D663E6"/>
    <w:rsid w:val="24D77F2B"/>
    <w:rsid w:val="258B00E2"/>
    <w:rsid w:val="25A917A6"/>
    <w:rsid w:val="25BE27CC"/>
    <w:rsid w:val="25F35E76"/>
    <w:rsid w:val="25F74A5C"/>
    <w:rsid w:val="2628662C"/>
    <w:rsid w:val="262D45DE"/>
    <w:rsid w:val="26A53EF9"/>
    <w:rsid w:val="26A94201"/>
    <w:rsid w:val="26AC274F"/>
    <w:rsid w:val="27044A29"/>
    <w:rsid w:val="270E60AC"/>
    <w:rsid w:val="271D34C8"/>
    <w:rsid w:val="27467B46"/>
    <w:rsid w:val="276142BF"/>
    <w:rsid w:val="27783712"/>
    <w:rsid w:val="27907362"/>
    <w:rsid w:val="28333E1D"/>
    <w:rsid w:val="28347384"/>
    <w:rsid w:val="284522B3"/>
    <w:rsid w:val="28454BD6"/>
    <w:rsid w:val="28455253"/>
    <w:rsid w:val="28551971"/>
    <w:rsid w:val="285B1C53"/>
    <w:rsid w:val="289F7086"/>
    <w:rsid w:val="28C32028"/>
    <w:rsid w:val="28CC490F"/>
    <w:rsid w:val="28DE40AA"/>
    <w:rsid w:val="29233932"/>
    <w:rsid w:val="29345E77"/>
    <w:rsid w:val="294C65AD"/>
    <w:rsid w:val="29806583"/>
    <w:rsid w:val="298B3C4C"/>
    <w:rsid w:val="29937F99"/>
    <w:rsid w:val="29987E47"/>
    <w:rsid w:val="29F26D24"/>
    <w:rsid w:val="2A15033F"/>
    <w:rsid w:val="2A1662C1"/>
    <w:rsid w:val="2A1C7367"/>
    <w:rsid w:val="2A2815FA"/>
    <w:rsid w:val="2A285C7D"/>
    <w:rsid w:val="2A6D6092"/>
    <w:rsid w:val="2A713360"/>
    <w:rsid w:val="2A7D76B4"/>
    <w:rsid w:val="2B437463"/>
    <w:rsid w:val="2B7807EE"/>
    <w:rsid w:val="2BBF00EC"/>
    <w:rsid w:val="2BC37CFD"/>
    <w:rsid w:val="2BD5237F"/>
    <w:rsid w:val="2BE403A9"/>
    <w:rsid w:val="2BE536CE"/>
    <w:rsid w:val="2BE758D9"/>
    <w:rsid w:val="2BF469C5"/>
    <w:rsid w:val="2C09049E"/>
    <w:rsid w:val="2C0A653C"/>
    <w:rsid w:val="2C191F85"/>
    <w:rsid w:val="2C6E1647"/>
    <w:rsid w:val="2C7A24D9"/>
    <w:rsid w:val="2CE82D6F"/>
    <w:rsid w:val="2D343236"/>
    <w:rsid w:val="2DD15014"/>
    <w:rsid w:val="2DF72DE4"/>
    <w:rsid w:val="2E0220AF"/>
    <w:rsid w:val="2E4B082A"/>
    <w:rsid w:val="2E5579F9"/>
    <w:rsid w:val="2E5D4E86"/>
    <w:rsid w:val="2E5D790B"/>
    <w:rsid w:val="2E9A3C18"/>
    <w:rsid w:val="2EBB0FEE"/>
    <w:rsid w:val="2EC63002"/>
    <w:rsid w:val="2F0A6B38"/>
    <w:rsid w:val="2F2B7695"/>
    <w:rsid w:val="2F946CCB"/>
    <w:rsid w:val="2FD25781"/>
    <w:rsid w:val="2FFD7934"/>
    <w:rsid w:val="30546510"/>
    <w:rsid w:val="30733ACD"/>
    <w:rsid w:val="308C3862"/>
    <w:rsid w:val="309379D8"/>
    <w:rsid w:val="30A270F7"/>
    <w:rsid w:val="30AD6079"/>
    <w:rsid w:val="30C735F9"/>
    <w:rsid w:val="30DF1478"/>
    <w:rsid w:val="30EC586F"/>
    <w:rsid w:val="319C6071"/>
    <w:rsid w:val="31AC537E"/>
    <w:rsid w:val="31E3679B"/>
    <w:rsid w:val="31E732FD"/>
    <w:rsid w:val="324A214D"/>
    <w:rsid w:val="32517576"/>
    <w:rsid w:val="32BE5C2C"/>
    <w:rsid w:val="32FB6478"/>
    <w:rsid w:val="33263B3F"/>
    <w:rsid w:val="336963EB"/>
    <w:rsid w:val="33816EEB"/>
    <w:rsid w:val="33EB55CD"/>
    <w:rsid w:val="33EC4C02"/>
    <w:rsid w:val="340D2360"/>
    <w:rsid w:val="3410665D"/>
    <w:rsid w:val="34211214"/>
    <w:rsid w:val="342C1C86"/>
    <w:rsid w:val="342E63AB"/>
    <w:rsid w:val="34383CA5"/>
    <w:rsid w:val="34680C80"/>
    <w:rsid w:val="34950E68"/>
    <w:rsid w:val="34986E94"/>
    <w:rsid w:val="34AF62C9"/>
    <w:rsid w:val="34CB4388"/>
    <w:rsid w:val="34FA6E12"/>
    <w:rsid w:val="358D5588"/>
    <w:rsid w:val="363A3B40"/>
    <w:rsid w:val="365302AE"/>
    <w:rsid w:val="36607A0A"/>
    <w:rsid w:val="366E227C"/>
    <w:rsid w:val="366F2E0D"/>
    <w:rsid w:val="367B6A5C"/>
    <w:rsid w:val="36A74ADA"/>
    <w:rsid w:val="36AD60D5"/>
    <w:rsid w:val="36AF7979"/>
    <w:rsid w:val="36B224F9"/>
    <w:rsid w:val="36EB52F8"/>
    <w:rsid w:val="36EC0CC9"/>
    <w:rsid w:val="373F410B"/>
    <w:rsid w:val="37BE00AC"/>
    <w:rsid w:val="37EE7094"/>
    <w:rsid w:val="38296C89"/>
    <w:rsid w:val="383002EB"/>
    <w:rsid w:val="38586797"/>
    <w:rsid w:val="38BC0149"/>
    <w:rsid w:val="38D87D1C"/>
    <w:rsid w:val="39636459"/>
    <w:rsid w:val="396B7F6C"/>
    <w:rsid w:val="39A01F74"/>
    <w:rsid w:val="39A02373"/>
    <w:rsid w:val="39A728CE"/>
    <w:rsid w:val="39B417A9"/>
    <w:rsid w:val="39FC5695"/>
    <w:rsid w:val="3A006D8E"/>
    <w:rsid w:val="3A0D0C2B"/>
    <w:rsid w:val="3A3651E5"/>
    <w:rsid w:val="3A744481"/>
    <w:rsid w:val="3A8C7BEF"/>
    <w:rsid w:val="3A906246"/>
    <w:rsid w:val="3AFB0B86"/>
    <w:rsid w:val="3B2349B7"/>
    <w:rsid w:val="3B462C63"/>
    <w:rsid w:val="3B616CFF"/>
    <w:rsid w:val="3B6259F6"/>
    <w:rsid w:val="3B83648F"/>
    <w:rsid w:val="3B976654"/>
    <w:rsid w:val="3BC01EFC"/>
    <w:rsid w:val="3BCA786A"/>
    <w:rsid w:val="3BD31E2F"/>
    <w:rsid w:val="3BF15831"/>
    <w:rsid w:val="3C105946"/>
    <w:rsid w:val="3C471448"/>
    <w:rsid w:val="3C5F759A"/>
    <w:rsid w:val="3C6C525A"/>
    <w:rsid w:val="3CAA7ADD"/>
    <w:rsid w:val="3CCE23CB"/>
    <w:rsid w:val="3CD17D17"/>
    <w:rsid w:val="3CE420C4"/>
    <w:rsid w:val="3D3C7F39"/>
    <w:rsid w:val="3D440F09"/>
    <w:rsid w:val="3D4504A0"/>
    <w:rsid w:val="3D8734BB"/>
    <w:rsid w:val="3D9A11D4"/>
    <w:rsid w:val="3DA16D89"/>
    <w:rsid w:val="3DA364BE"/>
    <w:rsid w:val="3DAE04DD"/>
    <w:rsid w:val="3DE041CB"/>
    <w:rsid w:val="3E0D48F6"/>
    <w:rsid w:val="3E1868B4"/>
    <w:rsid w:val="3E330AC4"/>
    <w:rsid w:val="3E377251"/>
    <w:rsid w:val="3E42664B"/>
    <w:rsid w:val="3E5A7334"/>
    <w:rsid w:val="3E7B5D6B"/>
    <w:rsid w:val="3E843E66"/>
    <w:rsid w:val="3E8F51FE"/>
    <w:rsid w:val="3E926F87"/>
    <w:rsid w:val="3E9A59DE"/>
    <w:rsid w:val="3EA75B02"/>
    <w:rsid w:val="3EAF4836"/>
    <w:rsid w:val="3EC33DFA"/>
    <w:rsid w:val="3F060E16"/>
    <w:rsid w:val="3F1D1096"/>
    <w:rsid w:val="3F2F0234"/>
    <w:rsid w:val="3F496EB2"/>
    <w:rsid w:val="3F6363FE"/>
    <w:rsid w:val="3F756B8F"/>
    <w:rsid w:val="3F95482B"/>
    <w:rsid w:val="4019356B"/>
    <w:rsid w:val="40592157"/>
    <w:rsid w:val="406E1CAE"/>
    <w:rsid w:val="40960F8A"/>
    <w:rsid w:val="40A0133A"/>
    <w:rsid w:val="40BC0C2B"/>
    <w:rsid w:val="40C31A53"/>
    <w:rsid w:val="40FF545D"/>
    <w:rsid w:val="410067C8"/>
    <w:rsid w:val="411D16CB"/>
    <w:rsid w:val="41302FAD"/>
    <w:rsid w:val="418F0D2A"/>
    <w:rsid w:val="41D01505"/>
    <w:rsid w:val="423D525F"/>
    <w:rsid w:val="42474939"/>
    <w:rsid w:val="424C3C57"/>
    <w:rsid w:val="42613FF3"/>
    <w:rsid w:val="42660D96"/>
    <w:rsid w:val="428667D2"/>
    <w:rsid w:val="42CA710F"/>
    <w:rsid w:val="42CD1CE0"/>
    <w:rsid w:val="42E1381E"/>
    <w:rsid w:val="42ED6459"/>
    <w:rsid w:val="42FE58DD"/>
    <w:rsid w:val="43174B3D"/>
    <w:rsid w:val="431F0B58"/>
    <w:rsid w:val="434B790E"/>
    <w:rsid w:val="4360274F"/>
    <w:rsid w:val="43977AB6"/>
    <w:rsid w:val="43A3342B"/>
    <w:rsid w:val="43C67DD7"/>
    <w:rsid w:val="43C77C27"/>
    <w:rsid w:val="43DE09EE"/>
    <w:rsid w:val="43E0289B"/>
    <w:rsid w:val="44002FAD"/>
    <w:rsid w:val="449101DD"/>
    <w:rsid w:val="44DE1391"/>
    <w:rsid w:val="451B225C"/>
    <w:rsid w:val="452410C9"/>
    <w:rsid w:val="45317DFB"/>
    <w:rsid w:val="456D3CE4"/>
    <w:rsid w:val="4579042C"/>
    <w:rsid w:val="457F0571"/>
    <w:rsid w:val="45851176"/>
    <w:rsid w:val="45961EAB"/>
    <w:rsid w:val="45986196"/>
    <w:rsid w:val="45C63B94"/>
    <w:rsid w:val="460E7DA5"/>
    <w:rsid w:val="46213DCB"/>
    <w:rsid w:val="46422483"/>
    <w:rsid w:val="4659254A"/>
    <w:rsid w:val="465B0637"/>
    <w:rsid w:val="465E3F0D"/>
    <w:rsid w:val="466A16E6"/>
    <w:rsid w:val="467836EC"/>
    <w:rsid w:val="46893F2B"/>
    <w:rsid w:val="46C4686E"/>
    <w:rsid w:val="477B778F"/>
    <w:rsid w:val="478203EC"/>
    <w:rsid w:val="47B025FA"/>
    <w:rsid w:val="4809698F"/>
    <w:rsid w:val="4811697D"/>
    <w:rsid w:val="487A3E25"/>
    <w:rsid w:val="488B5503"/>
    <w:rsid w:val="48937E21"/>
    <w:rsid w:val="489A0361"/>
    <w:rsid w:val="48B94FF3"/>
    <w:rsid w:val="48BA7E3F"/>
    <w:rsid w:val="48E37AAB"/>
    <w:rsid w:val="48FD4B4C"/>
    <w:rsid w:val="490A68E0"/>
    <w:rsid w:val="491055FE"/>
    <w:rsid w:val="495F5B3E"/>
    <w:rsid w:val="496F77D7"/>
    <w:rsid w:val="497654FD"/>
    <w:rsid w:val="49B64211"/>
    <w:rsid w:val="49F6167F"/>
    <w:rsid w:val="49FB1AAF"/>
    <w:rsid w:val="4A064FA0"/>
    <w:rsid w:val="4A16615C"/>
    <w:rsid w:val="4A4424D7"/>
    <w:rsid w:val="4A636288"/>
    <w:rsid w:val="4A65468D"/>
    <w:rsid w:val="4A8C08A7"/>
    <w:rsid w:val="4AA67659"/>
    <w:rsid w:val="4AB75F76"/>
    <w:rsid w:val="4AB82D0F"/>
    <w:rsid w:val="4AEB7664"/>
    <w:rsid w:val="4AFD7C19"/>
    <w:rsid w:val="4B0567D1"/>
    <w:rsid w:val="4B236AAE"/>
    <w:rsid w:val="4B707271"/>
    <w:rsid w:val="4B9739F7"/>
    <w:rsid w:val="4BDE2633"/>
    <w:rsid w:val="4BDF6FF3"/>
    <w:rsid w:val="4BEE2503"/>
    <w:rsid w:val="4C245A30"/>
    <w:rsid w:val="4C922734"/>
    <w:rsid w:val="4CB6685F"/>
    <w:rsid w:val="4CC367FE"/>
    <w:rsid w:val="4CC82898"/>
    <w:rsid w:val="4D077F3C"/>
    <w:rsid w:val="4D123355"/>
    <w:rsid w:val="4D2A3B31"/>
    <w:rsid w:val="4D312C52"/>
    <w:rsid w:val="4D905305"/>
    <w:rsid w:val="4D964A72"/>
    <w:rsid w:val="4D9C1254"/>
    <w:rsid w:val="4E793892"/>
    <w:rsid w:val="4E800872"/>
    <w:rsid w:val="4EC569ED"/>
    <w:rsid w:val="4ED50EA1"/>
    <w:rsid w:val="4EEC050C"/>
    <w:rsid w:val="4F104EC3"/>
    <w:rsid w:val="4F1F30BF"/>
    <w:rsid w:val="4F47354A"/>
    <w:rsid w:val="4F911C54"/>
    <w:rsid w:val="4FE625E0"/>
    <w:rsid w:val="4FF119EE"/>
    <w:rsid w:val="5021480F"/>
    <w:rsid w:val="5051120D"/>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420DD8"/>
    <w:rsid w:val="534B3987"/>
    <w:rsid w:val="53544462"/>
    <w:rsid w:val="535B7065"/>
    <w:rsid w:val="5397158E"/>
    <w:rsid w:val="53E80EAF"/>
    <w:rsid w:val="54013861"/>
    <w:rsid w:val="54487265"/>
    <w:rsid w:val="544D6070"/>
    <w:rsid w:val="54605E1E"/>
    <w:rsid w:val="547E06E1"/>
    <w:rsid w:val="54B3506A"/>
    <w:rsid w:val="54CA0D16"/>
    <w:rsid w:val="54DD4057"/>
    <w:rsid w:val="54E7490F"/>
    <w:rsid w:val="550764A4"/>
    <w:rsid w:val="550B2BF6"/>
    <w:rsid w:val="55214EB5"/>
    <w:rsid w:val="55281A3E"/>
    <w:rsid w:val="55364EFD"/>
    <w:rsid w:val="555D4828"/>
    <w:rsid w:val="55676B0F"/>
    <w:rsid w:val="557A4C8B"/>
    <w:rsid w:val="558931E1"/>
    <w:rsid w:val="55923347"/>
    <w:rsid w:val="55925180"/>
    <w:rsid w:val="55983B1B"/>
    <w:rsid w:val="55A0213D"/>
    <w:rsid w:val="55A8376B"/>
    <w:rsid w:val="55DC29B6"/>
    <w:rsid w:val="55DD4241"/>
    <w:rsid w:val="565904F4"/>
    <w:rsid w:val="566B6D1E"/>
    <w:rsid w:val="566E00E5"/>
    <w:rsid w:val="57032A2C"/>
    <w:rsid w:val="57036A09"/>
    <w:rsid w:val="570F5219"/>
    <w:rsid w:val="575D12B5"/>
    <w:rsid w:val="57610A87"/>
    <w:rsid w:val="577B1140"/>
    <w:rsid w:val="577B7F21"/>
    <w:rsid w:val="577F181B"/>
    <w:rsid w:val="57921984"/>
    <w:rsid w:val="579737F0"/>
    <w:rsid w:val="57AB7B30"/>
    <w:rsid w:val="57AF5251"/>
    <w:rsid w:val="57B26373"/>
    <w:rsid w:val="57B62B73"/>
    <w:rsid w:val="57B63F04"/>
    <w:rsid w:val="57CD20C2"/>
    <w:rsid w:val="57D675AB"/>
    <w:rsid w:val="57D95FDD"/>
    <w:rsid w:val="585B72FD"/>
    <w:rsid w:val="58917D2F"/>
    <w:rsid w:val="5894085C"/>
    <w:rsid w:val="58AE4F0C"/>
    <w:rsid w:val="58B85899"/>
    <w:rsid w:val="58DB01DA"/>
    <w:rsid w:val="58E363A9"/>
    <w:rsid w:val="595E1678"/>
    <w:rsid w:val="596D5BD4"/>
    <w:rsid w:val="597E3DD8"/>
    <w:rsid w:val="59F80043"/>
    <w:rsid w:val="59FE7EA1"/>
    <w:rsid w:val="5A09252F"/>
    <w:rsid w:val="5A0B2778"/>
    <w:rsid w:val="5A177E24"/>
    <w:rsid w:val="5A2A7C7B"/>
    <w:rsid w:val="5A3C4F0B"/>
    <w:rsid w:val="5A3E2560"/>
    <w:rsid w:val="5A5D3B6E"/>
    <w:rsid w:val="5A637A76"/>
    <w:rsid w:val="5A6D33BA"/>
    <w:rsid w:val="5A792B1F"/>
    <w:rsid w:val="5A874767"/>
    <w:rsid w:val="5AAD6F28"/>
    <w:rsid w:val="5AD63A24"/>
    <w:rsid w:val="5B2E1A1D"/>
    <w:rsid w:val="5B475B1B"/>
    <w:rsid w:val="5B843A1C"/>
    <w:rsid w:val="5B873E3F"/>
    <w:rsid w:val="5BF16757"/>
    <w:rsid w:val="5C02690E"/>
    <w:rsid w:val="5C196DA7"/>
    <w:rsid w:val="5C2A048C"/>
    <w:rsid w:val="5C80234E"/>
    <w:rsid w:val="5C8A680C"/>
    <w:rsid w:val="5D0B2E11"/>
    <w:rsid w:val="5D0C4701"/>
    <w:rsid w:val="5D0F0395"/>
    <w:rsid w:val="5D221076"/>
    <w:rsid w:val="5D397964"/>
    <w:rsid w:val="5D5A391C"/>
    <w:rsid w:val="5D5F10C0"/>
    <w:rsid w:val="5D6F7D9B"/>
    <w:rsid w:val="5D891B7B"/>
    <w:rsid w:val="5DAD38EE"/>
    <w:rsid w:val="5DE32B9E"/>
    <w:rsid w:val="5E006862"/>
    <w:rsid w:val="5E0207B9"/>
    <w:rsid w:val="5E1834A1"/>
    <w:rsid w:val="5E261785"/>
    <w:rsid w:val="5E4A7017"/>
    <w:rsid w:val="5E552BBA"/>
    <w:rsid w:val="5E611C10"/>
    <w:rsid w:val="5EB81AB2"/>
    <w:rsid w:val="5ED46B96"/>
    <w:rsid w:val="5EE264D7"/>
    <w:rsid w:val="5EFC7377"/>
    <w:rsid w:val="5F06174D"/>
    <w:rsid w:val="5F244985"/>
    <w:rsid w:val="5F393330"/>
    <w:rsid w:val="5F3A3602"/>
    <w:rsid w:val="5F6277C6"/>
    <w:rsid w:val="5F6D0B1D"/>
    <w:rsid w:val="5F8D0B82"/>
    <w:rsid w:val="5F95709D"/>
    <w:rsid w:val="5FCC5339"/>
    <w:rsid w:val="5FE34A5B"/>
    <w:rsid w:val="5FFE1E36"/>
    <w:rsid w:val="60232584"/>
    <w:rsid w:val="607330CE"/>
    <w:rsid w:val="60825176"/>
    <w:rsid w:val="60872221"/>
    <w:rsid w:val="609A1B34"/>
    <w:rsid w:val="609F2AC4"/>
    <w:rsid w:val="60FA2EE8"/>
    <w:rsid w:val="61054A27"/>
    <w:rsid w:val="610A52BC"/>
    <w:rsid w:val="611D2366"/>
    <w:rsid w:val="612001BF"/>
    <w:rsid w:val="61421856"/>
    <w:rsid w:val="615227C4"/>
    <w:rsid w:val="61654E3F"/>
    <w:rsid w:val="6182292A"/>
    <w:rsid w:val="61964BE8"/>
    <w:rsid w:val="619A58FC"/>
    <w:rsid w:val="619F7F92"/>
    <w:rsid w:val="61F94C26"/>
    <w:rsid w:val="62000E56"/>
    <w:rsid w:val="624F3E49"/>
    <w:rsid w:val="62632286"/>
    <w:rsid w:val="62885958"/>
    <w:rsid w:val="62CB4988"/>
    <w:rsid w:val="62D33D0E"/>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75161C"/>
    <w:rsid w:val="65854376"/>
    <w:rsid w:val="658767BE"/>
    <w:rsid w:val="65892531"/>
    <w:rsid w:val="659646C6"/>
    <w:rsid w:val="65EE3D02"/>
    <w:rsid w:val="660B0A54"/>
    <w:rsid w:val="66195831"/>
    <w:rsid w:val="662E75B1"/>
    <w:rsid w:val="66342C2E"/>
    <w:rsid w:val="663E784C"/>
    <w:rsid w:val="668B6A45"/>
    <w:rsid w:val="669C1C56"/>
    <w:rsid w:val="672F3F24"/>
    <w:rsid w:val="673E055F"/>
    <w:rsid w:val="67551CE3"/>
    <w:rsid w:val="679274BB"/>
    <w:rsid w:val="67A22552"/>
    <w:rsid w:val="67B22DCC"/>
    <w:rsid w:val="67BE71AA"/>
    <w:rsid w:val="67D90273"/>
    <w:rsid w:val="67DA3872"/>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1E5850"/>
    <w:rsid w:val="6A2406C8"/>
    <w:rsid w:val="6A742ED1"/>
    <w:rsid w:val="6A903B6C"/>
    <w:rsid w:val="6A9A4F7B"/>
    <w:rsid w:val="6ABD0720"/>
    <w:rsid w:val="6ADE0BD1"/>
    <w:rsid w:val="6AE96859"/>
    <w:rsid w:val="6B147746"/>
    <w:rsid w:val="6B192AC9"/>
    <w:rsid w:val="6B24787C"/>
    <w:rsid w:val="6B573233"/>
    <w:rsid w:val="6B5B6274"/>
    <w:rsid w:val="6B935D53"/>
    <w:rsid w:val="6BD65D21"/>
    <w:rsid w:val="6BE751D7"/>
    <w:rsid w:val="6C0B7E3D"/>
    <w:rsid w:val="6C196F71"/>
    <w:rsid w:val="6C226FCB"/>
    <w:rsid w:val="6C31226F"/>
    <w:rsid w:val="6C5410BD"/>
    <w:rsid w:val="6C552F0B"/>
    <w:rsid w:val="6C8C67B7"/>
    <w:rsid w:val="6C9D744C"/>
    <w:rsid w:val="6D0042D0"/>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5B5077"/>
    <w:rsid w:val="707723D0"/>
    <w:rsid w:val="70A01F20"/>
    <w:rsid w:val="70F5661B"/>
    <w:rsid w:val="71360107"/>
    <w:rsid w:val="713B688E"/>
    <w:rsid w:val="71641871"/>
    <w:rsid w:val="71D43752"/>
    <w:rsid w:val="71F1796A"/>
    <w:rsid w:val="72154626"/>
    <w:rsid w:val="72262B5D"/>
    <w:rsid w:val="72283FF7"/>
    <w:rsid w:val="722E7212"/>
    <w:rsid w:val="723A0474"/>
    <w:rsid w:val="725923E4"/>
    <w:rsid w:val="72864BF7"/>
    <w:rsid w:val="729023FC"/>
    <w:rsid w:val="73C0646E"/>
    <w:rsid w:val="740946BB"/>
    <w:rsid w:val="742222F5"/>
    <w:rsid w:val="74476126"/>
    <w:rsid w:val="74706664"/>
    <w:rsid w:val="747F3682"/>
    <w:rsid w:val="749C4185"/>
    <w:rsid w:val="74CD0A59"/>
    <w:rsid w:val="74E40C41"/>
    <w:rsid w:val="75067759"/>
    <w:rsid w:val="752E6DCD"/>
    <w:rsid w:val="7551380D"/>
    <w:rsid w:val="75600BE5"/>
    <w:rsid w:val="7564475C"/>
    <w:rsid w:val="7583797F"/>
    <w:rsid w:val="75A40D83"/>
    <w:rsid w:val="75CA75B8"/>
    <w:rsid w:val="75D20F1D"/>
    <w:rsid w:val="75D53498"/>
    <w:rsid w:val="75D53C7D"/>
    <w:rsid w:val="75DA2C18"/>
    <w:rsid w:val="75F54412"/>
    <w:rsid w:val="761D08E0"/>
    <w:rsid w:val="765D347C"/>
    <w:rsid w:val="76826699"/>
    <w:rsid w:val="76C87133"/>
    <w:rsid w:val="76CD08D5"/>
    <w:rsid w:val="76DB4B92"/>
    <w:rsid w:val="77021580"/>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A7B2C"/>
    <w:rsid w:val="797E66A9"/>
    <w:rsid w:val="79A34BF5"/>
    <w:rsid w:val="79A97383"/>
    <w:rsid w:val="79AB552B"/>
    <w:rsid w:val="79B1056B"/>
    <w:rsid w:val="79E27E8B"/>
    <w:rsid w:val="79F43006"/>
    <w:rsid w:val="79F850CE"/>
    <w:rsid w:val="79FA36CE"/>
    <w:rsid w:val="79FD443C"/>
    <w:rsid w:val="7A0A2A8C"/>
    <w:rsid w:val="7A1D1975"/>
    <w:rsid w:val="7A3E5150"/>
    <w:rsid w:val="7A4670D6"/>
    <w:rsid w:val="7A534B63"/>
    <w:rsid w:val="7A615382"/>
    <w:rsid w:val="7A67303B"/>
    <w:rsid w:val="7A7544A4"/>
    <w:rsid w:val="7AAB1D04"/>
    <w:rsid w:val="7ABA4368"/>
    <w:rsid w:val="7AD05746"/>
    <w:rsid w:val="7B257FFD"/>
    <w:rsid w:val="7B34094E"/>
    <w:rsid w:val="7B343476"/>
    <w:rsid w:val="7B5A2978"/>
    <w:rsid w:val="7B5A7E4C"/>
    <w:rsid w:val="7B667AF9"/>
    <w:rsid w:val="7B6B3E34"/>
    <w:rsid w:val="7B7468F8"/>
    <w:rsid w:val="7BCA7C1D"/>
    <w:rsid w:val="7BEE0103"/>
    <w:rsid w:val="7C0A0FE4"/>
    <w:rsid w:val="7C254906"/>
    <w:rsid w:val="7C590818"/>
    <w:rsid w:val="7C736D92"/>
    <w:rsid w:val="7C7C10F6"/>
    <w:rsid w:val="7C853BEA"/>
    <w:rsid w:val="7C881368"/>
    <w:rsid w:val="7CE27788"/>
    <w:rsid w:val="7CEA7CC8"/>
    <w:rsid w:val="7D0C32F1"/>
    <w:rsid w:val="7D0F408D"/>
    <w:rsid w:val="7D491C6C"/>
    <w:rsid w:val="7D5429C0"/>
    <w:rsid w:val="7D6E6D43"/>
    <w:rsid w:val="7DAF042F"/>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199"/>
    <w:autoRedefine/>
    <w:qFormat/>
    <w:uiPriority w:val="0"/>
    <w:pPr>
      <w:shd w:val="clear" w:color="auto" w:fill="000080"/>
    </w:pPr>
  </w:style>
  <w:style w:type="paragraph" w:styleId="20">
    <w:name w:val="annotation text"/>
    <w:basedOn w:val="1"/>
    <w:link w:val="341"/>
    <w:autoRedefine/>
    <w:qFormat/>
    <w:uiPriority w:val="99"/>
    <w:pPr>
      <w:jc w:val="left"/>
    </w:pPr>
  </w:style>
  <w:style w:type="paragraph" w:styleId="21">
    <w:name w:val="Salutation"/>
    <w:basedOn w:val="1"/>
    <w:next w:val="1"/>
    <w:link w:val="295"/>
    <w:autoRedefine/>
    <w:qFormat/>
    <w:uiPriority w:val="0"/>
    <w:rPr>
      <w:rFonts w:ascii="仿宋_GB2312" w:eastAsia="仿宋_GB2312"/>
      <w:sz w:val="28"/>
      <w:szCs w:val="20"/>
    </w:rPr>
  </w:style>
  <w:style w:type="paragraph" w:styleId="22">
    <w:name w:val="Body Text 3"/>
    <w:basedOn w:val="1"/>
    <w:link w:val="32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8"/>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Body Text Indent"/>
    <w:basedOn w:val="1"/>
    <w:link w:val="262"/>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78"/>
    <w:autoRedefine/>
    <w:qFormat/>
    <w:uiPriority w:val="0"/>
    <w:pPr>
      <w:ind w:left="100" w:leftChars="2500"/>
    </w:pPr>
    <w:rPr>
      <w:rFonts w:ascii="宋体"/>
      <w:sz w:val="24"/>
      <w:szCs w:val="21"/>
      <w:lang w:val="zh-CN"/>
    </w:rPr>
  </w:style>
  <w:style w:type="paragraph" w:styleId="39">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29"/>
    <w:autoRedefine/>
    <w:qFormat/>
    <w:uiPriority w:val="0"/>
    <w:rPr>
      <w:lang w:val="zh-CN"/>
    </w:rPr>
  </w:style>
  <w:style w:type="paragraph" w:styleId="41">
    <w:name w:val="Balloon Text"/>
    <w:basedOn w:val="1"/>
    <w:link w:val="185"/>
    <w:autoRedefine/>
    <w:qFormat/>
    <w:uiPriority w:val="0"/>
    <w:rPr>
      <w:sz w:val="18"/>
      <w:szCs w:val="18"/>
    </w:rPr>
  </w:style>
  <w:style w:type="paragraph" w:styleId="42">
    <w:name w:val="footer"/>
    <w:basedOn w:val="1"/>
    <w:link w:val="380"/>
    <w:autoRedefine/>
    <w:qFormat/>
    <w:uiPriority w:val="99"/>
    <w:pPr>
      <w:tabs>
        <w:tab w:val="center" w:pos="4153"/>
        <w:tab w:val="right" w:pos="8306"/>
      </w:tabs>
      <w:snapToGrid w:val="0"/>
      <w:jc w:val="left"/>
    </w:pPr>
    <w:rPr>
      <w:sz w:val="18"/>
      <w:szCs w:val="18"/>
    </w:rPr>
  </w:style>
  <w:style w:type="paragraph" w:styleId="43">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6"/>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2"/>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299"/>
    <w:autoRedefine/>
    <w:qFormat/>
    <w:uiPriority w:val="0"/>
    <w:pPr>
      <w:spacing w:after="120" w:line="480" w:lineRule="auto"/>
    </w:pPr>
  </w:style>
  <w:style w:type="paragraph" w:styleId="58">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annotation subject"/>
    <w:basedOn w:val="20"/>
    <w:next w:val="20"/>
    <w:link w:val="93"/>
    <w:autoRedefine/>
    <w:qFormat/>
    <w:uiPriority w:val="0"/>
    <w:rPr>
      <w:b/>
      <w:bCs/>
    </w:rPr>
  </w:style>
  <w:style w:type="paragraph" w:styleId="61">
    <w:name w:val="Body Text First Indent 2"/>
    <w:basedOn w:val="27"/>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9"/>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9"/>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4"/>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8"/>
    <w:autoRedefine/>
    <w:qFormat/>
    <w:uiPriority w:val="0"/>
    <w:rPr>
      <w:rFonts w:ascii="宋体"/>
      <w:kern w:val="2"/>
      <w:sz w:val="24"/>
      <w:szCs w:val="21"/>
      <w:lang w:val="zh-CN"/>
    </w:rPr>
  </w:style>
  <w:style w:type="character" w:customStyle="1" w:styleId="179">
    <w:name w:val="标题 9 Char"/>
    <w:link w:val="12"/>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41"/>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9"/>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2"/>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7"/>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7"/>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7"/>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2"/>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8"/>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1"/>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8"/>
    <w:autoRedefine/>
    <w:qFormat/>
    <w:uiPriority w:val="0"/>
    <w:rPr>
      <w:rFonts w:ascii="黑体" w:hAnsi="Courier New" w:eastAsia="黑体"/>
    </w:rPr>
  </w:style>
  <w:style w:type="character" w:customStyle="1" w:styleId="299">
    <w:name w:val="正文文本 2 Char1"/>
    <w:link w:val="57"/>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7"/>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0"/>
    <w:autoRedefine/>
    <w:qFormat/>
    <w:uiPriority w:val="0"/>
    <w:rPr>
      <w:b/>
      <w:bCs/>
      <w:kern w:val="2"/>
      <w:sz w:val="24"/>
      <w:szCs w:val="24"/>
    </w:rPr>
  </w:style>
  <w:style w:type="character" w:customStyle="1" w:styleId="305">
    <w:name w:val="正文文本缩进 2 Char"/>
    <w:link w:val="39"/>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2"/>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5"/>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7"/>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2"/>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autoRedefine/>
    <w:qFormat/>
    <w:uiPriority w:val="0"/>
    <w:rPr>
      <w:kern w:val="2"/>
      <w:sz w:val="21"/>
      <w:szCs w:val="24"/>
    </w:rPr>
  </w:style>
  <w:style w:type="character" w:customStyle="1" w:styleId="342">
    <w:name w:val="签名 Char"/>
    <w:link w:val="44"/>
    <w:autoRedefine/>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2"/>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3"/>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6"/>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5"/>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8"/>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autoRedefine/>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永嘉县财政局</Company>
  <Pages>115</Pages>
  <Words>3983</Words>
  <Characters>4487</Characters>
  <Lines>287</Lines>
  <Paragraphs>81</Paragraphs>
  <TotalTime>54</TotalTime>
  <ScaleCrop>false</ScaleCrop>
  <LinksUpToDate>false</LinksUpToDate>
  <CharactersWithSpaces>4823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dc:creator>
  <cp:lastModifiedBy>冬冬</cp:lastModifiedBy>
  <cp:lastPrinted>2024-10-25T06:51:00Z</cp:lastPrinted>
  <dcterms:modified xsi:type="dcterms:W3CDTF">2024-11-08T07:46:59Z</dcterms:modified>
  <dc:title>永嘉县财政局采监科</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FA8B99894F6A4ECCA571DC74981DE787_13</vt:lpwstr>
  </property>
</Properties>
</file>