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60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6"/>
      </w:tblGrid>
      <w:tr w14:paraId="5A9A82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trPr>
        <w:tc>
          <w:tcPr>
            <w:tcW w:w="9606" w:type="dxa"/>
          </w:tcPr>
          <w:p w14:paraId="77EFE54E">
            <w:pPr>
              <w:tabs>
                <w:tab w:val="left" w:pos="8375"/>
              </w:tabs>
              <w:rPr>
                <w:rFonts w:ascii="宋体" w:hAnsi="宋体" w:cs="宋体"/>
                <w:b/>
                <w:sz w:val="36"/>
              </w:rPr>
            </w:pPr>
          </w:p>
          <w:p w14:paraId="493CCD02">
            <w:pPr>
              <w:spacing w:line="840" w:lineRule="auto"/>
              <w:jc w:val="center"/>
              <w:rPr>
                <w:rFonts w:ascii="宋体" w:hAnsi="宋体"/>
                <w:sz w:val="72"/>
                <w:szCs w:val="72"/>
              </w:rPr>
            </w:pPr>
            <w:r>
              <w:rPr>
                <w:rFonts w:hint="eastAsia" w:ascii="宋体" w:hAnsi="宋体"/>
                <w:sz w:val="72"/>
                <w:szCs w:val="72"/>
              </w:rPr>
              <w:t>苍 南 县 政 府 采 购</w:t>
            </w:r>
          </w:p>
          <w:p w14:paraId="3C91A051">
            <w:pPr>
              <w:jc w:val="center"/>
              <w:rPr>
                <w:rFonts w:ascii="宋体" w:hAnsi="宋体" w:cs="宋体"/>
                <w:bCs/>
                <w:color w:val="000000"/>
                <w:spacing w:val="136"/>
                <w:sz w:val="72"/>
                <w:szCs w:val="72"/>
              </w:rPr>
            </w:pPr>
            <w:r>
              <w:rPr>
                <w:rFonts w:hint="eastAsia" w:ascii="宋体" w:hAnsi="宋体"/>
                <w:sz w:val="72"/>
                <w:szCs w:val="72"/>
              </w:rPr>
              <w:t>公开招标采购文件</w:t>
            </w:r>
          </w:p>
          <w:p w14:paraId="39C00E0E">
            <w:pPr>
              <w:spacing w:line="440" w:lineRule="exact"/>
              <w:ind w:left="1148"/>
              <w:rPr>
                <w:rFonts w:ascii="宋体" w:hAnsi="宋体" w:cs="宋体"/>
                <w:b/>
                <w:bCs/>
                <w:sz w:val="28"/>
              </w:rPr>
            </w:pPr>
          </w:p>
          <w:p w14:paraId="17E805A2">
            <w:pPr>
              <w:pStyle w:val="5"/>
            </w:pPr>
          </w:p>
          <w:p w14:paraId="3B2CC376">
            <w:pPr>
              <w:spacing w:line="440" w:lineRule="exact"/>
              <w:rPr>
                <w:rFonts w:hint="eastAsia" w:ascii="宋体" w:hAnsi="宋体" w:eastAsia="宋体" w:cs="宋体"/>
                <w:b/>
                <w:bCs/>
                <w:sz w:val="28"/>
                <w:szCs w:val="28"/>
                <w:lang w:eastAsia="zh-CN"/>
              </w:rPr>
            </w:pPr>
            <w:r>
              <w:rPr>
                <w:rFonts w:hint="eastAsia" w:ascii="宋体" w:hAnsi="宋体" w:cs="宋体"/>
                <w:b/>
                <w:sz w:val="28"/>
                <w:szCs w:val="28"/>
                <w:u w:color="800080"/>
              </w:rPr>
              <w:t xml:space="preserve">          项目名称：</w:t>
            </w:r>
            <w:r>
              <w:rPr>
                <w:rFonts w:hint="eastAsia" w:ascii="宋体" w:hAnsi="宋体" w:cs="宋体"/>
                <w:b/>
                <w:bCs/>
                <w:sz w:val="28"/>
                <w:szCs w:val="28"/>
                <w:lang w:eastAsia="zh-CN"/>
              </w:rPr>
              <w:t>2025年度苍南县藻溪镇保洁及绿化养护服务项目</w:t>
            </w:r>
          </w:p>
          <w:p w14:paraId="3F5354C4">
            <w:pPr>
              <w:spacing w:line="440" w:lineRule="exact"/>
              <w:rPr>
                <w:rFonts w:ascii="宋体" w:hAnsi="宋体" w:cs="宋体"/>
                <w:b/>
                <w:bCs/>
                <w:sz w:val="28"/>
                <w:szCs w:val="28"/>
              </w:rPr>
            </w:pPr>
            <w:r>
              <w:rPr>
                <w:rFonts w:hint="eastAsia" w:ascii="宋体" w:hAnsi="宋体" w:cs="宋体"/>
                <w:b/>
                <w:bCs/>
                <w:sz w:val="28"/>
                <w:szCs w:val="28"/>
              </w:rPr>
              <w:t xml:space="preserve">          采购方式：公开招标</w:t>
            </w:r>
          </w:p>
          <w:p w14:paraId="7AE7C74E">
            <w:pPr>
              <w:spacing w:line="440" w:lineRule="exact"/>
              <w:rPr>
                <w:rFonts w:ascii="宋体" w:hAnsi="宋体" w:cs="宋体"/>
                <w:b/>
                <w:bCs/>
                <w:sz w:val="28"/>
                <w:szCs w:val="28"/>
              </w:rPr>
            </w:pPr>
            <w:r>
              <w:rPr>
                <w:rFonts w:hint="eastAsia" w:ascii="宋体" w:hAnsi="宋体" w:cs="宋体"/>
                <w:b/>
                <w:bCs/>
                <w:sz w:val="28"/>
                <w:szCs w:val="28"/>
              </w:rPr>
              <w:t xml:space="preserve">          </w:t>
            </w:r>
          </w:p>
          <w:p w14:paraId="28D5EEF4">
            <w:pPr>
              <w:spacing w:line="440" w:lineRule="exact"/>
              <w:rPr>
                <w:rFonts w:ascii="宋体" w:hAnsi="宋体" w:cs="宋体"/>
                <w:b/>
                <w:sz w:val="28"/>
                <w:szCs w:val="28"/>
              </w:rPr>
            </w:pPr>
          </w:p>
          <w:p w14:paraId="323CC49C">
            <w:pPr>
              <w:spacing w:line="440" w:lineRule="exact"/>
              <w:ind w:left="3247" w:leftChars="860" w:hanging="1355" w:hangingChars="482"/>
              <w:rPr>
                <w:rFonts w:ascii="宋体" w:hAnsi="宋体" w:cs="宋体"/>
                <w:b/>
                <w:sz w:val="28"/>
                <w:szCs w:val="28"/>
              </w:rPr>
            </w:pPr>
          </w:p>
          <w:p w14:paraId="604F5077">
            <w:pPr>
              <w:spacing w:line="440" w:lineRule="exact"/>
              <w:ind w:firstLine="1816" w:firstLineChars="646"/>
              <w:rPr>
                <w:rFonts w:hint="eastAsia" w:ascii="宋体" w:hAnsi="宋体" w:eastAsia="宋体"/>
                <w:b/>
                <w:bCs/>
                <w:sz w:val="28"/>
                <w:szCs w:val="28"/>
                <w:lang w:eastAsia="zh-CN"/>
              </w:rPr>
            </w:pPr>
            <w:r>
              <w:rPr>
                <w:rFonts w:hint="eastAsia" w:ascii="宋体" w:hAnsi="宋体"/>
                <w:b/>
                <w:bCs/>
                <w:sz w:val="28"/>
                <w:szCs w:val="28"/>
              </w:rPr>
              <w:t>采 购 人：</w:t>
            </w:r>
            <w:r>
              <w:rPr>
                <w:rFonts w:hint="eastAsia" w:ascii="宋体" w:hAnsi="宋体"/>
                <w:b/>
                <w:bCs/>
                <w:sz w:val="28"/>
                <w:szCs w:val="28"/>
                <w:lang w:eastAsia="zh-CN"/>
              </w:rPr>
              <w:t>苍南县藻溪镇人民政府</w:t>
            </w:r>
          </w:p>
          <w:p w14:paraId="5DCEBD1F">
            <w:pPr>
              <w:spacing w:line="440" w:lineRule="exact"/>
              <w:ind w:firstLine="1816" w:firstLineChars="646"/>
              <w:rPr>
                <w:rFonts w:hint="default" w:ascii="宋体" w:hAnsi="宋体" w:eastAsia="宋体"/>
                <w:b/>
                <w:sz w:val="28"/>
                <w:szCs w:val="28"/>
                <w:lang w:val="en-US" w:eastAsia="zh-CN"/>
              </w:rPr>
            </w:pPr>
            <w:r>
              <w:rPr>
                <w:rFonts w:hint="eastAsia" w:ascii="宋体" w:hAnsi="宋体"/>
                <w:b/>
                <w:sz w:val="28"/>
                <w:szCs w:val="28"/>
              </w:rPr>
              <w:t>联 系 人：</w:t>
            </w:r>
            <w:r>
              <w:rPr>
                <w:rFonts w:hint="eastAsia" w:ascii="宋体" w:hAnsi="宋体"/>
                <w:b/>
                <w:sz w:val="28"/>
                <w:szCs w:val="28"/>
                <w:lang w:val="en-US" w:eastAsia="zh-CN"/>
              </w:rPr>
              <w:t>陈先生</w:t>
            </w:r>
          </w:p>
          <w:p w14:paraId="5F3A2A92">
            <w:pPr>
              <w:spacing w:line="440" w:lineRule="exact"/>
              <w:ind w:firstLine="1816" w:firstLineChars="646"/>
              <w:rPr>
                <w:rFonts w:ascii="宋体" w:hAnsi="宋体" w:cs="宋体"/>
                <w:b/>
                <w:sz w:val="28"/>
                <w:szCs w:val="28"/>
              </w:rPr>
            </w:pPr>
          </w:p>
          <w:p w14:paraId="55801AD9">
            <w:pPr>
              <w:spacing w:line="440" w:lineRule="exact"/>
              <w:rPr>
                <w:rFonts w:ascii="宋体" w:hAnsi="宋体" w:cs="宋体"/>
                <w:b/>
                <w:color w:val="000000"/>
                <w:sz w:val="28"/>
                <w:szCs w:val="28"/>
              </w:rPr>
            </w:pPr>
          </w:p>
          <w:p w14:paraId="2E92E1AE">
            <w:pPr>
              <w:spacing w:line="440" w:lineRule="exact"/>
              <w:rPr>
                <w:rFonts w:ascii="宋体" w:hAnsi="宋体" w:cs="宋体"/>
                <w:b/>
                <w:color w:val="000000"/>
                <w:sz w:val="28"/>
                <w:szCs w:val="28"/>
              </w:rPr>
            </w:pPr>
          </w:p>
          <w:p w14:paraId="53E8AACC">
            <w:pPr>
              <w:spacing w:line="440" w:lineRule="exact"/>
              <w:ind w:firstLine="1816" w:firstLineChars="646"/>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代理机构：</w:t>
            </w:r>
            <w:r>
              <w:rPr>
                <w:rFonts w:hint="eastAsia" w:ascii="宋体" w:hAnsi="宋体" w:cs="宋体"/>
                <w:b/>
                <w:color w:val="000000"/>
                <w:sz w:val="28"/>
                <w:szCs w:val="28"/>
                <w:lang w:eastAsia="zh-CN"/>
              </w:rPr>
              <w:t>浙江</w:t>
            </w:r>
            <w:r>
              <w:rPr>
                <w:rFonts w:hint="eastAsia" w:ascii="宋体" w:hAnsi="宋体" w:cs="宋体"/>
                <w:b/>
                <w:color w:val="000000"/>
                <w:sz w:val="28"/>
                <w:szCs w:val="28"/>
                <w:lang w:val="en-US" w:eastAsia="zh-CN"/>
              </w:rPr>
              <w:t>中驰工程项目管理有限公司</w:t>
            </w:r>
          </w:p>
          <w:p w14:paraId="1FED451B">
            <w:pPr>
              <w:spacing w:line="440" w:lineRule="exact"/>
              <w:ind w:firstLine="1816" w:firstLineChars="64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val="en-US" w:eastAsia="zh-CN"/>
              </w:rPr>
              <w:t>陈先生</w:t>
            </w:r>
          </w:p>
          <w:p w14:paraId="6C80CCFC">
            <w:pPr>
              <w:spacing w:line="440" w:lineRule="exact"/>
              <w:ind w:firstLine="1816" w:firstLineChars="646"/>
              <w:rPr>
                <w:rFonts w:hint="default" w:ascii="宋体" w:hAnsi="宋体" w:eastAsia="宋体" w:cs="宋体"/>
                <w:b/>
                <w:color w:val="000000"/>
                <w:sz w:val="28"/>
                <w:szCs w:val="28"/>
                <w:lang w:val="en-US" w:eastAsia="zh-CN"/>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0577-</w:t>
            </w:r>
            <w:r>
              <w:rPr>
                <w:rFonts w:hint="eastAsia" w:ascii="宋体" w:hAnsi="宋体" w:cs="宋体"/>
                <w:b/>
                <w:color w:val="000000"/>
                <w:sz w:val="28"/>
                <w:szCs w:val="28"/>
                <w:lang w:val="en-US" w:eastAsia="zh-CN"/>
              </w:rPr>
              <w:t>59878759</w:t>
            </w:r>
          </w:p>
          <w:p w14:paraId="001AC828">
            <w:pPr>
              <w:spacing w:line="440" w:lineRule="exact"/>
              <w:ind w:firstLine="1816" w:firstLineChars="646"/>
              <w:rPr>
                <w:rFonts w:ascii="宋体" w:hAnsi="宋体" w:cs="宋体"/>
                <w:b/>
                <w:color w:val="000000"/>
                <w:sz w:val="28"/>
                <w:szCs w:val="28"/>
              </w:rPr>
            </w:pPr>
          </w:p>
          <w:p w14:paraId="1E7D4BD9">
            <w:pPr>
              <w:spacing w:line="440" w:lineRule="exact"/>
              <w:ind w:firstLine="1816" w:firstLineChars="646"/>
              <w:rPr>
                <w:rFonts w:ascii="宋体" w:hAnsi="宋体" w:cs="宋体"/>
                <w:b/>
                <w:color w:val="000000"/>
                <w:sz w:val="28"/>
                <w:szCs w:val="28"/>
              </w:rPr>
            </w:pPr>
          </w:p>
          <w:p w14:paraId="47D388D8">
            <w:pPr>
              <w:spacing w:line="440" w:lineRule="exact"/>
              <w:rPr>
                <w:rFonts w:ascii="宋体" w:hAnsi="宋体" w:cs="宋体"/>
                <w:b/>
                <w:color w:val="000000"/>
                <w:sz w:val="28"/>
                <w:szCs w:val="28"/>
              </w:rPr>
            </w:pPr>
          </w:p>
          <w:p w14:paraId="1935937F">
            <w:pPr>
              <w:pStyle w:val="22"/>
              <w:ind w:left="103" w:leftChars="47" w:firstLine="42" w:firstLineChars="15"/>
              <w:jc w:val="center"/>
              <w:rPr>
                <w:rFonts w:ascii="宋体" w:hAnsi="宋体" w:cs="宋体"/>
                <w:b/>
                <w:sz w:val="30"/>
                <w:szCs w:val="30"/>
              </w:rPr>
            </w:pPr>
            <w:r>
              <w:rPr>
                <w:rFonts w:hint="eastAsia" w:ascii="宋体" w:hAnsi="宋体" w:cs="宋体"/>
                <w:b/>
                <w:sz w:val="28"/>
                <w:szCs w:val="28"/>
              </w:rPr>
              <w:t>监督机构：苍南县政府采购监督管理办公室</w:t>
            </w:r>
          </w:p>
          <w:p w14:paraId="37683E7D">
            <w:pPr>
              <w:ind w:firstLine="1791" w:firstLineChars="811"/>
              <w:rPr>
                <w:rFonts w:ascii="宋体" w:hAnsi="宋体" w:cs="宋体"/>
                <w:b/>
              </w:rPr>
            </w:pPr>
            <w:r>
              <w:rPr>
                <w:rFonts w:hint="eastAsia" w:ascii="宋体" w:hAnsi="宋体" w:cs="宋体"/>
                <w:b/>
              </w:rPr>
              <w:t xml:space="preserve">                                         </w:t>
            </w:r>
          </w:p>
          <w:p w14:paraId="35320299">
            <w:pPr>
              <w:jc w:val="center"/>
              <w:rPr>
                <w:rFonts w:ascii="宋体" w:hAnsi="宋体" w:cs="宋体"/>
              </w:rPr>
            </w:pPr>
            <w:r>
              <w:rPr>
                <w:rFonts w:hint="eastAsia" w:ascii="宋体" w:hAnsi="宋体" w:cs="宋体"/>
                <w:b/>
                <w:sz w:val="30"/>
                <w:szCs w:val="30"/>
              </w:rPr>
              <w:t>二〇二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二</w:t>
            </w:r>
            <w:r>
              <w:rPr>
                <w:rFonts w:hint="eastAsia" w:ascii="宋体" w:hAnsi="宋体" w:cs="宋体"/>
                <w:b/>
                <w:sz w:val="30"/>
                <w:szCs w:val="30"/>
              </w:rPr>
              <w:t>月</w:t>
            </w:r>
          </w:p>
        </w:tc>
      </w:tr>
    </w:tbl>
    <w:p w14:paraId="190DA123">
      <w:pPr>
        <w:pStyle w:val="5"/>
        <w:spacing w:before="0" w:after="0"/>
        <w:rPr>
          <w:rFonts w:ascii="宋体" w:hAnsi="宋体" w:eastAsia="宋体" w:cs="宋体"/>
          <w:b w:val="0"/>
          <w:bCs/>
          <w:spacing w:val="0"/>
          <w:szCs w:val="22"/>
        </w:rPr>
        <w:sectPr>
          <w:headerReference r:id="rId3" w:type="even"/>
          <w:footerReference r:id="rId4" w:type="even"/>
          <w:pgSz w:w="11906" w:h="16838"/>
          <w:pgMar w:top="1191" w:right="1191" w:bottom="1191" w:left="1361" w:header="851" w:footer="992" w:gutter="0"/>
          <w:pgNumType w:fmt="decimal" w:start="0"/>
          <w:cols w:space="720" w:num="1"/>
          <w:titlePg/>
          <w:docGrid w:type="lines" w:linePitch="324" w:charSpace="0"/>
        </w:sectPr>
      </w:pPr>
      <w:bookmarkStart w:id="0" w:name="_Toc542"/>
      <w:bookmarkStart w:id="1" w:name="_Toc14741"/>
      <w:bookmarkStart w:id="2" w:name="_Toc31974"/>
      <w:bookmarkStart w:id="3" w:name="OLE_LINK25"/>
    </w:p>
    <w:p w14:paraId="3E1EB124">
      <w:pPr>
        <w:pStyle w:val="5"/>
        <w:spacing w:before="0" w:after="156" w:afterLines="50"/>
        <w:rPr>
          <w:rFonts w:ascii="宋体" w:hAnsi="宋体" w:eastAsia="宋体" w:cs="宋体"/>
          <w:bCs/>
          <w:spacing w:val="0"/>
        </w:rPr>
      </w:pPr>
      <w:bookmarkStart w:id="4" w:name="OLE_LINK1"/>
      <w:r>
        <w:rPr>
          <w:rFonts w:hint="eastAsia" w:ascii="宋体" w:hAnsi="宋体" w:eastAsia="宋体" w:cs="宋体"/>
          <w:bCs/>
          <w:spacing w:val="0"/>
          <w:sz w:val="30"/>
          <w:szCs w:val="30"/>
          <w:lang w:eastAsia="zh-CN"/>
        </w:rPr>
        <w:t>浙江中驰工程项目管理有限公司</w:t>
      </w:r>
      <w:r>
        <w:rPr>
          <w:rFonts w:hint="eastAsia" w:ascii="宋体" w:hAnsi="宋体" w:eastAsia="宋体" w:cs="宋体"/>
          <w:bCs/>
          <w:spacing w:val="0"/>
          <w:sz w:val="30"/>
          <w:szCs w:val="30"/>
        </w:rPr>
        <w:t>关于</w:t>
      </w:r>
      <w:r>
        <w:rPr>
          <w:rFonts w:hint="eastAsia" w:ascii="宋体" w:hAnsi="宋体" w:eastAsia="宋体" w:cs="宋体"/>
          <w:bCs/>
          <w:spacing w:val="0"/>
          <w:sz w:val="30"/>
          <w:szCs w:val="30"/>
          <w:lang w:eastAsia="zh-CN"/>
        </w:rPr>
        <w:t>2025年度苍南县藻溪镇保洁及绿化养护服务项目</w:t>
      </w:r>
      <w:r>
        <w:rPr>
          <w:rFonts w:hint="eastAsia" w:ascii="宋体" w:hAnsi="宋体" w:eastAsia="宋体" w:cs="宋体"/>
          <w:bCs/>
          <w:spacing w:val="0"/>
          <w:sz w:val="30"/>
          <w:szCs w:val="30"/>
        </w:rPr>
        <w:t>的公开招标公告</w:t>
      </w:r>
      <w:bookmarkEnd w:id="0"/>
      <w:bookmarkEnd w:id="1"/>
      <w:bookmarkEnd w:id="2"/>
      <w:r>
        <w:rPr>
          <w:rFonts w:hint="eastAsia" w:ascii="宋体" w:hAnsi="宋体" w:eastAsia="宋体"/>
          <w:color w:val="FF0000"/>
          <w:sz w:val="22"/>
          <w:szCs w:val="22"/>
        </w:rPr>
        <w:t xml:space="preserve"> </w:t>
      </w:r>
    </w:p>
    <w:p w14:paraId="11497B86">
      <w:pPr>
        <w:pBdr>
          <w:top w:val="single" w:color="auto" w:sz="4" w:space="1"/>
          <w:left w:val="single" w:color="auto" w:sz="4" w:space="4"/>
          <w:bottom w:val="single" w:color="auto" w:sz="4" w:space="1"/>
          <w:right w:val="single" w:color="auto" w:sz="4" w:space="5"/>
        </w:pBdr>
        <w:spacing w:line="420" w:lineRule="exact"/>
        <w:ind w:firstLine="442" w:firstLineChars="200"/>
        <w:rPr>
          <w:rFonts w:hint="eastAsia" w:cs="仿宋_GB2312" w:asciiTheme="minorEastAsia" w:hAnsiTheme="minorEastAsia" w:eastAsiaTheme="minorEastAsia"/>
          <w:bCs/>
          <w:szCs w:val="22"/>
          <w:u w:val="single"/>
          <w:lang w:eastAsia="zh-CN"/>
        </w:rPr>
      </w:pPr>
      <w:r>
        <w:rPr>
          <w:rFonts w:hint="eastAsia" w:asciiTheme="minorEastAsia" w:hAnsiTheme="minorEastAsia" w:eastAsiaTheme="minorEastAsia"/>
          <w:b/>
          <w:szCs w:val="22"/>
        </w:rPr>
        <w:t>项目概况</w:t>
      </w:r>
    </w:p>
    <w:p w14:paraId="22D912E9">
      <w:pPr>
        <w:pBdr>
          <w:top w:val="single" w:color="auto" w:sz="4" w:space="1"/>
          <w:left w:val="single" w:color="auto" w:sz="4" w:space="4"/>
          <w:bottom w:val="single" w:color="auto" w:sz="4" w:space="1"/>
          <w:right w:val="single" w:color="auto" w:sz="4" w:space="5"/>
        </w:pBdr>
        <w:spacing w:line="420" w:lineRule="exact"/>
        <w:ind w:firstLine="440" w:firstLineChars="200"/>
        <w:rPr>
          <w:rFonts w:asciiTheme="minorEastAsia" w:hAnsiTheme="minorEastAsia" w:eastAsiaTheme="minorEastAsia"/>
          <w:szCs w:val="22"/>
          <w:u w:val="single"/>
        </w:rPr>
      </w:pPr>
      <w:r>
        <w:rPr>
          <w:rFonts w:hint="eastAsia" w:cs="仿宋_GB2312" w:asciiTheme="minorEastAsia" w:hAnsiTheme="minorEastAsia" w:eastAsiaTheme="minorEastAsia"/>
          <w:bCs/>
          <w:szCs w:val="22"/>
          <w:u w:val="single"/>
          <w:lang w:eastAsia="zh-CN"/>
        </w:rPr>
        <w:t>2025年度苍南县藻溪镇保洁及绿化养护服务项目招标项目的潜在投标人应在政采云平台线上获取获取（下载）招标文件，并于2025</w:t>
      </w:r>
      <w:r>
        <w:rPr>
          <w:rFonts w:hint="eastAsia" w:cs="仿宋_GB2312" w:asciiTheme="minorEastAsia" w:hAnsiTheme="minorEastAsia" w:eastAsiaTheme="minorEastAsia"/>
          <w:bCs/>
          <w:szCs w:val="22"/>
          <w:highlight w:val="none"/>
          <w:u w:val="single"/>
          <w:lang w:eastAsia="zh-CN"/>
        </w:rPr>
        <w:t>年</w:t>
      </w:r>
      <w:r>
        <w:rPr>
          <w:rFonts w:hint="eastAsia" w:cs="仿宋_GB2312" w:asciiTheme="minorEastAsia" w:hAnsiTheme="minorEastAsia" w:eastAsiaTheme="minorEastAsia"/>
          <w:bCs/>
          <w:szCs w:val="22"/>
          <w:highlight w:val="none"/>
          <w:u w:val="single"/>
          <w:lang w:val="en-US" w:eastAsia="zh-CN"/>
        </w:rPr>
        <w:t>2</w:t>
      </w:r>
      <w:r>
        <w:rPr>
          <w:rFonts w:hint="eastAsia" w:cs="仿宋_GB2312" w:asciiTheme="minorEastAsia" w:hAnsiTheme="minorEastAsia" w:eastAsiaTheme="minorEastAsia"/>
          <w:bCs/>
          <w:szCs w:val="22"/>
          <w:highlight w:val="none"/>
          <w:u w:val="single"/>
          <w:lang w:eastAsia="zh-CN"/>
        </w:rPr>
        <w:t>月</w:t>
      </w:r>
      <w:r>
        <w:rPr>
          <w:rFonts w:hint="eastAsia" w:cs="仿宋_GB2312" w:asciiTheme="minorEastAsia" w:hAnsiTheme="minorEastAsia" w:eastAsiaTheme="minorEastAsia"/>
          <w:bCs/>
          <w:szCs w:val="22"/>
          <w:highlight w:val="none"/>
          <w:u w:val="single"/>
          <w:lang w:val="en-US" w:eastAsia="zh-CN"/>
        </w:rPr>
        <w:t>27</w:t>
      </w:r>
      <w:r>
        <w:rPr>
          <w:rFonts w:hint="eastAsia" w:cs="仿宋_GB2312" w:asciiTheme="minorEastAsia" w:hAnsiTheme="minorEastAsia" w:eastAsiaTheme="minorEastAsia"/>
          <w:bCs/>
          <w:szCs w:val="22"/>
          <w:highlight w:val="none"/>
          <w:u w:val="single"/>
          <w:lang w:eastAsia="zh-CN"/>
        </w:rPr>
        <w:t>日</w:t>
      </w:r>
      <w:r>
        <w:rPr>
          <w:rFonts w:hint="eastAsia" w:cs="仿宋_GB2312" w:asciiTheme="minorEastAsia" w:hAnsiTheme="minorEastAsia" w:eastAsiaTheme="minorEastAsia"/>
          <w:bCs/>
          <w:szCs w:val="22"/>
          <w:highlight w:val="none"/>
          <w:u w:val="single"/>
          <w:lang w:val="en-US" w:eastAsia="zh-CN"/>
        </w:rPr>
        <w:t>09</w:t>
      </w:r>
      <w:r>
        <w:rPr>
          <w:rFonts w:hint="eastAsia" w:cs="仿宋_GB2312" w:asciiTheme="minorEastAsia" w:hAnsiTheme="minorEastAsia" w:eastAsiaTheme="minorEastAsia"/>
          <w:bCs/>
          <w:szCs w:val="22"/>
          <w:u w:val="single"/>
          <w:lang w:eastAsia="zh-CN"/>
        </w:rPr>
        <w:t>:30（北京时间）前递交（上传）投标文件。</w:t>
      </w:r>
    </w:p>
    <w:bookmarkEnd w:id="4"/>
    <w:p w14:paraId="34BC4ABF">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ascii="微软雅黑" w:hAnsi="微软雅黑" w:eastAsia="微软雅黑" w:cs="微软雅黑"/>
          <w:b/>
          <w:bCs/>
          <w:i w:val="0"/>
          <w:iCs w:val="0"/>
          <w:caps w:val="0"/>
          <w:color w:val="000000"/>
          <w:spacing w:val="0"/>
          <w:sz w:val="24"/>
          <w:szCs w:val="24"/>
        </w:rPr>
        <w:t>一</w:t>
      </w:r>
      <w:r>
        <w:rPr>
          <w:rFonts w:hint="eastAsia" w:ascii="宋体" w:hAnsi="宋体" w:eastAsia="宋体" w:cs="宋体"/>
          <w:b/>
          <w:bCs/>
          <w:i w:val="0"/>
          <w:iCs w:val="0"/>
          <w:caps w:val="0"/>
          <w:color w:val="000000"/>
          <w:spacing w:val="0"/>
          <w:sz w:val="24"/>
          <w:szCs w:val="24"/>
        </w:rPr>
        <w:t>、项目基本情况</w:t>
      </w:r>
    </w:p>
    <w:p w14:paraId="42BADC1F">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项目编号：CNDL2025008</w:t>
      </w:r>
    </w:p>
    <w:p w14:paraId="76A6CD5D">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项目名称：</w:t>
      </w:r>
      <w:r>
        <w:rPr>
          <w:rFonts w:hint="eastAsia" w:ascii="宋体" w:hAnsi="宋体" w:eastAsia="宋体" w:cs="宋体"/>
          <w:i w:val="0"/>
          <w:iCs w:val="0"/>
          <w:caps w:val="0"/>
          <w:color w:val="000000"/>
          <w:spacing w:val="0"/>
          <w:sz w:val="24"/>
          <w:szCs w:val="24"/>
          <w:lang w:eastAsia="zh-CN"/>
        </w:rPr>
        <w:t>2025年度苍南县藻溪镇保洁及绿化养护服务项目</w:t>
      </w:r>
    </w:p>
    <w:p w14:paraId="662AEDA8">
      <w:pPr>
        <w:pStyle w:val="30"/>
        <w:keepNext w:val="0"/>
        <w:keepLines w:val="0"/>
        <w:widowControl/>
        <w:suppressLineNumbers w:val="0"/>
        <w:spacing w:before="0" w:beforeAutospacing="0" w:after="0" w:afterAutospacing="0"/>
        <w:ind w:left="0" w:right="0" w:firstLine="420"/>
        <w:rPr>
          <w:rFonts w:hint="default" w:ascii="宋体" w:hAnsi="宋体" w:eastAsia="宋体" w:cs="宋体"/>
          <w:lang w:val="en-US" w:eastAsia="zh-CN"/>
        </w:rPr>
      </w:pPr>
      <w:r>
        <w:rPr>
          <w:rFonts w:hint="eastAsia" w:ascii="宋体" w:hAnsi="宋体" w:eastAsia="宋体" w:cs="宋体"/>
          <w:i w:val="0"/>
          <w:iCs w:val="0"/>
          <w:caps w:val="0"/>
          <w:color w:val="000000"/>
          <w:spacing w:val="0"/>
          <w:sz w:val="24"/>
          <w:szCs w:val="24"/>
        </w:rPr>
        <w:t>预算金额（元）：</w:t>
      </w:r>
      <w:r>
        <w:rPr>
          <w:rFonts w:hint="eastAsia" w:ascii="宋体" w:hAnsi="宋体" w:eastAsia="宋体" w:cs="宋体"/>
          <w:i w:val="0"/>
          <w:iCs w:val="0"/>
          <w:caps w:val="0"/>
          <w:color w:val="000000"/>
          <w:spacing w:val="0"/>
          <w:sz w:val="24"/>
          <w:szCs w:val="24"/>
          <w:lang w:val="en-US" w:eastAsia="zh-CN"/>
        </w:rPr>
        <w:t>3458525</w:t>
      </w:r>
    </w:p>
    <w:p w14:paraId="3B790CE0">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最高限价（元）：</w:t>
      </w:r>
      <w:r>
        <w:rPr>
          <w:rFonts w:hint="eastAsia" w:ascii="宋体" w:hAnsi="宋体" w:eastAsia="宋体" w:cs="宋体"/>
          <w:i w:val="0"/>
          <w:iCs w:val="0"/>
          <w:caps w:val="0"/>
          <w:color w:val="000000"/>
          <w:spacing w:val="0"/>
          <w:sz w:val="24"/>
          <w:szCs w:val="24"/>
          <w:lang w:eastAsia="zh-CN"/>
        </w:rPr>
        <w:t>3458525</w:t>
      </w:r>
    </w:p>
    <w:p w14:paraId="554C44E9">
      <w:pPr>
        <w:keepNext w:val="0"/>
        <w:keepLines w:val="0"/>
        <w:widowControl/>
        <w:suppressLineNumbers w:val="0"/>
        <w:ind w:lef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采购需求：  </w:t>
      </w:r>
    </w:p>
    <w:p w14:paraId="01A9ABED">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标项名称：</w:t>
      </w:r>
      <w:r>
        <w:rPr>
          <w:rFonts w:hint="eastAsia" w:ascii="宋体" w:hAnsi="宋体" w:eastAsia="宋体" w:cs="宋体"/>
          <w:i w:val="0"/>
          <w:iCs w:val="0"/>
          <w:caps w:val="0"/>
          <w:color w:val="000000"/>
          <w:spacing w:val="0"/>
          <w:sz w:val="24"/>
          <w:szCs w:val="24"/>
          <w:lang w:eastAsia="zh-CN"/>
        </w:rPr>
        <w:t>2025年度苍南县藻溪镇保洁及绿化养护服务项目</w:t>
      </w:r>
      <w:r>
        <w:rPr>
          <w:rFonts w:hint="eastAsia" w:ascii="宋体" w:hAnsi="宋体" w:eastAsia="宋体" w:cs="宋体"/>
          <w:i w:val="0"/>
          <w:iCs w:val="0"/>
          <w:caps w:val="0"/>
          <w:color w:val="000000"/>
          <w:spacing w:val="0"/>
          <w:sz w:val="24"/>
          <w:szCs w:val="24"/>
        </w:rPr>
        <w:t>    </w:t>
      </w:r>
    </w:p>
    <w:p w14:paraId="1FB32C7F">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数量：不限    </w:t>
      </w:r>
    </w:p>
    <w:p w14:paraId="5EFF812B">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预算金额（元）：</w:t>
      </w:r>
      <w:r>
        <w:rPr>
          <w:rFonts w:hint="eastAsia" w:ascii="宋体" w:hAnsi="宋体" w:eastAsia="宋体" w:cs="宋体"/>
          <w:i w:val="0"/>
          <w:iCs w:val="0"/>
          <w:caps w:val="0"/>
          <w:color w:val="000000"/>
          <w:spacing w:val="0"/>
          <w:sz w:val="24"/>
          <w:szCs w:val="24"/>
          <w:lang w:eastAsia="zh-CN"/>
        </w:rPr>
        <w:t>3458525</w:t>
      </w:r>
      <w:r>
        <w:rPr>
          <w:rFonts w:hint="eastAsia" w:ascii="宋体" w:hAnsi="宋体" w:eastAsia="宋体" w:cs="宋体"/>
          <w:i w:val="0"/>
          <w:iCs w:val="0"/>
          <w:caps w:val="0"/>
          <w:color w:val="000000"/>
          <w:spacing w:val="0"/>
          <w:sz w:val="24"/>
          <w:szCs w:val="24"/>
        </w:rPr>
        <w:t>    </w:t>
      </w:r>
    </w:p>
    <w:p w14:paraId="0A3C800F">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简要规格描述或项目基本概况介绍、用途：详见</w:t>
      </w:r>
      <w:r>
        <w:rPr>
          <w:rFonts w:hint="eastAsia" w:ascii="宋体" w:hAnsi="宋体" w:eastAsia="宋体" w:cs="宋体"/>
          <w:i w:val="0"/>
          <w:iCs w:val="0"/>
          <w:caps w:val="0"/>
          <w:color w:val="000000"/>
          <w:spacing w:val="0"/>
          <w:sz w:val="24"/>
          <w:szCs w:val="24"/>
          <w:lang w:val="en-US" w:eastAsia="zh-CN"/>
        </w:rPr>
        <w:t>采购</w:t>
      </w:r>
      <w:r>
        <w:rPr>
          <w:rFonts w:hint="eastAsia" w:ascii="宋体" w:hAnsi="宋体" w:eastAsia="宋体" w:cs="宋体"/>
          <w:i w:val="0"/>
          <w:iCs w:val="0"/>
          <w:caps w:val="0"/>
          <w:color w:val="000000"/>
          <w:spacing w:val="0"/>
          <w:sz w:val="24"/>
          <w:szCs w:val="24"/>
        </w:rPr>
        <w:t>文件规定    </w:t>
      </w:r>
    </w:p>
    <w:p w14:paraId="3D0AFA18">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备注：    </w:t>
      </w:r>
    </w:p>
    <w:p w14:paraId="4B569D54">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合同履约期限：标项 1，1年</w:t>
      </w:r>
    </w:p>
    <w:p w14:paraId="1B8E1585">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本项目（否）接受联合体投标。</w:t>
      </w:r>
    </w:p>
    <w:p w14:paraId="3F7B8B79">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二、申请人的资格要求：</w:t>
      </w:r>
    </w:p>
    <w:p w14:paraId="7F909378">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A35527D">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2.落实政府采购政策需满足的资格要求：标项1：供应商为小型、微型企业、监狱企业、残疾人福利性单位</w:t>
      </w:r>
    </w:p>
    <w:p w14:paraId="03084AF1">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3.本项目的特定资格要求：无</w:t>
      </w:r>
    </w:p>
    <w:p w14:paraId="7F0676AF">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三、获取招标文件</w:t>
      </w:r>
    </w:p>
    <w:p w14:paraId="216F1903">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时间：</w:t>
      </w:r>
      <w:r>
        <w:rPr>
          <w:rFonts w:hint="eastAsia" w:ascii="宋体" w:hAnsi="宋体" w:eastAsia="宋体" w:cs="宋体"/>
          <w:i w:val="0"/>
          <w:iCs w:val="0"/>
          <w:caps w:val="0"/>
          <w:color w:val="000000"/>
          <w:spacing w:val="0"/>
          <w:sz w:val="24"/>
          <w:szCs w:val="24"/>
          <w:highlight w:val="none"/>
        </w:rPr>
        <w:t>/至2025年</w:t>
      </w: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月</w:t>
      </w:r>
      <w:r>
        <w:rPr>
          <w:rFonts w:hint="eastAsia" w:ascii="宋体" w:hAnsi="宋体" w:eastAsia="宋体" w:cs="宋体"/>
          <w:i w:val="0"/>
          <w:iCs w:val="0"/>
          <w:caps w:val="0"/>
          <w:color w:val="000000"/>
          <w:spacing w:val="0"/>
          <w:sz w:val="24"/>
          <w:szCs w:val="24"/>
          <w:highlight w:val="none"/>
          <w:lang w:val="en-US" w:eastAsia="zh-CN"/>
        </w:rPr>
        <w:t>27</w:t>
      </w:r>
      <w:r>
        <w:rPr>
          <w:rFonts w:hint="eastAsia" w:ascii="宋体" w:hAnsi="宋体" w:eastAsia="宋体" w:cs="宋体"/>
          <w:i w:val="0"/>
          <w:iCs w:val="0"/>
          <w:caps w:val="0"/>
          <w:color w:val="000000"/>
          <w:spacing w:val="0"/>
          <w:sz w:val="24"/>
          <w:szCs w:val="24"/>
          <w:highlight w:val="none"/>
        </w:rPr>
        <w:t>日 </w:t>
      </w:r>
      <w:r>
        <w:rPr>
          <w:rFonts w:hint="eastAsia" w:ascii="宋体" w:hAnsi="宋体" w:eastAsia="宋体" w:cs="宋体"/>
          <w:i w:val="0"/>
          <w:iCs w:val="0"/>
          <w:caps w:val="0"/>
          <w:color w:val="000000"/>
          <w:spacing w:val="0"/>
          <w:sz w:val="24"/>
          <w:szCs w:val="24"/>
        </w:rPr>
        <w:t>，每天上午00:00至12:00 ，下午12:00至23:59（北京时间，线上获取法定节假日均可，线下获取文件法定节假日除外）</w:t>
      </w:r>
    </w:p>
    <w:p w14:paraId="0ADD47A5">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地点（网址）：政采云平台线上获取</w:t>
      </w:r>
    </w:p>
    <w:p w14:paraId="6816C521">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4C5451E2">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售价（元）：0</w:t>
      </w:r>
    </w:p>
    <w:p w14:paraId="1E52B335">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i w:val="0"/>
          <w:iCs w:val="0"/>
          <w:caps w:val="0"/>
          <w:color w:val="000000"/>
          <w:spacing w:val="0"/>
          <w:sz w:val="24"/>
          <w:szCs w:val="24"/>
        </w:rPr>
        <w:t>四</w:t>
      </w:r>
      <w:r>
        <w:rPr>
          <w:rFonts w:hint="eastAsia" w:ascii="宋体" w:hAnsi="宋体" w:eastAsia="宋体" w:cs="宋体"/>
          <w:b/>
          <w:bCs/>
          <w:i w:val="0"/>
          <w:iCs w:val="0"/>
          <w:caps w:val="0"/>
          <w:color w:val="000000"/>
          <w:spacing w:val="0"/>
          <w:sz w:val="24"/>
          <w:szCs w:val="24"/>
          <w:highlight w:val="none"/>
        </w:rPr>
        <w:t>、提交投标文件截止时间、开标时间和地点</w:t>
      </w:r>
    </w:p>
    <w:p w14:paraId="69474CA0">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提交投标文件截止时间：2025年02月</w:t>
      </w:r>
      <w:r>
        <w:rPr>
          <w:rFonts w:hint="eastAsia" w:ascii="宋体" w:hAnsi="宋体" w:eastAsia="宋体" w:cs="宋体"/>
          <w:i w:val="0"/>
          <w:iCs w:val="0"/>
          <w:caps w:val="0"/>
          <w:color w:val="000000"/>
          <w:spacing w:val="0"/>
          <w:sz w:val="24"/>
          <w:szCs w:val="24"/>
          <w:highlight w:val="none"/>
          <w:lang w:val="en-US" w:eastAsia="zh-CN"/>
        </w:rPr>
        <w:t xml:space="preserve">27 </w:t>
      </w:r>
      <w:r>
        <w:rPr>
          <w:rFonts w:hint="eastAsia" w:ascii="宋体" w:hAnsi="宋体" w:eastAsia="宋体" w:cs="宋体"/>
          <w:i w:val="0"/>
          <w:iCs w:val="0"/>
          <w:caps w:val="0"/>
          <w:color w:val="000000"/>
          <w:spacing w:val="0"/>
          <w:sz w:val="24"/>
          <w:szCs w:val="24"/>
          <w:highlight w:val="none"/>
        </w:rPr>
        <w:t xml:space="preserve">日 </w:t>
      </w:r>
      <w:r>
        <w:rPr>
          <w:rFonts w:hint="eastAsia" w:ascii="宋体" w:hAnsi="宋体" w:eastAsia="宋体" w:cs="宋体"/>
          <w:i w:val="0"/>
          <w:iCs w:val="0"/>
          <w:caps w:val="0"/>
          <w:color w:val="000000"/>
          <w:spacing w:val="0"/>
          <w:sz w:val="24"/>
          <w:szCs w:val="24"/>
          <w:highlight w:val="none"/>
          <w:lang w:val="en-US" w:eastAsia="zh-CN"/>
        </w:rPr>
        <w:t>09</w:t>
      </w:r>
      <w:r>
        <w:rPr>
          <w:rFonts w:hint="eastAsia" w:ascii="宋体" w:hAnsi="宋体" w:eastAsia="宋体" w:cs="宋体"/>
          <w:i w:val="0"/>
          <w:iCs w:val="0"/>
          <w:caps w:val="0"/>
          <w:color w:val="000000"/>
          <w:spacing w:val="0"/>
          <w:sz w:val="24"/>
          <w:szCs w:val="24"/>
          <w:highlight w:val="none"/>
        </w:rPr>
        <w:t>:30（北京时间）</w:t>
      </w:r>
    </w:p>
    <w:p w14:paraId="0C390009">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投标地点（网址）：请登录政采云投标客户端投标</w:t>
      </w:r>
    </w:p>
    <w:p w14:paraId="016ED019">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开标时间：2025年02月</w:t>
      </w:r>
      <w:r>
        <w:rPr>
          <w:rFonts w:hint="eastAsia" w:ascii="宋体" w:hAnsi="宋体" w:eastAsia="宋体" w:cs="宋体"/>
          <w:i w:val="0"/>
          <w:iCs w:val="0"/>
          <w:caps w:val="0"/>
          <w:color w:val="000000"/>
          <w:spacing w:val="0"/>
          <w:sz w:val="24"/>
          <w:szCs w:val="24"/>
          <w:highlight w:val="none"/>
          <w:lang w:val="en-US" w:eastAsia="zh-CN"/>
        </w:rPr>
        <w:t>27</w:t>
      </w:r>
      <w:r>
        <w:rPr>
          <w:rFonts w:hint="eastAsia" w:ascii="宋体" w:hAnsi="宋体" w:eastAsia="宋体" w:cs="宋体"/>
          <w:i w:val="0"/>
          <w:iCs w:val="0"/>
          <w:caps w:val="0"/>
          <w:color w:val="000000"/>
          <w:spacing w:val="0"/>
          <w:sz w:val="24"/>
          <w:szCs w:val="24"/>
          <w:highlight w:val="none"/>
        </w:rPr>
        <w:t xml:space="preserve">日 </w:t>
      </w:r>
      <w:r>
        <w:rPr>
          <w:rFonts w:hint="eastAsia" w:ascii="宋体" w:hAnsi="宋体" w:eastAsia="宋体" w:cs="宋体"/>
          <w:i w:val="0"/>
          <w:iCs w:val="0"/>
          <w:caps w:val="0"/>
          <w:color w:val="000000"/>
          <w:spacing w:val="0"/>
          <w:sz w:val="24"/>
          <w:szCs w:val="24"/>
          <w:highlight w:val="none"/>
          <w:lang w:val="en-US" w:eastAsia="zh-CN"/>
        </w:rPr>
        <w:t>09</w:t>
      </w:r>
      <w:r>
        <w:rPr>
          <w:rFonts w:hint="eastAsia" w:ascii="宋体" w:hAnsi="宋体" w:eastAsia="宋体" w:cs="宋体"/>
          <w:i w:val="0"/>
          <w:iCs w:val="0"/>
          <w:caps w:val="0"/>
          <w:color w:val="000000"/>
          <w:spacing w:val="0"/>
          <w:sz w:val="24"/>
          <w:szCs w:val="24"/>
          <w:highlight w:val="none"/>
        </w:rPr>
        <w:t>:30</w:t>
      </w:r>
    </w:p>
    <w:p w14:paraId="1CBD65F8">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开标地点（网址）：苍南县公共资源交易中心</w:t>
      </w:r>
    </w:p>
    <w:p w14:paraId="07D8E841">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五、公告期限</w:t>
      </w:r>
    </w:p>
    <w:p w14:paraId="2D959B03">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自本公告发布之日起5个工作日。</w:t>
      </w:r>
    </w:p>
    <w:p w14:paraId="4D092CC0">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六、其他补充事宜</w:t>
      </w:r>
    </w:p>
    <w:p w14:paraId="62EA8626">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EB6E566">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205EE65">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E4E01B">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4.其他事项：（1）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5）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6）投标供应商应当在投标截止时间前，将生成的《电子加密响应文件》上传递交至“政采云平台”并在开标时在“政采云平台”进行CA数字证书解密参与投标。投标截止时间以后上传的响应文件将被“政采云平台”拒收。</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◆注意：投标人在编制电子投标文件和上传文件时需确保“政采云电子交易客户端”和“CA驱动端”为最新版本，请各投标人及时查看更新。</w:t>
      </w:r>
    </w:p>
    <w:p w14:paraId="58243E19">
      <w:pPr>
        <w:pStyle w:val="30"/>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七、对本次采购提出询问、质疑、投诉，请按以下方式联系</w:t>
      </w:r>
    </w:p>
    <w:p w14:paraId="3BFE9AF2">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1.采购人信息</w:t>
      </w:r>
    </w:p>
    <w:p w14:paraId="20DE7CD8">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名    称：</w:t>
      </w:r>
      <w:r>
        <w:rPr>
          <w:rFonts w:hint="eastAsia" w:ascii="宋体" w:hAnsi="宋体" w:eastAsia="宋体" w:cs="宋体"/>
          <w:i w:val="0"/>
          <w:iCs w:val="0"/>
          <w:caps w:val="0"/>
          <w:color w:val="000000"/>
          <w:spacing w:val="0"/>
          <w:sz w:val="24"/>
          <w:szCs w:val="24"/>
          <w:lang w:eastAsia="zh-CN"/>
        </w:rPr>
        <w:t>苍南县藻溪镇人民政府</w:t>
      </w:r>
    </w:p>
    <w:p w14:paraId="7F70C7F5">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地    址：苍南县</w:t>
      </w:r>
      <w:r>
        <w:rPr>
          <w:rFonts w:hint="eastAsia" w:ascii="宋体" w:hAnsi="宋体" w:eastAsia="宋体" w:cs="宋体"/>
          <w:i w:val="0"/>
          <w:iCs w:val="0"/>
          <w:caps w:val="0"/>
          <w:color w:val="000000"/>
          <w:spacing w:val="0"/>
          <w:sz w:val="24"/>
          <w:szCs w:val="24"/>
          <w:lang w:val="en-US" w:eastAsia="zh-CN"/>
        </w:rPr>
        <w:t>藻溪镇</w:t>
      </w:r>
    </w:p>
    <w:p w14:paraId="48664CCF">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3464B93B">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项目联系人（询问）：</w:t>
      </w:r>
      <w:r>
        <w:rPr>
          <w:rFonts w:hint="eastAsia" w:ascii="宋体" w:hAnsi="宋体" w:eastAsia="宋体" w:cs="宋体"/>
          <w:i w:val="0"/>
          <w:iCs w:val="0"/>
          <w:caps w:val="0"/>
          <w:color w:val="000000"/>
          <w:spacing w:val="0"/>
          <w:sz w:val="24"/>
          <w:szCs w:val="24"/>
          <w:highlight w:val="none"/>
          <w:lang w:val="en-US" w:eastAsia="zh-CN"/>
        </w:rPr>
        <w:t>陈先生</w:t>
      </w:r>
    </w:p>
    <w:p w14:paraId="5AF76D6C">
      <w:pPr>
        <w:pStyle w:val="30"/>
        <w:keepNext w:val="0"/>
        <w:keepLines w:val="0"/>
        <w:widowControl/>
        <w:suppressLineNumbers w:val="0"/>
        <w:spacing w:before="0" w:beforeAutospacing="0" w:after="0" w:afterAutospacing="0"/>
        <w:ind w:left="0" w:right="0" w:firstLine="420"/>
        <w:rPr>
          <w:rFonts w:hint="default" w:ascii="宋体" w:hAnsi="宋体" w:eastAsia="宋体" w:cs="宋体"/>
          <w:highlight w:val="none"/>
          <w:lang w:val="en-US" w:eastAsia="zh-CN"/>
        </w:rPr>
      </w:pPr>
      <w:r>
        <w:rPr>
          <w:rFonts w:hint="eastAsia" w:ascii="宋体" w:hAnsi="宋体" w:eastAsia="宋体" w:cs="宋体"/>
          <w:i w:val="0"/>
          <w:iCs w:val="0"/>
          <w:caps w:val="0"/>
          <w:color w:val="000000"/>
          <w:spacing w:val="0"/>
          <w:sz w:val="24"/>
          <w:szCs w:val="24"/>
          <w:highlight w:val="none"/>
        </w:rPr>
        <w:t>项目联系方式（询问）：</w:t>
      </w:r>
      <w:r>
        <w:rPr>
          <w:rFonts w:hint="eastAsia" w:ascii="宋体" w:hAnsi="宋体" w:eastAsia="宋体" w:cs="宋体"/>
          <w:i w:val="0"/>
          <w:iCs w:val="0"/>
          <w:caps w:val="0"/>
          <w:color w:val="000000"/>
          <w:spacing w:val="0"/>
          <w:sz w:val="24"/>
          <w:szCs w:val="24"/>
          <w:highlight w:val="none"/>
          <w:lang w:val="en-US" w:eastAsia="zh-CN"/>
        </w:rPr>
        <w:t>0577-64800013</w:t>
      </w:r>
    </w:p>
    <w:p w14:paraId="3763E437">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lang w:eastAsia="zh-CN"/>
        </w:rPr>
      </w:pPr>
      <w:r>
        <w:rPr>
          <w:rFonts w:hint="eastAsia" w:ascii="宋体" w:hAnsi="宋体" w:eastAsia="宋体" w:cs="宋体"/>
          <w:i w:val="0"/>
          <w:iCs w:val="0"/>
          <w:caps w:val="0"/>
          <w:color w:val="000000"/>
          <w:spacing w:val="0"/>
          <w:sz w:val="24"/>
          <w:szCs w:val="24"/>
          <w:highlight w:val="none"/>
        </w:rPr>
        <w:t>质疑联系人：</w:t>
      </w:r>
      <w:r>
        <w:rPr>
          <w:rFonts w:hint="eastAsia" w:ascii="宋体" w:hAnsi="宋体" w:eastAsia="宋体" w:cs="宋体"/>
          <w:i w:val="0"/>
          <w:iCs w:val="0"/>
          <w:caps w:val="0"/>
          <w:color w:val="000000"/>
          <w:spacing w:val="0"/>
          <w:sz w:val="24"/>
          <w:szCs w:val="24"/>
          <w:highlight w:val="none"/>
          <w:lang w:val="en-US" w:eastAsia="zh-CN"/>
        </w:rPr>
        <w:t>陈先生</w:t>
      </w:r>
    </w:p>
    <w:p w14:paraId="31EFA184">
      <w:pPr>
        <w:pStyle w:val="30"/>
        <w:keepNext w:val="0"/>
        <w:keepLines w:val="0"/>
        <w:widowControl/>
        <w:suppressLineNumbers w:val="0"/>
        <w:spacing w:before="0" w:beforeAutospacing="0" w:after="0" w:afterAutospacing="0"/>
        <w:ind w:left="0" w:right="0" w:firstLine="42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rPr>
        <w:t>质疑联系方式：</w:t>
      </w:r>
      <w:r>
        <w:rPr>
          <w:rFonts w:hint="eastAsia" w:ascii="宋体" w:hAnsi="宋体" w:eastAsia="宋体" w:cs="宋体"/>
          <w:i w:val="0"/>
          <w:iCs w:val="0"/>
          <w:caps w:val="0"/>
          <w:color w:val="000000"/>
          <w:spacing w:val="0"/>
          <w:sz w:val="24"/>
          <w:szCs w:val="24"/>
          <w:highlight w:val="none"/>
          <w:lang w:val="en-US" w:eastAsia="zh-CN"/>
        </w:rPr>
        <w:t>0577-64800013</w:t>
      </w:r>
    </w:p>
    <w:p w14:paraId="7E78EA4E">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2.采购代理机构信息</w:t>
      </w:r>
    </w:p>
    <w:p w14:paraId="288B458C">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名    称：</w:t>
      </w:r>
      <w:r>
        <w:rPr>
          <w:rFonts w:hint="eastAsia" w:ascii="宋体" w:hAnsi="宋体" w:eastAsia="宋体" w:cs="宋体"/>
          <w:i w:val="0"/>
          <w:iCs w:val="0"/>
          <w:caps w:val="0"/>
          <w:color w:val="000000"/>
          <w:spacing w:val="0"/>
          <w:sz w:val="24"/>
          <w:szCs w:val="24"/>
          <w:lang w:eastAsia="zh-CN"/>
        </w:rPr>
        <w:t>浙江中驰工程项目管理有限公司</w:t>
      </w:r>
    </w:p>
    <w:p w14:paraId="46E47295">
      <w:pPr>
        <w:pStyle w:val="30"/>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地    址：苍南县灵溪镇</w:t>
      </w:r>
      <w:r>
        <w:rPr>
          <w:rFonts w:hint="eastAsia" w:ascii="宋体" w:hAnsi="宋体" w:eastAsia="宋体" w:cs="宋体"/>
          <w:i w:val="0"/>
          <w:iCs w:val="0"/>
          <w:caps w:val="0"/>
          <w:color w:val="000000"/>
          <w:spacing w:val="0"/>
          <w:sz w:val="24"/>
          <w:szCs w:val="24"/>
          <w:lang w:val="en-US" w:eastAsia="zh-CN"/>
        </w:rPr>
        <w:t>璀璨天瑞11幢2单元104室</w:t>
      </w:r>
    </w:p>
    <w:p w14:paraId="3771CC3C">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088C9697">
      <w:pPr>
        <w:pStyle w:val="30"/>
        <w:keepNext w:val="0"/>
        <w:keepLines w:val="0"/>
        <w:widowControl/>
        <w:suppressLineNumbers w:val="0"/>
        <w:spacing w:before="0" w:beforeAutospacing="0" w:after="0" w:afterAutospacing="0"/>
        <w:ind w:left="0" w:right="0" w:firstLine="420"/>
        <w:rPr>
          <w:rFonts w:hint="eastAsia" w:ascii="宋体" w:hAnsi="宋体" w:eastAsia="宋体" w:cs="宋体"/>
          <w:lang w:eastAsia="zh-CN"/>
        </w:rPr>
      </w:pPr>
      <w:r>
        <w:rPr>
          <w:rFonts w:hint="eastAsia" w:ascii="宋体" w:hAnsi="宋体" w:eastAsia="宋体" w:cs="宋体"/>
          <w:i w:val="0"/>
          <w:iCs w:val="0"/>
          <w:caps w:val="0"/>
          <w:color w:val="000000"/>
          <w:spacing w:val="0"/>
          <w:sz w:val="24"/>
          <w:szCs w:val="24"/>
        </w:rPr>
        <w:t>项目联系人（询问）：</w:t>
      </w:r>
      <w:r>
        <w:rPr>
          <w:rFonts w:hint="eastAsia" w:ascii="宋体" w:hAnsi="宋体" w:eastAsia="宋体" w:cs="宋体"/>
          <w:i w:val="0"/>
          <w:iCs w:val="0"/>
          <w:caps w:val="0"/>
          <w:color w:val="000000"/>
          <w:spacing w:val="0"/>
          <w:sz w:val="24"/>
          <w:szCs w:val="24"/>
          <w:lang w:val="en-US" w:eastAsia="zh-CN"/>
        </w:rPr>
        <w:t>陈先生</w:t>
      </w:r>
    </w:p>
    <w:p w14:paraId="2B525C2A">
      <w:pPr>
        <w:pStyle w:val="30"/>
        <w:keepNext w:val="0"/>
        <w:keepLines w:val="0"/>
        <w:widowControl/>
        <w:suppressLineNumbers w:val="0"/>
        <w:spacing w:before="0" w:beforeAutospacing="0" w:after="0" w:afterAutospacing="0"/>
        <w:ind w:left="0" w:right="0" w:firstLine="420"/>
        <w:rPr>
          <w:rFonts w:hint="default" w:ascii="宋体" w:hAnsi="宋体" w:eastAsia="宋体" w:cs="宋体"/>
          <w:lang w:val="en-US" w:eastAsia="zh-CN"/>
        </w:rPr>
      </w:pPr>
      <w:r>
        <w:rPr>
          <w:rFonts w:hint="eastAsia" w:ascii="宋体" w:hAnsi="宋体" w:eastAsia="宋体" w:cs="宋体"/>
          <w:i w:val="0"/>
          <w:iCs w:val="0"/>
          <w:caps w:val="0"/>
          <w:color w:val="000000"/>
          <w:spacing w:val="0"/>
          <w:sz w:val="24"/>
          <w:szCs w:val="24"/>
        </w:rPr>
        <w:t>项目联系方式（询问）：1</w:t>
      </w:r>
      <w:r>
        <w:rPr>
          <w:rFonts w:hint="eastAsia" w:ascii="宋体" w:hAnsi="宋体" w:eastAsia="宋体" w:cs="宋体"/>
          <w:i w:val="0"/>
          <w:iCs w:val="0"/>
          <w:caps w:val="0"/>
          <w:color w:val="000000"/>
          <w:spacing w:val="0"/>
          <w:sz w:val="24"/>
          <w:szCs w:val="24"/>
          <w:lang w:val="en-US" w:eastAsia="zh-CN"/>
        </w:rPr>
        <w:t>3732080002</w:t>
      </w:r>
    </w:p>
    <w:p w14:paraId="08958103">
      <w:pPr>
        <w:pStyle w:val="30"/>
        <w:keepNext w:val="0"/>
        <w:keepLines w:val="0"/>
        <w:widowControl/>
        <w:suppressLineNumbers w:val="0"/>
        <w:spacing w:before="0" w:beforeAutospacing="0" w:after="0" w:afterAutospacing="0"/>
        <w:ind w:left="0" w:right="0" w:firstLine="420"/>
        <w:rPr>
          <w:rFonts w:hint="default" w:ascii="宋体" w:hAnsi="宋体" w:eastAsia="宋体" w:cs="宋体"/>
          <w:lang w:val="en-US" w:eastAsia="zh-CN"/>
        </w:rPr>
      </w:pPr>
      <w:r>
        <w:rPr>
          <w:rFonts w:hint="eastAsia" w:ascii="宋体" w:hAnsi="宋体" w:eastAsia="宋体" w:cs="宋体"/>
          <w:i w:val="0"/>
          <w:iCs w:val="0"/>
          <w:caps w:val="0"/>
          <w:color w:val="000000"/>
          <w:spacing w:val="0"/>
          <w:sz w:val="24"/>
          <w:szCs w:val="24"/>
        </w:rPr>
        <w:t>质疑联系人：</w:t>
      </w:r>
      <w:r>
        <w:rPr>
          <w:rFonts w:hint="eastAsia" w:ascii="宋体" w:hAnsi="宋体" w:eastAsia="宋体" w:cs="宋体"/>
          <w:i w:val="0"/>
          <w:iCs w:val="0"/>
          <w:caps w:val="0"/>
          <w:color w:val="000000"/>
          <w:spacing w:val="0"/>
          <w:sz w:val="24"/>
          <w:szCs w:val="24"/>
          <w:lang w:val="en-US" w:eastAsia="zh-CN"/>
        </w:rPr>
        <w:t>柯女士</w:t>
      </w:r>
    </w:p>
    <w:p w14:paraId="27DB7BB2">
      <w:pPr>
        <w:pStyle w:val="30"/>
        <w:keepNext w:val="0"/>
        <w:keepLines w:val="0"/>
        <w:widowControl/>
        <w:suppressLineNumbers w:val="0"/>
        <w:spacing w:before="0" w:beforeAutospacing="0" w:after="0" w:afterAutospacing="0"/>
        <w:ind w:left="0" w:right="0" w:firstLine="420"/>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质疑联系方式：</w:t>
      </w:r>
      <w:r>
        <w:rPr>
          <w:rFonts w:hint="eastAsia" w:ascii="宋体" w:hAnsi="宋体" w:eastAsia="宋体" w:cs="宋体"/>
          <w:i w:val="0"/>
          <w:iCs w:val="0"/>
          <w:caps w:val="0"/>
          <w:color w:val="000000"/>
          <w:spacing w:val="0"/>
          <w:sz w:val="24"/>
          <w:szCs w:val="24"/>
          <w:lang w:val="en-US" w:eastAsia="zh-CN"/>
        </w:rPr>
        <w:t>0577-59878759；15858721010</w:t>
      </w:r>
    </w:p>
    <w:p w14:paraId="194DB31C">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w:t>
      </w:r>
      <w:r>
        <w:rPr>
          <w:rStyle w:val="41"/>
          <w:rFonts w:hint="eastAsia" w:ascii="宋体" w:hAnsi="宋体" w:eastAsia="宋体" w:cs="宋体"/>
          <w:i w:val="0"/>
          <w:iCs w:val="0"/>
          <w:caps w:val="0"/>
          <w:color w:val="000000"/>
          <w:spacing w:val="0"/>
          <w:sz w:val="24"/>
          <w:szCs w:val="24"/>
        </w:rPr>
        <w:t>同级政府采购监督管理部门</w:t>
      </w:r>
    </w:p>
    <w:p w14:paraId="1C69A010">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称：苍南县政府采购监督管理办公室</w:t>
      </w:r>
    </w:p>
    <w:p w14:paraId="1069C229">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址：苍南县灵溪镇春晖路555号</w:t>
      </w:r>
    </w:p>
    <w:p w14:paraId="5DB4CB57">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传    真：0577-64685825</w:t>
      </w:r>
    </w:p>
    <w:p w14:paraId="318B4C7B">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 系 人：陈先生</w:t>
      </w:r>
    </w:p>
    <w:p w14:paraId="5F962887">
      <w:pPr>
        <w:pStyle w:val="30"/>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监督投诉电话：0577-64685825</w:t>
      </w:r>
    </w:p>
    <w:p w14:paraId="1B90765D">
      <w:pPr>
        <w:keepNext w:val="0"/>
        <w:keepLines w:val="0"/>
        <w:widowControl/>
        <w:suppressLineNumbers w:val="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1088DD5B">
      <w:pPr>
        <w:pStyle w:val="30"/>
        <w:keepNext w:val="0"/>
        <w:keepLines w:val="0"/>
        <w:widowControl/>
        <w:suppressLineNumbers w:val="0"/>
        <w:spacing w:before="600" w:beforeAutospacing="0" w:after="0"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0AE8EDC0">
      <w:pPr>
        <w:pStyle w:val="30"/>
        <w:keepNext w:val="0"/>
        <w:keepLines w:val="0"/>
        <w:widowControl/>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CA问题联系电话（人工）：汇信CA 400-888-4636；天谷CA 400-087-8198。</w:t>
      </w:r>
    </w:p>
    <w:p w14:paraId="2D05EAE7">
      <w:pPr>
        <w:spacing w:line="420" w:lineRule="exact"/>
        <w:ind w:right="79"/>
        <w:rPr>
          <w:rFonts w:hint="eastAsia" w:ascii="宋体" w:hAnsi="宋体" w:eastAsia="宋体" w:cs="宋体"/>
          <w:bCs/>
          <w:kern w:val="0"/>
          <w:sz w:val="20"/>
        </w:rPr>
      </w:pPr>
    </w:p>
    <w:bookmarkEnd w:id="3"/>
    <w:p w14:paraId="059DE58F">
      <w:pPr>
        <w:rPr>
          <w:rFonts w:hint="eastAsia"/>
          <w:spacing w:val="0"/>
          <w:szCs w:val="22"/>
        </w:rPr>
      </w:pPr>
      <w:bookmarkStart w:id="5" w:name="_Toc1499"/>
      <w:bookmarkStart w:id="6" w:name="_Toc24219"/>
      <w:bookmarkStart w:id="7" w:name="_Toc16714"/>
      <w:r>
        <w:rPr>
          <w:rFonts w:hint="eastAsia"/>
          <w:spacing w:val="0"/>
          <w:szCs w:val="22"/>
        </w:rPr>
        <w:br w:type="page"/>
      </w:r>
    </w:p>
    <w:p w14:paraId="7F124002">
      <w:pPr>
        <w:pStyle w:val="5"/>
        <w:rPr>
          <w:spacing w:val="0"/>
          <w:szCs w:val="22"/>
        </w:rPr>
      </w:pPr>
      <w:r>
        <w:rPr>
          <w:rFonts w:hint="eastAsia"/>
          <w:spacing w:val="0"/>
          <w:szCs w:val="22"/>
        </w:rPr>
        <w:t>投 标 通 知 (邀 请) 书</w:t>
      </w:r>
      <w:bookmarkEnd w:id="5"/>
      <w:bookmarkEnd w:id="6"/>
      <w:bookmarkEnd w:id="7"/>
    </w:p>
    <w:p w14:paraId="7A2E9338">
      <w:pPr>
        <w:spacing w:line="420" w:lineRule="exact"/>
        <w:ind w:firstLine="440" w:firstLineChars="200"/>
        <w:rPr>
          <w:rFonts w:ascii="宋体" w:hAnsi="宋体" w:cs="宋体"/>
          <w:kern w:val="0"/>
          <w:szCs w:val="22"/>
        </w:rPr>
      </w:pPr>
      <w:r>
        <w:rPr>
          <w:rFonts w:hint="eastAsia" w:ascii="宋体" w:hAnsi="宋体" w:cs="宋体"/>
          <w:kern w:val="0"/>
          <w:szCs w:val="22"/>
          <w:lang w:eastAsia="zh-CN"/>
        </w:rPr>
        <w:t>浙江中驰工程项目管理有限公司</w:t>
      </w:r>
      <w:r>
        <w:rPr>
          <w:rFonts w:hint="eastAsia" w:ascii="宋体" w:hAnsi="宋体" w:cs="宋体"/>
          <w:kern w:val="0"/>
          <w:szCs w:val="22"/>
        </w:rPr>
        <w:t>对</w:t>
      </w:r>
      <w:r>
        <w:rPr>
          <w:rFonts w:hint="eastAsia" w:ascii="宋体" w:hAnsi="宋体" w:cs="宋体"/>
          <w:kern w:val="0"/>
          <w:szCs w:val="22"/>
          <w:lang w:eastAsia="zh-CN"/>
        </w:rPr>
        <w:t>2025年度苍南县藻溪镇保洁及绿化养护服务项目</w:t>
      </w:r>
      <w:r>
        <w:rPr>
          <w:rFonts w:hint="eastAsia" w:ascii="宋体" w:hAnsi="宋体" w:cs="宋体"/>
          <w:kern w:val="0"/>
          <w:szCs w:val="22"/>
        </w:rPr>
        <w:t>进行公开招标，特通知贵公司（企业）前来投标。并请按招标文件的要求认真准备好投标文件，按时上传和解密投标文件。</w:t>
      </w:r>
    </w:p>
    <w:tbl>
      <w:tblPr>
        <w:tblStyle w:val="32"/>
        <w:tblW w:w="953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12"/>
      </w:tblGrid>
      <w:tr w14:paraId="6AAD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top w:val="double" w:color="auto" w:sz="4" w:space="0"/>
              <w:left w:val="double" w:color="auto" w:sz="4" w:space="0"/>
            </w:tcBorders>
            <w:vAlign w:val="center"/>
          </w:tcPr>
          <w:p w14:paraId="67D2CD58">
            <w:pPr>
              <w:spacing w:line="420" w:lineRule="exact"/>
              <w:jc w:val="center"/>
              <w:rPr>
                <w:rFonts w:ascii="宋体" w:hAnsi="宋体" w:cs="宋体"/>
                <w:bCs/>
                <w:szCs w:val="22"/>
              </w:rPr>
            </w:pPr>
            <w:r>
              <w:rPr>
                <w:rFonts w:hint="eastAsia" w:ascii="宋体" w:hAnsi="宋体" w:cs="宋体"/>
                <w:bCs/>
                <w:szCs w:val="22"/>
              </w:rPr>
              <w:t>采购编号</w:t>
            </w:r>
          </w:p>
        </w:tc>
        <w:tc>
          <w:tcPr>
            <w:tcW w:w="7712" w:type="dxa"/>
            <w:tcBorders>
              <w:top w:val="double" w:color="auto" w:sz="4" w:space="0"/>
              <w:right w:val="double" w:color="auto" w:sz="4" w:space="0"/>
            </w:tcBorders>
            <w:vAlign w:val="center"/>
          </w:tcPr>
          <w:p w14:paraId="1D1C8881">
            <w:pPr>
              <w:spacing w:line="420" w:lineRule="exact"/>
              <w:rPr>
                <w:rFonts w:hint="eastAsia" w:ascii="宋体" w:hAnsi="宋体" w:eastAsia="宋体" w:cs="宋体"/>
                <w:szCs w:val="22"/>
                <w:lang w:eastAsia="zh-CN"/>
              </w:rPr>
            </w:pPr>
            <w:r>
              <w:rPr>
                <w:rFonts w:hint="eastAsia" w:ascii="宋体" w:hAnsi="宋体" w:eastAsia="宋体" w:cs="宋体"/>
                <w:szCs w:val="22"/>
                <w:lang w:eastAsia="zh-CN"/>
              </w:rPr>
              <w:t>CNDL2025008</w:t>
            </w:r>
          </w:p>
        </w:tc>
      </w:tr>
      <w:tr w14:paraId="7E5C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E228418">
            <w:pPr>
              <w:spacing w:line="420" w:lineRule="exact"/>
              <w:jc w:val="center"/>
              <w:rPr>
                <w:rFonts w:ascii="宋体" w:hAnsi="宋体" w:cs="宋体"/>
                <w:bCs/>
                <w:szCs w:val="22"/>
                <w:u w:color="800080"/>
              </w:rPr>
            </w:pPr>
            <w:r>
              <w:rPr>
                <w:rFonts w:hint="eastAsia" w:ascii="宋体" w:hAnsi="宋体" w:cs="宋体"/>
                <w:bCs/>
                <w:szCs w:val="22"/>
                <w:u w:color="800080"/>
              </w:rPr>
              <w:t>采购内容</w:t>
            </w:r>
          </w:p>
        </w:tc>
        <w:tc>
          <w:tcPr>
            <w:tcW w:w="7712" w:type="dxa"/>
            <w:tcBorders>
              <w:right w:val="double" w:color="auto" w:sz="4" w:space="0"/>
            </w:tcBorders>
            <w:vAlign w:val="center"/>
          </w:tcPr>
          <w:p w14:paraId="2D32510E">
            <w:pPr>
              <w:tabs>
                <w:tab w:val="center" w:pos="3342"/>
              </w:tabs>
              <w:spacing w:line="420" w:lineRule="exact"/>
              <w:rPr>
                <w:rFonts w:hint="eastAsia" w:ascii="宋体" w:hAnsi="宋体" w:eastAsia="宋体" w:cs="宋体"/>
                <w:szCs w:val="22"/>
                <w:u w:color="800080"/>
                <w:lang w:eastAsia="zh-CN"/>
              </w:rPr>
            </w:pPr>
            <w:r>
              <w:rPr>
                <w:rFonts w:hint="eastAsia" w:ascii="宋体" w:hAnsi="宋体" w:cs="宋体"/>
                <w:szCs w:val="22"/>
                <w:u w:color="800080"/>
                <w:lang w:eastAsia="zh-CN"/>
              </w:rPr>
              <w:t>2025年度苍南县藻溪镇保洁及绿化养护服务项目</w:t>
            </w:r>
          </w:p>
        </w:tc>
      </w:tr>
      <w:tr w14:paraId="60D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36DEEF88">
            <w:pPr>
              <w:spacing w:line="420" w:lineRule="exact"/>
              <w:jc w:val="center"/>
              <w:rPr>
                <w:rFonts w:ascii="宋体" w:hAnsi="宋体" w:cs="宋体"/>
                <w:bCs/>
                <w:szCs w:val="22"/>
              </w:rPr>
            </w:pPr>
            <w:r>
              <w:rPr>
                <w:rFonts w:hint="eastAsia" w:ascii="宋体" w:hAnsi="宋体" w:cs="宋体"/>
                <w:bCs/>
                <w:szCs w:val="22"/>
              </w:rPr>
              <w:t>资金来源</w:t>
            </w:r>
          </w:p>
        </w:tc>
        <w:tc>
          <w:tcPr>
            <w:tcW w:w="7712" w:type="dxa"/>
            <w:tcBorders>
              <w:right w:val="double" w:color="auto" w:sz="4" w:space="0"/>
            </w:tcBorders>
            <w:vAlign w:val="center"/>
          </w:tcPr>
          <w:p w14:paraId="21980A5A">
            <w:pPr>
              <w:spacing w:line="420" w:lineRule="exact"/>
              <w:rPr>
                <w:rFonts w:ascii="宋体" w:hAnsi="宋体" w:cs="宋体"/>
                <w:bCs/>
                <w:szCs w:val="22"/>
              </w:rPr>
            </w:pPr>
            <w:r>
              <w:rPr>
                <w:rFonts w:hint="eastAsia" w:ascii="宋体" w:hAnsi="宋体" w:cs="宋体"/>
                <w:bCs/>
                <w:szCs w:val="22"/>
              </w:rPr>
              <w:t>财政资金</w:t>
            </w:r>
          </w:p>
        </w:tc>
      </w:tr>
      <w:tr w14:paraId="31E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6E6FBD06">
            <w:pPr>
              <w:spacing w:line="420" w:lineRule="exact"/>
              <w:jc w:val="center"/>
              <w:rPr>
                <w:rFonts w:ascii="宋体" w:hAnsi="宋体" w:cs="宋体"/>
                <w:bCs/>
                <w:szCs w:val="22"/>
              </w:rPr>
            </w:pPr>
            <w:r>
              <w:rPr>
                <w:rFonts w:hint="eastAsia" w:ascii="宋体" w:hAnsi="宋体" w:cs="宋体"/>
                <w:bCs/>
                <w:szCs w:val="22"/>
              </w:rPr>
              <w:t>采购方式</w:t>
            </w:r>
          </w:p>
        </w:tc>
        <w:tc>
          <w:tcPr>
            <w:tcW w:w="7712" w:type="dxa"/>
            <w:tcBorders>
              <w:right w:val="double" w:color="auto" w:sz="4" w:space="0"/>
            </w:tcBorders>
            <w:vAlign w:val="center"/>
          </w:tcPr>
          <w:p w14:paraId="4FB37049">
            <w:pPr>
              <w:spacing w:line="420" w:lineRule="exact"/>
              <w:rPr>
                <w:rFonts w:ascii="宋体" w:hAnsi="宋体" w:cs="宋体"/>
                <w:bCs/>
                <w:szCs w:val="22"/>
              </w:rPr>
            </w:pPr>
            <w:r>
              <w:rPr>
                <w:rFonts w:hint="eastAsia" w:ascii="宋体" w:hAnsi="宋体" w:cs="宋体"/>
                <w:szCs w:val="22"/>
              </w:rPr>
              <w:t>公开招标</w:t>
            </w:r>
          </w:p>
        </w:tc>
      </w:tr>
      <w:tr w14:paraId="7F1F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1AA3D232">
            <w:pPr>
              <w:spacing w:line="420" w:lineRule="exact"/>
              <w:jc w:val="center"/>
              <w:rPr>
                <w:rFonts w:ascii="宋体" w:hAnsi="宋体" w:cs="宋体"/>
                <w:bCs/>
                <w:szCs w:val="22"/>
              </w:rPr>
            </w:pPr>
            <w:r>
              <w:rPr>
                <w:rFonts w:hint="eastAsia" w:ascii="宋体" w:hAnsi="宋体" w:cs="宋体"/>
                <w:bCs/>
                <w:szCs w:val="22"/>
              </w:rPr>
              <w:t>最高限价</w:t>
            </w:r>
          </w:p>
        </w:tc>
        <w:tc>
          <w:tcPr>
            <w:tcW w:w="7712" w:type="dxa"/>
            <w:tcBorders>
              <w:right w:val="double" w:color="auto" w:sz="4" w:space="0"/>
            </w:tcBorders>
            <w:vAlign w:val="center"/>
          </w:tcPr>
          <w:p w14:paraId="19C3945E">
            <w:pPr>
              <w:spacing w:line="420" w:lineRule="exact"/>
              <w:rPr>
                <w:rFonts w:ascii="宋体" w:hAnsi="宋体" w:cs="宋体"/>
                <w:b/>
                <w:bCs/>
                <w:color w:val="0000FF"/>
                <w:szCs w:val="22"/>
              </w:rPr>
            </w:pPr>
            <w:r>
              <w:rPr>
                <w:rFonts w:hint="eastAsia" w:ascii="宋体" w:hAnsi="宋体" w:eastAsia="宋体" w:cs="宋体"/>
                <w:i w:val="0"/>
                <w:iCs w:val="0"/>
                <w:caps w:val="0"/>
                <w:color w:val="000000"/>
                <w:spacing w:val="0"/>
                <w:sz w:val="24"/>
                <w:szCs w:val="24"/>
                <w:lang w:val="en-US" w:eastAsia="zh-CN"/>
              </w:rPr>
              <w:t>345</w:t>
            </w:r>
            <w:r>
              <w:rPr>
                <w:rFonts w:hint="eastAsia" w:ascii="宋体" w:hAnsi="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8525</w:t>
            </w:r>
            <w:r>
              <w:rPr>
                <w:rFonts w:hint="eastAsia" w:ascii="宋体" w:hAnsi="宋体" w:cs="宋体"/>
                <w:b/>
                <w:bCs/>
                <w:color w:val="0000FF"/>
                <w:szCs w:val="22"/>
              </w:rPr>
              <w:t>万元，报价超出标项最高限价的，按无效响应文件处理。</w:t>
            </w:r>
          </w:p>
        </w:tc>
      </w:tr>
      <w:tr w14:paraId="0183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7CB9348E">
            <w:pPr>
              <w:spacing w:line="420" w:lineRule="exact"/>
              <w:jc w:val="center"/>
              <w:rPr>
                <w:rFonts w:ascii="宋体" w:hAnsi="宋体" w:cs="宋体"/>
                <w:bCs/>
                <w:szCs w:val="22"/>
              </w:rPr>
            </w:pPr>
            <w:r>
              <w:rPr>
                <w:rFonts w:hint="eastAsia" w:ascii="宋体" w:hAnsi="宋体" w:cs="宋体"/>
                <w:bCs/>
                <w:szCs w:val="22"/>
              </w:rPr>
              <w:t>评审办法</w:t>
            </w:r>
          </w:p>
        </w:tc>
        <w:tc>
          <w:tcPr>
            <w:tcW w:w="7712" w:type="dxa"/>
            <w:tcBorders>
              <w:right w:val="double" w:color="auto" w:sz="4" w:space="0"/>
            </w:tcBorders>
            <w:vAlign w:val="center"/>
          </w:tcPr>
          <w:p w14:paraId="682228CA">
            <w:pPr>
              <w:spacing w:line="420" w:lineRule="exact"/>
              <w:rPr>
                <w:rFonts w:ascii="宋体" w:hAnsi="宋体" w:cs="宋体"/>
                <w:bCs/>
                <w:szCs w:val="22"/>
              </w:rPr>
            </w:pPr>
            <w:r>
              <w:rPr>
                <w:rFonts w:hint="eastAsia" w:ascii="宋体" w:hAnsi="宋体" w:cs="宋体"/>
                <w:bCs/>
                <w:szCs w:val="22"/>
              </w:rPr>
              <w:t>综合评分法</w:t>
            </w:r>
          </w:p>
        </w:tc>
      </w:tr>
      <w:tr w14:paraId="2C4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23" w:type="dxa"/>
            <w:tcBorders>
              <w:left w:val="double" w:color="auto" w:sz="4" w:space="0"/>
            </w:tcBorders>
            <w:vAlign w:val="center"/>
          </w:tcPr>
          <w:p w14:paraId="35B564B8">
            <w:pPr>
              <w:spacing w:line="420" w:lineRule="exact"/>
              <w:jc w:val="center"/>
              <w:rPr>
                <w:rFonts w:ascii="宋体" w:hAnsi="宋体" w:cs="宋体"/>
                <w:bCs/>
                <w:szCs w:val="22"/>
              </w:rPr>
            </w:pPr>
            <w:r>
              <w:rPr>
                <w:rFonts w:hint="eastAsia" w:ascii="宋体" w:hAnsi="宋体" w:cs="宋体"/>
                <w:bCs/>
                <w:szCs w:val="22"/>
              </w:rPr>
              <w:t>投标有效期</w:t>
            </w:r>
          </w:p>
        </w:tc>
        <w:tc>
          <w:tcPr>
            <w:tcW w:w="7712" w:type="dxa"/>
            <w:tcBorders>
              <w:right w:val="double" w:color="auto" w:sz="4" w:space="0"/>
            </w:tcBorders>
            <w:vAlign w:val="center"/>
          </w:tcPr>
          <w:p w14:paraId="0AE5C855">
            <w:pPr>
              <w:spacing w:line="420" w:lineRule="exact"/>
              <w:rPr>
                <w:rFonts w:ascii="宋体" w:hAnsi="宋体" w:cs="宋体"/>
                <w:szCs w:val="22"/>
              </w:rPr>
            </w:pPr>
            <w:r>
              <w:rPr>
                <w:rFonts w:hint="eastAsia" w:ascii="宋体" w:hAnsi="宋体" w:cs="宋体"/>
                <w:szCs w:val="22"/>
              </w:rPr>
              <w:t>120日历天（自投标截止日起计算）</w:t>
            </w:r>
          </w:p>
        </w:tc>
      </w:tr>
      <w:tr w14:paraId="687E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823" w:type="dxa"/>
            <w:tcBorders>
              <w:left w:val="double" w:color="auto" w:sz="4" w:space="0"/>
            </w:tcBorders>
            <w:vAlign w:val="center"/>
          </w:tcPr>
          <w:p w14:paraId="22D10657">
            <w:pPr>
              <w:spacing w:line="420" w:lineRule="exact"/>
              <w:jc w:val="center"/>
              <w:rPr>
                <w:rFonts w:ascii="宋体" w:hAnsi="宋体" w:cs="宋体"/>
                <w:bCs/>
                <w:szCs w:val="22"/>
              </w:rPr>
            </w:pPr>
            <w:r>
              <w:rPr>
                <w:rFonts w:hint="eastAsia" w:ascii="宋体" w:hAnsi="宋体" w:cs="宋体"/>
                <w:bCs/>
                <w:szCs w:val="22"/>
              </w:rPr>
              <w:t>投标保证金</w:t>
            </w:r>
          </w:p>
        </w:tc>
        <w:tc>
          <w:tcPr>
            <w:tcW w:w="7712" w:type="dxa"/>
            <w:tcBorders>
              <w:right w:val="double" w:color="auto" w:sz="4" w:space="0"/>
            </w:tcBorders>
            <w:vAlign w:val="center"/>
          </w:tcPr>
          <w:p w14:paraId="47ECF4F9">
            <w:pPr>
              <w:spacing w:line="420" w:lineRule="exact"/>
              <w:rPr>
                <w:rFonts w:ascii="宋体" w:hAnsi="宋体" w:cs="宋体"/>
                <w:szCs w:val="22"/>
              </w:rPr>
            </w:pPr>
            <w:r>
              <w:rPr>
                <w:rFonts w:hint="eastAsia" w:ascii="宋体" w:hAnsi="宋体" w:cs="宋体"/>
                <w:szCs w:val="22"/>
              </w:rPr>
              <w:t>按照《浙江省财政厅关于明确政府采购保证金管理工作的通知》浙财采监〔2019〕5号文件规定，投标人无需缴纳投标保证金。</w:t>
            </w:r>
          </w:p>
        </w:tc>
      </w:tr>
      <w:tr w14:paraId="7B64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823" w:type="dxa"/>
            <w:tcBorders>
              <w:left w:val="double" w:color="auto" w:sz="4" w:space="0"/>
            </w:tcBorders>
            <w:vAlign w:val="center"/>
          </w:tcPr>
          <w:p w14:paraId="62613AEE">
            <w:pPr>
              <w:overflowPunct w:val="0"/>
              <w:adjustRightInd w:val="0"/>
              <w:spacing w:line="420" w:lineRule="exact"/>
              <w:jc w:val="center"/>
              <w:rPr>
                <w:rFonts w:ascii="宋体" w:hAnsi="宋体" w:cs="Arial Unicode MS"/>
                <w:szCs w:val="21"/>
              </w:rPr>
            </w:pPr>
            <w:r>
              <w:rPr>
                <w:rFonts w:hint="eastAsia" w:ascii="宋体" w:hAnsi="宋体" w:cs="Arial Unicode MS"/>
                <w:szCs w:val="21"/>
              </w:rPr>
              <w:t>履约保证金</w:t>
            </w:r>
          </w:p>
        </w:tc>
        <w:tc>
          <w:tcPr>
            <w:tcW w:w="7712" w:type="dxa"/>
            <w:tcBorders>
              <w:right w:val="double" w:color="auto" w:sz="4" w:space="0"/>
            </w:tcBorders>
            <w:vAlign w:val="center"/>
          </w:tcPr>
          <w:p w14:paraId="471E95C6">
            <w:pPr>
              <w:overflowPunct w:val="0"/>
              <w:adjustRightInd w:val="0"/>
              <w:spacing w:line="420" w:lineRule="exact"/>
              <w:rPr>
                <w:rFonts w:ascii="宋体" w:hAnsi="宋体" w:cs="Arial Unicode MS"/>
                <w:szCs w:val="21"/>
              </w:rPr>
            </w:pPr>
            <w:r>
              <w:rPr>
                <w:rFonts w:hint="eastAsia" w:ascii="宋体" w:hAnsi="宋体"/>
                <w:szCs w:val="21"/>
              </w:rPr>
              <w:t>中标供应商需向采购人缴纳签约合同金额1%的履约保证金，履约保证金在项目履约验收合格后7个工作日内无息退还。</w:t>
            </w:r>
          </w:p>
        </w:tc>
      </w:tr>
      <w:tr w14:paraId="788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23" w:type="dxa"/>
            <w:tcBorders>
              <w:left w:val="double" w:color="auto" w:sz="4" w:space="0"/>
            </w:tcBorders>
            <w:vAlign w:val="center"/>
          </w:tcPr>
          <w:p w14:paraId="62558318">
            <w:pPr>
              <w:spacing w:line="420" w:lineRule="exact"/>
              <w:jc w:val="center"/>
              <w:rPr>
                <w:rFonts w:ascii="宋体" w:hAnsi="宋体" w:cs="宋体"/>
                <w:bCs/>
                <w:szCs w:val="22"/>
              </w:rPr>
            </w:pPr>
            <w:r>
              <w:rPr>
                <w:rFonts w:hint="eastAsia" w:ascii="宋体" w:hAnsi="宋体" w:cs="宋体"/>
                <w:bCs/>
                <w:szCs w:val="22"/>
              </w:rPr>
              <w:t>联合体</w:t>
            </w:r>
          </w:p>
        </w:tc>
        <w:tc>
          <w:tcPr>
            <w:tcW w:w="7712" w:type="dxa"/>
            <w:tcBorders>
              <w:right w:val="double" w:color="auto" w:sz="4" w:space="0"/>
            </w:tcBorders>
            <w:vAlign w:val="center"/>
          </w:tcPr>
          <w:p w14:paraId="059321D7">
            <w:pPr>
              <w:spacing w:after="156" w:afterLines="50" w:line="420" w:lineRule="exact"/>
              <w:rPr>
                <w:rFonts w:ascii="宋体" w:hAnsi="宋体" w:cs="宋体"/>
                <w:szCs w:val="22"/>
              </w:rPr>
            </w:pPr>
            <w:r>
              <w:rPr>
                <w:rFonts w:hint="eastAsia" w:ascii="宋体" w:hAnsi="宋体" w:cs="宋体"/>
                <w:szCs w:val="22"/>
              </w:rPr>
              <w:t>本招标项目不接受联合体投标</w:t>
            </w:r>
          </w:p>
        </w:tc>
      </w:tr>
      <w:tr w14:paraId="1B2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4224A5BA">
            <w:pPr>
              <w:spacing w:line="420" w:lineRule="exact"/>
              <w:jc w:val="center"/>
              <w:rPr>
                <w:rFonts w:ascii="宋体" w:hAnsi="宋体" w:cs="宋体"/>
                <w:bCs/>
                <w:szCs w:val="22"/>
              </w:rPr>
            </w:pPr>
            <w:r>
              <w:rPr>
                <w:rFonts w:hint="eastAsia" w:ascii="宋体" w:hAnsi="宋体" w:cs="宋体"/>
                <w:bCs/>
                <w:szCs w:val="22"/>
              </w:rPr>
              <w:t>现场勘查</w:t>
            </w:r>
          </w:p>
        </w:tc>
        <w:tc>
          <w:tcPr>
            <w:tcW w:w="7712" w:type="dxa"/>
            <w:tcBorders>
              <w:right w:val="double" w:color="auto" w:sz="4" w:space="0"/>
            </w:tcBorders>
            <w:vAlign w:val="center"/>
          </w:tcPr>
          <w:p w14:paraId="12F6A52B">
            <w:pPr>
              <w:spacing w:after="156" w:afterLines="50" w:line="420" w:lineRule="exact"/>
              <w:rPr>
                <w:rFonts w:ascii="宋体" w:hAnsi="宋体" w:cs="宋体"/>
                <w:szCs w:val="22"/>
              </w:rPr>
            </w:pPr>
            <w:r>
              <w:rPr>
                <w:rFonts w:hint="eastAsia" w:ascii="宋体" w:hAnsi="宋体" w:cs="宋体"/>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14:paraId="05F9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23" w:type="dxa"/>
            <w:tcBorders>
              <w:left w:val="double" w:color="auto" w:sz="4" w:space="0"/>
            </w:tcBorders>
            <w:vAlign w:val="center"/>
          </w:tcPr>
          <w:p w14:paraId="5F65E9F8">
            <w:pPr>
              <w:spacing w:line="420" w:lineRule="exact"/>
              <w:jc w:val="center"/>
              <w:rPr>
                <w:rFonts w:ascii="宋体" w:hAnsi="宋体"/>
                <w:szCs w:val="22"/>
              </w:rPr>
            </w:pPr>
            <w:r>
              <w:rPr>
                <w:rFonts w:hint="eastAsia" w:ascii="宋体" w:hAnsi="宋体" w:cs="宋体"/>
                <w:bCs/>
                <w:szCs w:val="22"/>
              </w:rPr>
              <w:t>是否专门面向中小企业采购</w:t>
            </w:r>
          </w:p>
        </w:tc>
        <w:tc>
          <w:tcPr>
            <w:tcW w:w="7712" w:type="dxa"/>
            <w:tcBorders>
              <w:right w:val="double" w:color="auto" w:sz="4" w:space="0"/>
            </w:tcBorders>
            <w:vAlign w:val="center"/>
          </w:tcPr>
          <w:p w14:paraId="63CDA975">
            <w:pPr>
              <w:spacing w:line="420" w:lineRule="exact"/>
              <w:rPr>
                <w:rFonts w:ascii="宋体" w:hAnsi="宋体" w:cs="宋体"/>
                <w:b/>
                <w:bCs/>
                <w:color w:val="0000FF"/>
                <w:kern w:val="0"/>
                <w:szCs w:val="22"/>
              </w:rPr>
            </w:pPr>
            <w:r>
              <w:rPr>
                <w:rFonts w:hint="eastAsia" w:ascii="宋体" w:hAnsi="宋体" w:cs="宋体"/>
                <w:b/>
                <w:bCs/>
                <w:color w:val="0000FF"/>
                <w:kern w:val="0"/>
                <w:szCs w:val="22"/>
              </w:rPr>
              <w:fldChar w:fldCharType="begin"/>
            </w:r>
            <w:r>
              <w:rPr>
                <w:rFonts w:hint="eastAsia" w:ascii="宋体" w:hAnsi="宋体" w:cs="宋体"/>
                <w:b/>
                <w:bCs/>
                <w:color w:val="0000FF"/>
                <w:kern w:val="0"/>
                <w:szCs w:val="22"/>
              </w:rPr>
              <w:instrText xml:space="preserve"> eq \o\ac(□,√)</w:instrText>
            </w:r>
            <w:r>
              <w:rPr>
                <w:rFonts w:hint="eastAsia" w:ascii="宋体" w:hAnsi="宋体" w:cs="宋体"/>
                <w:b/>
                <w:bCs/>
                <w:color w:val="0000FF"/>
                <w:kern w:val="0"/>
                <w:szCs w:val="22"/>
              </w:rPr>
              <w:fldChar w:fldCharType="end"/>
            </w:r>
            <w:r>
              <w:rPr>
                <w:rFonts w:hint="eastAsia" w:ascii="宋体" w:hAnsi="宋体" w:cs="宋体"/>
                <w:b/>
                <w:bCs/>
                <w:color w:val="0000FF"/>
                <w:kern w:val="0"/>
                <w:szCs w:val="22"/>
              </w:rPr>
              <w:t xml:space="preserve"> 专门面向小、微企业采购项目</w:t>
            </w:r>
          </w:p>
          <w:p w14:paraId="63EAC997">
            <w:pPr>
              <w:spacing w:line="420" w:lineRule="exact"/>
              <w:rPr>
                <w:rFonts w:ascii="宋体" w:hAnsi="宋体" w:cs="宋体"/>
                <w:kern w:val="0"/>
                <w:szCs w:val="22"/>
              </w:rPr>
            </w:pPr>
            <w:r>
              <w:rPr>
                <w:rFonts w:hint="eastAsia" w:ascii="宋体" w:hAnsi="宋体" w:cs="宋体"/>
                <w:kern w:val="0"/>
                <w:szCs w:val="22"/>
              </w:rPr>
              <w:t>□ 非专门面向中小企业采购项目。</w:t>
            </w:r>
          </w:p>
          <w:p w14:paraId="414488C3">
            <w:pPr>
              <w:spacing w:line="420" w:lineRule="exact"/>
              <w:rPr>
                <w:rFonts w:ascii="宋体" w:hAnsi="宋体" w:cs="宋体"/>
                <w:kern w:val="0"/>
                <w:szCs w:val="22"/>
              </w:rPr>
            </w:pPr>
            <w:r>
              <w:rPr>
                <w:rFonts w:hint="eastAsia" w:ascii="宋体" w:hAnsi="宋体" w:cs="宋体"/>
                <w:kern w:val="0"/>
                <w:szCs w:val="22"/>
              </w:rPr>
              <w:t>1）本次采购为非专门面向中小企业预留采购份额的采购项目。</w:t>
            </w:r>
          </w:p>
          <w:p w14:paraId="7D3F71AF">
            <w:pPr>
              <w:spacing w:line="420" w:lineRule="exact"/>
              <w:rPr>
                <w:rFonts w:ascii="宋体" w:hAnsi="宋体"/>
                <w:szCs w:val="22"/>
              </w:rPr>
            </w:pPr>
            <w:r>
              <w:rPr>
                <w:rFonts w:hint="eastAsia" w:ascii="宋体" w:hAnsi="宋体" w:cs="宋体"/>
                <w:kern w:val="0"/>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14:paraId="296B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23" w:type="dxa"/>
            <w:tcBorders>
              <w:left w:val="double" w:color="auto" w:sz="4" w:space="0"/>
            </w:tcBorders>
            <w:vAlign w:val="center"/>
          </w:tcPr>
          <w:p w14:paraId="470EB2C3">
            <w:pPr>
              <w:spacing w:line="420" w:lineRule="exact"/>
              <w:jc w:val="center"/>
              <w:rPr>
                <w:rFonts w:ascii="宋体" w:hAnsi="宋体" w:cs="宋体"/>
                <w:bCs/>
                <w:szCs w:val="22"/>
              </w:rPr>
            </w:pPr>
            <w:r>
              <w:rPr>
                <w:rFonts w:hint="eastAsia" w:ascii="宋体" w:hAnsi="宋体" w:cs="宋体"/>
                <w:bCs/>
                <w:kern w:val="0"/>
                <w:szCs w:val="22"/>
              </w:rPr>
              <w:t>投标</w:t>
            </w:r>
            <w:r>
              <w:rPr>
                <w:rFonts w:hint="eastAsia" w:ascii="宋体" w:hAnsi="宋体" w:cs="宋体"/>
                <w:bCs/>
                <w:szCs w:val="22"/>
              </w:rPr>
              <w:t>文件递交与开标平台</w:t>
            </w:r>
          </w:p>
        </w:tc>
        <w:tc>
          <w:tcPr>
            <w:tcW w:w="7712" w:type="dxa"/>
            <w:tcBorders>
              <w:right w:val="double" w:color="auto" w:sz="4" w:space="0"/>
            </w:tcBorders>
            <w:vAlign w:val="center"/>
          </w:tcPr>
          <w:p w14:paraId="19ECB869">
            <w:pPr>
              <w:spacing w:line="420" w:lineRule="exact"/>
              <w:rPr>
                <w:rFonts w:ascii="宋体" w:hAnsi="宋体" w:cs="宋体"/>
                <w:szCs w:val="22"/>
              </w:rPr>
            </w:pPr>
            <w:r>
              <w:rPr>
                <w:rFonts w:hint="eastAsia" w:ascii="宋体" w:hAnsi="宋体" w:cs="宋体"/>
                <w:kern w:val="0"/>
                <w:szCs w:val="22"/>
              </w:rPr>
              <w:t>通过“政府采购云平台（www.zcygov.cn）”实行在线投标响应（在投标截止时间前，供应商须准时登录“政府采购云平台（www.zcygov.cn）”在线响应投标）。</w:t>
            </w:r>
          </w:p>
        </w:tc>
      </w:tr>
      <w:tr w14:paraId="4D7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823" w:type="dxa"/>
            <w:tcBorders>
              <w:left w:val="double" w:color="auto" w:sz="4" w:space="0"/>
            </w:tcBorders>
            <w:vAlign w:val="center"/>
          </w:tcPr>
          <w:p w14:paraId="162593BA">
            <w:pPr>
              <w:spacing w:line="420" w:lineRule="exact"/>
              <w:jc w:val="center"/>
              <w:rPr>
                <w:rFonts w:ascii="宋体" w:hAnsi="宋体" w:cs="宋体"/>
                <w:bCs/>
                <w:szCs w:val="22"/>
              </w:rPr>
            </w:pPr>
            <w:r>
              <w:rPr>
                <w:rFonts w:hint="eastAsia" w:ascii="宋体" w:hAnsi="宋体" w:cs="宋体"/>
                <w:bCs/>
                <w:kern w:val="0"/>
                <w:szCs w:val="22"/>
              </w:rPr>
              <w:t>投标文件</w:t>
            </w:r>
            <w:r>
              <w:rPr>
                <w:rFonts w:hint="eastAsia" w:ascii="宋体" w:hAnsi="宋体" w:cs="宋体"/>
                <w:bCs/>
                <w:szCs w:val="22"/>
              </w:rPr>
              <w:t>递交截止与</w:t>
            </w:r>
            <w:r>
              <w:rPr>
                <w:rFonts w:hint="eastAsia" w:ascii="宋体" w:hAnsi="宋体" w:cs="宋体"/>
                <w:bCs/>
                <w:kern w:val="0"/>
                <w:szCs w:val="22"/>
              </w:rPr>
              <w:t>开标</w:t>
            </w:r>
            <w:r>
              <w:rPr>
                <w:rFonts w:hint="eastAsia" w:ascii="宋体" w:hAnsi="宋体" w:cs="宋体"/>
                <w:bCs/>
                <w:szCs w:val="22"/>
              </w:rPr>
              <w:t>时间</w:t>
            </w:r>
          </w:p>
        </w:tc>
        <w:tc>
          <w:tcPr>
            <w:tcW w:w="7712" w:type="dxa"/>
            <w:tcBorders>
              <w:right w:val="double" w:color="auto" w:sz="4" w:space="0"/>
            </w:tcBorders>
            <w:vAlign w:val="center"/>
          </w:tcPr>
          <w:p w14:paraId="3AA0FF71">
            <w:pPr>
              <w:spacing w:line="420" w:lineRule="exact"/>
              <w:rPr>
                <w:rFonts w:hint="default" w:ascii="宋体" w:hAnsi="宋体" w:cs="宋体"/>
                <w:b/>
                <w:color w:val="FF0000"/>
                <w:szCs w:val="22"/>
                <w:lang w:val="en-US"/>
              </w:rPr>
            </w:pPr>
            <w:r>
              <w:rPr>
                <w:rFonts w:hint="eastAsia" w:ascii="宋体" w:hAnsi="宋体" w:cs="宋体"/>
                <w:b/>
                <w:color w:val="FF0000"/>
                <w:kern w:val="0"/>
                <w:szCs w:val="22"/>
                <w:lang w:val="en-US" w:eastAsia="zh-CN"/>
              </w:rPr>
              <w:t>同招标公告投标截止时间</w:t>
            </w:r>
          </w:p>
        </w:tc>
      </w:tr>
      <w:tr w14:paraId="071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23" w:type="dxa"/>
            <w:tcBorders>
              <w:left w:val="double" w:color="auto" w:sz="4" w:space="0"/>
            </w:tcBorders>
            <w:vAlign w:val="center"/>
          </w:tcPr>
          <w:p w14:paraId="0595846D">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color="auto" w:sz="4" w:space="0"/>
            </w:tcBorders>
            <w:vAlign w:val="center"/>
          </w:tcPr>
          <w:p w14:paraId="54060C6F">
            <w:pPr>
              <w:spacing w:line="420" w:lineRule="exact"/>
              <w:rPr>
                <w:rFonts w:ascii="宋体" w:hAnsi="宋体" w:cs="宋体"/>
                <w:szCs w:val="22"/>
              </w:rPr>
            </w:pPr>
            <w:r>
              <w:rPr>
                <w:rFonts w:hint="eastAsia" w:ascii="宋体" w:hAnsi="宋体" w:cs="宋体"/>
                <w:kern w:val="0"/>
                <w:szCs w:val="22"/>
              </w:rPr>
              <w:t>由资格响应文件、商务技术文件和报价文件三部分组成。</w:t>
            </w:r>
          </w:p>
        </w:tc>
      </w:tr>
      <w:tr w14:paraId="64B7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823" w:type="dxa"/>
            <w:tcBorders>
              <w:left w:val="double" w:color="auto" w:sz="4" w:space="0"/>
            </w:tcBorders>
            <w:vAlign w:val="center"/>
          </w:tcPr>
          <w:p w14:paraId="38EF1361">
            <w:pPr>
              <w:spacing w:line="420" w:lineRule="exact"/>
              <w:jc w:val="center"/>
              <w:rPr>
                <w:rFonts w:ascii="宋体" w:hAnsi="宋体" w:cs="宋体"/>
                <w:bCs/>
                <w:szCs w:val="22"/>
              </w:rPr>
            </w:pPr>
            <w:r>
              <w:rPr>
                <w:rFonts w:hint="eastAsia" w:ascii="宋体" w:hAnsi="宋体" w:cs="宋体"/>
                <w:bCs/>
                <w:szCs w:val="22"/>
              </w:rPr>
              <w:t>投标文件的编制</w:t>
            </w:r>
          </w:p>
        </w:tc>
        <w:tc>
          <w:tcPr>
            <w:tcW w:w="7712" w:type="dxa"/>
            <w:tcBorders>
              <w:right w:val="double" w:color="auto" w:sz="4" w:space="0"/>
            </w:tcBorders>
            <w:vAlign w:val="center"/>
          </w:tcPr>
          <w:p w14:paraId="46C73E8A">
            <w:pPr>
              <w:spacing w:line="420" w:lineRule="exact"/>
              <w:rPr>
                <w:rFonts w:ascii="宋体" w:hAnsi="宋体" w:cs="宋体"/>
                <w:szCs w:val="22"/>
              </w:rPr>
            </w:pPr>
            <w:r>
              <w:rPr>
                <w:rFonts w:hint="eastAsia" w:ascii="宋体" w:hAnsi="宋体"/>
                <w:szCs w:val="22"/>
              </w:rPr>
              <w:t xml:space="preserve">供应商应先安装“政采云电子交易客户端”和申领“CA数字证书”，并按照本采购文件和“政采云平台”的要求，通过“政采云电子交易客户端”编制并加密响应文件。 </w:t>
            </w:r>
            <w:r>
              <w:rPr>
                <w:rFonts w:hint="eastAsia" w:ascii="宋体" w:hAnsi="宋体"/>
                <w:b/>
                <w:bCs/>
                <w:szCs w:val="22"/>
              </w:rPr>
              <w:t>注意：至本项目投标结束止，投标人需确保“政采云电子交易客户端”和CA驱动端为最新版本。请各投标人及时更新，避免造成损失。</w:t>
            </w:r>
          </w:p>
        </w:tc>
      </w:tr>
      <w:tr w14:paraId="479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823" w:type="dxa"/>
            <w:tcBorders>
              <w:left w:val="double" w:color="auto" w:sz="4" w:space="0"/>
            </w:tcBorders>
            <w:vAlign w:val="center"/>
          </w:tcPr>
          <w:p w14:paraId="5C8EC76A">
            <w:pPr>
              <w:spacing w:line="420" w:lineRule="exact"/>
              <w:jc w:val="center"/>
              <w:rPr>
                <w:rFonts w:ascii="宋体" w:hAnsi="宋体" w:cs="宋体"/>
                <w:bCs/>
                <w:szCs w:val="22"/>
              </w:rPr>
            </w:pPr>
            <w:r>
              <w:rPr>
                <w:rFonts w:hint="eastAsia" w:ascii="宋体" w:hAnsi="宋体" w:cs="宋体"/>
                <w:bCs/>
                <w:szCs w:val="22"/>
              </w:rPr>
              <w:t>投标文件的签章</w:t>
            </w:r>
          </w:p>
        </w:tc>
        <w:tc>
          <w:tcPr>
            <w:tcW w:w="7712" w:type="dxa"/>
            <w:tcBorders>
              <w:right w:val="double" w:color="auto" w:sz="4" w:space="0"/>
            </w:tcBorders>
            <w:vAlign w:val="center"/>
          </w:tcPr>
          <w:p w14:paraId="6C850EC3">
            <w:pPr>
              <w:spacing w:line="420" w:lineRule="exact"/>
              <w:rPr>
                <w:rFonts w:ascii="宋体" w:hAnsi="宋体" w:cs="宋体"/>
                <w:szCs w:val="22"/>
              </w:rPr>
            </w:pPr>
            <w:r>
              <w:rPr>
                <w:rFonts w:hint="eastAsia" w:ascii="宋体" w:hAnsi="宋体" w:cs="宋体"/>
                <w:szCs w:val="22"/>
              </w:rPr>
              <w:t>☑ 电子签章（投标文件里要求盖公章和代表盖章的均使用电子签章，如无法使用电子签章时，供应商需将响应文件打印出再盖上公章、签字后再扫描至客户端按要求继续进行编制）。</w:t>
            </w:r>
          </w:p>
        </w:tc>
      </w:tr>
      <w:tr w14:paraId="37A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823" w:type="dxa"/>
            <w:tcBorders>
              <w:left w:val="double" w:color="auto" w:sz="4" w:space="0"/>
            </w:tcBorders>
            <w:vAlign w:val="center"/>
          </w:tcPr>
          <w:p w14:paraId="1E55FA01">
            <w:pPr>
              <w:spacing w:line="420" w:lineRule="exact"/>
              <w:jc w:val="center"/>
              <w:rPr>
                <w:rFonts w:ascii="宋体" w:hAnsi="宋体" w:cs="宋体"/>
                <w:bCs/>
                <w:szCs w:val="22"/>
              </w:rPr>
            </w:pPr>
            <w:r>
              <w:rPr>
                <w:rFonts w:hint="eastAsia" w:ascii="宋体" w:hAnsi="宋体" w:cs="宋体"/>
                <w:bCs/>
                <w:szCs w:val="22"/>
              </w:rPr>
              <w:t>投标文件的形式</w:t>
            </w:r>
          </w:p>
        </w:tc>
        <w:tc>
          <w:tcPr>
            <w:tcW w:w="7712" w:type="dxa"/>
            <w:tcBorders>
              <w:right w:val="double" w:color="auto" w:sz="4" w:space="0"/>
            </w:tcBorders>
            <w:vAlign w:val="center"/>
          </w:tcPr>
          <w:p w14:paraId="6364CC48">
            <w:pPr>
              <w:spacing w:line="420" w:lineRule="exact"/>
              <w:rPr>
                <w:rFonts w:ascii="宋体" w:hAnsi="宋体" w:cs="宋体"/>
                <w:szCs w:val="22"/>
              </w:rPr>
            </w:pPr>
            <w:r>
              <w:rPr>
                <w:rFonts w:hint="eastAsia" w:ascii="宋体" w:hAnsi="宋体" w:cs="宋体"/>
                <w:szCs w:val="22"/>
              </w:rPr>
              <w:t>☑ 电子响应文件（包括《电子加密响应文件》和《备份响应文件》，在响应文件编制完成后同时生成）；</w:t>
            </w:r>
          </w:p>
          <w:p w14:paraId="2CFDD0C8">
            <w:pPr>
              <w:spacing w:line="420" w:lineRule="exact"/>
              <w:rPr>
                <w:rFonts w:ascii="宋体" w:hAnsi="宋体" w:cs="宋体"/>
                <w:szCs w:val="22"/>
              </w:rPr>
            </w:pPr>
            <w:r>
              <w:rPr>
                <w:rFonts w:hint="eastAsia" w:ascii="宋体" w:hAnsi="宋体" w:cs="宋体"/>
                <w:szCs w:val="22"/>
              </w:rPr>
              <w:t>（1）《电子加密响应文件》是指通过“政采云电子交易客户端”完成响应文件编制后生成并加密的数据电文形式的响应文件。</w:t>
            </w:r>
          </w:p>
          <w:p w14:paraId="203F4E58">
            <w:pPr>
              <w:spacing w:line="420" w:lineRule="exact"/>
              <w:rPr>
                <w:rFonts w:ascii="宋体" w:hAnsi="宋体" w:cs="宋体"/>
                <w:szCs w:val="22"/>
              </w:rPr>
            </w:pPr>
            <w:r>
              <w:rPr>
                <w:rFonts w:hint="eastAsia" w:ascii="宋体" w:hAnsi="宋体" w:cs="宋体"/>
                <w:szCs w:val="22"/>
              </w:rPr>
              <w:t>（2）《备份响应文件》是指与《电子加密响应文件》同时生成的数据电文形式的电子文件（备份响应文件），其他方式编制的备份响应文件视为无效备份响应文件。</w:t>
            </w:r>
          </w:p>
        </w:tc>
      </w:tr>
      <w:tr w14:paraId="24D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823" w:type="dxa"/>
            <w:tcBorders>
              <w:left w:val="double" w:color="auto" w:sz="4" w:space="0"/>
            </w:tcBorders>
            <w:vAlign w:val="center"/>
          </w:tcPr>
          <w:p w14:paraId="0B146101">
            <w:pPr>
              <w:spacing w:line="420" w:lineRule="exact"/>
              <w:jc w:val="center"/>
              <w:rPr>
                <w:rFonts w:ascii="宋体" w:hAnsi="宋体" w:cs="宋体"/>
                <w:bCs/>
                <w:szCs w:val="22"/>
              </w:rPr>
            </w:pPr>
            <w:r>
              <w:rPr>
                <w:rFonts w:hint="eastAsia" w:ascii="宋体" w:hAnsi="宋体" w:cs="宋体"/>
                <w:bCs/>
                <w:szCs w:val="22"/>
              </w:rPr>
              <w:t>投标文件份数</w:t>
            </w:r>
          </w:p>
        </w:tc>
        <w:tc>
          <w:tcPr>
            <w:tcW w:w="7712" w:type="dxa"/>
            <w:tcBorders>
              <w:right w:val="double" w:color="auto" w:sz="4" w:space="0"/>
            </w:tcBorders>
            <w:vAlign w:val="center"/>
          </w:tcPr>
          <w:p w14:paraId="27DA198A">
            <w:pPr>
              <w:spacing w:line="420" w:lineRule="exact"/>
              <w:rPr>
                <w:rFonts w:ascii="宋体" w:hAnsi="宋体" w:cs="宋体"/>
                <w:szCs w:val="22"/>
              </w:rPr>
            </w:pPr>
            <w:r>
              <w:rPr>
                <w:rFonts w:hint="eastAsia" w:ascii="宋体" w:hAnsi="宋体" w:cs="宋体"/>
                <w:szCs w:val="22"/>
              </w:rPr>
              <w:t>（1）“电子加密投标文件”：在线上传递交一份。</w:t>
            </w:r>
          </w:p>
          <w:p w14:paraId="7512831E">
            <w:pPr>
              <w:spacing w:line="420" w:lineRule="exact"/>
              <w:rPr>
                <w:rFonts w:ascii="宋体" w:hAnsi="宋体" w:cs="宋体"/>
                <w:szCs w:val="22"/>
              </w:rPr>
            </w:pPr>
            <w:r>
              <w:rPr>
                <w:rFonts w:hint="eastAsia" w:ascii="宋体" w:hAnsi="宋体" w:cs="宋体"/>
                <w:szCs w:val="22"/>
              </w:rPr>
              <w:t>（2）“备份投标文件”：</w:t>
            </w:r>
          </w:p>
          <w:p w14:paraId="623D1ABF">
            <w:pPr>
              <w:spacing w:line="420" w:lineRule="exact"/>
              <w:rPr>
                <w:rFonts w:ascii="宋体" w:hAnsi="宋体" w:cs="宋体"/>
                <w:szCs w:val="22"/>
              </w:rPr>
            </w:pPr>
            <w:r>
              <w:rPr>
                <w:rFonts w:hint="eastAsia" w:ascii="宋体" w:hAnsi="宋体" w:cs="宋体"/>
                <w:szCs w:val="22"/>
              </w:rPr>
              <w:t>a、投标供应商可根据自身情况，在开标截止时间前递交“备份投标文件”一份。</w:t>
            </w:r>
          </w:p>
          <w:p w14:paraId="5D37ED2C">
            <w:pPr>
              <w:spacing w:line="420" w:lineRule="exact"/>
              <w:rPr>
                <w:rFonts w:ascii="宋体" w:hAnsi="宋体" w:cs="宋体"/>
                <w:szCs w:val="22"/>
              </w:rPr>
            </w:pPr>
            <w:r>
              <w:rPr>
                <w:rFonts w:hint="eastAsia" w:ascii="宋体" w:hAnsi="宋体" w:cs="宋体"/>
                <w:szCs w:val="22"/>
              </w:rPr>
              <w:t>b、“备份投标文件”需按招标文件相关要求递交。</w:t>
            </w:r>
          </w:p>
          <w:p w14:paraId="45929E61">
            <w:pPr>
              <w:spacing w:line="420" w:lineRule="exact"/>
              <w:rPr>
                <w:rFonts w:ascii="宋体" w:hAnsi="宋体" w:cs="宋体"/>
                <w:szCs w:val="22"/>
              </w:rPr>
            </w:pPr>
            <w:r>
              <w:rPr>
                <w:rFonts w:hint="eastAsia" w:ascii="宋体" w:hAnsi="宋体" w:cs="宋体"/>
                <w:szCs w:val="22"/>
              </w:rPr>
              <w:t>c、允许投标供应商不递交“备份投标文件”，因“电子加密投标文件”在线解密失败，而造成投标无效的责任由投标供应商自行承担。</w:t>
            </w:r>
          </w:p>
        </w:tc>
      </w:tr>
      <w:tr w14:paraId="1732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823" w:type="dxa"/>
            <w:tcBorders>
              <w:left w:val="double" w:color="auto" w:sz="4" w:space="0"/>
            </w:tcBorders>
            <w:vAlign w:val="center"/>
          </w:tcPr>
          <w:p w14:paraId="46984901">
            <w:pPr>
              <w:spacing w:line="420" w:lineRule="exact"/>
              <w:jc w:val="center"/>
              <w:rPr>
                <w:rFonts w:ascii="宋体" w:hAnsi="宋体" w:cs="宋体"/>
                <w:bCs/>
                <w:szCs w:val="22"/>
              </w:rPr>
            </w:pPr>
            <w:r>
              <w:rPr>
                <w:rFonts w:hint="eastAsia" w:ascii="宋体" w:hAnsi="宋体" w:cs="宋体"/>
                <w:bCs/>
                <w:szCs w:val="22"/>
              </w:rPr>
              <w:t>投标文件的上传和递交</w:t>
            </w:r>
          </w:p>
        </w:tc>
        <w:tc>
          <w:tcPr>
            <w:tcW w:w="7712" w:type="dxa"/>
            <w:tcBorders>
              <w:right w:val="double" w:color="auto" w:sz="4" w:space="0"/>
            </w:tcBorders>
            <w:vAlign w:val="center"/>
          </w:tcPr>
          <w:p w14:paraId="5B358EA4">
            <w:pPr>
              <w:spacing w:line="420" w:lineRule="exact"/>
              <w:rPr>
                <w:szCs w:val="22"/>
              </w:rPr>
            </w:pPr>
            <w:r>
              <w:rPr>
                <w:rFonts w:hint="eastAsia"/>
                <w:szCs w:val="22"/>
              </w:rPr>
              <w:t>（1）《电子加密投标文件》的上传、递交：</w:t>
            </w:r>
          </w:p>
          <w:p w14:paraId="30AE1D45">
            <w:pPr>
              <w:spacing w:line="420" w:lineRule="exact"/>
              <w:rPr>
                <w:b/>
                <w:bCs/>
                <w:szCs w:val="22"/>
              </w:rPr>
            </w:pPr>
            <w:r>
              <w:rPr>
                <w:rFonts w:hint="eastAsia"/>
                <w:szCs w:val="22"/>
              </w:rPr>
              <w:t>a.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（注意：“电子加密投标文件”上传前请检查文件的完整性，因上传的“电子加密投标文件”完整性出现问题造成无法解密的，由投标供应商自行承担全部责任。）</w:t>
            </w:r>
          </w:p>
          <w:p w14:paraId="22A5A4ED">
            <w:pPr>
              <w:spacing w:line="420" w:lineRule="exact"/>
              <w:rPr>
                <w:szCs w:val="22"/>
              </w:rPr>
            </w:pPr>
            <w:r>
              <w:rPr>
                <w:rFonts w:hint="eastAsia"/>
                <w:szCs w:val="22"/>
              </w:rPr>
              <w:t>b.《电子加密投标文件》成功上传递交后，供应商可自行打印响应文件接收回执。</w:t>
            </w:r>
          </w:p>
          <w:p w14:paraId="47B4EF2A">
            <w:pPr>
              <w:spacing w:line="420" w:lineRule="exact"/>
              <w:rPr>
                <w:szCs w:val="22"/>
              </w:rPr>
            </w:pPr>
            <w:r>
              <w:rPr>
                <w:rFonts w:hint="eastAsia"/>
                <w:szCs w:val="22"/>
              </w:rPr>
              <w:t>（2）《备份投标文件》的密封包装、递交：</w:t>
            </w:r>
          </w:p>
          <w:p w14:paraId="0347FAA6">
            <w:pPr>
              <w:spacing w:line="420" w:lineRule="exact"/>
              <w:rPr>
                <w:szCs w:val="22"/>
              </w:rPr>
            </w:pPr>
            <w:r>
              <w:rPr>
                <w:rFonts w:hint="eastAsia"/>
                <w:szCs w:val="22"/>
              </w:rPr>
              <w:t>a.投标供应商在“政采云平台”完成《电子加密投标文件》的上传递交后，还可以以EMS、顺丰邮寄或投标人送达开标现场（即送即走）形式在投标截止时间前递交以U盘存储的 《备份投标文件》（一份）（邮寄地址：</w:t>
            </w:r>
            <w:r>
              <w:rPr>
                <w:rFonts w:hint="eastAsia"/>
                <w:szCs w:val="22"/>
                <w:lang w:eastAsia="zh-CN"/>
              </w:rPr>
              <w:t>苍南县灵溪镇</w:t>
            </w:r>
            <w:r>
              <w:rPr>
                <w:rFonts w:hint="eastAsia"/>
                <w:szCs w:val="22"/>
                <w:lang w:val="en-US" w:eastAsia="zh-CN"/>
              </w:rPr>
              <w:t>璀璨天瑞11幢2单元104室</w:t>
            </w:r>
            <w:r>
              <w:rPr>
                <w:rFonts w:hint="eastAsia"/>
                <w:szCs w:val="22"/>
              </w:rPr>
              <w:t>，</w:t>
            </w:r>
            <w:r>
              <w:rPr>
                <w:rFonts w:hint="eastAsia"/>
                <w:szCs w:val="22"/>
                <w:lang w:val="en-US" w:eastAsia="zh-CN"/>
              </w:rPr>
              <w:t>陈</w:t>
            </w:r>
            <w:r>
              <w:rPr>
                <w:rFonts w:hint="eastAsia"/>
                <w:szCs w:val="22"/>
                <w:lang w:eastAsia="zh-CN"/>
              </w:rPr>
              <w:t>先生</w:t>
            </w:r>
            <w:r>
              <w:rPr>
                <w:rFonts w:hint="eastAsia"/>
                <w:szCs w:val="22"/>
              </w:rPr>
              <w:t>收，邮编325800，联系电话：</w:t>
            </w:r>
            <w:r>
              <w:rPr>
                <w:rFonts w:hint="eastAsia"/>
                <w:szCs w:val="22"/>
                <w:lang w:val="en-US" w:eastAsia="zh-CN"/>
              </w:rPr>
              <w:t>13732080002</w:t>
            </w:r>
            <w:r>
              <w:rPr>
                <w:rFonts w:hint="eastAsia"/>
                <w:szCs w:val="22"/>
              </w:rPr>
              <w:t>）。</w:t>
            </w:r>
          </w:p>
          <w:p w14:paraId="7B67645A">
            <w:pPr>
              <w:spacing w:line="420" w:lineRule="exact"/>
              <w:rPr>
                <w:szCs w:val="22"/>
              </w:rPr>
            </w:pPr>
            <w:r>
              <w:rPr>
                <w:rFonts w:hint="eastAsia"/>
                <w:szCs w:val="22"/>
              </w:rPr>
              <w:t>注：投标供应商需自行考虑/承担邮寄运输过程中运输耗费时间及其他不可预测风险，建议在投标截止时前一天送达至代理公司，避免逾期递交。</w:t>
            </w:r>
          </w:p>
          <w:p w14:paraId="4881DDCA">
            <w:pPr>
              <w:spacing w:line="420" w:lineRule="exact"/>
              <w:rPr>
                <w:szCs w:val="22"/>
              </w:rPr>
            </w:pPr>
            <w:r>
              <w:rPr>
                <w:rFonts w:hint="eastAsia"/>
                <w:szCs w:val="22"/>
              </w:rPr>
              <w:t>b.《备份投标文件》应当密封包装，并在包装上标注投标项目名称、投标单位名称并加盖公章。没有密封包装或者逾期邮寄送达至指定地点的《备份投标文件》将不予接收；</w:t>
            </w:r>
          </w:p>
          <w:p w14:paraId="392659FC">
            <w:pPr>
              <w:adjustRightInd w:val="0"/>
              <w:snapToGrid w:val="0"/>
              <w:spacing w:line="420" w:lineRule="exact"/>
              <w:rPr>
                <w:szCs w:val="22"/>
              </w:rPr>
            </w:pPr>
            <w:r>
              <w:rPr>
                <w:rFonts w:hint="eastAsia"/>
                <w:szCs w:val="22"/>
              </w:rPr>
              <w:t>c.通过“政采云平台”成功上传递交的《电子加密投标文件》已按时解密的，《备份投标文件》自动失效。投标截止时间前，投标供应商仅递交了《备份投标文件》而未将《电子加密投标文件》成功上传至“政采云平台”的，投标无效。</w:t>
            </w:r>
          </w:p>
          <w:p w14:paraId="0F56FCF4">
            <w:pPr>
              <w:spacing w:line="420" w:lineRule="exact"/>
              <w:rPr>
                <w:rFonts w:ascii="宋体" w:hAnsi="宋体" w:cs="宋体"/>
                <w:szCs w:val="22"/>
              </w:rPr>
            </w:pPr>
            <w:r>
              <w:rPr>
                <w:rFonts w:hint="eastAsia"/>
                <w:szCs w:val="22"/>
              </w:rPr>
              <w:t>d.投标供应商可以不提供“备份投标文件”。未提供“备份投标文件”的投标供应商自行承担“电子加密投标文件”解密失败造成的投标无效的后果。</w:t>
            </w:r>
          </w:p>
        </w:tc>
      </w:tr>
      <w:tr w14:paraId="5500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23" w:type="dxa"/>
            <w:tcBorders>
              <w:left w:val="double" w:color="auto" w:sz="4" w:space="0"/>
            </w:tcBorders>
            <w:vAlign w:val="center"/>
          </w:tcPr>
          <w:p w14:paraId="15B14631">
            <w:pPr>
              <w:spacing w:line="420" w:lineRule="exact"/>
              <w:jc w:val="center"/>
              <w:rPr>
                <w:rFonts w:ascii="宋体" w:hAnsi="宋体" w:cs="宋体"/>
                <w:bCs/>
                <w:szCs w:val="22"/>
              </w:rPr>
            </w:pPr>
            <w:r>
              <w:rPr>
                <w:rFonts w:hint="eastAsia" w:ascii="宋体" w:hAnsi="宋体" w:cs="宋体"/>
                <w:bCs/>
                <w:szCs w:val="22"/>
              </w:rPr>
              <w:t>电子加密投标文件的解密和异常情况处理</w:t>
            </w:r>
          </w:p>
          <w:p w14:paraId="4CDE7C20">
            <w:pPr>
              <w:snapToGrid w:val="0"/>
              <w:spacing w:line="420" w:lineRule="exact"/>
              <w:jc w:val="center"/>
              <w:rPr>
                <w:rFonts w:ascii="宋体" w:hAnsi="宋体" w:cs="宋体"/>
                <w:b/>
                <w:bCs/>
                <w:szCs w:val="22"/>
              </w:rPr>
            </w:pPr>
          </w:p>
        </w:tc>
        <w:tc>
          <w:tcPr>
            <w:tcW w:w="7712" w:type="dxa"/>
            <w:tcBorders>
              <w:right w:val="double" w:color="auto" w:sz="4" w:space="0"/>
            </w:tcBorders>
            <w:vAlign w:val="center"/>
          </w:tcPr>
          <w:p w14:paraId="0E4CA58E">
            <w:pPr>
              <w:spacing w:line="420" w:lineRule="exact"/>
              <w:rPr>
                <w:rFonts w:ascii="宋体" w:hAnsi="宋体" w:cs="宋体"/>
                <w:szCs w:val="22"/>
              </w:rPr>
            </w:pPr>
            <w:r>
              <w:rPr>
                <w:rFonts w:hint="eastAsia" w:ascii="宋体" w:hAnsi="宋体" w:cs="宋体"/>
                <w:szCs w:val="22"/>
              </w:rPr>
              <w:t>（1）开标后，采购组织机构将向各投标供应商发出《电子加密响应文件》的解密通知，各投标供应商代表应当在接到解密通知后按政采云规定时间内自行完成《电子加密响应文件》的在线解密。</w:t>
            </w:r>
          </w:p>
          <w:p w14:paraId="2D77E877">
            <w:pPr>
              <w:spacing w:line="420" w:lineRule="exact"/>
              <w:rPr>
                <w:rFonts w:ascii="宋体" w:hAnsi="宋体" w:cs="宋体"/>
                <w:szCs w:val="22"/>
              </w:rPr>
            </w:pPr>
            <w:r>
              <w:rPr>
                <w:rFonts w:hint="eastAsia" w:ascii="宋体" w:hAnsi="宋体" w:cs="宋体"/>
                <w:szCs w:val="22"/>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Pr>
                <w:rFonts w:hint="eastAsia" w:ascii="宋体" w:hAnsi="宋体" w:cs="宋体"/>
                <w:b/>
                <w:bCs/>
                <w:szCs w:val="22"/>
              </w:rPr>
              <w:t>（注意：因“备份投标文件”完整性出现问题造成无法使用的，视为投标无效，由投标供应商自行承担全部责任。）</w:t>
            </w:r>
          </w:p>
          <w:p w14:paraId="6C1DF9B1">
            <w:pPr>
              <w:spacing w:line="420" w:lineRule="exact"/>
              <w:rPr>
                <w:rFonts w:ascii="宋体" w:hAnsi="宋体" w:cs="宋体"/>
                <w:szCs w:val="22"/>
              </w:rPr>
            </w:pPr>
            <w:r>
              <w:rPr>
                <w:rFonts w:hint="eastAsia" w:ascii="宋体" w:hAnsi="宋体" w:cs="宋体"/>
                <w:szCs w:val="22"/>
              </w:rPr>
              <w:t>（3）投标截止时间前，投标供应商仅递交了“备份响应文件”而未将电子加密响应文件上传至“政采云平台”的，投标无效。</w:t>
            </w:r>
          </w:p>
        </w:tc>
      </w:tr>
      <w:tr w14:paraId="600E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823" w:type="dxa"/>
            <w:tcBorders>
              <w:left w:val="double" w:color="auto" w:sz="4" w:space="0"/>
            </w:tcBorders>
            <w:vAlign w:val="center"/>
          </w:tcPr>
          <w:p w14:paraId="1CD24E42">
            <w:pPr>
              <w:spacing w:line="420" w:lineRule="exact"/>
              <w:jc w:val="center"/>
              <w:rPr>
                <w:rFonts w:ascii="宋体" w:hAnsi="宋体" w:cs="宋体"/>
                <w:bCs/>
                <w:szCs w:val="22"/>
              </w:rPr>
            </w:pPr>
            <w:r>
              <w:rPr>
                <w:rFonts w:hint="eastAsia" w:ascii="宋体" w:hAnsi="宋体" w:cs="宋体"/>
                <w:bCs/>
                <w:szCs w:val="22"/>
              </w:rPr>
              <w:t>质疑时间及事项</w:t>
            </w:r>
          </w:p>
        </w:tc>
        <w:tc>
          <w:tcPr>
            <w:tcW w:w="7712" w:type="dxa"/>
            <w:tcBorders>
              <w:right w:val="double" w:color="auto" w:sz="4" w:space="0"/>
            </w:tcBorders>
            <w:vAlign w:val="center"/>
          </w:tcPr>
          <w:p w14:paraId="4B10F5EB">
            <w:pPr>
              <w:spacing w:line="420" w:lineRule="exact"/>
              <w:rPr>
                <w:rFonts w:ascii="宋体" w:hAnsi="宋体" w:cs="宋体"/>
                <w:b/>
                <w:szCs w:val="22"/>
              </w:rPr>
            </w:pPr>
            <w:r>
              <w:rPr>
                <w:rFonts w:hint="eastAsia" w:ascii="宋体" w:hAnsi="宋体" w:cs="宋体"/>
                <w:b/>
                <w:szCs w:val="22"/>
              </w:rPr>
              <w:t>供应商须在采购公告质疑时间前一次性提出所有询问和质疑事项，逾期不递交的，视为放弃上述权利。</w:t>
            </w:r>
          </w:p>
          <w:p w14:paraId="64B71E32">
            <w:pPr>
              <w:spacing w:line="420" w:lineRule="exact"/>
              <w:rPr>
                <w:rFonts w:ascii="宋体" w:hAnsi="宋体" w:cs="宋体"/>
                <w:szCs w:val="22"/>
              </w:rPr>
            </w:pPr>
            <w:r>
              <w:rPr>
                <w:rFonts w:ascii="宋体" w:hAnsi="宋体" w:cs="宋体"/>
                <w:szCs w:val="22"/>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Cs w:val="22"/>
              </w:rPr>
              <w:t>。</w:t>
            </w:r>
            <w:r>
              <w:rPr>
                <w:rFonts w:ascii="宋体" w:hAnsi="宋体" w:cs="宋体"/>
                <w:szCs w:val="22"/>
              </w:rPr>
              <w:t>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cs="宋体"/>
                <w:szCs w:val="22"/>
              </w:rPr>
              <w:t>供应商也可以书面形式壹式贰份原件送达至代理机构，非法定代表人办理，需授权代理人全权负责，提交《法定代表人授权委托书原件》附后，《质疑函》范本请到“浙江政府采购网-下载专区-疑投诉模板”下载编制。</w:t>
            </w:r>
          </w:p>
        </w:tc>
      </w:tr>
      <w:tr w14:paraId="7524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224FE5C8">
            <w:pPr>
              <w:spacing w:line="420" w:lineRule="exact"/>
              <w:jc w:val="center"/>
              <w:rPr>
                <w:rFonts w:ascii="宋体" w:hAnsi="宋体" w:cs="宋体"/>
                <w:bCs/>
                <w:szCs w:val="22"/>
              </w:rPr>
            </w:pPr>
            <w:r>
              <w:rPr>
                <w:rFonts w:hint="eastAsia" w:ascii="宋体" w:hAnsi="宋体" w:cs="宋体"/>
                <w:bCs/>
                <w:szCs w:val="22"/>
              </w:rPr>
              <w:t>信用记录</w:t>
            </w:r>
          </w:p>
        </w:tc>
        <w:tc>
          <w:tcPr>
            <w:tcW w:w="7712" w:type="dxa"/>
            <w:tcBorders>
              <w:bottom w:val="single" w:color="auto" w:sz="4" w:space="0"/>
              <w:right w:val="double" w:color="auto" w:sz="4" w:space="0"/>
            </w:tcBorders>
            <w:vAlign w:val="center"/>
          </w:tcPr>
          <w:p w14:paraId="7DC49D2A">
            <w:pPr>
              <w:spacing w:line="420" w:lineRule="exact"/>
              <w:rPr>
                <w:rFonts w:ascii="宋体" w:hAnsi="宋体" w:cs="宋体"/>
                <w:szCs w:val="22"/>
              </w:rPr>
            </w:pPr>
            <w:r>
              <w:rPr>
                <w:rFonts w:hint="eastAsia" w:ascii="宋体" w:hAnsi="宋体" w:cs="宋体"/>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14:paraId="7ACE3E47">
            <w:pPr>
              <w:spacing w:line="420" w:lineRule="exact"/>
              <w:rPr>
                <w:rFonts w:ascii="宋体" w:hAnsi="宋体" w:cs="宋体"/>
                <w:szCs w:val="22"/>
              </w:rPr>
            </w:pPr>
            <w:r>
              <w:rPr>
                <w:rFonts w:hint="eastAsia" w:ascii="宋体" w:hAnsi="宋体" w:cs="宋体"/>
                <w:szCs w:val="22"/>
              </w:rPr>
              <w:t>本项目详细处理办法如下：</w:t>
            </w:r>
          </w:p>
          <w:p w14:paraId="55382AE5">
            <w:pPr>
              <w:spacing w:line="420" w:lineRule="exact"/>
              <w:rPr>
                <w:rFonts w:ascii="宋体" w:hAnsi="宋体" w:cs="宋体"/>
                <w:szCs w:val="22"/>
              </w:rPr>
            </w:pPr>
            <w:r>
              <w:rPr>
                <w:rFonts w:hint="eastAsia" w:ascii="宋体" w:hAnsi="宋体" w:cs="宋体"/>
                <w:szCs w:val="22"/>
              </w:rPr>
              <w:t>（1）投标截止时间后、采购结果公告前发现投标供应商存在上述“被拒绝情形”的，按资格审查不通过对其递交的投标文件（响应文件）作无效标处理。</w:t>
            </w:r>
          </w:p>
          <w:p w14:paraId="66D26BD4">
            <w:pPr>
              <w:spacing w:line="420" w:lineRule="exact"/>
              <w:rPr>
                <w:rFonts w:ascii="宋体" w:hAnsi="宋体" w:cs="宋体"/>
                <w:szCs w:val="22"/>
              </w:rPr>
            </w:pPr>
            <w:r>
              <w:rPr>
                <w:rFonts w:hint="eastAsia" w:ascii="宋体" w:hAnsi="宋体" w:cs="宋体"/>
                <w:szCs w:val="22"/>
              </w:rPr>
              <w:t>（2）采购结果公告后（合同签订前）发现中标（成交）供应商存在上述“被拒绝情形”的，按资格审查不通过取消其中标（成交）资格。</w:t>
            </w:r>
          </w:p>
          <w:p w14:paraId="317F9FA6">
            <w:pPr>
              <w:spacing w:line="420" w:lineRule="exact"/>
              <w:rPr>
                <w:rFonts w:ascii="宋体" w:hAnsi="宋体" w:cs="宋体"/>
                <w:szCs w:val="22"/>
              </w:rPr>
            </w:pPr>
            <w:r>
              <w:rPr>
                <w:rFonts w:hint="eastAsia" w:ascii="宋体" w:hAnsi="宋体" w:cs="宋体"/>
                <w:szCs w:val="22"/>
              </w:rPr>
              <w:t>（3）“被拒绝情形”是指列入失信被执行人、重大税收违法案件当事人名单、政府采购严重违法失信行为记录名单及其他不符合《中华人民共和国政府采购法》第二十二条规定条件的情形。</w:t>
            </w:r>
          </w:p>
          <w:p w14:paraId="58ACB83D">
            <w:pPr>
              <w:spacing w:after="312" w:afterLines="100" w:line="420" w:lineRule="exact"/>
              <w:rPr>
                <w:rFonts w:ascii="宋体" w:hAnsi="宋体" w:cs="宋体"/>
                <w:szCs w:val="22"/>
              </w:rPr>
            </w:pPr>
            <w:r>
              <w:rPr>
                <w:rFonts w:hint="eastAsia" w:ascii="宋体" w:hAnsi="宋体" w:cs="宋体"/>
                <w:szCs w:val="22"/>
              </w:rPr>
              <w:t>（4）查询工作由采购组织机构（采购人或采购代理机构）统一进行，并以书面形式留存备案。</w:t>
            </w:r>
          </w:p>
        </w:tc>
      </w:tr>
      <w:tr w14:paraId="5B2A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23" w:type="dxa"/>
            <w:tcBorders>
              <w:left w:val="double" w:color="auto" w:sz="4" w:space="0"/>
              <w:bottom w:val="single" w:color="auto" w:sz="4" w:space="0"/>
            </w:tcBorders>
            <w:vAlign w:val="center"/>
          </w:tcPr>
          <w:p w14:paraId="2490E8E0">
            <w:pPr>
              <w:adjustRightInd w:val="0"/>
              <w:snapToGrid w:val="0"/>
              <w:spacing w:line="420" w:lineRule="exact"/>
              <w:jc w:val="center"/>
              <w:rPr>
                <w:rFonts w:ascii="宋体" w:hAnsi="宋体"/>
                <w:szCs w:val="22"/>
              </w:rPr>
            </w:pPr>
            <w:r>
              <w:rPr>
                <w:rFonts w:hint="eastAsia" w:ascii="宋体" w:hAnsi="宋体"/>
                <w:szCs w:val="22"/>
              </w:rPr>
              <w:t>开标程序</w:t>
            </w:r>
          </w:p>
        </w:tc>
        <w:tc>
          <w:tcPr>
            <w:tcW w:w="7712" w:type="dxa"/>
            <w:tcBorders>
              <w:bottom w:val="single" w:color="auto" w:sz="4" w:space="0"/>
              <w:right w:val="double" w:color="auto" w:sz="4" w:space="0"/>
            </w:tcBorders>
            <w:vAlign w:val="center"/>
          </w:tcPr>
          <w:p w14:paraId="6642AA38">
            <w:pPr>
              <w:spacing w:before="156" w:beforeLines="50" w:line="420" w:lineRule="exact"/>
              <w:rPr>
                <w:rFonts w:ascii="新宋体" w:hAnsi="新宋体" w:eastAsia="新宋体" w:cs="新宋体"/>
                <w:kern w:val="0"/>
                <w:szCs w:val="22"/>
              </w:rPr>
            </w:pPr>
            <w:r>
              <w:rPr>
                <w:rFonts w:hint="eastAsia" w:ascii="宋体" w:hAnsi="宋体" w:cs="宋体"/>
                <w:szCs w:val="22"/>
              </w:rPr>
              <w:t>1、采购组织机构将按照招标文件规定的时间通过“政府采购云平台”开启投标文件，所有供应商均须准时在线参加。</w:t>
            </w:r>
            <w:r>
              <w:rPr>
                <w:rFonts w:ascii="宋体" w:hAnsi="宋体" w:cs="宋体"/>
                <w:szCs w:val="22"/>
              </w:rPr>
              <w:t>开标后，采购代理机构</w:t>
            </w:r>
            <w:r>
              <w:rPr>
                <w:rFonts w:hint="eastAsia" w:ascii="新宋体" w:hAnsi="新宋体" w:eastAsia="新宋体" w:cs="新宋体"/>
                <w:kern w:val="0"/>
                <w:szCs w:val="22"/>
              </w:rPr>
              <w:t>向各投标供应商发出电子加密投标文件【开始解密】通知，由</w:t>
            </w:r>
            <w:r>
              <w:rPr>
                <w:rFonts w:hint="eastAsia" w:ascii="宋体" w:hAnsi="宋体" w:cs="宋体"/>
                <w:szCs w:val="22"/>
              </w:rPr>
              <w:t>供应商登录政采云平台，在投标截止时间开始30分钟内对电子投标文件进行在线解密</w:t>
            </w:r>
            <w:r>
              <w:rPr>
                <w:rFonts w:hint="eastAsia" w:ascii="新宋体" w:hAnsi="新宋体" w:eastAsia="新宋体" w:cs="新宋体"/>
                <w:kern w:val="0"/>
                <w:szCs w:val="22"/>
              </w:rPr>
              <w:t>。</w:t>
            </w:r>
          </w:p>
          <w:p w14:paraId="2689262C">
            <w:pPr>
              <w:spacing w:line="420" w:lineRule="exact"/>
              <w:rPr>
                <w:rFonts w:ascii="宋体" w:hAnsi="宋体" w:cs="宋体"/>
                <w:szCs w:val="22"/>
              </w:rPr>
            </w:pPr>
            <w:r>
              <w:rPr>
                <w:rFonts w:hint="eastAsia" w:ascii="新宋体" w:hAnsi="新宋体" w:eastAsia="新宋体" w:cs="新宋体"/>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Pr>
                <w:rFonts w:hint="eastAsia" w:ascii="宋体" w:hAnsi="宋体" w:cs="宋体"/>
                <w:szCs w:val="22"/>
              </w:rPr>
              <w:t>。</w:t>
            </w:r>
          </w:p>
          <w:p w14:paraId="768A3B2D">
            <w:pPr>
              <w:spacing w:line="420" w:lineRule="exact"/>
              <w:rPr>
                <w:rFonts w:ascii="宋体" w:hAnsi="宋体" w:cs="宋体"/>
                <w:szCs w:val="22"/>
              </w:rPr>
            </w:pPr>
            <w:r>
              <w:rPr>
                <w:rFonts w:hint="eastAsia" w:ascii="宋体" w:hAnsi="宋体" w:cs="宋体"/>
                <w:szCs w:val="22"/>
              </w:rPr>
              <w:t>3、投标响应文件解密结束后，投标供应商应在30分钟内通过邮件形式发送各自签署的《政府采购活动现场确认声明书》扫描件至邮箱</w:t>
            </w:r>
            <w:r>
              <w:rPr>
                <w:rFonts w:hint="eastAsia" w:ascii="宋体" w:hAnsi="宋体" w:cs="宋体"/>
                <w:szCs w:val="22"/>
                <w:lang w:val="en-US" w:eastAsia="zh-CN"/>
              </w:rPr>
              <w:t>517105534</w:t>
            </w:r>
            <w:r>
              <w:rPr>
                <w:rFonts w:hint="eastAsia" w:ascii="宋体" w:hAnsi="宋体" w:cs="宋体"/>
                <w:szCs w:val="22"/>
                <w:lang w:eastAsia="zh-CN"/>
              </w:rPr>
              <w:t>@qq.com</w:t>
            </w:r>
            <w:r>
              <w:rPr>
                <w:rFonts w:hint="eastAsia" w:ascii="宋体" w:hAnsi="宋体" w:cs="宋体"/>
                <w:bCs/>
                <w:szCs w:val="22"/>
              </w:rPr>
              <w:t>（《政府采购活动现场确认声明书》格式见“第五部分 投标文件格式”）。</w:t>
            </w:r>
          </w:p>
          <w:p w14:paraId="300D1B58">
            <w:pPr>
              <w:spacing w:line="420" w:lineRule="exact"/>
              <w:rPr>
                <w:rFonts w:ascii="宋体" w:hAnsi="宋体" w:cs="宋体"/>
                <w:szCs w:val="22"/>
              </w:rPr>
            </w:pPr>
            <w:r>
              <w:rPr>
                <w:rFonts w:hint="eastAsia" w:ascii="宋体" w:hAnsi="宋体" w:cs="宋体"/>
                <w:szCs w:val="22"/>
              </w:rPr>
              <w:t>4、</w:t>
            </w:r>
            <w:r>
              <w:rPr>
                <w:rFonts w:ascii="宋体" w:hAnsi="宋体" w:cs="宋体"/>
                <w:szCs w:val="22"/>
              </w:rPr>
              <w:t>采购组织机构点击【开启标书信息】，开启标书成功后进入开标流程</w:t>
            </w:r>
            <w:r>
              <w:rPr>
                <w:rFonts w:hint="eastAsia" w:ascii="宋体" w:hAnsi="宋体" w:cs="宋体"/>
                <w:szCs w:val="22"/>
              </w:rPr>
              <w:t>；</w:t>
            </w:r>
          </w:p>
          <w:p w14:paraId="01DECB53">
            <w:pPr>
              <w:spacing w:after="156" w:afterLines="50" w:line="420" w:lineRule="exact"/>
              <w:rPr>
                <w:rFonts w:ascii="宋体" w:hAnsi="宋体" w:cs="宋体"/>
                <w:szCs w:val="22"/>
              </w:rPr>
            </w:pPr>
            <w:r>
              <w:rPr>
                <w:rFonts w:hint="eastAsia" w:ascii="宋体" w:hAnsi="宋体" w:cs="宋体"/>
                <w:szCs w:val="22"/>
              </w:rPr>
              <w:t>5、</w:t>
            </w:r>
            <w:r>
              <w:rPr>
                <w:rFonts w:ascii="宋体" w:hAnsi="宋体" w:cs="宋体"/>
                <w:szCs w:val="22"/>
              </w:rPr>
              <w:t>政采云系统平台有新的操作流程的，按其规定。</w:t>
            </w:r>
          </w:p>
        </w:tc>
      </w:tr>
      <w:tr w14:paraId="529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1823" w:type="dxa"/>
            <w:tcBorders>
              <w:left w:val="double" w:color="auto" w:sz="4" w:space="0"/>
              <w:bottom w:val="single" w:color="auto" w:sz="4" w:space="0"/>
            </w:tcBorders>
            <w:vAlign w:val="center"/>
          </w:tcPr>
          <w:p w14:paraId="17CC2616">
            <w:pPr>
              <w:spacing w:line="420" w:lineRule="exact"/>
              <w:jc w:val="center"/>
              <w:rPr>
                <w:rFonts w:ascii="宋体" w:hAnsi="宋体" w:cs="宋体"/>
                <w:bCs/>
                <w:szCs w:val="22"/>
              </w:rPr>
            </w:pPr>
            <w:r>
              <w:rPr>
                <w:rFonts w:hint="eastAsia" w:ascii="宋体" w:hAnsi="宋体" w:cs="宋体"/>
                <w:bCs/>
                <w:szCs w:val="22"/>
              </w:rPr>
              <w:t>采购标的对应的中小企业划分标准所属行业</w:t>
            </w:r>
          </w:p>
          <w:p w14:paraId="0DDDE227">
            <w:pPr>
              <w:spacing w:line="420" w:lineRule="exact"/>
              <w:jc w:val="center"/>
            </w:pPr>
          </w:p>
          <w:p w14:paraId="1439A293">
            <w:pPr>
              <w:spacing w:line="420" w:lineRule="exact"/>
              <w:jc w:val="center"/>
            </w:pPr>
          </w:p>
        </w:tc>
        <w:tc>
          <w:tcPr>
            <w:tcW w:w="7712" w:type="dxa"/>
            <w:tcBorders>
              <w:bottom w:val="single" w:color="auto" w:sz="4" w:space="0"/>
              <w:right w:val="double" w:color="auto" w:sz="4" w:space="0"/>
            </w:tcBorders>
            <w:vAlign w:val="center"/>
          </w:tcPr>
          <w:p w14:paraId="021EA1EB">
            <w:pPr>
              <w:spacing w:line="420" w:lineRule="exact"/>
              <w:rPr>
                <w:rFonts w:ascii="宋体" w:hAnsi="宋体" w:cs="宋体"/>
                <w:color w:val="0000FF"/>
                <w:szCs w:val="22"/>
              </w:rPr>
            </w:pPr>
            <w:r>
              <w:rPr>
                <w:rFonts w:hint="eastAsia" w:ascii="宋体" w:hAnsi="宋体" w:cs="宋体"/>
                <w:bCs/>
                <w:szCs w:val="22"/>
              </w:rPr>
              <w:t>本项目</w:t>
            </w:r>
            <w:r>
              <w:rPr>
                <w:rFonts w:hint="eastAsia" w:ascii="宋体" w:hAnsi="宋体" w:cs="宋体"/>
                <w:b/>
                <w:bCs/>
                <w:color w:val="0000FF"/>
                <w:szCs w:val="22"/>
              </w:rPr>
              <w:t>采购标的为</w:t>
            </w:r>
            <w:r>
              <w:rPr>
                <w:rFonts w:hint="eastAsia" w:ascii="宋体" w:hAnsi="宋体" w:cs="宋体"/>
                <w:b/>
                <w:bCs/>
                <w:color w:val="0000FF"/>
                <w:szCs w:val="22"/>
                <w:lang w:eastAsia="zh-CN"/>
              </w:rPr>
              <w:t>2025年度苍南县藻溪镇保洁及绿化养护服务项目</w:t>
            </w:r>
            <w:r>
              <w:rPr>
                <w:rFonts w:hint="eastAsia" w:ascii="宋体" w:hAnsi="宋体" w:cs="宋体"/>
                <w:bCs/>
                <w:szCs w:val="22"/>
              </w:rPr>
              <w:t>，属于</w:t>
            </w:r>
            <w:r>
              <w:rPr>
                <w:rFonts w:hint="eastAsia" w:ascii="宋体" w:hAnsi="宋体" w:cs="宋体"/>
                <w:b/>
                <w:bCs/>
                <w:color w:val="0000FF"/>
                <w:szCs w:val="22"/>
              </w:rPr>
              <w:t>服务类</w:t>
            </w:r>
            <w:r>
              <w:rPr>
                <w:rFonts w:hint="eastAsia" w:ascii="宋体" w:hAnsi="宋体" w:cs="宋体"/>
                <w:bCs/>
                <w:szCs w:val="22"/>
              </w:rPr>
              <w:t>采购项目，对应的中小企业划分标准所属行业为</w:t>
            </w:r>
            <w:r>
              <w:rPr>
                <w:rFonts w:hint="eastAsia" w:ascii="宋体" w:hAnsi="宋体" w:cs="宋体"/>
                <w:b/>
                <w:bCs/>
                <w:color w:val="0000FF"/>
                <w:szCs w:val="22"/>
              </w:rPr>
              <w:t>其他未列明行业。</w:t>
            </w:r>
          </w:p>
          <w:p w14:paraId="399613D1">
            <w:pPr>
              <w:spacing w:line="420" w:lineRule="exact"/>
              <w:rPr>
                <w:rFonts w:ascii="宋体" w:hAnsi="宋体" w:cs="宋体"/>
                <w:szCs w:val="22"/>
              </w:rPr>
            </w:pPr>
            <w:r>
              <w:rPr>
                <w:rFonts w:hint="eastAsia" w:ascii="宋体" w:hAnsi="宋体" w:cs="宋体"/>
                <w:szCs w:val="22"/>
              </w:rPr>
              <w:t>根据《政府采购促进中小企业发展管理办法》（财库﹝2020﹞46 号）的规定，本项目专门面向小型、微型企业（监狱企业，残疾人福利性单位视同小型、微型企业），中、大型企业不得参与。</w:t>
            </w:r>
          </w:p>
          <w:p w14:paraId="44678647">
            <w:pPr>
              <w:spacing w:line="420" w:lineRule="exact"/>
              <w:rPr>
                <w:rFonts w:ascii="宋体" w:hAnsi="宋体" w:cs="宋体"/>
                <w:szCs w:val="22"/>
              </w:rPr>
            </w:pPr>
            <w:r>
              <w:rPr>
                <w:rFonts w:hint="eastAsia" w:ascii="宋体" w:hAnsi="宋体" w:cs="宋体"/>
                <w:szCs w:val="22"/>
              </w:rPr>
              <w:t>注：投标人提供的服务全部由符合政策要求的小型企业/微型企业（监狱企业，残疾人福利性单位视同小型、微型企业）承担，否则不得参加本项目投标。（详见第六部分评审方法）</w:t>
            </w:r>
          </w:p>
        </w:tc>
      </w:tr>
      <w:tr w14:paraId="6C7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823" w:type="dxa"/>
            <w:tcBorders>
              <w:left w:val="double" w:color="auto" w:sz="4" w:space="0"/>
              <w:bottom w:val="single" w:color="auto" w:sz="4" w:space="0"/>
            </w:tcBorders>
            <w:vAlign w:val="center"/>
          </w:tcPr>
          <w:p w14:paraId="0EE186ED">
            <w:pPr>
              <w:spacing w:line="420" w:lineRule="exact"/>
              <w:jc w:val="center"/>
              <w:rPr>
                <w:rFonts w:ascii="宋体" w:hAnsi="宋体" w:cs="宋体"/>
                <w:bCs/>
                <w:szCs w:val="22"/>
              </w:rPr>
            </w:pPr>
            <w:r>
              <w:rPr>
                <w:rFonts w:hint="eastAsia" w:ascii="宋体" w:hAnsi="宋体" w:cs="宋体"/>
                <w:bCs/>
                <w:szCs w:val="22"/>
              </w:rPr>
              <w:t>其他政策说明</w:t>
            </w:r>
          </w:p>
        </w:tc>
        <w:tc>
          <w:tcPr>
            <w:tcW w:w="7712" w:type="dxa"/>
            <w:tcBorders>
              <w:bottom w:val="single" w:color="auto" w:sz="4" w:space="0"/>
              <w:right w:val="double" w:color="auto" w:sz="4" w:space="0"/>
            </w:tcBorders>
            <w:vAlign w:val="center"/>
          </w:tcPr>
          <w:p w14:paraId="4F82EB09">
            <w:pPr>
              <w:snapToGrid w:val="0"/>
              <w:spacing w:line="420" w:lineRule="exact"/>
              <w:rPr>
                <w:rFonts w:ascii="宋体" w:hAnsi="宋体" w:cs="宋体"/>
                <w:bCs/>
                <w:szCs w:val="22"/>
              </w:rPr>
            </w:pPr>
            <w:r>
              <w:rPr>
                <w:rFonts w:hint="eastAsia" w:ascii="宋体" w:hAnsi="宋体" w:cs="宋体"/>
                <w:szCs w:val="22"/>
              </w:rPr>
              <w:t>为支持和促进中小企业发展，进一步发挥政府采购政策功能，温州市财政局出台了《温州市财政局关于温州市政府采购支持中小企业信用融资的通知》（温财采〔2020〕3 号），供应商若有融资意向，可直接登录 http://jinrong.zcygov.cn，查看信用融资政策文件及各相关银行服务方案，也可直接向各银行咨询相关业务。</w:t>
            </w:r>
          </w:p>
        </w:tc>
      </w:tr>
      <w:tr w14:paraId="3EB9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7" w:hRule="atLeast"/>
        </w:trPr>
        <w:tc>
          <w:tcPr>
            <w:tcW w:w="1823" w:type="dxa"/>
            <w:tcBorders>
              <w:left w:val="double" w:color="auto" w:sz="4" w:space="0"/>
            </w:tcBorders>
            <w:vAlign w:val="center"/>
          </w:tcPr>
          <w:p w14:paraId="764B7FE0">
            <w:pPr>
              <w:spacing w:line="420" w:lineRule="exact"/>
              <w:jc w:val="center"/>
              <w:rPr>
                <w:rFonts w:ascii="宋体" w:hAnsi="宋体" w:cs="宋体"/>
                <w:bCs/>
                <w:szCs w:val="22"/>
              </w:rPr>
            </w:pPr>
            <w:r>
              <w:rPr>
                <w:rFonts w:hint="eastAsia" w:ascii="宋体" w:hAnsi="宋体" w:cs="宋体"/>
                <w:bCs/>
                <w:szCs w:val="22"/>
              </w:rPr>
              <w:t>备注</w:t>
            </w:r>
          </w:p>
        </w:tc>
        <w:tc>
          <w:tcPr>
            <w:tcW w:w="7712" w:type="dxa"/>
            <w:tcBorders>
              <w:right w:val="double" w:color="auto" w:sz="4" w:space="0"/>
            </w:tcBorders>
            <w:vAlign w:val="center"/>
          </w:tcPr>
          <w:p w14:paraId="49759D33">
            <w:pPr>
              <w:spacing w:line="420" w:lineRule="exact"/>
              <w:rPr>
                <w:rFonts w:ascii="宋体" w:hAnsi="宋体" w:cs="宋体"/>
                <w:szCs w:val="22"/>
              </w:rPr>
            </w:pPr>
            <w:r>
              <w:rPr>
                <w:rFonts w:hint="eastAsia" w:ascii="宋体" w:hAnsi="宋体" w:cs="宋体"/>
                <w:szCs w:val="22"/>
              </w:rPr>
              <w:t>1、如发现招标文件及其评审办法中存在含糊不清、相互矛盾、多种含义以及歧视性不公正条款或违法违规等内容时，</w:t>
            </w:r>
            <w:r>
              <w:rPr>
                <w:rFonts w:hint="eastAsia" w:ascii="宋体" w:hAnsi="宋体" w:cs="宋体"/>
                <w:szCs w:val="22"/>
                <w:u w:val="single"/>
              </w:rPr>
              <w:t>请在规定的质疑截止时间前向采购机构或采购人提交《询问函》或《质疑函》反映，逾期不得再对招标文件的条款提出质疑。</w:t>
            </w:r>
          </w:p>
          <w:p w14:paraId="401C8BDD">
            <w:pPr>
              <w:spacing w:line="420" w:lineRule="exact"/>
              <w:rPr>
                <w:rFonts w:ascii="宋体" w:hAnsi="宋体" w:cs="宋体"/>
                <w:szCs w:val="22"/>
              </w:rPr>
            </w:pPr>
            <w:r>
              <w:rPr>
                <w:rFonts w:hint="eastAsia" w:ascii="宋体" w:hAnsi="宋体" w:cs="宋体"/>
                <w:szCs w:val="22"/>
              </w:rPr>
              <w:t>2、如递交的介质（U盘）无法使用，所造成后果由投标人自行承担。</w:t>
            </w:r>
          </w:p>
          <w:p w14:paraId="222E6B10">
            <w:pPr>
              <w:spacing w:line="420" w:lineRule="exact"/>
              <w:rPr>
                <w:rFonts w:ascii="宋体" w:hAnsi="宋体" w:cs="宋体"/>
                <w:szCs w:val="22"/>
              </w:rPr>
            </w:pPr>
            <w:r>
              <w:rPr>
                <w:rFonts w:hint="eastAsia" w:ascii="宋体" w:hAnsi="宋体" w:cs="宋体"/>
                <w:szCs w:val="22"/>
              </w:rPr>
              <w:t>3、评审过程中涉及询标等事项，请各投标人30分钟内在政采云网上进行应答，超出时限未做应答的，后果自行负责。</w:t>
            </w:r>
          </w:p>
          <w:p w14:paraId="69CE0D1E">
            <w:pPr>
              <w:spacing w:line="420" w:lineRule="exact"/>
              <w:rPr>
                <w:rFonts w:ascii="宋体" w:hAnsi="宋体" w:cs="宋体"/>
                <w:szCs w:val="22"/>
              </w:rPr>
            </w:pPr>
            <w:r>
              <w:rPr>
                <w:rFonts w:hint="eastAsia" w:ascii="宋体" w:hAnsi="宋体" w:cs="宋体"/>
                <w:szCs w:val="22"/>
              </w:rPr>
              <w:t>4、开标过程中如需电话联系，以投标人在政采云报名时所填写的号码作为联系号码，如未如实填写或无法联系的，后果由投标人自行承担。</w:t>
            </w:r>
          </w:p>
          <w:p w14:paraId="20DA1C9B">
            <w:pPr>
              <w:spacing w:line="420" w:lineRule="exact"/>
              <w:rPr>
                <w:rFonts w:ascii="宋体" w:hAnsi="宋体" w:cs="宋体"/>
                <w:szCs w:val="22"/>
              </w:rPr>
            </w:pPr>
            <w:r>
              <w:rPr>
                <w:rFonts w:hint="eastAsia" w:ascii="宋体" w:hAnsi="宋体" w:cs="宋体"/>
                <w:szCs w:val="22"/>
              </w:rPr>
              <w:t>5、凡是通过政采云系统生成的电子签章均为有效电子签章。</w:t>
            </w:r>
          </w:p>
          <w:p w14:paraId="6A881E94">
            <w:pPr>
              <w:spacing w:line="420" w:lineRule="exact"/>
              <w:rPr>
                <w:rFonts w:ascii="宋体" w:hAnsi="宋体" w:cs="宋体"/>
                <w:szCs w:val="22"/>
              </w:rPr>
            </w:pPr>
            <w:r>
              <w:rPr>
                <w:rFonts w:hint="eastAsia" w:ascii="宋体" w:hAnsi="宋体" w:cs="宋体"/>
                <w:szCs w:val="22"/>
              </w:rPr>
              <w:t>6、所有开标流程，均在线上完成，请各供应商务必不要离开电脑太久，并留意手机短信。（请提前检查“政采云”内，关于“项目采购”的岗位权限是否已勾选上。如有问题，请致电400-8817190）</w:t>
            </w:r>
          </w:p>
          <w:p w14:paraId="0309FD6B">
            <w:pPr>
              <w:spacing w:line="420" w:lineRule="exact"/>
              <w:rPr>
                <w:rFonts w:ascii="宋体" w:hAnsi="宋体" w:cs="宋体"/>
                <w:szCs w:val="22"/>
              </w:rPr>
            </w:pPr>
            <w:r>
              <w:rPr>
                <w:rFonts w:hint="eastAsia" w:ascii="宋体" w:hAnsi="宋体" w:cs="宋体"/>
                <w:szCs w:val="22"/>
              </w:rPr>
              <w:t>7、如遇“政采云平台”电子化开标或评审程序调整的，按调整后程序执行。</w:t>
            </w:r>
          </w:p>
          <w:p w14:paraId="314BA9B2">
            <w:pPr>
              <w:spacing w:line="420" w:lineRule="exact"/>
              <w:rPr>
                <w:rFonts w:ascii="宋体" w:hAnsi="宋体" w:cs="宋体"/>
                <w:szCs w:val="22"/>
              </w:rPr>
            </w:pPr>
            <w:r>
              <w:rPr>
                <w:rFonts w:hint="eastAsia" w:ascii="宋体" w:hAnsi="宋体" w:cs="宋体"/>
                <w:szCs w:val="22"/>
              </w:rPr>
              <w:t>8、本招标文件解释权归招标代理机构与采购人所有。</w:t>
            </w:r>
          </w:p>
        </w:tc>
      </w:tr>
      <w:tr w14:paraId="7C4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823" w:type="dxa"/>
            <w:tcBorders>
              <w:left w:val="double" w:color="auto" w:sz="4" w:space="0"/>
              <w:bottom w:val="double" w:color="auto" w:sz="4" w:space="0"/>
            </w:tcBorders>
            <w:vAlign w:val="center"/>
          </w:tcPr>
          <w:p w14:paraId="1B3E5EE3">
            <w:pPr>
              <w:spacing w:line="420" w:lineRule="exact"/>
              <w:jc w:val="center"/>
              <w:rPr>
                <w:rFonts w:ascii="宋体" w:hAnsi="宋体" w:cs="宋体"/>
                <w:bCs/>
                <w:szCs w:val="22"/>
              </w:rPr>
            </w:pPr>
            <w:r>
              <w:rPr>
                <w:rFonts w:hint="eastAsia" w:ascii="宋体" w:hAnsi="宋体" w:cs="宋体"/>
                <w:szCs w:val="22"/>
              </w:rPr>
              <w:t>重要提醒</w:t>
            </w:r>
          </w:p>
        </w:tc>
        <w:tc>
          <w:tcPr>
            <w:tcW w:w="7712" w:type="dxa"/>
            <w:tcBorders>
              <w:bottom w:val="double" w:color="auto" w:sz="4" w:space="0"/>
              <w:right w:val="double" w:color="auto" w:sz="4" w:space="0"/>
            </w:tcBorders>
            <w:vAlign w:val="center"/>
          </w:tcPr>
          <w:p w14:paraId="42CAE1FD">
            <w:pPr>
              <w:spacing w:line="420" w:lineRule="exact"/>
              <w:rPr>
                <w:rFonts w:ascii="宋体" w:hAnsi="宋体" w:cs="宋体"/>
                <w:szCs w:val="22"/>
              </w:rPr>
            </w:pPr>
            <w:r>
              <w:rPr>
                <w:rFonts w:hint="eastAsia" w:ascii="宋体" w:hAnsi="宋体" w:cs="宋体"/>
                <w:color w:val="0000FF"/>
                <w:szCs w:val="22"/>
              </w:rPr>
              <w:t>1、招标文件中标注“▲”的技术或商务条款均为实质性要求条款，不满足实质性要求条款的投标无效。</w:t>
            </w:r>
          </w:p>
        </w:tc>
      </w:tr>
    </w:tbl>
    <w:p w14:paraId="79A72969">
      <w:pPr>
        <w:autoSpaceDE w:val="0"/>
        <w:autoSpaceDN w:val="0"/>
        <w:snapToGrid w:val="0"/>
        <w:spacing w:line="420" w:lineRule="exact"/>
        <w:jc w:val="center"/>
        <w:textAlignment w:val="bottom"/>
        <w:rPr>
          <w:rFonts w:ascii="宋体" w:hAnsi="宋体" w:cs="宋体"/>
          <w:b/>
          <w:sz w:val="20"/>
          <w:szCs w:val="6"/>
        </w:rPr>
      </w:pPr>
      <w:r>
        <w:rPr>
          <w:rFonts w:hint="eastAsia" w:ascii="宋体" w:hAnsi="宋体" w:cs="宋体"/>
          <w:b/>
          <w:sz w:val="44"/>
        </w:rPr>
        <w:br w:type="page"/>
      </w:r>
    </w:p>
    <w:p w14:paraId="1CECA266">
      <w:pPr>
        <w:autoSpaceDE w:val="0"/>
        <w:autoSpaceDN w:val="0"/>
        <w:snapToGrid w:val="0"/>
        <w:spacing w:before="156" w:beforeLines="50" w:line="420" w:lineRule="exact"/>
        <w:jc w:val="center"/>
        <w:textAlignment w:val="bottom"/>
        <w:rPr>
          <w:rFonts w:ascii="宋体" w:hAnsi="宋体"/>
          <w:b/>
          <w:sz w:val="18"/>
          <w:szCs w:val="18"/>
        </w:rPr>
      </w:pPr>
    </w:p>
    <w:p w14:paraId="3D1EE345">
      <w:pPr>
        <w:pStyle w:val="5"/>
        <w:spacing w:line="420" w:lineRule="exact"/>
      </w:pPr>
      <w:r>
        <w:rPr>
          <w:rFonts w:hint="eastAsia"/>
        </w:rPr>
        <w:t>采购文件总目录</w:t>
      </w:r>
    </w:p>
    <w:p w14:paraId="65019B17">
      <w:pPr>
        <w:autoSpaceDE w:val="0"/>
        <w:autoSpaceDN w:val="0"/>
        <w:adjustRightInd w:val="0"/>
        <w:spacing w:line="420" w:lineRule="exact"/>
        <w:ind w:left="1131" w:leftChars="514"/>
        <w:rPr>
          <w:rFonts w:ascii="宋体" w:hAnsi="宋体" w:cs="仿宋_GB2312"/>
          <w:bCs/>
          <w:kern w:val="0"/>
          <w:szCs w:val="22"/>
          <w:lang w:val="zh-CN"/>
        </w:rPr>
      </w:pPr>
    </w:p>
    <w:p w14:paraId="09A7B712">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第一部分 </w:t>
      </w:r>
      <w:r>
        <w:rPr>
          <w:rFonts w:hint="eastAsia" w:ascii="宋体" w:hAnsi="宋体" w:cs="仿宋_GB2312"/>
          <w:bCs/>
          <w:kern w:val="0"/>
          <w:szCs w:val="22"/>
          <w:lang w:val="zh-CN"/>
        </w:rPr>
        <w:t xml:space="preserve"> 项目简介</w:t>
      </w:r>
    </w:p>
    <w:p w14:paraId="0226EEBB">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第二部分  </w:t>
      </w:r>
      <w:r>
        <w:rPr>
          <w:rFonts w:hint="eastAsia" w:ascii="宋体" w:hAnsi="宋体" w:cs="仿宋_GB2312"/>
          <w:bCs/>
          <w:kern w:val="0"/>
          <w:szCs w:val="22"/>
          <w:lang w:val="zh-CN"/>
        </w:rPr>
        <w:t>采购内容及服务要求</w:t>
      </w:r>
    </w:p>
    <w:p w14:paraId="2AA13076">
      <w:pPr>
        <w:autoSpaceDE w:val="0"/>
        <w:autoSpaceDN w:val="0"/>
        <w:adjustRightInd w:val="0"/>
        <w:spacing w:line="420" w:lineRule="exact"/>
        <w:ind w:left="1131" w:leftChars="514" w:firstLine="1100" w:firstLineChars="500"/>
        <w:rPr>
          <w:rFonts w:ascii="宋体" w:hAnsi="宋体" w:cs="仿宋_GB2312"/>
          <w:bCs/>
          <w:kern w:val="0"/>
          <w:szCs w:val="22"/>
        </w:rPr>
      </w:pPr>
      <w:r>
        <w:rPr>
          <w:rFonts w:hint="eastAsia" w:ascii="宋体" w:hAnsi="宋体" w:cs="仿宋_GB2312"/>
          <w:bCs/>
          <w:kern w:val="0"/>
          <w:szCs w:val="22"/>
          <w:lang w:val="zh-CN"/>
        </w:rPr>
        <w:t xml:space="preserve">  一、</w:t>
      </w:r>
      <w:r>
        <w:rPr>
          <w:rFonts w:hint="eastAsia" w:ascii="宋体" w:hAnsi="宋体" w:cs="仿宋_GB2312"/>
          <w:bCs/>
          <w:kern w:val="0"/>
          <w:szCs w:val="22"/>
        </w:rPr>
        <w:t>总则</w:t>
      </w:r>
    </w:p>
    <w:p w14:paraId="04CCDF03">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二、</w:t>
      </w:r>
      <w:r>
        <w:rPr>
          <w:rFonts w:hint="eastAsia" w:ascii="宋体" w:hAnsi="宋体" w:cs="仿宋_GB2312"/>
          <w:bCs/>
          <w:kern w:val="0"/>
          <w:szCs w:val="22"/>
        </w:rPr>
        <w:t>具体</w:t>
      </w:r>
      <w:r>
        <w:rPr>
          <w:rFonts w:hint="eastAsia" w:ascii="宋体" w:hAnsi="宋体" w:cs="仿宋_GB2312"/>
          <w:bCs/>
          <w:kern w:val="0"/>
          <w:szCs w:val="22"/>
          <w:lang w:val="zh-CN"/>
        </w:rPr>
        <w:t>服务要求</w:t>
      </w:r>
      <w:r>
        <w:rPr>
          <w:rFonts w:hint="eastAsia" w:ascii="宋体" w:hAnsi="宋体" w:cs="仿宋_GB2312"/>
          <w:bCs/>
          <w:kern w:val="0"/>
          <w:szCs w:val="22"/>
        </w:rPr>
        <w:t>及内容</w:t>
      </w:r>
      <w:r>
        <w:rPr>
          <w:rFonts w:hint="eastAsia" w:ascii="宋体" w:hAnsi="宋体" w:cs="仿宋_GB2312"/>
          <w:bCs/>
          <w:kern w:val="0"/>
          <w:szCs w:val="22"/>
          <w:lang w:val="zh-CN"/>
        </w:rPr>
        <w:t xml:space="preserve"> </w:t>
      </w:r>
    </w:p>
    <w:p w14:paraId="42942CCA">
      <w:pPr>
        <w:autoSpaceDE w:val="0"/>
        <w:autoSpaceDN w:val="0"/>
        <w:adjustRightInd w:val="0"/>
        <w:spacing w:line="420" w:lineRule="exact"/>
        <w:ind w:left="1131" w:leftChars="514" w:firstLine="1100" w:firstLineChars="500"/>
        <w:rPr>
          <w:rFonts w:ascii="宋体" w:hAnsi="宋体" w:cs="仿宋_GB2312"/>
          <w:bCs/>
          <w:kern w:val="0"/>
          <w:szCs w:val="22"/>
          <w:lang w:val="zh-CN"/>
        </w:rPr>
      </w:pPr>
      <w:r>
        <w:rPr>
          <w:rFonts w:hint="eastAsia" w:ascii="宋体" w:hAnsi="宋体" w:cs="仿宋_GB2312"/>
          <w:bCs/>
          <w:kern w:val="0"/>
          <w:szCs w:val="22"/>
          <w:lang w:val="zh-CN"/>
        </w:rPr>
        <w:t xml:space="preserve">  三、商务条款</w:t>
      </w:r>
    </w:p>
    <w:p w14:paraId="49870BC9">
      <w:pPr>
        <w:autoSpaceDE w:val="0"/>
        <w:autoSpaceDN w:val="0"/>
        <w:adjustRightInd w:val="0"/>
        <w:spacing w:line="420" w:lineRule="exact"/>
        <w:ind w:left="1131" w:leftChars="514"/>
        <w:rPr>
          <w:rFonts w:ascii="宋体" w:hAnsi="宋体" w:cs="仿宋_GB2312"/>
          <w:bCs/>
          <w:kern w:val="0"/>
          <w:szCs w:val="22"/>
          <w:lang w:val="zh-CN"/>
        </w:rPr>
      </w:pPr>
      <w:r>
        <w:rPr>
          <w:rFonts w:hint="eastAsia" w:ascii="宋体" w:hAnsi="宋体" w:cs="仿宋_GB2312"/>
          <w:b/>
          <w:bCs/>
          <w:kern w:val="0"/>
          <w:szCs w:val="22"/>
          <w:lang w:val="zh-CN"/>
        </w:rPr>
        <w:t xml:space="preserve">第三部分  </w:t>
      </w:r>
      <w:r>
        <w:rPr>
          <w:rFonts w:hint="eastAsia" w:ascii="宋体" w:hAnsi="宋体" w:cs="仿宋_GB2312"/>
          <w:bCs/>
          <w:kern w:val="0"/>
          <w:szCs w:val="22"/>
          <w:lang w:val="zh-CN"/>
        </w:rPr>
        <w:t>供应商须知</w:t>
      </w:r>
    </w:p>
    <w:p w14:paraId="5CDC0605">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一、说    明</w:t>
      </w:r>
    </w:p>
    <w:p w14:paraId="7FDFCC26">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二、供应商资格条件</w:t>
      </w:r>
    </w:p>
    <w:p w14:paraId="47A7C1F2">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三、招标文件</w:t>
      </w:r>
    </w:p>
    <w:p w14:paraId="09C82960">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四、投标文件</w:t>
      </w:r>
    </w:p>
    <w:p w14:paraId="5EE7EDCA">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lang w:val="zh-CN"/>
        </w:rPr>
        <w:t xml:space="preserve">  五、投标文件的递交</w:t>
      </w:r>
    </w:p>
    <w:p w14:paraId="029A34C7">
      <w:pPr>
        <w:autoSpaceDE w:val="0"/>
        <w:autoSpaceDN w:val="0"/>
        <w:adjustRightInd w:val="0"/>
        <w:spacing w:line="420" w:lineRule="exact"/>
        <w:ind w:left="1131" w:leftChars="514" w:firstLine="1009" w:firstLineChars="459"/>
        <w:rPr>
          <w:rFonts w:hAnsi="宋体"/>
          <w:szCs w:val="22"/>
        </w:rPr>
      </w:pPr>
      <w:r>
        <w:rPr>
          <w:rFonts w:hint="eastAsia" w:ascii="宋体" w:hAnsi="宋体" w:cs="仿宋_GB2312"/>
          <w:bCs/>
          <w:kern w:val="0"/>
          <w:szCs w:val="22"/>
          <w:lang w:val="zh-CN"/>
        </w:rPr>
        <w:t xml:space="preserve">  六、</w:t>
      </w:r>
      <w:r>
        <w:rPr>
          <w:rFonts w:hint="eastAsia" w:hAnsi="宋体"/>
          <w:szCs w:val="22"/>
        </w:rPr>
        <w:t>开标</w:t>
      </w:r>
    </w:p>
    <w:p w14:paraId="70E77A53">
      <w:pPr>
        <w:autoSpaceDE w:val="0"/>
        <w:autoSpaceDN w:val="0"/>
        <w:adjustRightInd w:val="0"/>
        <w:spacing w:line="420" w:lineRule="exact"/>
        <w:ind w:left="1131" w:leftChars="514" w:firstLine="1009" w:firstLineChars="459"/>
        <w:rPr>
          <w:rFonts w:hAnsi="宋体"/>
          <w:szCs w:val="22"/>
        </w:rPr>
      </w:pPr>
      <w:r>
        <w:rPr>
          <w:rFonts w:hint="eastAsia" w:hAnsi="宋体"/>
          <w:szCs w:val="22"/>
        </w:rPr>
        <w:t xml:space="preserve">  七、评标</w:t>
      </w:r>
    </w:p>
    <w:p w14:paraId="7B4CBFA8">
      <w:pPr>
        <w:pStyle w:val="52"/>
        <w:spacing w:line="420" w:lineRule="exact"/>
      </w:pPr>
      <w:r>
        <w:rPr>
          <w:rFonts w:hint="eastAsia" w:hAnsi="宋体"/>
          <w:szCs w:val="22"/>
        </w:rPr>
        <w:t xml:space="preserve">                     八、投标文件的澄清</w:t>
      </w:r>
    </w:p>
    <w:p w14:paraId="4A618A64">
      <w:pPr>
        <w:autoSpaceDE w:val="0"/>
        <w:autoSpaceDN w:val="0"/>
        <w:adjustRightInd w:val="0"/>
        <w:spacing w:line="420" w:lineRule="exact"/>
        <w:ind w:left="1131" w:leftChars="514" w:firstLine="1009" w:firstLineChars="459"/>
        <w:rPr>
          <w:rFonts w:ascii="宋体" w:hAnsi="宋体" w:cs="仿宋_GB2312"/>
          <w:bCs/>
          <w:kern w:val="0"/>
          <w:szCs w:val="22"/>
          <w:lang w:val="zh-CN"/>
        </w:rPr>
      </w:pPr>
      <w:r>
        <w:rPr>
          <w:rFonts w:hint="eastAsia" w:ascii="宋体" w:hAnsi="宋体" w:cs="仿宋_GB2312"/>
          <w:bCs/>
          <w:kern w:val="0"/>
          <w:szCs w:val="22"/>
        </w:rPr>
        <w:t xml:space="preserve">  九</w:t>
      </w:r>
      <w:r>
        <w:rPr>
          <w:rFonts w:hint="eastAsia" w:ascii="宋体" w:hAnsi="宋体" w:cs="仿宋_GB2312"/>
          <w:bCs/>
          <w:kern w:val="0"/>
          <w:szCs w:val="22"/>
          <w:lang w:val="zh-CN"/>
        </w:rPr>
        <w:t>、授予合同</w:t>
      </w:r>
    </w:p>
    <w:p w14:paraId="1B06E9A2">
      <w:pPr>
        <w:autoSpaceDE w:val="0"/>
        <w:autoSpaceDN w:val="0"/>
        <w:snapToGrid w:val="0"/>
        <w:spacing w:line="420" w:lineRule="exact"/>
        <w:ind w:firstLine="883" w:firstLineChars="400"/>
        <w:textAlignment w:val="bottom"/>
        <w:rPr>
          <w:rFonts w:ascii="宋体" w:hAnsi="宋体"/>
          <w:szCs w:val="22"/>
        </w:rPr>
      </w:pPr>
      <w:r>
        <w:rPr>
          <w:rFonts w:hint="eastAsia" w:ascii="宋体" w:hAnsi="宋体" w:cs="仿宋_GB2312"/>
          <w:b/>
          <w:bCs/>
          <w:kern w:val="0"/>
          <w:szCs w:val="22"/>
          <w:lang w:val="zh-CN"/>
        </w:rPr>
        <w:t>第四部分</w:t>
      </w:r>
      <w:r>
        <w:rPr>
          <w:rFonts w:hint="eastAsia" w:ascii="宋体" w:hAnsi="宋体"/>
          <w:szCs w:val="22"/>
        </w:rPr>
        <w:t xml:space="preserve">  政府采购合同</w:t>
      </w:r>
    </w:p>
    <w:p w14:paraId="733DB461">
      <w:pPr>
        <w:tabs>
          <w:tab w:val="left" w:pos="56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第五部分</w:t>
      </w:r>
      <w:r>
        <w:rPr>
          <w:rFonts w:hint="eastAsia" w:ascii="宋体" w:hAnsi="宋体"/>
          <w:szCs w:val="22"/>
        </w:rPr>
        <w:t xml:space="preserve">  附件：投标文件格式</w:t>
      </w:r>
    </w:p>
    <w:p w14:paraId="213DE6D9">
      <w:pPr>
        <w:tabs>
          <w:tab w:val="left" w:pos="1980"/>
        </w:tabs>
        <w:autoSpaceDE w:val="0"/>
        <w:autoSpaceDN w:val="0"/>
        <w:snapToGrid w:val="0"/>
        <w:spacing w:line="420" w:lineRule="exact"/>
        <w:textAlignment w:val="bottom"/>
        <w:rPr>
          <w:rFonts w:ascii="宋体" w:hAnsi="宋体"/>
          <w:szCs w:val="22"/>
        </w:rPr>
      </w:pPr>
      <w:r>
        <w:rPr>
          <w:rFonts w:hint="eastAsia" w:ascii="宋体" w:hAnsi="宋体"/>
          <w:szCs w:val="22"/>
        </w:rPr>
        <w:t xml:space="preserve">       </w:t>
      </w:r>
      <w:r>
        <w:rPr>
          <w:rFonts w:hint="eastAsia" w:ascii="宋体" w:hAnsi="宋体" w:cs="仿宋_GB2312"/>
          <w:b/>
          <w:bCs/>
          <w:kern w:val="0"/>
          <w:szCs w:val="22"/>
          <w:lang w:val="zh-CN"/>
        </w:rPr>
        <w:t xml:space="preserve"> 第六部分</w:t>
      </w:r>
      <w:r>
        <w:rPr>
          <w:rFonts w:hint="eastAsia" w:ascii="宋体" w:hAnsi="宋体"/>
          <w:szCs w:val="22"/>
        </w:rPr>
        <w:t xml:space="preserve">  评审办法</w:t>
      </w:r>
    </w:p>
    <w:p w14:paraId="5ECDE52D">
      <w:pPr>
        <w:autoSpaceDE w:val="0"/>
        <w:autoSpaceDN w:val="0"/>
        <w:adjustRightInd w:val="0"/>
        <w:spacing w:line="420" w:lineRule="exact"/>
        <w:ind w:left="1131" w:leftChars="514"/>
        <w:rPr>
          <w:rFonts w:ascii="宋体" w:hAnsi="宋体" w:cs="仿宋_GB2312"/>
          <w:bCs/>
          <w:kern w:val="0"/>
          <w:szCs w:val="22"/>
          <w:lang w:val="zh-CN"/>
        </w:rPr>
      </w:pPr>
    </w:p>
    <w:p w14:paraId="1BDDE117">
      <w:pPr>
        <w:autoSpaceDE w:val="0"/>
        <w:autoSpaceDN w:val="0"/>
        <w:adjustRightInd w:val="0"/>
        <w:spacing w:before="120" w:line="420" w:lineRule="exact"/>
        <w:ind w:firstLine="431" w:firstLineChars="196"/>
        <w:rPr>
          <w:rFonts w:ascii="宋体"/>
          <w:szCs w:val="22"/>
          <w:u w:val="thick"/>
        </w:rPr>
      </w:pPr>
      <w:r>
        <w:rPr>
          <w:rFonts w:hint="eastAsia" w:ascii="宋体"/>
          <w:szCs w:val="22"/>
          <w:u w:val="thick"/>
        </w:rPr>
        <w:t>注：采购文件中有的条款及要求以加粗、加下划线或符号★的形式强调，这些特别强调的条款及内容有些是重要条款，供应商对重要条款的响应程度将作为评审工作的主要依据之一。</w:t>
      </w:r>
    </w:p>
    <w:p w14:paraId="2A10FEDB">
      <w:pPr>
        <w:autoSpaceDE w:val="0"/>
        <w:autoSpaceDN w:val="0"/>
        <w:adjustRightInd w:val="0"/>
        <w:spacing w:line="420" w:lineRule="exact"/>
        <w:jc w:val="center"/>
        <w:textAlignment w:val="bottom"/>
        <w:rPr>
          <w:rFonts w:asciiTheme="minorEastAsia" w:hAnsiTheme="minorEastAsia"/>
        </w:rPr>
      </w:pPr>
    </w:p>
    <w:p w14:paraId="690DE6AE">
      <w:pPr>
        <w:widowControl/>
        <w:spacing w:line="420" w:lineRule="exact"/>
        <w:jc w:val="left"/>
        <w:rPr>
          <w:rFonts w:ascii="宋体" w:hAnsi="宋体"/>
          <w:b/>
          <w:sz w:val="36"/>
        </w:rPr>
      </w:pPr>
      <w:r>
        <w:rPr>
          <w:rFonts w:ascii="宋体" w:hAnsi="宋体"/>
          <w:b/>
          <w:sz w:val="36"/>
        </w:rPr>
        <w:br w:type="page"/>
      </w:r>
    </w:p>
    <w:p w14:paraId="55579A38">
      <w:pPr>
        <w:pStyle w:val="5"/>
        <w:spacing w:line="420" w:lineRule="exact"/>
      </w:pPr>
      <w:r>
        <w:rPr>
          <w:rFonts w:hint="eastAsia"/>
        </w:rPr>
        <w:t>第一部分 项目简介</w:t>
      </w:r>
    </w:p>
    <w:p w14:paraId="1CC43D99">
      <w:pPr>
        <w:pStyle w:val="7"/>
        <w:spacing w:line="420" w:lineRule="exact"/>
      </w:pPr>
      <w:r>
        <w:rPr>
          <w:rFonts w:hint="eastAsia"/>
        </w:rPr>
        <w:t>一、项目简介</w:t>
      </w:r>
    </w:p>
    <w:p w14:paraId="2F7BD599">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lang w:eastAsia="zh-CN"/>
        </w:rPr>
        <w:t>浙江中驰工程项目管理有限公司</w:t>
      </w:r>
      <w:r>
        <w:rPr>
          <w:rFonts w:hint="eastAsia" w:ascii="宋体" w:hAnsi="宋体" w:eastAsia="宋体"/>
          <w:color w:val="auto"/>
          <w:sz w:val="22"/>
        </w:rPr>
        <w:t>受</w:t>
      </w:r>
      <w:r>
        <w:rPr>
          <w:rFonts w:hint="eastAsia" w:ascii="宋体" w:hAnsi="宋体" w:eastAsia="宋体"/>
          <w:color w:val="auto"/>
          <w:sz w:val="22"/>
          <w:lang w:eastAsia="zh-CN"/>
        </w:rPr>
        <w:t>苍南县藻溪镇人民政府</w:t>
      </w:r>
      <w:r>
        <w:rPr>
          <w:rFonts w:hint="eastAsia" w:ascii="宋体" w:hAnsi="宋体" w:eastAsia="宋体"/>
          <w:color w:val="auto"/>
          <w:sz w:val="22"/>
        </w:rPr>
        <w:t>委托，</w:t>
      </w:r>
      <w:r>
        <w:rPr>
          <w:rFonts w:ascii="宋体" w:hAnsi="宋体" w:eastAsia="宋体"/>
          <w:color w:val="auto"/>
          <w:sz w:val="22"/>
        </w:rPr>
        <w:t>以公开招标方式采购</w:t>
      </w:r>
      <w:r>
        <w:rPr>
          <w:rFonts w:hint="eastAsia" w:ascii="宋体" w:hAnsi="宋体" w:eastAsia="宋体"/>
          <w:color w:val="auto"/>
          <w:sz w:val="22"/>
          <w:lang w:eastAsia="zh-CN"/>
        </w:rPr>
        <w:t>2025年度苍南县藻溪镇保洁及绿化养护服务项目</w:t>
      </w:r>
      <w:r>
        <w:rPr>
          <w:rFonts w:hint="eastAsia" w:ascii="宋体" w:hAnsi="宋体" w:eastAsia="宋体"/>
          <w:color w:val="auto"/>
          <w:sz w:val="22"/>
        </w:rPr>
        <w:t>，本次招标资金已经落实。</w:t>
      </w:r>
    </w:p>
    <w:p w14:paraId="3CBE1F35">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我们热情欢迎有关公司（企业）前来进行投标。</w:t>
      </w:r>
    </w:p>
    <w:p w14:paraId="64BFF8D0">
      <w:pPr>
        <w:pStyle w:val="5"/>
        <w:numPr>
          <w:ilvl w:val="0"/>
          <w:numId w:val="1"/>
        </w:numPr>
        <w:spacing w:line="420" w:lineRule="exact"/>
        <w:rPr>
          <w:rFonts w:hint="eastAsia"/>
        </w:rPr>
      </w:pPr>
      <w:r>
        <w:rPr>
          <w:rFonts w:hint="eastAsia"/>
        </w:rPr>
        <w:t>采购内容及服务要求</w:t>
      </w:r>
      <w:bookmarkStart w:id="8" w:name="_Toc157410883"/>
    </w:p>
    <w:p w14:paraId="2398B567">
      <w:pPr>
        <w:pStyle w:val="7"/>
        <w:spacing w:line="420" w:lineRule="exact"/>
      </w:pPr>
      <w:bookmarkStart w:id="9" w:name="_Toc1510"/>
      <w:bookmarkStart w:id="10" w:name="_Toc411166776"/>
      <w:r>
        <w:rPr>
          <w:rFonts w:hint="eastAsia"/>
        </w:rPr>
        <w:t>一、总则</w:t>
      </w:r>
      <w:bookmarkEnd w:id="9"/>
    </w:p>
    <w:bookmarkEnd w:id="10"/>
    <w:p w14:paraId="442E7036">
      <w:pPr>
        <w:pStyle w:val="29"/>
        <w:adjustRightInd w:val="0"/>
        <w:spacing w:line="420" w:lineRule="exact"/>
        <w:ind w:firstLine="521" w:firstLineChars="237"/>
        <w:rPr>
          <w:rFonts w:ascii="宋体" w:hAnsi="宋体" w:eastAsia="宋体"/>
          <w:color w:val="auto"/>
          <w:sz w:val="22"/>
        </w:rPr>
      </w:pPr>
      <w:bookmarkStart w:id="11" w:name="_Toc29733"/>
      <w:bookmarkStart w:id="12" w:name="_Toc1859"/>
      <w:r>
        <w:rPr>
          <w:rFonts w:hint="eastAsia" w:ascii="宋体" w:hAnsi="宋体" w:eastAsia="宋体"/>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14:paraId="555D705B">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14:paraId="52C57693">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3、本招标文件中涉及的金额均以人民币为单位计算。</w:t>
      </w:r>
    </w:p>
    <w:p w14:paraId="5DB89530">
      <w:pPr>
        <w:pStyle w:val="29"/>
        <w:adjustRightInd w:val="0"/>
        <w:spacing w:line="420" w:lineRule="exact"/>
        <w:ind w:firstLine="521" w:firstLineChars="237"/>
        <w:rPr>
          <w:rFonts w:ascii="宋体" w:hAnsi="宋体" w:eastAsia="宋体"/>
          <w:color w:val="auto"/>
          <w:sz w:val="22"/>
        </w:rPr>
      </w:pPr>
      <w:r>
        <w:rPr>
          <w:rFonts w:hint="eastAsia" w:ascii="宋体" w:hAnsi="宋体" w:eastAsia="宋体"/>
          <w:color w:val="auto"/>
          <w:sz w:val="22"/>
        </w:rPr>
        <w:t>4、本招标文件中“供应商”和“投标供应商”的描述均为“投标人”；“招标单位”和“</w:t>
      </w:r>
      <w:r>
        <w:rPr>
          <w:rFonts w:hint="eastAsia" w:ascii="宋体" w:hAnsi="宋体" w:eastAsia="宋体"/>
          <w:color w:val="auto"/>
          <w:sz w:val="22"/>
          <w:lang w:eastAsia="zh-CN"/>
        </w:rPr>
        <w:t>采购人</w:t>
      </w:r>
      <w:r>
        <w:rPr>
          <w:rFonts w:hint="eastAsia" w:ascii="宋体" w:hAnsi="宋体" w:eastAsia="宋体"/>
          <w:color w:val="auto"/>
          <w:sz w:val="22"/>
        </w:rPr>
        <w:t>”的描述均为“采购人”。</w:t>
      </w:r>
    </w:p>
    <w:p w14:paraId="18B49CE3">
      <w:pPr>
        <w:pStyle w:val="7"/>
        <w:spacing w:line="420" w:lineRule="exact"/>
        <w:rPr>
          <w:rFonts w:hint="eastAsia"/>
        </w:rPr>
      </w:pPr>
      <w:r>
        <w:rPr>
          <w:rFonts w:hint="eastAsia"/>
        </w:rPr>
        <w:t>二、</w:t>
      </w:r>
      <w:bookmarkEnd w:id="11"/>
      <w:bookmarkEnd w:id="12"/>
      <w:r>
        <w:rPr>
          <w:rFonts w:hint="eastAsia"/>
        </w:rPr>
        <w:t>招标范围</w:t>
      </w:r>
    </w:p>
    <w:p w14:paraId="7C43C7C6">
      <w:pPr>
        <w:rPr>
          <w:rFonts w:hint="default" w:eastAsia="宋体"/>
          <w:b/>
          <w:bCs/>
          <w:sz w:val="36"/>
          <w:szCs w:val="28"/>
          <w:lang w:val="en-US" w:eastAsia="zh-CN"/>
        </w:rPr>
      </w:pPr>
      <w:r>
        <w:rPr>
          <w:rFonts w:hint="eastAsia"/>
          <w:b/>
          <w:bCs/>
          <w:sz w:val="36"/>
          <w:szCs w:val="28"/>
          <w:lang w:val="en-US" w:eastAsia="zh-CN"/>
        </w:rPr>
        <w:t>1、保洁部分</w:t>
      </w:r>
    </w:p>
    <w:p w14:paraId="318E16E7">
      <w:pPr>
        <w:spacing w:line="420" w:lineRule="exact"/>
        <w:rPr>
          <w:rFonts w:ascii="宋体" w:hAnsi="宋体" w:cs="宋体"/>
          <w:b/>
          <w:bCs/>
          <w:szCs w:val="22"/>
        </w:rPr>
      </w:pPr>
      <w:r>
        <w:rPr>
          <w:rFonts w:hint="eastAsia" w:ascii="宋体" w:hAnsi="宋体" w:cs="宋体"/>
          <w:b/>
          <w:bCs/>
          <w:szCs w:val="22"/>
        </w:rPr>
        <w:t>（一）保洁区域范围</w:t>
      </w:r>
    </w:p>
    <w:p w14:paraId="1A441C9D">
      <w:pPr>
        <w:tabs>
          <w:tab w:val="left" w:pos="360"/>
        </w:tabs>
        <w:spacing w:line="420" w:lineRule="exact"/>
        <w:ind w:firstLine="440" w:firstLineChars="200"/>
        <w:rPr>
          <w:rFonts w:hint="eastAsia" w:ascii="宋体" w:hAnsi="宋体" w:cs="宋体"/>
          <w:szCs w:val="22"/>
          <w:lang w:val="en-US" w:eastAsia="zh-CN"/>
        </w:rPr>
      </w:pPr>
      <w:r>
        <w:rPr>
          <w:rFonts w:hint="eastAsia" w:ascii="宋体" w:hAnsi="宋体" w:cs="宋体"/>
          <w:szCs w:val="22"/>
        </w:rPr>
        <w:t>1、</w:t>
      </w:r>
      <w:r>
        <w:rPr>
          <w:rFonts w:hint="eastAsia" w:ascii="宋体" w:hAnsi="宋体" w:cs="宋体"/>
          <w:szCs w:val="22"/>
          <w:lang w:val="en-US" w:eastAsia="zh-CN"/>
        </w:rPr>
        <w:t>城区保洁</w:t>
      </w:r>
    </w:p>
    <w:p w14:paraId="033A9F68">
      <w:pPr>
        <w:tabs>
          <w:tab w:val="left" w:pos="360"/>
        </w:tabs>
        <w:spacing w:line="420" w:lineRule="exact"/>
        <w:ind w:firstLine="440" w:firstLineChars="200"/>
        <w:rPr>
          <w:rFonts w:hint="default"/>
          <w:lang w:val="en-US" w:eastAsia="zh-CN"/>
        </w:rPr>
      </w:pPr>
      <w:r>
        <w:rPr>
          <w:rFonts w:hint="eastAsia" w:ascii="宋体" w:hAnsi="宋体" w:cs="宋体"/>
          <w:szCs w:val="22"/>
          <w:lang w:val="en-US" w:eastAsia="zh-CN"/>
        </w:rPr>
        <w:t>1.1包括：兴洲街、涌泉街、九堡路、文兰街、藻溪街、信用街、中兴路、经三路加经四路、公园一街、公园二街、公园路加溪南路、康乐街、菜市场、溪心岛（3个岛）、栈道、停车场、藻溪公园雁过藻溪、文泰路、鲤鱼山公园</w:t>
      </w:r>
      <w:r>
        <w:rPr>
          <w:rFonts w:hint="eastAsia" w:ascii="宋体" w:hAnsi="宋体" w:cs="宋体"/>
          <w:szCs w:val="22"/>
          <w:highlight w:val="none"/>
          <w:lang w:val="en-US" w:eastAsia="zh-CN"/>
        </w:rPr>
        <w:t>、富溪东溪湿地、灵</w:t>
      </w:r>
      <w:r>
        <w:rPr>
          <w:rFonts w:hint="eastAsia" w:ascii="宋体" w:hAnsi="宋体" w:cs="宋体"/>
          <w:szCs w:val="22"/>
          <w:lang w:val="en-US" w:eastAsia="zh-CN"/>
        </w:rPr>
        <w:t>沙大道（藻溪支线主入口</w:t>
      </w:r>
      <w:r>
        <w:rPr>
          <w:rFonts w:hint="eastAsia" w:ascii="宋体" w:hAnsi="宋体" w:eastAsia="宋体" w:cs="宋体"/>
          <w:szCs w:val="22"/>
          <w:lang w:val="en-US" w:eastAsia="zh-CN"/>
        </w:rPr>
        <w:t>）、藻溪片区-九堡路、藻溪片区-丁埠头交叉道路、大溪步道、冬泳基地。</w:t>
      </w:r>
    </w:p>
    <w:p w14:paraId="7AC01674">
      <w:pPr>
        <w:numPr>
          <w:ilvl w:val="0"/>
          <w:numId w:val="2"/>
        </w:numPr>
        <w:tabs>
          <w:tab w:val="left" w:pos="360"/>
        </w:tabs>
        <w:spacing w:line="420" w:lineRule="exact"/>
        <w:ind w:left="0" w:leftChars="0"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河道保洁及河岸迎水面保洁</w:t>
      </w:r>
    </w:p>
    <w:p w14:paraId="21F86D2A">
      <w:pPr>
        <w:pStyle w:val="31"/>
        <w:numPr>
          <w:ilvl w:val="0"/>
          <w:numId w:val="0"/>
        </w:numPr>
        <w:ind w:leftChars="200"/>
        <w:jc w:val="both"/>
        <w:rPr>
          <w:rFonts w:hint="eastAsia" w:eastAsia="宋体"/>
          <w:b w:val="0"/>
          <w:bCs w:val="0"/>
          <w:lang w:eastAsia="zh-CN"/>
        </w:rPr>
      </w:pPr>
      <w:r>
        <w:rPr>
          <w:rFonts w:hint="eastAsia" w:ascii="宋体" w:hAnsi="宋体" w:cs="宋体"/>
          <w:b w:val="0"/>
          <w:bCs w:val="0"/>
          <w:sz w:val="22"/>
          <w:szCs w:val="22"/>
          <w:lang w:val="en-US" w:eastAsia="zh-CN"/>
        </w:rPr>
        <w:t>2.1</w:t>
      </w:r>
      <w:r>
        <w:rPr>
          <w:rFonts w:hint="eastAsia" w:ascii="宋体" w:hAnsi="宋体" w:eastAsia="宋体" w:cs="宋体"/>
          <w:b w:val="0"/>
          <w:bCs w:val="0"/>
          <w:sz w:val="22"/>
          <w:szCs w:val="22"/>
        </w:rPr>
        <w:t>藻溪镇河道进行保洁</w:t>
      </w:r>
      <w:r>
        <w:rPr>
          <w:rFonts w:hint="eastAsia" w:ascii="宋体" w:hAnsi="宋体" w:cs="宋体"/>
          <w:b w:val="0"/>
          <w:bCs w:val="0"/>
          <w:sz w:val="22"/>
          <w:szCs w:val="22"/>
          <w:lang w:eastAsia="zh-CN"/>
        </w:rPr>
        <w:t>（</w:t>
      </w:r>
      <w:r>
        <w:rPr>
          <w:rFonts w:hint="eastAsia" w:ascii="宋体" w:hAnsi="宋体" w:cs="宋体"/>
          <w:b w:val="0"/>
          <w:bCs w:val="0"/>
          <w:sz w:val="22"/>
          <w:szCs w:val="22"/>
          <w:lang w:val="en-US" w:eastAsia="zh-CN"/>
        </w:rPr>
        <w:t>保洁区域范围内的河道</w:t>
      </w:r>
      <w:r>
        <w:rPr>
          <w:rFonts w:hint="eastAsia" w:ascii="宋体" w:hAnsi="宋体" w:cs="宋体"/>
          <w:b w:val="0"/>
          <w:bCs w:val="0"/>
          <w:sz w:val="22"/>
          <w:szCs w:val="22"/>
          <w:lang w:eastAsia="zh-CN"/>
        </w:rPr>
        <w:t>）</w:t>
      </w:r>
    </w:p>
    <w:p w14:paraId="00E2C702">
      <w:pPr>
        <w:tabs>
          <w:tab w:val="left" w:pos="360"/>
        </w:tabs>
        <w:spacing w:line="420" w:lineRule="exact"/>
        <w:ind w:firstLine="442" w:firstLineChars="200"/>
        <w:rPr>
          <w:rFonts w:ascii="宋体" w:hAnsi="宋体" w:cs="宋体"/>
          <w:szCs w:val="22"/>
        </w:rPr>
      </w:pPr>
      <w:r>
        <w:rPr>
          <w:rFonts w:hint="eastAsia" w:ascii="宋体" w:hAnsi="宋体" w:cs="宋体"/>
          <w:b/>
          <w:bCs/>
          <w:szCs w:val="22"/>
        </w:rPr>
        <w:t>注:</w:t>
      </w:r>
      <w:r>
        <w:rPr>
          <w:rFonts w:hint="default" w:ascii="Calibri" w:hAnsi="Calibri" w:cs="Calibri"/>
          <w:b/>
          <w:bCs/>
          <w:szCs w:val="22"/>
        </w:rPr>
        <w:t>①</w:t>
      </w:r>
      <w:r>
        <w:rPr>
          <w:rFonts w:hint="eastAsia" w:ascii="宋体" w:hAnsi="宋体" w:cs="宋体"/>
          <w:b/>
          <w:bCs/>
          <w:szCs w:val="22"/>
        </w:rPr>
        <w:t>本《招标文件》所列保洁数据仅供各投标</w:t>
      </w:r>
      <w:r>
        <w:rPr>
          <w:rFonts w:hint="eastAsia" w:ascii="宋体" w:hAnsi="宋体" w:cs="宋体"/>
          <w:b/>
          <w:bCs/>
          <w:szCs w:val="22"/>
          <w:lang w:val="en-US" w:eastAsia="zh-CN"/>
        </w:rPr>
        <w:t>供应商</w:t>
      </w:r>
      <w:r>
        <w:rPr>
          <w:rFonts w:hint="eastAsia" w:ascii="宋体" w:hAnsi="宋体" w:cs="宋体"/>
          <w:b/>
          <w:bCs/>
          <w:szCs w:val="22"/>
        </w:rPr>
        <w:t>参考，合同范围以保洁数据区域范围内的实际数据为准，各投标</w:t>
      </w:r>
      <w:r>
        <w:rPr>
          <w:rFonts w:hint="eastAsia" w:ascii="宋体" w:hAnsi="宋体" w:cs="宋体"/>
          <w:b/>
          <w:bCs/>
          <w:szCs w:val="22"/>
          <w:lang w:val="en-US" w:eastAsia="zh-CN"/>
        </w:rPr>
        <w:t>供应商</w:t>
      </w:r>
      <w:r>
        <w:rPr>
          <w:rFonts w:hint="eastAsia" w:ascii="宋体" w:hAnsi="宋体" w:cs="宋体"/>
          <w:b/>
          <w:bCs/>
          <w:szCs w:val="22"/>
        </w:rPr>
        <w:t>务必自行进行实地勘察，以了解并取得制定服务方案所需的所有准确数据。</w:t>
      </w:r>
      <w:r>
        <w:rPr>
          <w:rFonts w:hint="default" w:ascii="Calibri" w:hAnsi="Calibri" w:cs="Calibri"/>
          <w:b/>
          <w:bCs/>
          <w:szCs w:val="22"/>
        </w:rPr>
        <w:t>②</w:t>
      </w:r>
      <w:r>
        <w:rPr>
          <w:rFonts w:hint="eastAsia" w:ascii="宋体" w:hAnsi="宋体" w:cs="宋体"/>
          <w:b/>
          <w:bCs/>
          <w:szCs w:val="22"/>
        </w:rPr>
        <w:t>采购人有权对保洁范围进行调整，</w:t>
      </w:r>
      <w:r>
        <w:rPr>
          <w:rFonts w:hint="eastAsia" w:ascii="宋体" w:hAnsi="宋体"/>
          <w:b/>
          <w:szCs w:val="22"/>
        </w:rPr>
        <w:t>具体要求以招标文件及采购人要求为准。</w:t>
      </w:r>
    </w:p>
    <w:p w14:paraId="26A55214">
      <w:pPr>
        <w:pStyle w:val="52"/>
        <w:spacing w:line="420" w:lineRule="exact"/>
        <w:rPr>
          <w:rFonts w:ascii="宋体" w:hAnsi="宋体" w:cs="宋体"/>
          <w:b/>
          <w:bCs/>
          <w:szCs w:val="22"/>
        </w:rPr>
      </w:pPr>
      <w:r>
        <w:rPr>
          <w:rFonts w:hint="eastAsia" w:ascii="宋体" w:hAnsi="宋体" w:cs="宋体"/>
          <w:b/>
          <w:bCs/>
          <w:szCs w:val="22"/>
        </w:rPr>
        <w:t>（二）保洁服务涵盖的标的物范围</w:t>
      </w:r>
    </w:p>
    <w:p w14:paraId="3A8BF7B0">
      <w:pPr>
        <w:autoSpaceDE w:val="0"/>
        <w:autoSpaceDN w:val="0"/>
        <w:adjustRightInd w:val="0"/>
        <w:spacing w:line="420" w:lineRule="exact"/>
        <w:ind w:firstLine="440" w:firstLineChars="200"/>
        <w:jc w:val="left"/>
        <w:rPr>
          <w:rFonts w:ascii="宋体" w:hAnsi="宋体"/>
          <w:szCs w:val="22"/>
        </w:rPr>
      </w:pPr>
      <w:r>
        <w:rPr>
          <w:rFonts w:ascii="宋体" w:hAnsi="宋体"/>
          <w:szCs w:val="22"/>
        </w:rPr>
        <w:t>▲本项目保洁服务范围包含保洁区范围内全部内容，包含但不仅限于：</w:t>
      </w:r>
    </w:p>
    <w:p w14:paraId="03E98210">
      <w:pPr>
        <w:autoSpaceDE w:val="0"/>
        <w:autoSpaceDN w:val="0"/>
        <w:adjustRightInd w:val="0"/>
        <w:spacing w:line="420" w:lineRule="exact"/>
        <w:ind w:firstLine="442" w:firstLineChars="200"/>
        <w:jc w:val="left"/>
        <w:rPr>
          <w:rFonts w:ascii="宋体" w:hAnsi="宋体"/>
          <w:szCs w:val="22"/>
        </w:rPr>
      </w:pPr>
      <w:r>
        <w:rPr>
          <w:rFonts w:ascii="宋体" w:hAnsi="宋体"/>
          <w:b/>
          <w:szCs w:val="22"/>
        </w:rPr>
        <w:t>1、所有道路</w:t>
      </w:r>
      <w:r>
        <w:rPr>
          <w:rFonts w:hint="eastAsia" w:ascii="宋体" w:hAnsi="宋体"/>
          <w:szCs w:val="21"/>
        </w:rPr>
        <w:t>（含公路）</w:t>
      </w:r>
      <w:r>
        <w:rPr>
          <w:rFonts w:ascii="宋体" w:hAnsi="宋体"/>
          <w:szCs w:val="22"/>
        </w:rPr>
        <w:t>（包含所有已硬化的道路和合同期内所有新增硬化的道路，封闭式</w:t>
      </w:r>
      <w:r>
        <w:rPr>
          <w:rFonts w:hint="eastAsia" w:ascii="宋体" w:hAnsi="宋体"/>
          <w:szCs w:val="22"/>
        </w:rPr>
        <w:t>小区、</w:t>
      </w:r>
      <w:r>
        <w:rPr>
          <w:rFonts w:ascii="宋体" w:hAnsi="宋体"/>
          <w:szCs w:val="22"/>
        </w:rPr>
        <w:t>场所内配套的道路除外</w:t>
      </w:r>
      <w:r>
        <w:rPr>
          <w:rFonts w:hint="eastAsia" w:ascii="宋体" w:hAnsi="宋体"/>
          <w:szCs w:val="22"/>
        </w:rPr>
        <w:t>。注：硬化道路两侧外延各1米范围</w:t>
      </w:r>
      <w:r>
        <w:rPr>
          <w:rFonts w:ascii="宋体" w:hAnsi="宋体"/>
          <w:szCs w:val="22"/>
        </w:rPr>
        <w:t>）；</w:t>
      </w:r>
    </w:p>
    <w:p w14:paraId="4EE110DD">
      <w:pPr>
        <w:autoSpaceDE w:val="0"/>
        <w:autoSpaceDN w:val="0"/>
        <w:adjustRightInd w:val="0"/>
        <w:spacing w:line="420" w:lineRule="exact"/>
        <w:ind w:firstLine="442" w:firstLineChars="200"/>
        <w:jc w:val="left"/>
        <w:rPr>
          <w:rFonts w:ascii="宋体" w:hAnsi="宋体"/>
          <w:szCs w:val="22"/>
        </w:rPr>
      </w:pPr>
      <w:r>
        <w:rPr>
          <w:rFonts w:ascii="宋体" w:hAnsi="宋体"/>
          <w:b/>
          <w:szCs w:val="22"/>
        </w:rPr>
        <w:t>2、</w:t>
      </w:r>
      <w:r>
        <w:rPr>
          <w:rFonts w:hint="eastAsia" w:ascii="宋体" w:hAnsi="宋体"/>
          <w:b/>
          <w:szCs w:val="22"/>
        </w:rPr>
        <w:t>所有桥梁</w:t>
      </w:r>
      <w:r>
        <w:rPr>
          <w:rFonts w:ascii="宋体" w:hAnsi="宋体"/>
          <w:szCs w:val="22"/>
        </w:rPr>
        <w:t>（包含所有桥梁和引桥的桥面、桥台、桥墩、支架、行道路面、辅道路面以及桥面扶手、围栏、交通隔离带、路灯等全部配套设施</w:t>
      </w:r>
      <w:r>
        <w:rPr>
          <w:rFonts w:hint="eastAsia" w:ascii="宋体" w:hAnsi="宋体"/>
          <w:bCs/>
          <w:szCs w:val="22"/>
        </w:rPr>
        <w:t>）；</w:t>
      </w:r>
    </w:p>
    <w:p w14:paraId="1E9975AC">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3、所有绿化</w:t>
      </w:r>
      <w:r>
        <w:rPr>
          <w:rFonts w:hint="eastAsia" w:ascii="宋体" w:hAnsi="宋体"/>
          <w:szCs w:val="22"/>
        </w:rPr>
        <w:t>（包含所有</w:t>
      </w:r>
      <w:r>
        <w:rPr>
          <w:rFonts w:ascii="宋体" w:hAnsi="宋体"/>
          <w:szCs w:val="22"/>
        </w:rPr>
        <w:t>交通隔离带、绿化隔离带、</w:t>
      </w:r>
      <w:r>
        <w:rPr>
          <w:rFonts w:hint="eastAsia" w:ascii="宋体" w:hAnsi="宋体"/>
          <w:szCs w:val="22"/>
        </w:rPr>
        <w:t>公园、广场、</w:t>
      </w:r>
      <w:r>
        <w:rPr>
          <w:rFonts w:ascii="宋体" w:hAnsi="宋体"/>
          <w:szCs w:val="22"/>
        </w:rPr>
        <w:t>公共绿</w:t>
      </w:r>
      <w:r>
        <w:rPr>
          <w:rFonts w:hint="eastAsia" w:ascii="宋体" w:hAnsi="宋体"/>
          <w:szCs w:val="22"/>
        </w:rPr>
        <w:t>化</w:t>
      </w:r>
      <w:r>
        <w:rPr>
          <w:rFonts w:ascii="宋体" w:hAnsi="宋体"/>
          <w:szCs w:val="22"/>
        </w:rPr>
        <w:t>、</w:t>
      </w:r>
      <w:r>
        <w:rPr>
          <w:rFonts w:hint="eastAsia" w:ascii="宋体" w:hAnsi="宋体"/>
          <w:szCs w:val="22"/>
        </w:rPr>
        <w:t>花坛、园林绿化区、绿地、</w:t>
      </w:r>
      <w:r>
        <w:rPr>
          <w:rFonts w:ascii="宋体" w:hAnsi="宋体"/>
          <w:szCs w:val="22"/>
        </w:rPr>
        <w:t>荒地杂草区</w:t>
      </w:r>
      <w:r>
        <w:rPr>
          <w:rFonts w:hint="eastAsia" w:ascii="宋体" w:hAnsi="宋体"/>
          <w:szCs w:val="22"/>
        </w:rPr>
        <w:t>等）；</w:t>
      </w:r>
    </w:p>
    <w:p w14:paraId="10EBEEBC">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4</w:t>
      </w:r>
      <w:r>
        <w:rPr>
          <w:rFonts w:ascii="宋体" w:hAnsi="宋体"/>
          <w:b/>
          <w:szCs w:val="22"/>
        </w:rPr>
        <w:t>、</w:t>
      </w:r>
      <w:r>
        <w:rPr>
          <w:rFonts w:hint="eastAsia" w:ascii="宋体" w:hAnsi="宋体"/>
          <w:b/>
          <w:szCs w:val="22"/>
        </w:rPr>
        <w:t>所有市政设施</w:t>
      </w:r>
      <w:r>
        <w:rPr>
          <w:rFonts w:ascii="宋体" w:hAnsi="宋体"/>
          <w:szCs w:val="22"/>
        </w:rPr>
        <w:t>（包含所有</w:t>
      </w:r>
      <w:r>
        <w:rPr>
          <w:rFonts w:hint="eastAsia" w:ascii="宋体" w:hAnsi="宋体"/>
          <w:szCs w:val="22"/>
        </w:rPr>
        <w:t>道路（含公路、桥梁）护栏，隔离栏、电杆、监控杆、灯箱、弱电设施等一切公共室外市政设施</w:t>
      </w:r>
      <w:r>
        <w:rPr>
          <w:rFonts w:ascii="宋体" w:hAnsi="宋体"/>
          <w:bCs/>
          <w:szCs w:val="22"/>
        </w:rPr>
        <w:t>）；</w:t>
      </w:r>
    </w:p>
    <w:p w14:paraId="089718DE">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5</w:t>
      </w:r>
      <w:r>
        <w:rPr>
          <w:rFonts w:ascii="宋体" w:hAnsi="宋体"/>
          <w:b/>
          <w:szCs w:val="22"/>
        </w:rPr>
        <w:t>、</w:t>
      </w:r>
      <w:r>
        <w:rPr>
          <w:rFonts w:hint="eastAsia" w:ascii="宋体" w:hAnsi="宋体"/>
          <w:b/>
          <w:szCs w:val="22"/>
        </w:rPr>
        <w:t>所有城市家具</w:t>
      </w:r>
      <w:r>
        <w:rPr>
          <w:rFonts w:ascii="宋体" w:hAnsi="宋体"/>
          <w:szCs w:val="22"/>
        </w:rPr>
        <w:t>（包含所有</w:t>
      </w:r>
      <w:r>
        <w:rPr>
          <w:rFonts w:hint="eastAsia" w:ascii="宋体" w:hAnsi="宋体"/>
          <w:szCs w:val="22"/>
        </w:rPr>
        <w:t>环卫设施（果壳箱、垃圾桶、垃圾房、垃圾坞）、公交站台、站牌、灯箱、广告牌、报刊（信息）亭、电话亭、邮政信箱、固定室外座椅、环卫工人爱心驿站等一切城市家具</w:t>
      </w:r>
      <w:r>
        <w:rPr>
          <w:rFonts w:ascii="宋体" w:hAnsi="宋体"/>
          <w:bCs/>
          <w:szCs w:val="22"/>
        </w:rPr>
        <w:t>；</w:t>
      </w:r>
    </w:p>
    <w:p w14:paraId="39D74916">
      <w:pPr>
        <w:autoSpaceDE w:val="0"/>
        <w:autoSpaceDN w:val="0"/>
        <w:adjustRightInd w:val="0"/>
        <w:spacing w:line="420" w:lineRule="exact"/>
        <w:ind w:firstLine="442" w:firstLineChars="200"/>
        <w:jc w:val="left"/>
        <w:rPr>
          <w:rFonts w:ascii="宋体" w:hAnsi="宋体"/>
          <w:szCs w:val="22"/>
          <w:highlight w:val="yellow"/>
        </w:rPr>
      </w:pPr>
      <w:r>
        <w:rPr>
          <w:rFonts w:hint="eastAsia" w:ascii="宋体" w:hAnsi="宋体"/>
          <w:b/>
          <w:szCs w:val="22"/>
        </w:rPr>
        <w:t>6</w:t>
      </w:r>
      <w:r>
        <w:rPr>
          <w:rFonts w:ascii="宋体" w:hAnsi="宋体"/>
          <w:b/>
          <w:szCs w:val="22"/>
        </w:rPr>
        <w:t>、</w:t>
      </w:r>
      <w:r>
        <w:rPr>
          <w:rFonts w:ascii="宋体" w:hAnsi="宋体"/>
          <w:b/>
          <w:bCs w:val="0"/>
          <w:szCs w:val="22"/>
          <w:highlight w:val="none"/>
        </w:rPr>
        <w:t>所有</w:t>
      </w:r>
      <w:r>
        <w:rPr>
          <w:rFonts w:hint="eastAsia" w:ascii="宋体" w:hAnsi="宋体"/>
          <w:b/>
          <w:bCs w:val="0"/>
          <w:szCs w:val="22"/>
          <w:highlight w:val="none"/>
          <w:lang w:val="en-US" w:eastAsia="zh-CN"/>
        </w:rPr>
        <w:t>保洁区域范围内的</w:t>
      </w:r>
      <w:r>
        <w:rPr>
          <w:rFonts w:ascii="宋体" w:hAnsi="宋体"/>
          <w:b/>
          <w:bCs w:val="0"/>
          <w:szCs w:val="22"/>
          <w:highlight w:val="none"/>
        </w:rPr>
        <w:t>公共厕所</w:t>
      </w:r>
      <w:r>
        <w:rPr>
          <w:rFonts w:ascii="宋体" w:hAnsi="宋体"/>
          <w:szCs w:val="22"/>
          <w:highlight w:val="none"/>
        </w:rPr>
        <w:t xml:space="preserve">（包含所有公共厕所及配套设施）； </w:t>
      </w:r>
    </w:p>
    <w:p w14:paraId="569B5E68">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7、所有</w:t>
      </w:r>
      <w:r>
        <w:rPr>
          <w:rFonts w:hint="eastAsia" w:ascii="宋体" w:hAnsi="宋体"/>
          <w:b/>
          <w:bCs w:val="0"/>
          <w:szCs w:val="22"/>
          <w:highlight w:val="none"/>
          <w:lang w:val="en-US" w:eastAsia="zh-CN"/>
        </w:rPr>
        <w:t>保洁区域范围内的</w:t>
      </w:r>
      <w:r>
        <w:rPr>
          <w:rFonts w:hint="eastAsia" w:ascii="宋体" w:hAnsi="宋体"/>
          <w:b/>
          <w:szCs w:val="22"/>
        </w:rPr>
        <w:t>江河堤坝（岸）</w:t>
      </w:r>
      <w:r>
        <w:rPr>
          <w:rFonts w:ascii="宋体" w:hAnsi="宋体"/>
          <w:szCs w:val="22"/>
        </w:rPr>
        <w:t>（包含所有江河外侧堤坡、堤岸行道等，江河内侧两边迎风坡等纳入河道保洁范围的除外）；</w:t>
      </w:r>
    </w:p>
    <w:p w14:paraId="068A0F7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8、开放式小区、半开放式小区、房前屋后及背街小巷、建筑物周围公共区域；</w:t>
      </w:r>
    </w:p>
    <w:p w14:paraId="460F22C1">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9</w:t>
      </w:r>
      <w:r>
        <w:rPr>
          <w:rFonts w:ascii="宋体" w:hAnsi="宋体"/>
          <w:b/>
          <w:szCs w:val="22"/>
        </w:rPr>
        <w:t>、空地、荒地等其他所有可视区域</w:t>
      </w:r>
      <w:r>
        <w:rPr>
          <w:rFonts w:hint="eastAsia" w:ascii="宋体" w:hAnsi="宋体"/>
          <w:szCs w:val="22"/>
        </w:rPr>
        <w:t>；</w:t>
      </w:r>
    </w:p>
    <w:p w14:paraId="356D1DF3">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11、垃圾分类及清运</w:t>
      </w:r>
      <w:r>
        <w:rPr>
          <w:rFonts w:hint="eastAsia" w:ascii="宋体" w:hAnsi="宋体"/>
          <w:b/>
          <w:szCs w:val="22"/>
          <w:lang w:eastAsia="zh-CN"/>
        </w:rPr>
        <w:t>（</w:t>
      </w:r>
      <w:r>
        <w:rPr>
          <w:rFonts w:hint="eastAsia" w:ascii="宋体" w:hAnsi="宋体"/>
          <w:b/>
          <w:szCs w:val="22"/>
          <w:lang w:val="en-US" w:eastAsia="zh-CN"/>
        </w:rPr>
        <w:t>定点收集</w:t>
      </w:r>
      <w:r>
        <w:rPr>
          <w:rFonts w:hint="eastAsia" w:ascii="宋体" w:hAnsi="宋体"/>
          <w:b/>
          <w:szCs w:val="22"/>
          <w:lang w:eastAsia="zh-CN"/>
        </w:rPr>
        <w:t>）</w:t>
      </w:r>
      <w:r>
        <w:rPr>
          <w:rFonts w:hint="eastAsia" w:ascii="宋体" w:hAnsi="宋体"/>
          <w:b/>
          <w:szCs w:val="22"/>
        </w:rPr>
        <w:t>。</w:t>
      </w:r>
    </w:p>
    <w:p w14:paraId="7206B3FA">
      <w:pPr>
        <w:autoSpaceDE w:val="0"/>
        <w:autoSpaceDN w:val="0"/>
        <w:adjustRightInd w:val="0"/>
        <w:spacing w:line="420" w:lineRule="exact"/>
        <w:ind w:firstLine="442" w:firstLineChars="200"/>
        <w:jc w:val="left"/>
        <w:rPr>
          <w:rFonts w:ascii="宋体" w:hAnsi="宋体"/>
          <w:b/>
          <w:szCs w:val="22"/>
        </w:rPr>
      </w:pPr>
      <w:r>
        <w:rPr>
          <w:rFonts w:hint="eastAsia" w:ascii="宋体" w:hAnsi="宋体" w:cs="宋体"/>
          <w:b/>
          <w:bCs/>
          <w:szCs w:val="22"/>
        </w:rPr>
        <w:t>1</w:t>
      </w:r>
      <w:r>
        <w:rPr>
          <w:rFonts w:ascii="宋体" w:hAnsi="宋体" w:cs="宋体"/>
          <w:b/>
          <w:bCs/>
          <w:szCs w:val="22"/>
        </w:rPr>
        <w:t>2</w:t>
      </w:r>
      <w:r>
        <w:rPr>
          <w:rFonts w:hint="eastAsia" w:ascii="宋体" w:hAnsi="宋体" w:cs="宋体"/>
          <w:b/>
          <w:bCs/>
          <w:szCs w:val="22"/>
        </w:rPr>
        <w:t>、生活垃圾分类的宣传及实施，积极开展垃圾分类投放劝导、收运。</w:t>
      </w:r>
    </w:p>
    <w:p w14:paraId="69789D7E">
      <w:pPr>
        <w:pStyle w:val="3"/>
        <w:spacing w:line="420" w:lineRule="exact"/>
        <w:ind w:firstLine="441" w:firstLineChars="0"/>
        <w:rPr>
          <w:rFonts w:hint="eastAsia" w:ascii="宋体" w:hAnsi="宋体" w:cs="宋体"/>
          <w:b/>
          <w:bCs/>
          <w:szCs w:val="22"/>
        </w:rPr>
      </w:pPr>
      <w:r>
        <w:rPr>
          <w:rFonts w:hint="eastAsia" w:ascii="宋体" w:hAnsi="宋体" w:cs="宋体"/>
          <w:b/>
          <w:bCs/>
          <w:szCs w:val="22"/>
        </w:rPr>
        <w:t>在合同期内，出现新增道路，新增社区或因改造、改建、新增清扫保洁面积时，全部纳入服务范围，采购人将根据实际情况对作业量做出调整，供应商须无条件服从，费用包含在总价中，不再调整。</w:t>
      </w:r>
    </w:p>
    <w:p w14:paraId="15F5EBC6">
      <w:pPr>
        <w:spacing w:line="420" w:lineRule="exact"/>
        <w:ind w:firstLine="442" w:firstLineChars="200"/>
        <w:rPr>
          <w:rFonts w:hint="eastAsia" w:ascii="宋体" w:hAnsi="宋体"/>
          <w:b/>
          <w:bCs/>
          <w:kern w:val="0"/>
          <w:szCs w:val="22"/>
        </w:rPr>
      </w:pPr>
      <w:r>
        <w:rPr>
          <w:rFonts w:hint="eastAsia" w:ascii="宋体" w:hAnsi="宋体" w:cs="宋体"/>
          <w:b/>
          <w:bCs/>
          <w:szCs w:val="22"/>
          <w:lang w:val="en-US" w:eastAsia="zh-CN"/>
        </w:rPr>
        <w:t>13、</w:t>
      </w:r>
      <w:r>
        <w:rPr>
          <w:rFonts w:hint="eastAsia" w:ascii="宋体" w:hAnsi="宋体"/>
          <w:b/>
          <w:bCs/>
          <w:kern w:val="0"/>
          <w:szCs w:val="22"/>
          <w:highlight w:val="none"/>
        </w:rPr>
        <w:t>含</w:t>
      </w:r>
      <w:r>
        <w:rPr>
          <w:rFonts w:hint="eastAsia" w:ascii="宋体" w:hAnsi="宋体"/>
          <w:b/>
          <w:bCs/>
          <w:kern w:val="0"/>
          <w:szCs w:val="22"/>
          <w:highlight w:val="none"/>
          <w:lang w:val="en-US" w:eastAsia="zh-CN"/>
        </w:rPr>
        <w:t>全镇</w:t>
      </w:r>
      <w:r>
        <w:rPr>
          <w:rFonts w:hint="eastAsia" w:ascii="宋体" w:hAnsi="宋体"/>
          <w:b/>
          <w:bCs/>
          <w:kern w:val="0"/>
          <w:szCs w:val="22"/>
          <w:highlight w:val="none"/>
        </w:rPr>
        <w:t>范围内</w:t>
      </w:r>
      <w:r>
        <w:rPr>
          <w:rFonts w:hint="eastAsia" w:ascii="宋体" w:hAnsi="宋体"/>
          <w:b/>
          <w:bCs/>
          <w:kern w:val="0"/>
          <w:szCs w:val="22"/>
        </w:rPr>
        <w:t>所有垃圾清运（包括但不限于生活垃圾、绿化垃圾等），中标供应商须将垃圾运至合规垃圾场处置及消纳。</w:t>
      </w:r>
    </w:p>
    <w:p w14:paraId="6A87E1CA">
      <w:pPr>
        <w:pStyle w:val="4"/>
        <w:ind w:left="0" w:leftChars="0" w:firstLine="0" w:firstLineChars="0"/>
        <w:rPr>
          <w:rFonts w:hint="default" w:eastAsia="宋体"/>
          <w:lang w:val="en-US" w:eastAsia="zh-CN"/>
        </w:rPr>
      </w:pPr>
    </w:p>
    <w:p w14:paraId="2009633D">
      <w:pPr>
        <w:pStyle w:val="4"/>
        <w:ind w:firstLine="441"/>
      </w:pPr>
    </w:p>
    <w:p w14:paraId="48A807B2"/>
    <w:p w14:paraId="6F02DF77">
      <w:pPr>
        <w:pStyle w:val="31"/>
      </w:pPr>
    </w:p>
    <w:p w14:paraId="064A4B00"/>
    <w:p w14:paraId="549CF4A0">
      <w:pPr>
        <w:pStyle w:val="31"/>
      </w:pPr>
    </w:p>
    <w:p w14:paraId="443575D0">
      <w:pPr>
        <w:widowControl/>
        <w:jc w:val="left"/>
        <w:rPr>
          <w:rFonts w:hint="eastAsia" w:ascii="宋体" w:hAnsi="宋体" w:cs="宋体"/>
          <w:b/>
          <w:bCs/>
          <w:szCs w:val="22"/>
        </w:rPr>
      </w:pPr>
    </w:p>
    <w:p w14:paraId="16FB5229">
      <w:pPr>
        <w:pStyle w:val="2"/>
        <w:rPr>
          <w:rFonts w:hint="eastAsia"/>
        </w:rPr>
      </w:pPr>
    </w:p>
    <w:p w14:paraId="4E9D4D88">
      <w:pPr>
        <w:widowControl/>
        <w:jc w:val="left"/>
      </w:pPr>
      <w:r>
        <w:rPr>
          <w:rFonts w:hint="eastAsia" w:ascii="宋体" w:hAnsi="宋体" w:cs="宋体"/>
          <w:b/>
          <w:bCs/>
          <w:szCs w:val="22"/>
        </w:rPr>
        <w:t>三、</w:t>
      </w:r>
      <w:r>
        <w:rPr>
          <w:rFonts w:hint="eastAsia" w:ascii="宋体" w:hAnsi="宋体" w:cs="宋体"/>
          <w:b/>
          <w:bCs/>
          <w:color w:val="000000"/>
          <w:szCs w:val="22"/>
        </w:rPr>
        <w:t>城区</w:t>
      </w:r>
      <w:r>
        <w:rPr>
          <w:rFonts w:hint="eastAsia" w:ascii="宋体" w:hAnsi="宋体" w:cs="宋体"/>
          <w:b/>
          <w:bCs/>
          <w:szCs w:val="22"/>
        </w:rPr>
        <w:t>环卫保洁服务内容及要求</w:t>
      </w:r>
    </w:p>
    <w:p w14:paraId="6038862E">
      <w:pPr>
        <w:adjustRightInd w:val="0"/>
        <w:snapToGrid w:val="0"/>
        <w:spacing w:before="156" w:beforeLines="50" w:after="156" w:afterLines="50" w:line="420" w:lineRule="exact"/>
        <w:rPr>
          <w:rFonts w:ascii="宋体" w:hAnsi="宋体" w:cs="Arial"/>
          <w:b/>
          <w:bCs/>
        </w:rPr>
      </w:pPr>
      <w:r>
        <w:rPr>
          <w:rFonts w:hint="eastAsia" w:ascii="宋体" w:hAnsi="宋体" w:cs="Arial"/>
          <w:b/>
          <w:bCs/>
        </w:rPr>
        <w:t>（一）道路（含公路）保洁要求</w:t>
      </w:r>
    </w:p>
    <w:p w14:paraId="0B92C155">
      <w:pPr>
        <w:overflowPunct w:val="0"/>
        <w:snapToGrid w:val="0"/>
        <w:spacing w:line="420" w:lineRule="exact"/>
        <w:ind w:firstLine="442" w:firstLineChars="200"/>
        <w:outlineLvl w:val="3"/>
        <w:rPr>
          <w:rFonts w:ascii="宋体" w:hAnsi="宋体" w:cs="楷体"/>
          <w:b/>
          <w:szCs w:val="21"/>
        </w:rPr>
      </w:pPr>
      <w:bookmarkStart w:id="13" w:name="_Toc30288"/>
      <w:bookmarkStart w:id="14" w:name="_Toc1899"/>
      <w:bookmarkStart w:id="15" w:name="_Toc88"/>
      <w:r>
        <w:rPr>
          <w:rFonts w:hint="eastAsia" w:ascii="宋体" w:hAnsi="宋体" w:cs="楷体"/>
          <w:b/>
          <w:szCs w:val="21"/>
        </w:rPr>
        <w:t>1、道路（含公路）清扫保洁范围</w:t>
      </w:r>
      <w:bookmarkEnd w:id="13"/>
      <w:bookmarkEnd w:id="14"/>
      <w:bookmarkEnd w:id="15"/>
    </w:p>
    <w:p w14:paraId="64C5EBC0">
      <w:pPr>
        <w:pStyle w:val="2"/>
        <w:spacing w:line="420" w:lineRule="exact"/>
        <w:ind w:firstLine="440" w:firstLineChars="200"/>
        <w:rPr>
          <w:rFonts w:ascii="宋体" w:hAnsi="宋体"/>
          <w:color w:val="000000"/>
          <w:szCs w:val="22"/>
        </w:rPr>
      </w:pPr>
      <w:r>
        <w:rPr>
          <w:rFonts w:hint="eastAsia" w:ascii="宋体" w:hAnsi="宋体"/>
          <w:color w:val="000000"/>
          <w:szCs w:val="22"/>
        </w:rPr>
        <w:t>保洁范围为</w:t>
      </w:r>
      <w:r>
        <w:rPr>
          <w:rFonts w:hint="eastAsia"/>
          <w:szCs w:val="22"/>
        </w:rPr>
        <w:t>车行道、人行道、道路绿地、背街小巷以及其他可通行的道路以及周边可视区域（含闲置杂地）等，包含道路中间、两侧绿化带，排水沟渠、边沟、伸缩缝等，</w:t>
      </w:r>
      <w:r>
        <w:rPr>
          <w:rFonts w:hint="eastAsia" w:ascii="宋体" w:hAnsi="宋体"/>
          <w:b/>
          <w:szCs w:val="22"/>
        </w:rPr>
        <w:t>含小广告清洗</w:t>
      </w:r>
      <w:r>
        <w:rPr>
          <w:rFonts w:hint="eastAsia" w:ascii="宋体" w:hAnsi="宋体"/>
          <w:szCs w:val="22"/>
        </w:rPr>
        <w:t>，不同承包单位间交叉</w:t>
      </w:r>
      <w:r>
        <w:rPr>
          <w:rFonts w:hint="eastAsia" w:ascii="宋体" w:hAnsi="宋体"/>
          <w:color w:val="000000"/>
          <w:szCs w:val="22"/>
        </w:rPr>
        <w:t>保洁范围不少于5米，公路两侧管理控制区域（省道单侧10米，县道单侧5米，通村公路单侧3米，绿化带宽于上述标准的，按绿化带宽度）。</w:t>
      </w:r>
    </w:p>
    <w:p w14:paraId="0EBCF396">
      <w:pPr>
        <w:overflowPunct w:val="0"/>
        <w:snapToGrid w:val="0"/>
        <w:spacing w:line="420" w:lineRule="exact"/>
        <w:ind w:firstLine="442" w:firstLineChars="200"/>
        <w:outlineLvl w:val="3"/>
        <w:rPr>
          <w:rFonts w:ascii="宋体" w:hAnsi="宋体" w:cs="楷体"/>
          <w:b/>
          <w:szCs w:val="21"/>
        </w:rPr>
      </w:pPr>
      <w:bookmarkStart w:id="16" w:name="_Toc8824"/>
      <w:bookmarkStart w:id="17" w:name="_Toc25143"/>
      <w:bookmarkStart w:id="18" w:name="_Toc31319"/>
      <w:r>
        <w:rPr>
          <w:rFonts w:hint="eastAsia" w:ascii="宋体" w:hAnsi="宋体" w:cs="楷体"/>
          <w:b/>
          <w:szCs w:val="21"/>
        </w:rPr>
        <w:t>2、道路（含公路）清扫保洁质量要求</w:t>
      </w:r>
      <w:bookmarkEnd w:id="16"/>
      <w:bookmarkEnd w:id="17"/>
      <w:bookmarkEnd w:id="18"/>
    </w:p>
    <w:p w14:paraId="2BC02FF0">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（1）普扫</w:t>
      </w:r>
      <w:r>
        <w:rPr>
          <w:rFonts w:hint="eastAsia" w:ascii="宋体" w:hAnsi="宋体" w:cs="楷体"/>
          <w:szCs w:val="21"/>
        </w:rPr>
        <w:t>质量</w:t>
      </w:r>
      <w:r>
        <w:rPr>
          <w:rFonts w:hint="eastAsia" w:ascii="宋体" w:hAnsi="宋体"/>
          <w:szCs w:val="21"/>
        </w:rPr>
        <w:t>要求</w:t>
      </w:r>
    </w:p>
    <w:p w14:paraId="71048EC9">
      <w:pPr>
        <w:overflowPunct w:val="0"/>
        <w:adjustRightInd w:val="0"/>
        <w:spacing w:line="420" w:lineRule="exact"/>
        <w:ind w:firstLine="440" w:firstLineChars="200"/>
        <w:textAlignment w:val="bottom"/>
        <w:rPr>
          <w:rFonts w:ascii="宋体" w:hAnsi="宋体"/>
          <w:szCs w:val="21"/>
        </w:rPr>
      </w:pPr>
      <w:r>
        <w:rPr>
          <w:rFonts w:hint="eastAsia" w:ascii="宋体" w:hAnsi="宋体"/>
          <w:szCs w:val="21"/>
          <w:highlight w:val="none"/>
        </w:rPr>
        <w:t>达到“七无”、“五净”、“一通”标准，既无杂物</w:t>
      </w:r>
      <w:r>
        <w:rPr>
          <w:rFonts w:hint="eastAsia" w:ascii="宋体" w:hAnsi="宋体"/>
          <w:szCs w:val="21"/>
        </w:rPr>
        <w:t>，无瓜皮果壳，无纸屑、烟蒂、塑料袋，无淤泥积土，无污水，无堵塞窨井沟眼，无卫生死角。路面、路牙净，窨井沟眼净，树穴净，边角净，花坛周围净。落水口、排水渠畅通。</w:t>
      </w:r>
    </w:p>
    <w:p w14:paraId="0608A29B">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（2）动态保洁</w:t>
      </w:r>
      <w:r>
        <w:rPr>
          <w:rFonts w:hint="eastAsia" w:ascii="宋体" w:hAnsi="宋体" w:cs="楷体"/>
          <w:szCs w:val="21"/>
        </w:rPr>
        <w:t>质量</w:t>
      </w:r>
      <w:r>
        <w:rPr>
          <w:rFonts w:hint="eastAsia" w:ascii="宋体" w:hAnsi="宋体"/>
          <w:szCs w:val="21"/>
        </w:rPr>
        <w:t>要求</w:t>
      </w:r>
    </w:p>
    <w:p w14:paraId="0DC39EFF">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承包责任区域内无垃圾废弃物（包括烟头、纸屑、瓜果皮核、包装壳、塑料袋、砖瓦、石子等各类明显废弃物）；无散装、袋装垃圾滞留路面及路边绿化带；果壳箱及时加盖、关门；人行道、步阶、墙跟、树穴无明显杂草、杂物。晴天路面无积水，无蚊蝇孳生，路两旁及隔离护栏下无淤泥，路面基本见本色。</w:t>
      </w:r>
    </w:p>
    <w:p w14:paraId="2E21C235">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（3）道路机扫</w:t>
      </w:r>
      <w:r>
        <w:rPr>
          <w:rFonts w:hint="eastAsia" w:ascii="宋体" w:hAnsi="宋体" w:cs="楷体"/>
          <w:szCs w:val="21"/>
        </w:rPr>
        <w:t>质量</w:t>
      </w:r>
      <w:r>
        <w:rPr>
          <w:rFonts w:hint="eastAsia" w:ascii="宋体" w:hAnsi="宋体"/>
          <w:szCs w:val="21"/>
        </w:rPr>
        <w:t>要求</w:t>
      </w:r>
    </w:p>
    <w:p w14:paraId="1F7AB2FF">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机扫到边、到位效果明显，路面无垃圾、无积泥、无沙石</w:t>
      </w:r>
      <w:r>
        <w:rPr>
          <w:rFonts w:hint="eastAsia" w:ascii="宋体"/>
          <w:szCs w:val="21"/>
        </w:rPr>
        <w:t>，路牙无浮土。</w:t>
      </w:r>
      <w:r>
        <w:rPr>
          <w:rFonts w:hint="eastAsia" w:ascii="宋体" w:hAnsi="宋体"/>
          <w:szCs w:val="21"/>
        </w:rPr>
        <w:t>作业期间基本无扬尘，清扫途中无垃圾撒落。</w:t>
      </w:r>
    </w:p>
    <w:p w14:paraId="43A735FE">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（4）道路洒水</w:t>
      </w:r>
      <w:r>
        <w:rPr>
          <w:rFonts w:hint="eastAsia" w:ascii="宋体" w:hAnsi="宋体" w:cs="楷体"/>
          <w:szCs w:val="21"/>
        </w:rPr>
        <w:t>质量</w:t>
      </w:r>
      <w:r>
        <w:rPr>
          <w:rFonts w:hint="eastAsia" w:ascii="宋体" w:hAnsi="宋体"/>
          <w:szCs w:val="21"/>
        </w:rPr>
        <w:t>要求</w:t>
      </w:r>
    </w:p>
    <w:p w14:paraId="12F62FE4">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有明显的降温压尘的效果，实行全年洒水作业。</w:t>
      </w:r>
    </w:p>
    <w:p w14:paraId="09AC681B">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（5）道路清洗质量要求</w:t>
      </w:r>
    </w:p>
    <w:p w14:paraId="1E19954E">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1）道路冲水路段，要求水冲后无积水、无灰尘、无烟蒂、无果壳散落；冲洗路面时如发现路面有垃圾应及时清理。</w:t>
      </w:r>
    </w:p>
    <w:p w14:paraId="31745FC3">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2）人行道 (包括侧石、花岗岩路面)实行人工药水冲刷，彩砖地面不得使用破坏釉面的药水。冲洗后路面无积垢、无灰尘、无烟蒂、无果壳散落。</w:t>
      </w:r>
    </w:p>
    <w:p w14:paraId="276F7E60">
      <w:pPr>
        <w:overflowPunct w:val="0"/>
        <w:snapToGrid w:val="0"/>
        <w:spacing w:line="420" w:lineRule="exact"/>
        <w:ind w:firstLine="442" w:firstLineChars="200"/>
        <w:outlineLvl w:val="3"/>
        <w:rPr>
          <w:rFonts w:ascii="宋体" w:hAnsi="宋体" w:cs="楷体"/>
          <w:b/>
          <w:szCs w:val="21"/>
        </w:rPr>
      </w:pPr>
      <w:bookmarkStart w:id="19" w:name="_Toc17527"/>
      <w:bookmarkStart w:id="20" w:name="_Toc31409"/>
      <w:bookmarkStart w:id="21" w:name="_Toc2621"/>
      <w:r>
        <w:rPr>
          <w:rFonts w:hint="eastAsia" w:ascii="宋体" w:hAnsi="宋体" w:cs="楷体"/>
          <w:b/>
          <w:szCs w:val="21"/>
        </w:rPr>
        <w:t>3、道路（含公路）清扫保洁作业要求</w:t>
      </w:r>
      <w:bookmarkEnd w:id="19"/>
      <w:bookmarkEnd w:id="20"/>
      <w:bookmarkEnd w:id="21"/>
    </w:p>
    <w:p w14:paraId="044F06B7">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（1）人工作业要求</w:t>
      </w:r>
    </w:p>
    <w:p w14:paraId="58285C7B">
      <w:pPr>
        <w:overflowPunct w:val="0"/>
        <w:adjustRightInd w:val="0"/>
        <w:spacing w:line="420" w:lineRule="exact"/>
        <w:ind w:firstLine="547" w:firstLineChars="249"/>
        <w:textAlignment w:val="bottom"/>
        <w:rPr>
          <w:rFonts w:ascii="宋体"/>
          <w:szCs w:val="21"/>
        </w:rPr>
      </w:pPr>
      <w:r>
        <w:rPr>
          <w:rFonts w:hint="eastAsia"/>
          <w:szCs w:val="21"/>
        </w:rPr>
        <w:t>1</w:t>
      </w:r>
      <w:r>
        <w:rPr>
          <w:rFonts w:hint="eastAsia" w:ascii="宋体" w:hAnsi="宋体"/>
          <w:szCs w:val="21"/>
        </w:rPr>
        <w:t>)</w:t>
      </w:r>
      <w:r>
        <w:rPr>
          <w:rFonts w:hint="eastAsia" w:ascii="宋体"/>
          <w:szCs w:val="21"/>
        </w:rPr>
        <w:t xml:space="preserve"> 作业人员工作期间须穿戴统一的工作服，工作服要求具有明显的公司名称标识，同时具有反光安全服的功能，作业人员工作服须整洁干净。</w:t>
      </w:r>
    </w:p>
    <w:p w14:paraId="05EAB284">
      <w:pPr>
        <w:pStyle w:val="19"/>
        <w:overflowPunct w:val="0"/>
        <w:spacing w:after="0" w:line="420" w:lineRule="exact"/>
        <w:ind w:left="0" w:leftChars="0" w:firstLine="440" w:firstLineChars="200"/>
        <w:rPr>
          <w:szCs w:val="21"/>
        </w:rPr>
      </w:pPr>
      <w:r>
        <w:rPr>
          <w:rFonts w:hint="eastAsia"/>
          <w:szCs w:val="21"/>
        </w:rPr>
        <w:t>2）作业前准备好作业工具，作业过程中工具规范放置。</w:t>
      </w:r>
    </w:p>
    <w:p w14:paraId="14CA1E42">
      <w:pPr>
        <w:pStyle w:val="19"/>
        <w:overflowPunct w:val="0"/>
        <w:spacing w:after="0" w:line="420" w:lineRule="exact"/>
        <w:ind w:left="0" w:leftChars="0" w:firstLine="440" w:firstLineChars="200"/>
        <w:rPr>
          <w:szCs w:val="21"/>
        </w:rPr>
      </w:pPr>
      <w:r>
        <w:rPr>
          <w:rFonts w:hint="eastAsia"/>
          <w:szCs w:val="21"/>
        </w:rPr>
        <w:t>3）道路实行普扫、巡回保洁。重点要求对路面（含人行道）、路角、落水口、排水沟及树穴进行清扫，及时捡拾路边垃圾，清除沿路挂树垃圾。</w:t>
      </w:r>
    </w:p>
    <w:p w14:paraId="5F0AA45A">
      <w:pPr>
        <w:pStyle w:val="19"/>
        <w:overflowPunct w:val="0"/>
        <w:spacing w:after="0" w:line="420" w:lineRule="exact"/>
        <w:ind w:left="0" w:leftChars="0" w:firstLine="440" w:firstLineChars="200"/>
        <w:rPr>
          <w:szCs w:val="21"/>
        </w:rPr>
      </w:pPr>
      <w:r>
        <w:rPr>
          <w:rFonts w:hint="eastAsia"/>
          <w:szCs w:val="21"/>
        </w:rPr>
        <w:t>4）人员作业时</w:t>
      </w:r>
      <w:r>
        <w:rPr>
          <w:rFonts w:hint="eastAsia" w:ascii="宋体"/>
          <w:szCs w:val="21"/>
        </w:rPr>
        <w:t>遵守交通法规，</w:t>
      </w:r>
      <w:r>
        <w:rPr>
          <w:rFonts w:hint="eastAsia"/>
          <w:szCs w:val="21"/>
        </w:rPr>
        <w:t>应面向来车作业，保洁车辆静放。应与车行线保持安全距离，做到不妨碍交通、车容整洁。</w:t>
      </w:r>
    </w:p>
    <w:p w14:paraId="1DDC57D1">
      <w:pPr>
        <w:pStyle w:val="19"/>
        <w:overflowPunct w:val="0"/>
        <w:spacing w:after="0" w:line="420" w:lineRule="exact"/>
        <w:ind w:left="0" w:leftChars="0" w:firstLine="440" w:firstLineChars="200"/>
        <w:rPr>
          <w:szCs w:val="21"/>
        </w:rPr>
      </w:pPr>
      <w:r>
        <w:rPr>
          <w:rFonts w:hint="eastAsia"/>
          <w:szCs w:val="21"/>
        </w:rPr>
        <w:t>5）道路保洁人员应文明作业，不应将垃圾、污水扫到或溅到行人身上。在岗作业人员应勤走、勤看、勤扫，循回作业，无离岗及在岗不作为现象。</w:t>
      </w:r>
    </w:p>
    <w:p w14:paraId="53ADDF2E">
      <w:pPr>
        <w:pStyle w:val="19"/>
        <w:overflowPunct w:val="0"/>
        <w:spacing w:after="0" w:line="420" w:lineRule="exact"/>
        <w:ind w:left="0" w:leftChars="0" w:firstLine="440" w:firstLineChars="200"/>
        <w:rPr>
          <w:szCs w:val="21"/>
        </w:rPr>
      </w:pPr>
      <w:r>
        <w:rPr>
          <w:rFonts w:hint="eastAsia"/>
          <w:szCs w:val="21"/>
        </w:rPr>
        <w:t>6）人员作业不应将垃圾扫入或倒入窨井、</w:t>
      </w:r>
      <w:r>
        <w:rPr>
          <w:rFonts w:hint="eastAsia" w:ascii="宋体"/>
          <w:szCs w:val="21"/>
        </w:rPr>
        <w:t>绿地、河道、河岸、花坛、绿化</w:t>
      </w:r>
      <w:r>
        <w:rPr>
          <w:rFonts w:hint="eastAsia"/>
          <w:szCs w:val="21"/>
        </w:rPr>
        <w:t>等处，且不应将垃圾堆放或停留在窨井盖上。</w:t>
      </w:r>
    </w:p>
    <w:p w14:paraId="7AB32CDA">
      <w:pPr>
        <w:pStyle w:val="19"/>
        <w:overflowPunct w:val="0"/>
        <w:spacing w:after="0" w:line="420" w:lineRule="exact"/>
        <w:ind w:left="0" w:leftChars="0" w:firstLine="440" w:firstLineChars="200"/>
        <w:rPr>
          <w:szCs w:val="21"/>
        </w:rPr>
      </w:pPr>
      <w:r>
        <w:rPr>
          <w:rFonts w:hint="eastAsia"/>
          <w:szCs w:val="21"/>
        </w:rPr>
        <w:t>7）保持路面排水通畅，不积水。路面积水应在雨停后一天内排除干净。</w:t>
      </w:r>
    </w:p>
    <w:p w14:paraId="78C636C1">
      <w:pPr>
        <w:pStyle w:val="19"/>
        <w:overflowPunct w:val="0"/>
        <w:spacing w:after="0" w:line="420" w:lineRule="exact"/>
        <w:ind w:left="0" w:leftChars="0" w:firstLine="440" w:firstLineChars="200"/>
        <w:rPr>
          <w:szCs w:val="21"/>
        </w:rPr>
      </w:pPr>
      <w:r>
        <w:rPr>
          <w:rFonts w:hint="eastAsia"/>
          <w:szCs w:val="21"/>
        </w:rPr>
        <w:t>8）清除影响道路安全通行的路面、路角上的杂草、灌木等。</w:t>
      </w:r>
    </w:p>
    <w:p w14:paraId="3B07B7C0">
      <w:pPr>
        <w:overflowPunct w:val="0"/>
        <w:adjustRightInd w:val="0"/>
        <w:spacing w:line="420" w:lineRule="exact"/>
        <w:ind w:firstLine="440" w:firstLineChars="200"/>
        <w:textAlignment w:val="bottom"/>
        <w:rPr>
          <w:rFonts w:ascii="宋体"/>
          <w:szCs w:val="21"/>
        </w:rPr>
      </w:pPr>
      <w:r>
        <w:rPr>
          <w:rFonts w:hint="eastAsia" w:ascii="宋体"/>
          <w:szCs w:val="21"/>
        </w:rPr>
        <w:t>9）服务人员在作业时间内，不集聚闲聊，工期休息不超过10分钟；作业期间不做与作业无关的事；严禁作业人员擅自向责任区内单位收取各种费用。</w:t>
      </w:r>
    </w:p>
    <w:p w14:paraId="5AE63AE6">
      <w:pPr>
        <w:overflowPunct w:val="0"/>
        <w:adjustRightInd w:val="0"/>
        <w:spacing w:line="420" w:lineRule="exact"/>
        <w:ind w:firstLine="440" w:firstLineChars="200"/>
        <w:textAlignment w:val="bottom"/>
        <w:rPr>
          <w:rFonts w:ascii="宋体"/>
          <w:szCs w:val="21"/>
        </w:rPr>
      </w:pPr>
      <w:r>
        <w:rPr>
          <w:rFonts w:hint="eastAsia" w:ascii="宋体"/>
          <w:szCs w:val="21"/>
        </w:rPr>
        <w:t>10）清扫作业中不得漏扫、甩扫；交接班不得出现空档，责任区交界处清扫保洁各过界</w:t>
      </w:r>
      <w:r>
        <w:rPr>
          <w:rFonts w:ascii="宋体"/>
          <w:szCs w:val="21"/>
        </w:rPr>
        <w:t>10</w:t>
      </w:r>
      <w:r>
        <w:rPr>
          <w:rFonts w:hint="eastAsia" w:ascii="宋体"/>
          <w:szCs w:val="21"/>
        </w:rPr>
        <w:t>米；垃圾在指定地点倾倒，不得焚烧垃圾。</w:t>
      </w:r>
    </w:p>
    <w:p w14:paraId="53B9FCBB">
      <w:pPr>
        <w:overflowPunct w:val="0"/>
        <w:adjustRightInd w:val="0"/>
        <w:spacing w:line="420" w:lineRule="exact"/>
        <w:ind w:firstLine="440" w:firstLineChars="200"/>
        <w:textAlignment w:val="bottom"/>
        <w:rPr>
          <w:rFonts w:ascii="宋体"/>
          <w:szCs w:val="21"/>
        </w:rPr>
      </w:pPr>
      <w:r>
        <w:rPr>
          <w:rFonts w:hint="eastAsia" w:ascii="宋体"/>
          <w:szCs w:val="21"/>
        </w:rPr>
        <w:t>1</w:t>
      </w:r>
      <w:r>
        <w:rPr>
          <w:rFonts w:ascii="宋体"/>
          <w:szCs w:val="21"/>
        </w:rPr>
        <w:t>1</w:t>
      </w:r>
      <w:r>
        <w:rPr>
          <w:rFonts w:hint="eastAsia" w:ascii="宋体"/>
          <w:szCs w:val="21"/>
        </w:rPr>
        <w:t>）人行道、非机动车道冲洗应当定人定车定时定岗，确保保洁质量。</w:t>
      </w:r>
    </w:p>
    <w:p w14:paraId="20F1B67E">
      <w:pPr>
        <w:overflowPunct w:val="0"/>
        <w:adjustRightInd w:val="0"/>
        <w:spacing w:line="420" w:lineRule="exact"/>
        <w:ind w:firstLine="440" w:firstLineChars="200"/>
        <w:textAlignment w:val="bottom"/>
        <w:outlineLvl w:val="4"/>
        <w:rPr>
          <w:rFonts w:ascii="宋体" w:hAnsi="宋体"/>
          <w:szCs w:val="21"/>
        </w:rPr>
      </w:pPr>
      <w:r>
        <w:rPr>
          <w:rFonts w:hint="eastAsia" w:ascii="宋体" w:hAnsi="宋体"/>
          <w:szCs w:val="21"/>
        </w:rPr>
        <w:t>（2）机械作业要求</w:t>
      </w:r>
    </w:p>
    <w:p w14:paraId="44D9420D">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1）机扫作业要求</w:t>
      </w:r>
    </w:p>
    <w:p w14:paraId="179F2E7C">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①机扫时间应规避上下班高峰期。</w:t>
      </w:r>
    </w:p>
    <w:p w14:paraId="75C6512F">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②在计划作业时间内，遇到雨天天气时，中标供应商可以在采购人上班之前</w:t>
      </w:r>
      <w:r>
        <w:rPr>
          <w:rFonts w:hint="eastAsia" w:ascii="宋体" w:hAnsi="宋体"/>
          <w:szCs w:val="21"/>
          <w:lang w:val="en-US" w:eastAsia="zh-CN"/>
        </w:rPr>
        <w:t>向其</w:t>
      </w:r>
      <w:r>
        <w:rPr>
          <w:rFonts w:hint="eastAsia" w:ascii="宋体" w:hAnsi="宋体"/>
          <w:szCs w:val="21"/>
        </w:rPr>
        <w:t>申报延后作业，半天申报一次，经采购人同意后方可停止作业，如未申报的，则视为当天未作业。</w:t>
      </w:r>
    </w:p>
    <w:p w14:paraId="1BB8E9C8">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③机扫作业时应避免“干扫”，做到喷水压尘，不漏土。不应侧刷或吸盘不落地空跑。</w:t>
      </w:r>
    </w:p>
    <w:p w14:paraId="4392046B">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④机扫车应有提示音乐音量调节装置，警示灯完好。22:00-7:00期间机扫作业时不得播放提示音乐，应使用警示灯光。</w:t>
      </w:r>
    </w:p>
    <w:p w14:paraId="3C5DE5B3">
      <w:pPr>
        <w:overflowPunct w:val="0"/>
        <w:adjustRightInd w:val="0"/>
        <w:spacing w:line="420" w:lineRule="exact"/>
        <w:ind w:firstLine="442" w:firstLineChars="200"/>
        <w:textAlignment w:val="bottom"/>
        <w:rPr>
          <w:rFonts w:ascii="宋体" w:hAnsi="宋体"/>
          <w:b/>
          <w:bCs/>
          <w:szCs w:val="21"/>
        </w:rPr>
      </w:pPr>
      <w:r>
        <w:rPr>
          <w:rFonts w:hint="eastAsia" w:ascii="宋体" w:hAnsi="宋体"/>
          <w:b/>
          <w:bCs/>
          <w:szCs w:val="21"/>
        </w:rPr>
        <w:t>⑤机械清扫作业时速≤10km/h。</w:t>
      </w:r>
    </w:p>
    <w:p w14:paraId="68A11C1D">
      <w:pPr>
        <w:overflowPunct w:val="0"/>
        <w:adjustRightInd w:val="0"/>
        <w:spacing w:line="420" w:lineRule="exact"/>
        <w:ind w:firstLine="440" w:firstLineChars="200"/>
        <w:textAlignment w:val="bottom"/>
        <w:rPr>
          <w:rFonts w:ascii="宋体" w:hAnsi="宋体"/>
          <w:szCs w:val="21"/>
        </w:rPr>
      </w:pPr>
      <w:r>
        <w:rPr>
          <w:rFonts w:hint="eastAsia" w:ascii="宋体" w:hAnsi="宋体"/>
          <w:szCs w:val="21"/>
          <w:lang w:val="en-US" w:eastAsia="zh-CN"/>
        </w:rPr>
        <w:t>2</w:t>
      </w:r>
      <w:r>
        <w:rPr>
          <w:rFonts w:hint="eastAsia" w:ascii="宋体" w:hAnsi="宋体"/>
          <w:szCs w:val="21"/>
        </w:rPr>
        <w:t>）道路清洗作业要求</w:t>
      </w:r>
    </w:p>
    <w:p w14:paraId="0F2C5F92">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①道路冲洗时间一般应在晚上或清晨。</w:t>
      </w:r>
    </w:p>
    <w:p w14:paraId="141255FE">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②清洗作业时</w:t>
      </w:r>
      <w:r>
        <w:rPr>
          <w:rFonts w:hint="eastAsia" w:ascii="宋体" w:hAnsi="宋体"/>
          <w:szCs w:val="21"/>
          <w:lang w:eastAsia="zh-CN"/>
        </w:rPr>
        <w:t>，</w:t>
      </w:r>
      <w:r>
        <w:rPr>
          <w:rFonts w:hint="eastAsia" w:ascii="宋体" w:hAnsi="宋体"/>
          <w:szCs w:val="21"/>
          <w:lang w:val="en-US" w:eastAsia="zh-CN"/>
        </w:rPr>
        <w:t>洒扫车</w:t>
      </w:r>
      <w:r>
        <w:rPr>
          <w:rFonts w:hint="eastAsia" w:ascii="宋体" w:hAnsi="宋体"/>
          <w:szCs w:val="21"/>
        </w:rPr>
        <w:t>、机扫车、人工洗刷相互配合，以消除路面的积泥、砂石、污迹。</w:t>
      </w:r>
    </w:p>
    <w:p w14:paraId="364EB9A6">
      <w:pPr>
        <w:overflowPunct w:val="0"/>
        <w:adjustRightInd w:val="0"/>
        <w:spacing w:line="420" w:lineRule="exact"/>
        <w:ind w:firstLine="442" w:firstLineChars="200"/>
        <w:textAlignment w:val="bottom"/>
        <w:rPr>
          <w:rFonts w:ascii="宋体" w:hAnsi="宋体"/>
          <w:b/>
          <w:bCs/>
          <w:szCs w:val="21"/>
        </w:rPr>
      </w:pPr>
      <w:r>
        <w:rPr>
          <w:rFonts w:hint="eastAsia" w:ascii="宋体" w:hAnsi="宋体"/>
          <w:b/>
          <w:bCs/>
          <w:szCs w:val="21"/>
          <w:lang w:val="en-US" w:eastAsia="zh-CN"/>
        </w:rPr>
        <w:t>③</w:t>
      </w:r>
      <w:r>
        <w:rPr>
          <w:rFonts w:hint="eastAsia" w:ascii="宋体" w:hAnsi="宋体"/>
          <w:b/>
          <w:bCs/>
          <w:szCs w:val="21"/>
        </w:rPr>
        <w:t>作业速度：机械冲洗作业时速≤15km/h。</w:t>
      </w:r>
    </w:p>
    <w:p w14:paraId="53943073">
      <w:pPr>
        <w:overflowPunct w:val="0"/>
        <w:snapToGrid w:val="0"/>
        <w:spacing w:line="420" w:lineRule="exact"/>
        <w:ind w:firstLine="442" w:firstLineChars="200"/>
        <w:outlineLvl w:val="3"/>
        <w:rPr>
          <w:rFonts w:ascii="宋体" w:hAnsi="宋体"/>
          <w:b/>
          <w:szCs w:val="21"/>
        </w:rPr>
      </w:pPr>
      <w:bookmarkStart w:id="22" w:name="_Toc23232"/>
      <w:bookmarkStart w:id="23" w:name="_Toc28915"/>
      <w:bookmarkStart w:id="24" w:name="_Toc8459"/>
      <w:r>
        <w:rPr>
          <w:rFonts w:hint="eastAsia" w:ascii="宋体" w:hAnsi="宋体"/>
          <w:b/>
          <w:szCs w:val="21"/>
        </w:rPr>
        <w:t>4、机械配置要求</w:t>
      </w:r>
      <w:bookmarkEnd w:id="22"/>
      <w:bookmarkEnd w:id="23"/>
      <w:bookmarkEnd w:id="24"/>
    </w:p>
    <w:p w14:paraId="47980B4D">
      <w:pPr>
        <w:overflowPunct w:val="0"/>
        <w:adjustRightInd w:val="0"/>
        <w:spacing w:line="420" w:lineRule="exact"/>
        <w:ind w:firstLine="440" w:firstLineChars="200"/>
        <w:textAlignment w:val="bottom"/>
        <w:rPr>
          <w:rFonts w:ascii="宋体" w:hAnsi="宋体"/>
          <w:szCs w:val="21"/>
        </w:rPr>
      </w:pPr>
      <w:r>
        <w:rPr>
          <w:rFonts w:hint="eastAsia" w:ascii="宋体" w:hAnsi="宋体"/>
          <w:szCs w:val="21"/>
          <w:lang w:val="en-US" w:eastAsia="zh-CN"/>
        </w:rPr>
        <w:t>三轮垃圾收集车、</w:t>
      </w:r>
      <w:r>
        <w:rPr>
          <w:rFonts w:hint="eastAsia" w:ascii="宋体" w:hAnsi="宋体"/>
          <w:szCs w:val="21"/>
        </w:rPr>
        <w:t>垃圾压缩收集车、洒</w:t>
      </w:r>
      <w:r>
        <w:rPr>
          <w:rFonts w:hint="eastAsia" w:ascii="宋体" w:hAnsi="宋体"/>
          <w:szCs w:val="21"/>
          <w:lang w:val="en-US" w:eastAsia="zh-CN"/>
        </w:rPr>
        <w:t>扫</w:t>
      </w:r>
      <w:r>
        <w:rPr>
          <w:rFonts w:hint="eastAsia" w:ascii="宋体" w:hAnsi="宋体"/>
          <w:szCs w:val="21"/>
        </w:rPr>
        <w:t>车等机械作业车辆，运输车辆须经相关主管部门核准，办理核准手续到采购方备案后方可使用。所有车辆外观整洁，及时清洗。</w:t>
      </w:r>
    </w:p>
    <w:p w14:paraId="42B1EDCC">
      <w:pPr>
        <w:overflowPunct w:val="0"/>
        <w:snapToGrid w:val="0"/>
        <w:spacing w:line="420" w:lineRule="exact"/>
        <w:ind w:firstLine="442" w:firstLineChars="200"/>
        <w:outlineLvl w:val="3"/>
        <w:rPr>
          <w:rFonts w:ascii="宋体" w:hAnsi="宋体"/>
          <w:b/>
          <w:szCs w:val="21"/>
        </w:rPr>
      </w:pPr>
      <w:bookmarkStart w:id="25" w:name="_Toc31236"/>
      <w:bookmarkStart w:id="26" w:name="_Toc8529"/>
      <w:bookmarkStart w:id="27" w:name="_Toc25032"/>
      <w:r>
        <w:rPr>
          <w:rFonts w:hint="eastAsia" w:ascii="宋体" w:hAnsi="宋体"/>
          <w:b/>
          <w:szCs w:val="21"/>
        </w:rPr>
        <w:t>5、日常工作要求</w:t>
      </w:r>
      <w:bookmarkEnd w:id="25"/>
      <w:bookmarkEnd w:id="26"/>
      <w:bookmarkEnd w:id="27"/>
    </w:p>
    <w:p w14:paraId="6A10562D">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（1）在每天最后一次清扫完成后将垃圾集中收集至</w:t>
      </w:r>
      <w:r>
        <w:rPr>
          <w:rFonts w:hint="eastAsia" w:ascii="宋体" w:hAnsi="宋体"/>
          <w:szCs w:val="21"/>
          <w:lang w:val="en-US" w:eastAsia="zh-CN"/>
        </w:rPr>
        <w:t>采购人</w:t>
      </w:r>
      <w:r>
        <w:rPr>
          <w:rFonts w:hint="eastAsia" w:ascii="宋体" w:hAnsi="宋体"/>
          <w:szCs w:val="21"/>
        </w:rPr>
        <w:t>指定的垃圾中转站。</w:t>
      </w:r>
    </w:p>
    <w:p w14:paraId="11C77C2D">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（2）道路两侧水沟、水渠等小微水体中的垃圾收集清运。</w:t>
      </w:r>
    </w:p>
    <w:p w14:paraId="107EC94E">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（3）承包范围内垃圾应在每天早上7:00之前清理完毕。保洁垃圾应袋装，并及时收集，严禁裸露</w:t>
      </w:r>
      <w:r>
        <w:rPr>
          <w:rFonts w:ascii="宋体" w:hAnsi="宋体"/>
          <w:szCs w:val="21"/>
        </w:rPr>
        <w:t>堆放</w:t>
      </w:r>
      <w:r>
        <w:rPr>
          <w:rFonts w:hint="eastAsia" w:ascii="宋体" w:hAnsi="宋体"/>
          <w:szCs w:val="21"/>
        </w:rPr>
        <w:t>在路面，并对夜间保洁垃圾和门店垃圾进行收集，做到垃圾不过夜。</w:t>
      </w:r>
    </w:p>
    <w:p w14:paraId="1D7270EC">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（4）清除影响道路安全通行的路面、路肩、人行道上的杂草、灌木等。</w:t>
      </w:r>
    </w:p>
    <w:p w14:paraId="6FA0E214">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（5）发现有主物品在道路上堆放时，如劝说无效的，须及时报告行政主管部门。</w:t>
      </w:r>
    </w:p>
    <w:p w14:paraId="7161E783">
      <w:pPr>
        <w:overflowPunct w:val="0"/>
        <w:adjustRightInd w:val="0"/>
        <w:spacing w:line="420" w:lineRule="exact"/>
        <w:ind w:firstLine="440" w:firstLineChars="200"/>
        <w:textAlignment w:val="bottom"/>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2"/>
        </w:rPr>
        <w:t>清扫保洁时段：</w:t>
      </w:r>
      <w:r>
        <w:rPr>
          <w:rFonts w:hint="eastAsia" w:ascii="宋体" w:hAnsi="宋体"/>
          <w:szCs w:val="22"/>
        </w:rPr>
        <w:t>①一类保洁：城市主干道、快速路及进出口路段、主要领导机关所在地路段、</w:t>
      </w:r>
      <w:r>
        <w:rPr>
          <w:rFonts w:ascii="宋体" w:hAnsi="宋体"/>
          <w:szCs w:val="22"/>
        </w:rPr>
        <w:t>重点区域（例如主要</w:t>
      </w:r>
      <w:r>
        <w:rPr>
          <w:rFonts w:hint="eastAsia" w:ascii="宋体" w:hAnsi="宋体"/>
          <w:szCs w:val="22"/>
        </w:rPr>
        <w:t>公共场所</w:t>
      </w:r>
      <w:r>
        <w:rPr>
          <w:rFonts w:ascii="宋体" w:hAnsi="宋体"/>
          <w:szCs w:val="22"/>
        </w:rPr>
        <w:t>、商业繁华区域、人流密集区域、餐饮业集中区域、娱乐场所等附近区域）</w:t>
      </w:r>
      <w:r>
        <w:rPr>
          <w:rFonts w:hint="eastAsia" w:ascii="宋体" w:hAnsi="宋体"/>
          <w:szCs w:val="22"/>
        </w:rPr>
        <w:t>，</w:t>
      </w:r>
      <w:r>
        <w:rPr>
          <w:rFonts w:ascii="宋体" w:hAnsi="宋体"/>
          <w:szCs w:val="22"/>
        </w:rPr>
        <w:t>全天清扫保洁时段不得少于</w:t>
      </w:r>
      <w:r>
        <w:rPr>
          <w:rFonts w:hint="eastAsia" w:ascii="宋体" w:hAnsi="宋体"/>
          <w:szCs w:val="22"/>
        </w:rPr>
        <w:t>18</w:t>
      </w:r>
      <w:r>
        <w:rPr>
          <w:rFonts w:ascii="宋体" w:hAnsi="宋体"/>
          <w:szCs w:val="22"/>
        </w:rPr>
        <w:t>小时，另外投标供应商应结合实际情况，合理规划</w:t>
      </w:r>
      <w:r>
        <w:rPr>
          <w:rFonts w:hint="eastAsia" w:ascii="宋体" w:hAnsi="宋体"/>
          <w:szCs w:val="22"/>
        </w:rPr>
        <w:t>部分重点道路和区域</w:t>
      </w:r>
      <w:r>
        <w:rPr>
          <w:rFonts w:ascii="宋体" w:hAnsi="宋体"/>
          <w:szCs w:val="22"/>
        </w:rPr>
        <w:t>24小时清扫保洁</w:t>
      </w:r>
      <w:r>
        <w:rPr>
          <w:rFonts w:hint="eastAsia" w:ascii="宋体" w:hAnsi="宋体"/>
          <w:szCs w:val="22"/>
        </w:rPr>
        <w:t>；②二类保洁：其他主次道路、商业较集中</w:t>
      </w:r>
      <w:r>
        <w:rPr>
          <w:rFonts w:ascii="宋体" w:hAnsi="宋体"/>
          <w:szCs w:val="22"/>
        </w:rPr>
        <w:t>区域</w:t>
      </w:r>
      <w:r>
        <w:rPr>
          <w:rFonts w:hint="eastAsia" w:ascii="宋体" w:hAnsi="宋体"/>
          <w:szCs w:val="22"/>
        </w:rPr>
        <w:t>、人流量较大路段，</w:t>
      </w:r>
      <w:r>
        <w:rPr>
          <w:rFonts w:ascii="宋体" w:hAnsi="宋体"/>
          <w:szCs w:val="22"/>
        </w:rPr>
        <w:t>全天清扫保洁时段不得少于</w:t>
      </w:r>
      <w:r>
        <w:rPr>
          <w:rFonts w:hint="eastAsia" w:ascii="宋体" w:hAnsi="宋体"/>
          <w:szCs w:val="22"/>
        </w:rPr>
        <w:t>16</w:t>
      </w:r>
      <w:r>
        <w:rPr>
          <w:rFonts w:ascii="宋体" w:hAnsi="宋体"/>
          <w:szCs w:val="22"/>
        </w:rPr>
        <w:t>小时</w:t>
      </w:r>
      <w:r>
        <w:rPr>
          <w:rFonts w:hint="eastAsia" w:ascii="宋体" w:hAnsi="宋体"/>
          <w:szCs w:val="22"/>
        </w:rPr>
        <w:t>；③三类保洁：人流量和车流量较少的路段、城郊结合部路段、背街小巷、各城中村内道路等</w:t>
      </w:r>
      <w:r>
        <w:rPr>
          <w:rFonts w:ascii="宋体" w:hAnsi="宋体"/>
          <w:szCs w:val="22"/>
        </w:rPr>
        <w:t>全天清扫保洁时段不得少于</w:t>
      </w:r>
      <w:r>
        <w:rPr>
          <w:rFonts w:hint="eastAsia" w:ascii="宋体" w:hAnsi="宋体"/>
          <w:szCs w:val="22"/>
        </w:rPr>
        <w:t>12</w:t>
      </w:r>
      <w:r>
        <w:rPr>
          <w:rFonts w:ascii="宋体" w:hAnsi="宋体"/>
          <w:szCs w:val="22"/>
        </w:rPr>
        <w:t>小时</w:t>
      </w:r>
      <w:r>
        <w:rPr>
          <w:rFonts w:hint="eastAsia" w:ascii="宋体" w:hAnsi="宋体"/>
          <w:szCs w:val="22"/>
        </w:rPr>
        <w:t>。</w:t>
      </w:r>
      <w:r>
        <w:rPr>
          <w:rFonts w:ascii="宋体" w:hAnsi="宋体"/>
          <w:szCs w:val="22"/>
        </w:rPr>
        <w:t>投标人在投标时应根据各区域具体情况，充分考虑各区域不同时段的垃圾量、人流量，合理设置保洁时段，确保所有区域全时段的路面清洁以及垃圾的日产日清。</w:t>
      </w:r>
    </w:p>
    <w:p w14:paraId="435CCEB0">
      <w:pPr>
        <w:overflowPunct w:val="0"/>
        <w:adjustRightInd w:val="0"/>
        <w:spacing w:line="420" w:lineRule="exact"/>
        <w:ind w:firstLine="440" w:firstLineChars="200"/>
        <w:textAlignment w:val="bottom"/>
        <w:rPr>
          <w:rFonts w:ascii="宋体" w:hAnsi="宋体"/>
          <w:szCs w:val="21"/>
        </w:rPr>
      </w:pPr>
      <w:r>
        <w:rPr>
          <w:rFonts w:hint="eastAsia" w:ascii="宋体" w:hAnsi="宋体"/>
          <w:szCs w:val="22"/>
        </w:rPr>
        <w:t>（</w:t>
      </w:r>
      <w:r>
        <w:rPr>
          <w:rFonts w:ascii="宋体" w:hAnsi="宋体"/>
          <w:szCs w:val="22"/>
        </w:rPr>
        <w:t>7</w:t>
      </w:r>
      <w:r>
        <w:rPr>
          <w:rFonts w:hint="eastAsia" w:ascii="宋体" w:hAnsi="宋体"/>
          <w:szCs w:val="22"/>
        </w:rPr>
        <w:t>）</w:t>
      </w:r>
      <w:r>
        <w:rPr>
          <w:rFonts w:ascii="宋体" w:hAnsi="宋体"/>
          <w:szCs w:val="22"/>
        </w:rPr>
        <w:t>清扫保洁作业频次与时间：1</w:t>
      </w:r>
      <w:r>
        <w:rPr>
          <w:rFonts w:hint="eastAsia" w:ascii="宋体" w:hAnsi="宋体"/>
          <w:szCs w:val="22"/>
        </w:rPr>
        <w:t>8</w:t>
      </w:r>
      <w:r>
        <w:rPr>
          <w:rFonts w:ascii="宋体" w:hAnsi="宋体"/>
          <w:szCs w:val="22"/>
        </w:rPr>
        <w:t>小时保洁区域日常普扫每天不得少于</w:t>
      </w:r>
      <w:r>
        <w:rPr>
          <w:rFonts w:hint="eastAsia" w:ascii="宋体" w:hAnsi="宋体"/>
          <w:szCs w:val="22"/>
        </w:rPr>
        <w:t>三</w:t>
      </w:r>
      <w:r>
        <w:rPr>
          <w:rFonts w:ascii="宋体" w:hAnsi="宋体"/>
          <w:szCs w:val="22"/>
        </w:rPr>
        <w:t>次，</w:t>
      </w:r>
      <w:r>
        <w:rPr>
          <w:rFonts w:hint="eastAsia" w:ascii="宋体" w:hAnsi="宋体"/>
          <w:szCs w:val="22"/>
        </w:rPr>
        <w:t>第一次普扫应在7：00前完成（夏季6-9月应在6:30前完成），第二次普扫在13：00前完成，第三次普扫在23:00前完成；</w:t>
      </w:r>
      <w:r>
        <w:rPr>
          <w:rFonts w:ascii="宋体" w:hAnsi="宋体"/>
          <w:szCs w:val="22"/>
        </w:rPr>
        <w:t>1</w:t>
      </w:r>
      <w:r>
        <w:rPr>
          <w:rFonts w:hint="eastAsia" w:ascii="宋体" w:hAnsi="宋体"/>
          <w:szCs w:val="22"/>
        </w:rPr>
        <w:t>6</w:t>
      </w:r>
      <w:r>
        <w:rPr>
          <w:rFonts w:ascii="宋体" w:hAnsi="宋体"/>
          <w:szCs w:val="22"/>
        </w:rPr>
        <w:t>小时保洁区域日常普扫每天不得少于</w:t>
      </w:r>
      <w:r>
        <w:rPr>
          <w:rFonts w:hint="eastAsia" w:ascii="宋体" w:hAnsi="宋体"/>
          <w:szCs w:val="22"/>
        </w:rPr>
        <w:t>三</w:t>
      </w:r>
      <w:r>
        <w:rPr>
          <w:rFonts w:ascii="宋体" w:hAnsi="宋体"/>
          <w:szCs w:val="22"/>
        </w:rPr>
        <w:t>次，</w:t>
      </w:r>
      <w:r>
        <w:rPr>
          <w:rFonts w:hint="eastAsia" w:ascii="宋体" w:hAnsi="宋体"/>
          <w:szCs w:val="22"/>
        </w:rPr>
        <w:t>第一次普扫应在7：00前完成（夏季6-9月应在6:30前完成），第二次普扫在13：00前完成，第三次普扫在21:00前完成；12</w:t>
      </w:r>
      <w:r>
        <w:rPr>
          <w:rFonts w:ascii="宋体" w:hAnsi="宋体"/>
          <w:szCs w:val="22"/>
        </w:rPr>
        <w:t>小时保洁区域日常普扫每天不得少于</w:t>
      </w:r>
      <w:r>
        <w:rPr>
          <w:rFonts w:hint="eastAsia" w:ascii="宋体" w:hAnsi="宋体"/>
          <w:szCs w:val="22"/>
        </w:rPr>
        <w:t>二</w:t>
      </w:r>
      <w:r>
        <w:rPr>
          <w:rFonts w:ascii="宋体" w:hAnsi="宋体"/>
          <w:szCs w:val="22"/>
        </w:rPr>
        <w:t>次，</w:t>
      </w:r>
      <w:r>
        <w:rPr>
          <w:rFonts w:hint="eastAsia" w:ascii="宋体" w:hAnsi="宋体"/>
          <w:szCs w:val="22"/>
        </w:rPr>
        <w:t>第一次普扫应在09：00前完成，第三次普扫在18:00前完成；</w:t>
      </w:r>
      <w:r>
        <w:rPr>
          <w:rFonts w:ascii="宋体" w:hAnsi="宋体"/>
          <w:szCs w:val="22"/>
        </w:rPr>
        <w:t>普扫时段外，其他时段均为不间断巡回保洁时段。日常普扫作业时间应选择路面人流、车流较少的时段开始，并在人流、车流高峰时段来临前结束。</w:t>
      </w:r>
    </w:p>
    <w:p w14:paraId="28AE7A3C">
      <w:pPr>
        <w:overflowPunct w:val="0"/>
        <w:adjustRightInd w:val="0"/>
        <w:spacing w:line="420" w:lineRule="exact"/>
        <w:ind w:firstLine="440" w:firstLineChars="200"/>
        <w:textAlignment w:val="bottom"/>
        <w:rPr>
          <w:rFonts w:ascii="宋体" w:hAnsi="宋体"/>
          <w:szCs w:val="22"/>
        </w:rPr>
      </w:pPr>
      <w:r>
        <w:rPr>
          <w:rFonts w:hint="eastAsia" w:ascii="宋体" w:hAnsi="宋体"/>
          <w:szCs w:val="21"/>
        </w:rPr>
        <w:t>（</w:t>
      </w:r>
      <w:r>
        <w:rPr>
          <w:rFonts w:ascii="宋体" w:hAnsi="宋体"/>
          <w:szCs w:val="21"/>
        </w:rPr>
        <w:t>8</w:t>
      </w:r>
      <w:r>
        <w:rPr>
          <w:rFonts w:hint="eastAsia" w:ascii="宋体" w:hAnsi="宋体"/>
          <w:szCs w:val="21"/>
        </w:rPr>
        <w:t>）</w:t>
      </w:r>
      <w:r>
        <w:rPr>
          <w:rFonts w:hint="eastAsia" w:ascii="宋体" w:hAnsi="宋体"/>
          <w:szCs w:val="22"/>
        </w:rPr>
        <w:t>道路机械化清扫</w:t>
      </w:r>
      <w:r>
        <w:rPr>
          <w:rFonts w:ascii="宋体" w:hAnsi="宋体"/>
          <w:szCs w:val="22"/>
        </w:rPr>
        <w:t>频次与时间：</w:t>
      </w:r>
      <w:r>
        <w:rPr>
          <w:rFonts w:hint="eastAsia" w:ascii="宋体" w:hAnsi="宋体"/>
          <w:szCs w:val="22"/>
        </w:rPr>
        <w:t>一类保洁道路每天不少于3次；二类、三类保洁道路每天不少于2次。</w:t>
      </w:r>
      <w:r>
        <w:rPr>
          <w:rFonts w:hint="eastAsia"/>
          <w:kern w:val="0"/>
          <w:szCs w:val="22"/>
        </w:rPr>
        <w:t>采购人认为有必要采用机械化作业的道路，供应商应无条件服从。道路人行道（公路、通村道路路肩），边沟包括绿化带等机械清扫无法覆盖的位置辅以人工清扫方式清扫。</w:t>
      </w:r>
    </w:p>
    <w:p w14:paraId="28E1A3A9">
      <w:pPr>
        <w:overflowPunct w:val="0"/>
        <w:adjustRightInd w:val="0"/>
        <w:spacing w:line="420" w:lineRule="exact"/>
        <w:ind w:firstLine="440" w:firstLineChars="200"/>
        <w:textAlignment w:val="bottom"/>
        <w:rPr>
          <w:b/>
          <w:bCs/>
          <w:kern w:val="0"/>
          <w:szCs w:val="22"/>
        </w:rPr>
      </w:pPr>
      <w:r>
        <w:rPr>
          <w:rFonts w:hint="eastAsia" w:ascii="宋体" w:hAnsi="宋体"/>
          <w:szCs w:val="22"/>
        </w:rPr>
        <w:t>（</w:t>
      </w:r>
      <w:r>
        <w:rPr>
          <w:rFonts w:hint="eastAsia" w:ascii="宋体" w:hAnsi="宋体"/>
          <w:szCs w:val="22"/>
          <w:lang w:val="en-US" w:eastAsia="zh-CN"/>
        </w:rPr>
        <w:t>9</w:t>
      </w:r>
      <w:r>
        <w:rPr>
          <w:rFonts w:hint="eastAsia" w:ascii="宋体" w:hAnsi="宋体"/>
          <w:szCs w:val="22"/>
        </w:rPr>
        <w:t>）</w:t>
      </w:r>
      <w:r>
        <w:rPr>
          <w:kern w:val="0"/>
          <w:szCs w:val="22"/>
        </w:rPr>
        <w:t>道路日常冲洗作业每周不少于</w:t>
      </w:r>
      <w:r>
        <w:rPr>
          <w:rFonts w:hint="eastAsia" w:ascii="宋体" w:hAnsi="宋体"/>
          <w:szCs w:val="22"/>
        </w:rPr>
        <w:t>二</w:t>
      </w:r>
      <w:r>
        <w:rPr>
          <w:kern w:val="0"/>
          <w:szCs w:val="22"/>
        </w:rPr>
        <w:t>次</w:t>
      </w:r>
      <w:r>
        <w:rPr>
          <w:rFonts w:hint="eastAsia"/>
          <w:kern w:val="0"/>
          <w:szCs w:val="22"/>
        </w:rPr>
        <w:t>（冬季室外气温低于3℃时，暂停冲洗作业）</w:t>
      </w:r>
      <w:r>
        <w:rPr>
          <w:rFonts w:hint="eastAsia" w:ascii="宋体" w:hAnsi="宋体"/>
          <w:szCs w:val="22"/>
        </w:rPr>
        <w:t>。</w:t>
      </w:r>
      <w:r>
        <w:rPr>
          <w:rFonts w:hint="eastAsia"/>
          <w:kern w:val="0"/>
          <w:szCs w:val="22"/>
        </w:rPr>
        <w:t>垃圾中转站、农贸市场（菜市场）、学校、医院等重要场所200米范围周边道路每天冲洗不少于一次。按需配备加水点，分布位置需合理。</w:t>
      </w:r>
      <w:bookmarkStart w:id="28" w:name="_Toc30075"/>
    </w:p>
    <w:p w14:paraId="487C8020">
      <w:pPr>
        <w:overflowPunct w:val="0"/>
        <w:adjustRightInd w:val="0"/>
        <w:spacing w:line="420" w:lineRule="exact"/>
        <w:ind w:firstLine="440" w:firstLineChars="200"/>
        <w:textAlignment w:val="bottom"/>
        <w:rPr>
          <w:rFonts w:ascii="宋体" w:hAnsi="宋体"/>
          <w:szCs w:val="22"/>
        </w:rPr>
      </w:pPr>
      <w:r>
        <w:rPr>
          <w:rFonts w:hint="eastAsia" w:ascii="宋体" w:hAnsi="宋体"/>
          <w:szCs w:val="22"/>
        </w:rPr>
        <w:t>（</w:t>
      </w:r>
      <w:r>
        <w:rPr>
          <w:rFonts w:ascii="宋体" w:hAnsi="宋体"/>
          <w:szCs w:val="22"/>
        </w:rPr>
        <w:t>1</w:t>
      </w:r>
      <w:r>
        <w:rPr>
          <w:rFonts w:hint="eastAsia" w:ascii="宋体" w:hAnsi="宋体"/>
          <w:szCs w:val="22"/>
          <w:lang w:val="en-US" w:eastAsia="zh-CN"/>
        </w:rPr>
        <w:t>0</w:t>
      </w:r>
      <w:r>
        <w:rPr>
          <w:rFonts w:hint="eastAsia" w:ascii="宋体" w:hAnsi="宋体"/>
          <w:szCs w:val="22"/>
        </w:rPr>
        <w:t>）</w:t>
      </w:r>
      <w:r>
        <w:rPr>
          <w:rFonts w:hint="eastAsia"/>
          <w:b/>
          <w:bCs/>
          <w:kern w:val="0"/>
          <w:szCs w:val="22"/>
        </w:rPr>
        <w:t>洒水和冲洗加水点及水费由供应商自行解决，包含在投标总价中。</w:t>
      </w:r>
    </w:p>
    <w:p w14:paraId="6244878C">
      <w:pPr>
        <w:overflowPunct w:val="0"/>
        <w:snapToGrid w:val="0"/>
        <w:spacing w:line="420" w:lineRule="exact"/>
        <w:ind w:firstLine="442" w:firstLineChars="200"/>
        <w:outlineLvl w:val="3"/>
        <w:rPr>
          <w:rFonts w:ascii="宋体" w:hAnsi="宋体" w:cs="黑体"/>
          <w:b/>
          <w:szCs w:val="21"/>
        </w:rPr>
      </w:pPr>
      <w:r>
        <w:rPr>
          <w:rFonts w:ascii="宋体" w:hAnsi="宋体" w:cs="黑体"/>
          <w:b/>
          <w:szCs w:val="21"/>
        </w:rPr>
        <w:t>6</w:t>
      </w:r>
      <w:r>
        <w:rPr>
          <w:rFonts w:hint="eastAsia" w:ascii="宋体" w:hAnsi="宋体" w:cs="黑体"/>
          <w:b/>
          <w:szCs w:val="21"/>
        </w:rPr>
        <w:t>、应急作业要求</w:t>
      </w:r>
      <w:bookmarkEnd w:id="28"/>
    </w:p>
    <w:p w14:paraId="69E304C3">
      <w:pPr>
        <w:pStyle w:val="19"/>
        <w:overflowPunct w:val="0"/>
        <w:adjustRightInd w:val="0"/>
        <w:snapToGrid w:val="0"/>
        <w:spacing w:after="0" w:line="420" w:lineRule="exact"/>
        <w:ind w:left="0" w:leftChars="0" w:firstLine="440" w:firstLineChars="200"/>
        <w:rPr>
          <w:rFonts w:ascii="宋体"/>
          <w:szCs w:val="21"/>
        </w:rPr>
      </w:pPr>
      <w:bookmarkStart w:id="29" w:name="_Hlk497139671"/>
      <w:r>
        <w:rPr>
          <w:rFonts w:hint="eastAsia" w:ascii="宋体"/>
          <w:szCs w:val="21"/>
        </w:rPr>
        <w:t>（1）中标供应商须根据采购人要求及道路突发情况24小时待命。</w:t>
      </w:r>
    </w:p>
    <w:p w14:paraId="38EE1873">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 xml:space="preserve">（2）责任路段范围内出现大面积遗撒物、交通安全事故，自接到通知后，应在2小时内清理干净。 </w:t>
      </w:r>
    </w:p>
    <w:p w14:paraId="6A8898F0">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（3）路面液态油质，如机油、柴油、汽油、润滑油等污染物应在4小时内清理干净。</w:t>
      </w:r>
    </w:p>
    <w:p w14:paraId="3E9B4D6F">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（4）责任路段范围内出现易燃易爆、有毒有害物质遗撒泄露，服务提供组织应及时报告行政主管部门。</w:t>
      </w:r>
    </w:p>
    <w:p w14:paraId="12457C4F">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（5）出现降雪天气时，提供服务组织应及时进行融雪和路面清理。应保证4小时至10小时内完成融雪，在 2 至 3 天内完成路面清理。</w:t>
      </w:r>
      <w:bookmarkEnd w:id="29"/>
    </w:p>
    <w:p w14:paraId="3E4CDFCC">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（6）台风、暴雨、洪水及冰冻等灾害性天气结束后，应及时进行保洁。</w:t>
      </w:r>
    </w:p>
    <w:p w14:paraId="36A0BB7F">
      <w:pPr>
        <w:pStyle w:val="19"/>
        <w:overflowPunct w:val="0"/>
        <w:adjustRightInd w:val="0"/>
        <w:snapToGrid w:val="0"/>
        <w:spacing w:after="0" w:line="420" w:lineRule="exact"/>
        <w:ind w:left="0" w:leftChars="0" w:firstLine="440" w:firstLineChars="200"/>
        <w:rPr>
          <w:rFonts w:ascii="宋体"/>
          <w:szCs w:val="21"/>
        </w:rPr>
      </w:pPr>
      <w:r>
        <w:rPr>
          <w:rFonts w:hint="eastAsia" w:ascii="宋体"/>
          <w:szCs w:val="21"/>
        </w:rPr>
        <w:t>（7）因车辆原因或其它自身原因不能及时处理应急事件时，须及时报告行政主管部门。</w:t>
      </w:r>
    </w:p>
    <w:p w14:paraId="556F2489">
      <w:pPr>
        <w:adjustRightInd w:val="0"/>
        <w:snapToGrid w:val="0"/>
        <w:spacing w:before="156" w:beforeLines="50" w:after="156" w:afterLines="50" w:line="420" w:lineRule="exact"/>
        <w:rPr>
          <w:rFonts w:ascii="宋体" w:hAnsi="宋体" w:cs="Arial"/>
          <w:b/>
          <w:bCs/>
        </w:rPr>
      </w:pPr>
      <w:bookmarkStart w:id="30" w:name="_Toc5184"/>
      <w:bookmarkStart w:id="31" w:name="_Toc2930"/>
      <w:bookmarkStart w:id="32" w:name="_Toc403"/>
      <w:bookmarkStart w:id="33" w:name="_Toc64913332"/>
      <w:bookmarkStart w:id="34" w:name="_Toc64901748"/>
      <w:r>
        <w:rPr>
          <w:rFonts w:hint="eastAsia" w:ascii="宋体" w:hAnsi="宋体" w:cs="Arial"/>
          <w:b/>
          <w:bCs/>
        </w:rPr>
        <w:t>（二）公园、广场及公共绿地保洁要求</w:t>
      </w:r>
      <w:bookmarkEnd w:id="30"/>
      <w:bookmarkEnd w:id="31"/>
      <w:bookmarkEnd w:id="32"/>
      <w:bookmarkEnd w:id="33"/>
      <w:bookmarkEnd w:id="34"/>
    </w:p>
    <w:p w14:paraId="71369C40">
      <w:pPr>
        <w:overflowPunct w:val="0"/>
        <w:snapToGrid w:val="0"/>
        <w:spacing w:line="420" w:lineRule="exact"/>
        <w:ind w:firstLine="442" w:firstLineChars="200"/>
        <w:outlineLvl w:val="3"/>
        <w:rPr>
          <w:rFonts w:ascii="宋体" w:hAnsi="宋体" w:cs="黑体"/>
          <w:b/>
          <w:szCs w:val="21"/>
        </w:rPr>
      </w:pPr>
      <w:bookmarkStart w:id="35" w:name="_Toc28069"/>
      <w:bookmarkStart w:id="36" w:name="_Toc3041"/>
      <w:bookmarkStart w:id="37" w:name="_Toc22299"/>
      <w:r>
        <w:rPr>
          <w:rFonts w:hint="eastAsia" w:ascii="宋体" w:hAnsi="宋体" w:cs="黑体"/>
          <w:b/>
          <w:szCs w:val="21"/>
        </w:rPr>
        <w:t>1、公园、广场及公共绿地保洁范围</w:t>
      </w:r>
      <w:bookmarkEnd w:id="35"/>
      <w:bookmarkEnd w:id="36"/>
      <w:bookmarkEnd w:id="37"/>
    </w:p>
    <w:p w14:paraId="18A34559">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公园、广场及公共绿地（含道路绿化隔离带、道路两侧绿地、假山公园、小游园、园林景观道路绿地（带）、园林休闲道绿地（带）及配套的人工附属设施设备，下同）内的保洁（含垃圾筒、果皮箱等卫生设施、护栏、护树设施、灯光及各类电气设施、座椅、指示牌、宣传牌、警示牌等标识系统等）；公园、广场及公共绿地内建筑及构筑物的地面保洁及立面清洗（含亭、台、楼、榭、登山道、挡土墙、花基、围墙、大门、小品、雕塑等）；公园、广场及公共绿地内道路及铺装的保洁（道路、活动广场、入口广场、停车场等）；水体保洁（含给水系统、喷灌系统、排水沟及防洪设施、喷泉、水池、溪流、湖等）；公园、广场内公厕保洁；其他园林设施的清洁；</w:t>
      </w:r>
      <w:r>
        <w:rPr>
          <w:rFonts w:hint="eastAsia" w:ascii="宋体" w:hAnsi="宋体"/>
          <w:b/>
          <w:szCs w:val="22"/>
        </w:rPr>
        <w:t>含小广告清洗</w:t>
      </w:r>
      <w:r>
        <w:rPr>
          <w:rFonts w:hint="eastAsia" w:ascii="宋体" w:hAnsi="宋体" w:cs="黑体"/>
          <w:szCs w:val="21"/>
        </w:rPr>
        <w:t>。</w:t>
      </w:r>
    </w:p>
    <w:p w14:paraId="3266B337">
      <w:pPr>
        <w:overflowPunct w:val="0"/>
        <w:snapToGrid w:val="0"/>
        <w:spacing w:line="420" w:lineRule="exact"/>
        <w:ind w:firstLine="442" w:firstLineChars="200"/>
        <w:outlineLvl w:val="3"/>
        <w:rPr>
          <w:rFonts w:ascii="宋体" w:hAnsi="宋体" w:cs="黑体"/>
          <w:b/>
          <w:szCs w:val="21"/>
        </w:rPr>
      </w:pPr>
      <w:bookmarkStart w:id="38" w:name="_Toc11404"/>
      <w:bookmarkStart w:id="39" w:name="_Toc17604"/>
      <w:bookmarkStart w:id="40" w:name="_Toc16601"/>
      <w:r>
        <w:rPr>
          <w:rFonts w:hint="eastAsia" w:ascii="宋体" w:hAnsi="宋体" w:cs="黑体"/>
          <w:b/>
          <w:szCs w:val="21"/>
        </w:rPr>
        <w:t>2、公园、广场及公共绿地保洁质量要求</w:t>
      </w:r>
      <w:bookmarkEnd w:id="38"/>
      <w:bookmarkEnd w:id="39"/>
      <w:bookmarkEnd w:id="40"/>
    </w:p>
    <w:p w14:paraId="2FDDFFBC">
      <w:pPr>
        <w:widowControl/>
        <w:numPr>
          <w:ilvl w:val="0"/>
          <w:numId w:val="3"/>
        </w:numPr>
        <w:overflowPunct w:val="0"/>
        <w:adjustRightInd w:val="0"/>
        <w:snapToGrid w:val="0"/>
        <w:spacing w:line="420" w:lineRule="exact"/>
        <w:ind w:firstLine="440" w:firstLineChars="200"/>
        <w:jc w:val="left"/>
        <w:textAlignment w:val="bottom"/>
        <w:rPr>
          <w:rFonts w:ascii="宋体" w:hAnsi="宋体"/>
          <w:szCs w:val="21"/>
        </w:rPr>
      </w:pPr>
      <w:r>
        <w:rPr>
          <w:rFonts w:hint="eastAsia" w:ascii="宋体" w:hAnsi="宋体"/>
          <w:szCs w:val="21"/>
        </w:rPr>
        <w:t>公园、广场、绿地、绿化带（地）干净整洁无垃圾污染，无卫生死角，无杂物积存，空旷绿地无明显垃圾，要求清理垃圾（含养护公司清理出的垃圾）。</w:t>
      </w:r>
    </w:p>
    <w:p w14:paraId="68054BF9">
      <w:pPr>
        <w:widowControl/>
        <w:numPr>
          <w:ilvl w:val="0"/>
          <w:numId w:val="3"/>
        </w:numPr>
        <w:overflowPunct w:val="0"/>
        <w:adjustRightInd w:val="0"/>
        <w:snapToGrid w:val="0"/>
        <w:spacing w:line="420" w:lineRule="exact"/>
        <w:ind w:firstLine="440" w:firstLineChars="200"/>
        <w:jc w:val="left"/>
        <w:textAlignment w:val="bottom"/>
        <w:rPr>
          <w:rFonts w:ascii="宋体" w:hAnsi="宋体"/>
          <w:szCs w:val="21"/>
        </w:rPr>
      </w:pPr>
      <w:r>
        <w:rPr>
          <w:rFonts w:hint="eastAsia" w:ascii="宋体" w:hAnsi="宋体"/>
          <w:szCs w:val="21"/>
        </w:rPr>
        <w:t>人工附属设施设备</w:t>
      </w:r>
      <w:r>
        <w:rPr>
          <w:rFonts w:hint="eastAsia" w:ascii="宋体" w:hAnsi="宋体" w:cs="黑体"/>
          <w:szCs w:val="21"/>
        </w:rPr>
        <w:t>（各类灯、音响、指示牌、宣传栏、休闲椅、桥面、栏杆、扶手、凉亭、走廊、花架、园林小品等，下同）</w:t>
      </w:r>
      <w:r>
        <w:rPr>
          <w:rFonts w:hint="eastAsia" w:ascii="宋体" w:hAnsi="宋体"/>
          <w:szCs w:val="21"/>
        </w:rPr>
        <w:t>、体育健身区域器材设施表面无积尘，干净整洁，无乱涂写，乱粘贴和悬挂物。</w:t>
      </w:r>
    </w:p>
    <w:p w14:paraId="5867905D">
      <w:pPr>
        <w:widowControl/>
        <w:numPr>
          <w:ilvl w:val="0"/>
          <w:numId w:val="3"/>
        </w:numPr>
        <w:overflowPunct w:val="0"/>
        <w:adjustRightInd w:val="0"/>
        <w:snapToGrid w:val="0"/>
        <w:spacing w:line="420" w:lineRule="exact"/>
        <w:ind w:firstLine="440" w:firstLineChars="200"/>
        <w:jc w:val="left"/>
        <w:textAlignment w:val="bottom"/>
        <w:rPr>
          <w:rFonts w:ascii="宋体" w:hAnsi="宋体"/>
          <w:szCs w:val="21"/>
          <w:lang w:val="zh-CN"/>
        </w:rPr>
      </w:pPr>
      <w:r>
        <w:rPr>
          <w:rFonts w:hint="eastAsia" w:ascii="宋体" w:hAnsi="宋体"/>
          <w:szCs w:val="21"/>
          <w:lang w:val="zh-CN"/>
        </w:rPr>
        <w:t>眼看水体、水面及水面周围无杂物、水葫芦、青苔等漂浮物。排水沟目视干净无杂草、杂物，排水畅通。</w:t>
      </w:r>
    </w:p>
    <w:p w14:paraId="306AF30D">
      <w:pPr>
        <w:pStyle w:val="19"/>
        <w:widowControl/>
        <w:numPr>
          <w:ilvl w:val="0"/>
          <w:numId w:val="3"/>
        </w:numPr>
        <w:overflowPunct w:val="0"/>
        <w:adjustRightInd w:val="0"/>
        <w:snapToGrid w:val="0"/>
        <w:spacing w:after="0" w:line="420" w:lineRule="exact"/>
        <w:ind w:left="0" w:leftChars="0" w:firstLine="440" w:firstLineChars="200"/>
        <w:jc w:val="left"/>
        <w:rPr>
          <w:rFonts w:ascii="宋体" w:hAnsi="宋体"/>
          <w:lang w:val="zh-CN"/>
        </w:rPr>
      </w:pPr>
      <w:r>
        <w:rPr>
          <w:rFonts w:hint="eastAsia" w:ascii="宋体" w:hAnsi="宋体"/>
          <w:lang w:val="zh-CN"/>
        </w:rPr>
        <w:t>禁止把清扫的落叶、枯枝等倾倒入绿地。</w:t>
      </w:r>
    </w:p>
    <w:p w14:paraId="08A22A4E">
      <w:pPr>
        <w:pStyle w:val="19"/>
        <w:widowControl/>
        <w:numPr>
          <w:ilvl w:val="0"/>
          <w:numId w:val="3"/>
        </w:numPr>
        <w:overflowPunct w:val="0"/>
        <w:adjustRightInd w:val="0"/>
        <w:snapToGrid w:val="0"/>
        <w:spacing w:after="0" w:line="420" w:lineRule="exact"/>
        <w:ind w:left="0" w:leftChars="0" w:firstLine="440" w:firstLineChars="200"/>
        <w:jc w:val="left"/>
        <w:rPr>
          <w:rFonts w:ascii="宋体" w:hAnsi="宋体"/>
          <w:szCs w:val="21"/>
        </w:rPr>
      </w:pPr>
      <w:r>
        <w:rPr>
          <w:rFonts w:hint="eastAsia" w:ascii="宋体" w:hAnsi="宋体"/>
          <w:szCs w:val="21"/>
        </w:rPr>
        <w:t>公厕保洁按现一类公厕标准执行。</w:t>
      </w:r>
    </w:p>
    <w:p w14:paraId="17E0C20E">
      <w:pPr>
        <w:overflowPunct w:val="0"/>
        <w:snapToGrid w:val="0"/>
        <w:spacing w:line="420" w:lineRule="exact"/>
        <w:ind w:firstLine="442" w:firstLineChars="200"/>
        <w:outlineLvl w:val="3"/>
        <w:rPr>
          <w:rFonts w:ascii="宋体" w:hAnsi="宋体" w:cs="黑体"/>
          <w:b/>
          <w:szCs w:val="21"/>
        </w:rPr>
      </w:pPr>
      <w:bookmarkStart w:id="41" w:name="_Toc18481"/>
      <w:bookmarkStart w:id="42" w:name="_Toc16190"/>
      <w:bookmarkStart w:id="43" w:name="_Toc13178"/>
      <w:r>
        <w:rPr>
          <w:rFonts w:hint="eastAsia" w:ascii="宋体" w:hAnsi="宋体" w:cs="黑体"/>
          <w:b/>
          <w:szCs w:val="21"/>
        </w:rPr>
        <w:t>3、公园、广场及公共绿地保洁作业要求</w:t>
      </w:r>
      <w:bookmarkEnd w:id="41"/>
      <w:bookmarkEnd w:id="42"/>
      <w:bookmarkEnd w:id="43"/>
    </w:p>
    <w:p w14:paraId="4D8F7A48">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1）公园、广场要求实施16小时（5:00-21:00）动态巡回保洁，保洁要达到“七无”、“五净”标准。公园、广场内道路及铺装、建筑及构筑物的地面每天普扫3次，每周冲洗3次；公园、广场内各类设施、建筑及构筑物立面（2米以下部分）每天清洗1次；水体保洁按河道保洁要求执行；公园、广场内公厕按一类公厕保洁标准执行。</w:t>
      </w:r>
    </w:p>
    <w:p w14:paraId="24537427">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2</w:t>
      </w:r>
      <w:r>
        <w:rPr>
          <w:rFonts w:hint="eastAsia" w:ascii="宋体" w:hAnsi="宋体" w:cs="黑体"/>
          <w:szCs w:val="21"/>
        </w:rPr>
        <w:t>）公共绿地要求清理绿化中的垃圾（含养护公司清理出的垃圾）、抛洒物、零星废弃物，卫生死角、积存垃圾杂物，确保绿化区域干净整洁。</w:t>
      </w:r>
    </w:p>
    <w:p w14:paraId="043C5A73">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（3）</w:t>
      </w:r>
      <w:r>
        <w:rPr>
          <w:rFonts w:ascii="宋体" w:hAnsi="宋体" w:cs="黑体"/>
          <w:szCs w:val="21"/>
        </w:rPr>
        <w:t>大型树木季节性砍杈养护，造成的树杈、落枝、落叶由中标供应商负责在12小时内清运完毕。</w:t>
      </w:r>
    </w:p>
    <w:p w14:paraId="59B04D7B">
      <w:pPr>
        <w:overflowPunct w:val="0"/>
        <w:snapToGrid w:val="0"/>
        <w:spacing w:line="420" w:lineRule="exact"/>
        <w:ind w:firstLine="442" w:firstLineChars="200"/>
        <w:outlineLvl w:val="3"/>
        <w:rPr>
          <w:rFonts w:ascii="宋体" w:hAnsi="宋体" w:cs="黑体"/>
          <w:b/>
          <w:szCs w:val="21"/>
        </w:rPr>
      </w:pPr>
      <w:bookmarkStart w:id="44" w:name="_Toc24841"/>
      <w:r>
        <w:rPr>
          <w:rFonts w:hint="eastAsia" w:ascii="宋体" w:hAnsi="宋体" w:cs="黑体"/>
          <w:b/>
          <w:szCs w:val="21"/>
        </w:rPr>
        <w:t>4、日常工作要求</w:t>
      </w:r>
      <w:bookmarkEnd w:id="44"/>
    </w:p>
    <w:p w14:paraId="57FCB93A">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（1）路面上的口香糖等粘性物体应及时清理干净。</w:t>
      </w:r>
    </w:p>
    <w:p w14:paraId="20AF5B25">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（2）垃圾桶、果皮箱垃圾袋里的垃圾不得超过三分之二，每天至少清理1次并将垃圾集中收集至指定的垃圾中转站。</w:t>
      </w:r>
    </w:p>
    <w:p w14:paraId="77C1C989">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（3）绿化地每天巡回保洁，确保草坪、花园内无瓜果皮壳、枯叶、饮料盒、纸屑、碎石、塑料袋等杂物。</w:t>
      </w:r>
    </w:p>
    <w:p w14:paraId="387C9CF0">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4</w:t>
      </w:r>
      <w:r>
        <w:rPr>
          <w:rFonts w:hint="eastAsia" w:ascii="宋体" w:hAnsi="宋体" w:cs="黑体"/>
          <w:szCs w:val="21"/>
        </w:rPr>
        <w:t>）枯枝、落叶、泥土等垃圾经养护公司整理打包后，由保洁公司负责清理、处置，确保日产日清。</w:t>
      </w:r>
    </w:p>
    <w:p w14:paraId="32DDD013">
      <w:pPr>
        <w:overflowPunct w:val="0"/>
        <w:adjustRightInd w:val="0"/>
        <w:snapToGrid w:val="0"/>
        <w:spacing w:line="420" w:lineRule="exact"/>
        <w:ind w:firstLine="440" w:firstLineChars="200"/>
        <w:textAlignment w:val="bottom"/>
        <w:rPr>
          <w:rFonts w:ascii="宋体" w:hAnsi="宋体"/>
          <w:szCs w:val="22"/>
        </w:rPr>
      </w:pPr>
      <w:r>
        <w:rPr>
          <w:rFonts w:hint="eastAsia" w:ascii="宋体" w:hAnsi="宋体" w:cs="黑体"/>
          <w:szCs w:val="21"/>
        </w:rPr>
        <w:t>（</w:t>
      </w:r>
      <w:r>
        <w:rPr>
          <w:rFonts w:ascii="宋体" w:hAnsi="宋体" w:cs="黑体"/>
          <w:szCs w:val="21"/>
        </w:rPr>
        <w:t>5</w:t>
      </w:r>
      <w:r>
        <w:rPr>
          <w:rFonts w:hint="eastAsia" w:ascii="宋体" w:hAnsi="宋体" w:cs="黑体"/>
          <w:szCs w:val="21"/>
        </w:rPr>
        <w:t>）园区内喷泉的水体及设施，每2个月清洗次数不少于1次。</w:t>
      </w:r>
    </w:p>
    <w:p w14:paraId="351CE066">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6</w:t>
      </w:r>
      <w:r>
        <w:rPr>
          <w:rFonts w:hint="eastAsia" w:ascii="宋体" w:hAnsi="宋体" w:cs="黑体"/>
          <w:szCs w:val="21"/>
        </w:rPr>
        <w:t>）人工附属设施设备、体育健身区域器材设施每周擦洗1次。</w:t>
      </w:r>
    </w:p>
    <w:p w14:paraId="6D5C1BB6">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7</w:t>
      </w:r>
      <w:r>
        <w:rPr>
          <w:rFonts w:hint="eastAsia" w:ascii="宋体" w:hAnsi="宋体" w:cs="黑体"/>
          <w:szCs w:val="21"/>
        </w:rPr>
        <w:t>）人工河保洁每天不得少于2次，打捞人员必须穿戴救身衣、</w:t>
      </w:r>
      <w:r>
        <w:rPr>
          <w:rFonts w:ascii="宋体" w:hAnsi="宋体" w:cs="黑体"/>
          <w:szCs w:val="21"/>
        </w:rPr>
        <w:t>会游泳、习水性。</w:t>
      </w:r>
    </w:p>
    <w:p w14:paraId="2C4C04E5">
      <w:pPr>
        <w:overflowPunct w:val="0"/>
        <w:adjustRightInd w:val="0"/>
        <w:snapToGrid w:val="0"/>
        <w:spacing w:line="420" w:lineRule="exact"/>
        <w:ind w:firstLine="552" w:firstLineChars="250"/>
        <w:textAlignment w:val="bottom"/>
        <w:rPr>
          <w:rFonts w:ascii="宋体" w:hAnsi="宋体" w:cs="黑体"/>
          <w:b/>
          <w:szCs w:val="21"/>
        </w:rPr>
      </w:pPr>
      <w:bookmarkStart w:id="45" w:name="_Toc10625"/>
      <w:r>
        <w:rPr>
          <w:rFonts w:hint="eastAsia" w:ascii="宋体" w:hAnsi="宋体" w:cs="黑体"/>
          <w:b/>
          <w:szCs w:val="21"/>
        </w:rPr>
        <w:t>5、应急要求</w:t>
      </w:r>
      <w:bookmarkEnd w:id="45"/>
    </w:p>
    <w:p w14:paraId="72D30A14">
      <w:pPr>
        <w:overflowPunct w:val="0"/>
        <w:adjustRightInd w:val="0"/>
        <w:snapToGrid w:val="0"/>
        <w:spacing w:line="420" w:lineRule="exact"/>
        <w:ind w:firstLine="550" w:firstLineChars="250"/>
        <w:textAlignment w:val="bottom"/>
        <w:rPr>
          <w:rFonts w:ascii="宋体" w:hAnsi="宋体" w:cs="黑体"/>
          <w:szCs w:val="21"/>
        </w:rPr>
      </w:pPr>
      <w:r>
        <w:rPr>
          <w:rFonts w:hint="eastAsia" w:ascii="宋体" w:hAnsi="宋体" w:cs="黑体"/>
          <w:szCs w:val="21"/>
        </w:rPr>
        <w:t>公园、广场及公共绿地内遇到可疑人员须及时汇报行业主管部门。</w:t>
      </w:r>
    </w:p>
    <w:p w14:paraId="6A5BC33C">
      <w:pPr>
        <w:adjustRightInd w:val="0"/>
        <w:snapToGrid w:val="0"/>
        <w:spacing w:before="156" w:beforeLines="50" w:after="156" w:afterLines="50" w:line="420" w:lineRule="exact"/>
        <w:rPr>
          <w:rFonts w:ascii="宋体" w:hAnsi="宋体" w:cs="Arial"/>
          <w:b/>
          <w:bCs/>
        </w:rPr>
      </w:pPr>
      <w:bookmarkStart w:id="46" w:name="_Toc16230"/>
      <w:bookmarkStart w:id="47" w:name="_Toc64913333"/>
      <w:bookmarkStart w:id="48" w:name="_Toc2463"/>
      <w:bookmarkStart w:id="49" w:name="_Toc64901749"/>
      <w:bookmarkStart w:id="50" w:name="_Toc16004"/>
      <w:r>
        <w:rPr>
          <w:rFonts w:hint="eastAsia" w:ascii="宋体" w:hAnsi="宋体" w:cs="Arial"/>
          <w:b/>
          <w:bCs/>
        </w:rPr>
        <w:t>（三）市政设施保洁要求</w:t>
      </w:r>
      <w:bookmarkEnd w:id="46"/>
      <w:bookmarkEnd w:id="47"/>
      <w:bookmarkEnd w:id="48"/>
      <w:bookmarkEnd w:id="49"/>
      <w:bookmarkEnd w:id="50"/>
    </w:p>
    <w:p w14:paraId="507E9F29">
      <w:pPr>
        <w:overflowPunct w:val="0"/>
        <w:snapToGrid w:val="0"/>
        <w:spacing w:line="420" w:lineRule="exact"/>
        <w:ind w:firstLine="442" w:firstLineChars="200"/>
        <w:outlineLvl w:val="3"/>
        <w:rPr>
          <w:rFonts w:ascii="宋体" w:hAnsi="宋体" w:cs="黑体"/>
          <w:b/>
          <w:szCs w:val="21"/>
        </w:rPr>
      </w:pPr>
      <w:bookmarkStart w:id="51" w:name="_Toc22311"/>
      <w:r>
        <w:rPr>
          <w:rFonts w:hint="eastAsia" w:ascii="宋体" w:hAnsi="宋体" w:cs="黑体"/>
          <w:b/>
          <w:szCs w:val="21"/>
        </w:rPr>
        <w:t>1、市政设施保洁范围</w:t>
      </w:r>
      <w:bookmarkEnd w:id="51"/>
    </w:p>
    <w:p w14:paraId="1E85E76F">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含道路（含公路、桥梁）护栏、隔离栏、电杆、监控杆、弱电设施等一切公共室外市政设施，</w:t>
      </w:r>
      <w:r>
        <w:rPr>
          <w:rFonts w:hint="eastAsia" w:ascii="宋体" w:hAnsi="宋体"/>
          <w:b/>
          <w:szCs w:val="22"/>
        </w:rPr>
        <w:t>含小广告清洗</w:t>
      </w:r>
      <w:r>
        <w:rPr>
          <w:rFonts w:hint="eastAsia" w:ascii="宋体" w:hAnsi="宋体" w:cs="黑体"/>
          <w:szCs w:val="21"/>
        </w:rPr>
        <w:t>。</w:t>
      </w:r>
    </w:p>
    <w:p w14:paraId="7D5C8AE6">
      <w:pPr>
        <w:overflowPunct w:val="0"/>
        <w:snapToGrid w:val="0"/>
        <w:spacing w:line="420" w:lineRule="exact"/>
        <w:ind w:firstLine="442" w:firstLineChars="200"/>
        <w:outlineLvl w:val="3"/>
        <w:rPr>
          <w:rFonts w:ascii="宋体" w:hAnsi="宋体" w:cs="黑体"/>
          <w:b/>
          <w:szCs w:val="21"/>
        </w:rPr>
      </w:pPr>
      <w:bookmarkStart w:id="52" w:name="_Toc23914"/>
      <w:r>
        <w:rPr>
          <w:rFonts w:hint="eastAsia" w:ascii="宋体" w:hAnsi="宋体" w:cs="黑体"/>
          <w:b/>
          <w:szCs w:val="21"/>
        </w:rPr>
        <w:t>2、市政设施保洁质量要求</w:t>
      </w:r>
      <w:bookmarkEnd w:id="52"/>
    </w:p>
    <w:p w14:paraId="3D988236">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（1）护栏、隔离栏清洗必须达到目测无污痕，擦拭无污垢。</w:t>
      </w:r>
    </w:p>
    <w:p w14:paraId="5D71E472">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（2）市政设施表面无积尘，干净整洁。</w:t>
      </w:r>
    </w:p>
    <w:p w14:paraId="6EDB8040">
      <w:pPr>
        <w:overflowPunct w:val="0"/>
        <w:snapToGrid w:val="0"/>
        <w:spacing w:line="420" w:lineRule="exact"/>
        <w:ind w:firstLine="442" w:firstLineChars="200"/>
        <w:outlineLvl w:val="3"/>
        <w:rPr>
          <w:rFonts w:ascii="宋体" w:hAnsi="宋体" w:cs="黑体"/>
          <w:b/>
          <w:szCs w:val="21"/>
        </w:rPr>
      </w:pPr>
      <w:bookmarkStart w:id="53" w:name="_Toc5262"/>
      <w:bookmarkStart w:id="54" w:name="_Toc10538"/>
      <w:bookmarkStart w:id="55" w:name="_Toc26346"/>
      <w:r>
        <w:rPr>
          <w:rFonts w:hint="eastAsia" w:ascii="宋体" w:hAnsi="宋体" w:cs="黑体"/>
          <w:b/>
          <w:szCs w:val="21"/>
        </w:rPr>
        <w:t>3、市政设施保洁作业要求</w:t>
      </w:r>
      <w:bookmarkEnd w:id="53"/>
      <w:bookmarkEnd w:id="54"/>
      <w:bookmarkEnd w:id="55"/>
    </w:p>
    <w:p w14:paraId="6E7FF543">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（1）护栏、隔离栏每周清洗不少于1次，清洗保洁作业时间尽量错开交通高峰期，遇重大活动、节假日，护栏、隔离栏要随时保持清洁。</w:t>
      </w:r>
    </w:p>
    <w:p w14:paraId="1A6829C5">
      <w:pPr>
        <w:autoSpaceDE w:val="0"/>
        <w:autoSpaceDN w:val="0"/>
        <w:adjustRightInd w:val="0"/>
        <w:spacing w:line="420" w:lineRule="exact"/>
        <w:ind w:firstLine="440" w:firstLineChars="200"/>
        <w:jc w:val="left"/>
        <w:rPr>
          <w:rFonts w:ascii="宋体" w:hAnsi="宋体"/>
          <w:b/>
          <w:szCs w:val="22"/>
        </w:rPr>
      </w:pPr>
      <w:r>
        <w:rPr>
          <w:rFonts w:hint="eastAsia" w:ascii="宋体" w:hAnsi="宋体" w:cs="黑体"/>
          <w:szCs w:val="21"/>
        </w:rPr>
        <w:t>（2）电杆、监控杆、弱电设施等一切公共室外市政设施每周按规范清洁不得少于</w:t>
      </w:r>
      <w:r>
        <w:rPr>
          <w:rFonts w:ascii="宋体" w:hAnsi="宋体" w:cs="黑体"/>
          <w:szCs w:val="21"/>
        </w:rPr>
        <w:t>1</w:t>
      </w:r>
      <w:r>
        <w:rPr>
          <w:rFonts w:hint="eastAsia" w:ascii="宋体" w:hAnsi="宋体" w:cs="黑体"/>
          <w:szCs w:val="21"/>
        </w:rPr>
        <w:t>次。电杆、监控杆高于2米的市政设施，只需负责2米以下部分擦洗及保洁。</w:t>
      </w:r>
    </w:p>
    <w:p w14:paraId="2C56CF83">
      <w:pPr>
        <w:adjustRightInd w:val="0"/>
        <w:snapToGrid w:val="0"/>
        <w:spacing w:before="156" w:beforeLines="50" w:after="156" w:afterLines="50" w:line="420" w:lineRule="exact"/>
        <w:rPr>
          <w:rFonts w:ascii="宋体" w:hAnsi="宋体" w:cs="Arial"/>
          <w:b/>
          <w:bCs/>
        </w:rPr>
      </w:pPr>
      <w:bookmarkStart w:id="56" w:name="_Toc64913334"/>
      <w:bookmarkStart w:id="57" w:name="_Toc7946"/>
      <w:bookmarkStart w:id="58" w:name="_Toc64901750"/>
      <w:bookmarkStart w:id="59" w:name="_Toc27258"/>
      <w:bookmarkStart w:id="60" w:name="_Toc8717"/>
      <w:r>
        <w:rPr>
          <w:rFonts w:hint="eastAsia" w:ascii="宋体" w:hAnsi="宋体" w:cs="Arial"/>
          <w:b/>
          <w:bCs/>
        </w:rPr>
        <w:t>（四）城市家具保洁要求</w:t>
      </w:r>
      <w:bookmarkEnd w:id="56"/>
      <w:bookmarkEnd w:id="57"/>
      <w:bookmarkEnd w:id="58"/>
      <w:bookmarkEnd w:id="59"/>
      <w:bookmarkEnd w:id="60"/>
    </w:p>
    <w:p w14:paraId="56F45E55">
      <w:pPr>
        <w:overflowPunct w:val="0"/>
        <w:snapToGrid w:val="0"/>
        <w:spacing w:line="420" w:lineRule="exact"/>
        <w:ind w:firstLine="442" w:firstLineChars="200"/>
        <w:outlineLvl w:val="3"/>
        <w:rPr>
          <w:rFonts w:ascii="宋体" w:hAnsi="宋体" w:cs="黑体"/>
          <w:b/>
          <w:szCs w:val="21"/>
        </w:rPr>
      </w:pPr>
      <w:bookmarkStart w:id="61" w:name="_Toc10572"/>
      <w:bookmarkStart w:id="62" w:name="_Toc28351"/>
      <w:bookmarkStart w:id="63" w:name="_Toc7586"/>
      <w:r>
        <w:rPr>
          <w:rFonts w:hint="eastAsia" w:ascii="宋体" w:hAnsi="宋体" w:cs="黑体"/>
          <w:b/>
          <w:szCs w:val="21"/>
        </w:rPr>
        <w:t>1、城市家具保洁范围</w:t>
      </w:r>
      <w:bookmarkEnd w:id="61"/>
      <w:bookmarkEnd w:id="62"/>
      <w:bookmarkEnd w:id="63"/>
    </w:p>
    <w:p w14:paraId="3C8E60B4">
      <w:pPr>
        <w:overflowPunct w:val="0"/>
        <w:adjustRightInd w:val="0"/>
        <w:snapToGrid w:val="0"/>
        <w:spacing w:line="420" w:lineRule="exact"/>
        <w:ind w:firstLine="550" w:firstLineChars="250"/>
        <w:textAlignment w:val="bottom"/>
        <w:rPr>
          <w:rFonts w:ascii="宋体" w:hAnsi="宋体" w:cs="黑体"/>
          <w:szCs w:val="21"/>
          <w:highlight w:val="none"/>
        </w:rPr>
      </w:pPr>
      <w:r>
        <w:rPr>
          <w:rFonts w:hint="eastAsia" w:ascii="宋体" w:hAnsi="宋体" w:cs="黑体"/>
          <w:szCs w:val="21"/>
          <w:highlight w:val="none"/>
        </w:rPr>
        <w:t>含环卫设施（果壳箱、垃圾桶、垃圾房、垃圾坞）、公交站台、站牌、灯箱、广告牌、报刊（信息）亭、电话亭、邮政信箱、固定室外座椅、环卫工人爱心驿站等一切城市家具</w:t>
      </w:r>
      <w:r>
        <w:rPr>
          <w:rFonts w:hint="eastAsia" w:ascii="宋体" w:hAnsi="宋体" w:cs="黑体"/>
          <w:szCs w:val="21"/>
          <w:highlight w:val="none"/>
          <w:lang w:val="en-US" w:eastAsia="zh-CN"/>
        </w:rPr>
        <w:t>且</w:t>
      </w:r>
      <w:r>
        <w:rPr>
          <w:rFonts w:hint="eastAsia" w:ascii="宋体" w:hAnsi="宋体" w:cs="黑体"/>
          <w:b/>
          <w:bCs/>
          <w:szCs w:val="21"/>
          <w:highlight w:val="none"/>
          <w:lang w:val="en-US" w:eastAsia="zh-CN"/>
        </w:rPr>
        <w:t>包</w:t>
      </w:r>
      <w:r>
        <w:rPr>
          <w:rFonts w:hint="eastAsia" w:ascii="宋体" w:hAnsi="宋体"/>
          <w:b/>
          <w:bCs/>
          <w:szCs w:val="22"/>
          <w:highlight w:val="none"/>
        </w:rPr>
        <w:t>含</w:t>
      </w:r>
      <w:r>
        <w:rPr>
          <w:rFonts w:hint="eastAsia" w:ascii="宋体" w:hAnsi="宋体"/>
          <w:b/>
          <w:szCs w:val="22"/>
          <w:highlight w:val="none"/>
        </w:rPr>
        <w:t>小广告</w:t>
      </w:r>
      <w:r>
        <w:rPr>
          <w:rFonts w:hint="eastAsia" w:ascii="宋体" w:hAnsi="宋体"/>
          <w:b/>
          <w:szCs w:val="22"/>
          <w:highlight w:val="none"/>
          <w:lang w:val="en-US" w:eastAsia="zh-CN"/>
        </w:rPr>
        <w:t>及牛皮癣</w:t>
      </w:r>
      <w:r>
        <w:rPr>
          <w:rFonts w:hint="eastAsia" w:ascii="宋体" w:hAnsi="宋体"/>
          <w:b/>
          <w:szCs w:val="22"/>
          <w:highlight w:val="none"/>
        </w:rPr>
        <w:t>清洗</w:t>
      </w:r>
      <w:r>
        <w:rPr>
          <w:rFonts w:hint="eastAsia" w:ascii="宋体" w:hAnsi="宋体" w:cs="黑体"/>
          <w:szCs w:val="21"/>
          <w:highlight w:val="none"/>
        </w:rPr>
        <w:t>。</w:t>
      </w:r>
    </w:p>
    <w:p w14:paraId="6B730DEF">
      <w:pPr>
        <w:overflowPunct w:val="0"/>
        <w:snapToGrid w:val="0"/>
        <w:spacing w:line="420" w:lineRule="exact"/>
        <w:ind w:firstLine="442" w:firstLineChars="200"/>
        <w:outlineLvl w:val="3"/>
        <w:rPr>
          <w:rFonts w:ascii="宋体" w:hAnsi="宋体" w:cs="黑体"/>
          <w:b/>
          <w:szCs w:val="21"/>
          <w:highlight w:val="none"/>
        </w:rPr>
      </w:pPr>
      <w:bookmarkStart w:id="64" w:name="_Toc1553"/>
      <w:bookmarkStart w:id="65" w:name="_Toc111"/>
      <w:bookmarkStart w:id="66" w:name="_Toc16200"/>
      <w:r>
        <w:rPr>
          <w:rFonts w:hint="eastAsia" w:ascii="宋体" w:hAnsi="宋体" w:cs="黑体"/>
          <w:b/>
          <w:szCs w:val="21"/>
          <w:highlight w:val="none"/>
        </w:rPr>
        <w:t>2、城市家具保洁质量要求</w:t>
      </w:r>
      <w:bookmarkEnd w:id="64"/>
      <w:bookmarkEnd w:id="65"/>
      <w:bookmarkEnd w:id="66"/>
    </w:p>
    <w:p w14:paraId="22680965">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（1）环卫设施（果壳箱、垃圾桶、垃圾房、垃圾坞）内的垃圾应日产日清，不过夜，不溢满，保持外观整洁。</w:t>
      </w:r>
    </w:p>
    <w:p w14:paraId="3CD83932">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（2）果壳箱、垃圾桶放置整齐规范、无敞门、无破损、歪斜、油漆剥落（或严重褪色）现象。收集、清洗后要归位复原，桶盖</w:t>
      </w:r>
      <w:r>
        <w:rPr>
          <w:rFonts w:ascii="宋体" w:hAnsi="宋体" w:cs="黑体"/>
          <w:szCs w:val="21"/>
        </w:rPr>
        <w:t>(</w:t>
      </w:r>
      <w:r>
        <w:rPr>
          <w:rFonts w:hint="eastAsia" w:ascii="宋体" w:hAnsi="宋体" w:cs="黑体"/>
          <w:szCs w:val="21"/>
        </w:rPr>
        <w:t>箱门</w:t>
      </w:r>
      <w:r>
        <w:rPr>
          <w:rFonts w:ascii="宋体" w:hAnsi="宋体" w:cs="黑体"/>
          <w:szCs w:val="21"/>
        </w:rPr>
        <w:t>)</w:t>
      </w:r>
      <w:r>
        <w:rPr>
          <w:rFonts w:hint="eastAsia" w:ascii="宋体" w:hAnsi="宋体" w:cs="黑体"/>
          <w:szCs w:val="21"/>
        </w:rPr>
        <w:t>及时盖上（关闭），做到车走地净。</w:t>
      </w:r>
    </w:p>
    <w:p w14:paraId="71171365">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（3）每日巡查时检查垃圾桶、果壳箱、垃圾坞等垃圾分类的标识，如出现模糊或掉落等情况的，中标供应商须将标识修复。</w:t>
      </w:r>
    </w:p>
    <w:p w14:paraId="2C1846B0">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szCs w:val="21"/>
        </w:rPr>
        <w:t>（</w:t>
      </w:r>
      <w:r>
        <w:rPr>
          <w:rFonts w:ascii="宋体"/>
          <w:szCs w:val="21"/>
        </w:rPr>
        <w:t>4</w:t>
      </w:r>
      <w:r>
        <w:rPr>
          <w:rFonts w:hint="eastAsia" w:ascii="宋体"/>
          <w:szCs w:val="21"/>
        </w:rPr>
        <w:t>）</w:t>
      </w:r>
      <w:r>
        <w:rPr>
          <w:rFonts w:hint="eastAsia" w:ascii="宋体" w:hAnsi="宋体" w:cs="黑体"/>
          <w:szCs w:val="21"/>
        </w:rPr>
        <w:t>作业时间内禁止环卫工人在果壳箱、垃圾桶内翻捡废品。</w:t>
      </w:r>
    </w:p>
    <w:p w14:paraId="684519F4">
      <w:pPr>
        <w:overflowPunct w:val="0"/>
        <w:adjustRightInd w:val="0"/>
        <w:snapToGrid w:val="0"/>
        <w:spacing w:line="420" w:lineRule="exact"/>
        <w:ind w:firstLine="440" w:firstLineChars="200"/>
        <w:textAlignment w:val="bottom"/>
        <w:rPr>
          <w:rFonts w:ascii="宋体" w:hAnsi="宋体"/>
          <w:szCs w:val="21"/>
        </w:rPr>
      </w:pPr>
      <w:r>
        <w:rPr>
          <w:rFonts w:hint="eastAsia" w:ascii="宋体" w:hAnsi="宋体" w:cs="黑体"/>
          <w:szCs w:val="21"/>
        </w:rPr>
        <w:t>（</w:t>
      </w:r>
      <w:r>
        <w:rPr>
          <w:rFonts w:ascii="宋体" w:hAnsi="宋体" w:cs="黑体"/>
          <w:szCs w:val="21"/>
        </w:rPr>
        <w:t>5</w:t>
      </w:r>
      <w:r>
        <w:rPr>
          <w:rFonts w:hint="eastAsia" w:ascii="宋体" w:hAnsi="宋体" w:cs="黑体"/>
          <w:szCs w:val="21"/>
        </w:rPr>
        <w:t>）</w:t>
      </w:r>
      <w:r>
        <w:rPr>
          <w:rFonts w:hint="eastAsia" w:ascii="宋体" w:hAnsi="宋体" w:cs="宋体"/>
          <w:szCs w:val="21"/>
        </w:rPr>
        <w:t>配备相应的操作工具、材料及专职工作人员，确保城市家具表面无积尘，干净整洁</w:t>
      </w:r>
      <w:r>
        <w:rPr>
          <w:rFonts w:hint="eastAsia" w:ascii="宋体" w:hAnsi="宋体"/>
          <w:szCs w:val="21"/>
        </w:rPr>
        <w:t>。</w:t>
      </w:r>
    </w:p>
    <w:p w14:paraId="34530852">
      <w:pPr>
        <w:overflowPunct w:val="0"/>
        <w:adjustRightInd w:val="0"/>
        <w:snapToGrid w:val="0"/>
        <w:spacing w:line="420" w:lineRule="exact"/>
        <w:ind w:firstLine="440" w:firstLineChars="200"/>
        <w:textAlignment w:val="bottom"/>
        <w:rPr>
          <w:rFonts w:hint="eastAsia" w:ascii="宋体" w:hAnsi="宋体"/>
          <w:szCs w:val="22"/>
        </w:rPr>
      </w:pPr>
      <w:r>
        <w:rPr>
          <w:rFonts w:hint="eastAsia" w:ascii="宋体" w:hAnsi="宋体"/>
          <w:szCs w:val="21"/>
        </w:rPr>
        <w:t>（6）</w:t>
      </w:r>
      <w:r>
        <w:rPr>
          <w:rFonts w:hint="eastAsia" w:ascii="宋体" w:hAnsi="宋体"/>
          <w:szCs w:val="22"/>
        </w:rPr>
        <w:t>对制成品类基底表面，采用清洗剂清洗，清洗后不留残余，不产生划痕，不损坏立面。对非成品类基底（包括渗透性基底）表面，清洗后要根据基底的不同颜色，运用调色法进行同色覆盖，色泽与周边保持基本一致。</w:t>
      </w:r>
      <w:bookmarkStart w:id="67" w:name="_Toc11409"/>
      <w:bookmarkStart w:id="68" w:name="_Toc21692"/>
      <w:bookmarkStart w:id="69" w:name="_Toc10044"/>
    </w:p>
    <w:p w14:paraId="31031AA5">
      <w:pPr>
        <w:autoSpaceDE w:val="0"/>
        <w:autoSpaceDN w:val="0"/>
        <w:adjustRightInd w:val="0"/>
        <w:spacing w:line="460" w:lineRule="exact"/>
        <w:ind w:firstLine="440" w:firstLineChars="200"/>
        <w:jc w:val="left"/>
        <w:rPr>
          <w:rFonts w:ascii="宋体"/>
          <w:szCs w:val="22"/>
        </w:rPr>
      </w:pPr>
      <w:r>
        <w:rPr>
          <w:rFonts w:hint="eastAsia" w:ascii="宋体"/>
          <w:szCs w:val="21"/>
          <w:highlight w:val="none"/>
        </w:rPr>
        <w:t>（</w:t>
      </w:r>
      <w:r>
        <w:rPr>
          <w:rFonts w:hint="eastAsia" w:ascii="宋体"/>
          <w:szCs w:val="21"/>
          <w:highlight w:val="none"/>
          <w:lang w:val="en-US" w:eastAsia="zh-CN"/>
        </w:rPr>
        <w:t>7</w:t>
      </w:r>
      <w:r>
        <w:rPr>
          <w:rFonts w:hint="eastAsia" w:ascii="宋体"/>
          <w:szCs w:val="21"/>
          <w:highlight w:val="none"/>
        </w:rPr>
        <w:t>）</w:t>
      </w:r>
      <w:r>
        <w:rPr>
          <w:rFonts w:hint="eastAsia" w:ascii="宋体"/>
          <w:szCs w:val="22"/>
          <w:highlight w:val="none"/>
        </w:rPr>
        <w:t>对非</w:t>
      </w:r>
      <w:r>
        <w:rPr>
          <w:rFonts w:hint="eastAsia" w:ascii="宋体"/>
          <w:szCs w:val="22"/>
        </w:rPr>
        <w:t>成品类基底（包括渗透性基底）表面，清洗后要据基底的不同颜色，运用调色法，进行同色覆盖，色泽与周边基本顺应。</w:t>
      </w:r>
    </w:p>
    <w:p w14:paraId="138F0CF4">
      <w:pPr>
        <w:autoSpaceDE w:val="0"/>
        <w:autoSpaceDN w:val="0"/>
        <w:adjustRightInd w:val="0"/>
        <w:spacing w:line="460" w:lineRule="exact"/>
        <w:ind w:firstLine="440" w:firstLineChars="200"/>
        <w:jc w:val="left"/>
        <w:rPr>
          <w:rFonts w:ascii="宋体"/>
          <w:szCs w:val="22"/>
        </w:rPr>
      </w:pPr>
      <w:r>
        <w:rPr>
          <w:rFonts w:hint="eastAsia" w:ascii="宋体"/>
          <w:szCs w:val="22"/>
        </w:rPr>
        <w:t>（</w:t>
      </w:r>
      <w:r>
        <w:rPr>
          <w:rFonts w:hint="eastAsia" w:ascii="宋体"/>
          <w:szCs w:val="22"/>
          <w:lang w:val="en-US" w:eastAsia="zh-CN"/>
        </w:rPr>
        <w:t>8</w:t>
      </w:r>
      <w:r>
        <w:rPr>
          <w:rFonts w:hint="eastAsia" w:ascii="宋体"/>
          <w:szCs w:val="22"/>
        </w:rPr>
        <w:t xml:space="preserve">）服务期间，及时做好清理工作，如遇市民投诉应在接到采购人通知后及时完成清除，清除产生的废弃物及时清理，不得随地散落。 </w:t>
      </w:r>
    </w:p>
    <w:p w14:paraId="29AC8822">
      <w:pPr>
        <w:autoSpaceDE w:val="0"/>
        <w:autoSpaceDN w:val="0"/>
        <w:adjustRightInd w:val="0"/>
        <w:spacing w:line="460" w:lineRule="exact"/>
        <w:ind w:firstLine="440" w:firstLineChars="200"/>
        <w:jc w:val="left"/>
        <w:rPr>
          <w:rFonts w:hint="eastAsia" w:ascii="宋体" w:hAnsi="宋体"/>
          <w:szCs w:val="22"/>
          <w:highlight w:val="yellow"/>
        </w:rPr>
      </w:pPr>
      <w:r>
        <w:rPr>
          <w:rFonts w:hint="eastAsia" w:ascii="宋体"/>
          <w:szCs w:val="22"/>
        </w:rPr>
        <w:t>（</w:t>
      </w:r>
      <w:r>
        <w:rPr>
          <w:rFonts w:hint="eastAsia" w:ascii="宋体"/>
          <w:szCs w:val="22"/>
          <w:lang w:val="en-US" w:eastAsia="zh-CN"/>
        </w:rPr>
        <w:t>9</w:t>
      </w:r>
      <w:r>
        <w:rPr>
          <w:rFonts w:hint="eastAsia" w:ascii="宋体"/>
          <w:szCs w:val="22"/>
        </w:rPr>
        <w:t xml:space="preserve">）在清理过程中使原建筑物、构筑物损坏的应由专业的人员进行修补或同等质量产品置换。 </w:t>
      </w:r>
    </w:p>
    <w:p w14:paraId="3109CFF5">
      <w:pPr>
        <w:overflowPunct w:val="0"/>
        <w:snapToGrid w:val="0"/>
        <w:spacing w:line="420" w:lineRule="exact"/>
        <w:ind w:firstLine="442" w:firstLineChars="200"/>
        <w:outlineLvl w:val="3"/>
        <w:rPr>
          <w:rFonts w:ascii="宋体" w:hAnsi="宋体" w:cs="黑体"/>
          <w:b/>
          <w:szCs w:val="21"/>
        </w:rPr>
      </w:pPr>
      <w:r>
        <w:rPr>
          <w:rFonts w:hint="eastAsia" w:ascii="宋体" w:hAnsi="宋体" w:cs="黑体"/>
          <w:b/>
          <w:szCs w:val="21"/>
        </w:rPr>
        <w:t>3、城市家具保洁作业设备要求</w:t>
      </w:r>
    </w:p>
    <w:p w14:paraId="4965B772">
      <w:pPr>
        <w:overflowPunct w:val="0"/>
        <w:adjustRightInd w:val="0"/>
        <w:snapToGrid w:val="0"/>
        <w:spacing w:line="420" w:lineRule="exact"/>
        <w:ind w:firstLine="440" w:firstLineChars="200"/>
        <w:textAlignment w:val="bottom"/>
        <w:rPr>
          <w:rFonts w:ascii="宋体" w:hAnsi="宋体"/>
          <w:szCs w:val="22"/>
        </w:rPr>
      </w:pPr>
      <w:r>
        <w:rPr>
          <w:rFonts w:hint="eastAsia" w:ascii="宋体" w:hAnsi="宋体"/>
          <w:szCs w:val="22"/>
        </w:rPr>
        <w:t>保洁设备机具配置种类应完备，适用于不同类别城市家具的保洁工况及工序要求，包含但不限于以下要求：</w:t>
      </w:r>
      <w:r>
        <w:rPr>
          <w:rFonts w:hint="eastAsia" w:ascii="宋体" w:hAnsi="宋体"/>
          <w:szCs w:val="22"/>
          <w:lang w:val="en-US" w:eastAsia="zh-CN"/>
        </w:rPr>
        <w:t>垃圾桶清洗车</w:t>
      </w:r>
      <w:r>
        <w:rPr>
          <w:rFonts w:hint="eastAsia" w:ascii="宋体" w:hAnsi="宋体"/>
          <w:szCs w:val="22"/>
        </w:rPr>
        <w:t>、水桶、扫把、捡拾器、簸箕、伸缩刷（钩）、铲子、抹布、喷壶等工具，能够满足捡拾、清扫、擦拭、清理等作业要求。</w:t>
      </w:r>
    </w:p>
    <w:p w14:paraId="7B6658AA">
      <w:pPr>
        <w:overflowPunct w:val="0"/>
        <w:snapToGrid w:val="0"/>
        <w:spacing w:line="420" w:lineRule="exact"/>
        <w:ind w:firstLine="442" w:firstLineChars="200"/>
        <w:outlineLvl w:val="3"/>
        <w:rPr>
          <w:rFonts w:ascii="宋体" w:hAnsi="宋体" w:cs="黑体"/>
          <w:b/>
          <w:szCs w:val="21"/>
        </w:rPr>
      </w:pPr>
      <w:r>
        <w:rPr>
          <w:rFonts w:hint="eastAsia" w:ascii="宋体" w:hAnsi="宋体" w:cs="黑体"/>
          <w:b/>
          <w:szCs w:val="21"/>
        </w:rPr>
        <w:t>4、城市家具保洁作业要求</w:t>
      </w:r>
      <w:bookmarkEnd w:id="67"/>
      <w:bookmarkEnd w:id="68"/>
      <w:bookmarkEnd w:id="69"/>
    </w:p>
    <w:p w14:paraId="4943CFAB">
      <w:pPr>
        <w:overflowPunct w:val="0"/>
        <w:adjustRightInd w:val="0"/>
        <w:snapToGrid w:val="0"/>
        <w:spacing w:line="420" w:lineRule="exact"/>
        <w:ind w:firstLine="440" w:firstLineChars="200"/>
        <w:textAlignment w:val="bottom"/>
        <w:rPr>
          <w:rFonts w:ascii="宋体"/>
          <w:szCs w:val="21"/>
        </w:rPr>
      </w:pPr>
      <w:r>
        <w:rPr>
          <w:rFonts w:hint="eastAsia" w:ascii="宋体" w:hAnsi="宋体" w:cs="黑体"/>
          <w:szCs w:val="21"/>
        </w:rPr>
        <w:t>（1）需在垃圾清运后清洗环卫设施箱体1次（含内壁冲洗），环卫设施及周边路面每天清洗不少于</w:t>
      </w:r>
      <w:r>
        <w:rPr>
          <w:rFonts w:ascii="宋体" w:hAnsi="宋体" w:cs="黑体"/>
          <w:szCs w:val="21"/>
        </w:rPr>
        <w:t>2</w:t>
      </w:r>
      <w:r>
        <w:rPr>
          <w:rFonts w:hint="eastAsia" w:ascii="宋体" w:hAnsi="宋体" w:cs="黑体"/>
          <w:szCs w:val="21"/>
        </w:rPr>
        <w:t>次，并确保周围地面无暴露垃圾、污水。</w:t>
      </w:r>
    </w:p>
    <w:p w14:paraId="060437E9">
      <w:pPr>
        <w:overflowPunct w:val="0"/>
        <w:adjustRightInd w:val="0"/>
        <w:snapToGrid w:val="0"/>
        <w:spacing w:line="420" w:lineRule="exact"/>
        <w:ind w:firstLine="440" w:firstLineChars="200"/>
        <w:textAlignment w:val="bottom"/>
        <w:rPr>
          <w:rFonts w:ascii="宋体"/>
          <w:szCs w:val="21"/>
        </w:rPr>
      </w:pPr>
      <w:r>
        <w:rPr>
          <w:rFonts w:hint="eastAsia" w:ascii="宋体" w:hAnsi="宋体" w:cs="黑体"/>
          <w:szCs w:val="21"/>
        </w:rPr>
        <w:t>（2）公交站台、站牌、果壳箱、灯箱、广告牌、报刊（信息）亭、电话亭、邮政信箱、固定室外座椅、环卫工人爱心驿站等城市家具，每两天清洁擦洗不得少于</w:t>
      </w:r>
      <w:r>
        <w:rPr>
          <w:rFonts w:ascii="宋体" w:hAnsi="宋体" w:cs="黑体"/>
          <w:szCs w:val="21"/>
        </w:rPr>
        <w:t>1</w:t>
      </w:r>
      <w:r>
        <w:rPr>
          <w:rFonts w:hint="eastAsia" w:ascii="宋体" w:hAnsi="宋体" w:cs="黑体"/>
          <w:szCs w:val="21"/>
        </w:rPr>
        <w:t>次，公交站台座椅每天擦洗不少于</w:t>
      </w:r>
      <w:r>
        <w:rPr>
          <w:rFonts w:ascii="宋体" w:hAnsi="宋体" w:cs="黑体"/>
          <w:szCs w:val="21"/>
        </w:rPr>
        <w:t>2</w:t>
      </w:r>
      <w:r>
        <w:rPr>
          <w:rFonts w:hint="eastAsia" w:ascii="宋体" w:hAnsi="宋体" w:cs="黑体"/>
          <w:szCs w:val="21"/>
        </w:rPr>
        <w:t xml:space="preserve">次。 </w:t>
      </w:r>
    </w:p>
    <w:p w14:paraId="3C623753">
      <w:pPr>
        <w:overflowPunct w:val="0"/>
        <w:adjustRightInd w:val="0"/>
        <w:snapToGrid w:val="0"/>
        <w:spacing w:line="420" w:lineRule="exact"/>
        <w:ind w:firstLine="440" w:firstLineChars="200"/>
        <w:textAlignment w:val="bottom"/>
        <w:rPr>
          <w:rFonts w:ascii="宋体"/>
          <w:szCs w:val="21"/>
        </w:rPr>
      </w:pPr>
      <w:r>
        <w:rPr>
          <w:rFonts w:hint="eastAsia" w:ascii="宋体"/>
          <w:szCs w:val="21"/>
        </w:rPr>
        <w:t>（3）每日巡查时检查垃圾桶、果壳箱、垃圾坞等垃圾分类的标识，如出现模糊、掉落、错误等情况的，中标供应商须将标识修复或更换。</w:t>
      </w:r>
    </w:p>
    <w:p w14:paraId="5ADA6282">
      <w:pPr>
        <w:overflowPunct w:val="0"/>
        <w:snapToGrid w:val="0"/>
        <w:spacing w:line="420" w:lineRule="exact"/>
        <w:ind w:firstLine="442" w:firstLineChars="200"/>
        <w:outlineLvl w:val="3"/>
        <w:rPr>
          <w:rFonts w:ascii="宋体" w:hAnsi="宋体" w:cs="黑体"/>
          <w:b/>
          <w:szCs w:val="21"/>
          <w:highlight w:val="none"/>
        </w:rPr>
      </w:pPr>
      <w:bookmarkStart w:id="70" w:name="_Toc11900"/>
      <w:bookmarkStart w:id="71" w:name="_Toc26560"/>
      <w:bookmarkStart w:id="72" w:name="_Toc10854"/>
      <w:r>
        <w:rPr>
          <w:rFonts w:hint="eastAsia" w:ascii="宋体" w:hAnsi="宋体" w:cs="黑体"/>
          <w:b/>
          <w:szCs w:val="21"/>
          <w:highlight w:val="none"/>
        </w:rPr>
        <w:t>5、特殊要求</w:t>
      </w:r>
      <w:bookmarkEnd w:id="70"/>
      <w:bookmarkEnd w:id="71"/>
      <w:bookmarkEnd w:id="72"/>
    </w:p>
    <w:p w14:paraId="46FA2A78">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1</w:t>
      </w:r>
      <w:r>
        <w:rPr>
          <w:rFonts w:hint="eastAsia" w:ascii="宋体" w:hAnsi="宋体" w:cs="黑体"/>
          <w:szCs w:val="21"/>
        </w:rPr>
        <w:t>）合同履行期间，中标供应商负责垃圾桶、果壳箱的购买、保管与维护。</w:t>
      </w:r>
    </w:p>
    <w:p w14:paraId="16D317A9">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2</w:t>
      </w:r>
      <w:r>
        <w:rPr>
          <w:rFonts w:hint="eastAsia" w:ascii="宋体" w:hAnsi="宋体" w:cs="黑体"/>
          <w:szCs w:val="21"/>
        </w:rPr>
        <w:t>）合同履行期间，采购人投放的垃圾桶、果壳箱如有破损（含第三方人为破损）与丢失情况，由中标供应商向采购人报备并在12小时内按原样式、规格、质量标准、配置要求予以免费维修或更换补齐。中标供应商将垃圾桶设置清单台账报至采购人处备查。</w:t>
      </w:r>
    </w:p>
    <w:p w14:paraId="6D36539D">
      <w:pPr>
        <w:overflowPunct w:val="0"/>
        <w:adjustRightInd w:val="0"/>
        <w:snapToGrid w:val="0"/>
        <w:spacing w:line="420" w:lineRule="exact"/>
        <w:ind w:firstLine="440" w:firstLineChars="200"/>
        <w:textAlignment w:val="bottom"/>
        <w:rPr>
          <w:rFonts w:ascii="宋体" w:hAnsi="宋体" w:cs="黑体"/>
          <w:szCs w:val="21"/>
          <w:highlight w:val="none"/>
        </w:rPr>
      </w:pPr>
      <w:r>
        <w:rPr>
          <w:rFonts w:hint="eastAsia" w:ascii="宋体" w:hAnsi="宋体" w:cs="黑体"/>
          <w:szCs w:val="21"/>
        </w:rPr>
        <w:t>（4）合同履行到期，中标供应商须按原样式、规格、质量标准、数量，将垃圾桶、果壳箱按采购人投放数量补齐，并与采购人办理相关移交手续。否则采购人将从履约保证金中一次性扣回，</w:t>
      </w:r>
      <w:r>
        <w:rPr>
          <w:rFonts w:hint="eastAsia" w:ascii="宋体" w:hAnsi="宋体" w:cs="黑体"/>
          <w:szCs w:val="21"/>
          <w:highlight w:val="none"/>
        </w:rPr>
        <w:t>240L脚踏式塑料垃圾桶（含垃圾桶盖及轮子）按1</w:t>
      </w:r>
      <w:r>
        <w:rPr>
          <w:rFonts w:ascii="宋体" w:hAnsi="宋体" w:cs="黑体"/>
          <w:szCs w:val="21"/>
          <w:highlight w:val="none"/>
        </w:rPr>
        <w:t>2</w:t>
      </w:r>
      <w:r>
        <w:rPr>
          <w:rFonts w:hint="eastAsia" w:ascii="宋体" w:hAnsi="宋体" w:cs="黑体"/>
          <w:szCs w:val="21"/>
          <w:highlight w:val="none"/>
        </w:rPr>
        <w:t>0元/只扣回。</w:t>
      </w:r>
    </w:p>
    <w:p w14:paraId="28BB0644">
      <w:pPr>
        <w:overflowPunct w:val="0"/>
        <w:adjustRightInd w:val="0"/>
        <w:snapToGrid w:val="0"/>
        <w:spacing w:line="420" w:lineRule="exact"/>
        <w:ind w:firstLine="440" w:firstLineChars="200"/>
        <w:textAlignment w:val="bottom"/>
        <w:rPr>
          <w:rFonts w:ascii="宋体" w:hAnsi="宋体" w:cs="黑体"/>
          <w:szCs w:val="21"/>
          <w:highlight w:val="none"/>
        </w:rPr>
      </w:pPr>
      <w:r>
        <w:rPr>
          <w:rFonts w:hint="eastAsia" w:ascii="宋体" w:hAnsi="宋体" w:cs="黑体"/>
          <w:szCs w:val="21"/>
          <w:highlight w:val="none"/>
        </w:rPr>
        <w:t>（5）环卫工人爱心驿站按需配备管理人员。</w:t>
      </w:r>
    </w:p>
    <w:p w14:paraId="56F15393">
      <w:pPr>
        <w:overflowPunct w:val="0"/>
        <w:adjustRightInd w:val="0"/>
        <w:snapToGrid w:val="0"/>
        <w:spacing w:line="420" w:lineRule="exact"/>
        <w:ind w:firstLine="440" w:firstLineChars="200"/>
        <w:textAlignment w:val="bottom"/>
        <w:rPr>
          <w:rFonts w:ascii="宋体" w:hAnsi="宋体" w:cs="黑体"/>
          <w:szCs w:val="21"/>
        </w:rPr>
      </w:pPr>
      <w:r>
        <w:rPr>
          <w:rFonts w:hint="eastAsia" w:ascii="宋体" w:hAnsi="宋体" w:cs="黑体"/>
          <w:szCs w:val="21"/>
        </w:rPr>
        <w:t>（</w:t>
      </w:r>
      <w:r>
        <w:rPr>
          <w:rFonts w:ascii="宋体" w:hAnsi="宋体" w:cs="黑体"/>
          <w:szCs w:val="21"/>
        </w:rPr>
        <w:t>6</w:t>
      </w:r>
      <w:r>
        <w:rPr>
          <w:rFonts w:hint="eastAsia" w:ascii="宋体" w:hAnsi="宋体" w:cs="黑体"/>
          <w:szCs w:val="21"/>
        </w:rPr>
        <w:t>）在主干道上配合采购人主进行撤桶并点。</w:t>
      </w:r>
    </w:p>
    <w:p w14:paraId="5A582435">
      <w:pPr>
        <w:adjustRightInd w:val="0"/>
        <w:snapToGrid w:val="0"/>
        <w:spacing w:before="156" w:beforeLines="50" w:after="156" w:afterLines="50" w:line="420" w:lineRule="exact"/>
        <w:rPr>
          <w:rFonts w:ascii="宋体" w:hAnsi="宋体" w:cs="Arial"/>
          <w:b/>
          <w:bCs/>
        </w:rPr>
      </w:pPr>
      <w:bookmarkStart w:id="73" w:name="_Toc13719"/>
      <w:bookmarkStart w:id="74" w:name="_Toc5406"/>
      <w:bookmarkStart w:id="75" w:name="_Toc64901751"/>
      <w:bookmarkStart w:id="76" w:name="_Toc8462"/>
      <w:bookmarkStart w:id="77" w:name="_Toc64913335"/>
      <w:r>
        <w:rPr>
          <w:rFonts w:hint="eastAsia" w:ascii="宋体" w:hAnsi="宋体" w:cs="Arial"/>
          <w:b/>
          <w:bCs/>
        </w:rPr>
        <w:t>（五）公厕保洁要求</w:t>
      </w:r>
      <w:bookmarkEnd w:id="73"/>
      <w:bookmarkEnd w:id="74"/>
      <w:bookmarkEnd w:id="75"/>
      <w:bookmarkEnd w:id="76"/>
      <w:bookmarkEnd w:id="77"/>
    </w:p>
    <w:p w14:paraId="28107CAB">
      <w:pPr>
        <w:overflowPunct w:val="0"/>
        <w:snapToGrid w:val="0"/>
        <w:spacing w:line="420" w:lineRule="exact"/>
        <w:ind w:firstLine="442" w:firstLineChars="200"/>
        <w:outlineLvl w:val="3"/>
        <w:rPr>
          <w:rFonts w:ascii="宋体"/>
          <w:b/>
          <w:szCs w:val="21"/>
        </w:rPr>
      </w:pPr>
      <w:bookmarkStart w:id="78" w:name="_Toc3722"/>
      <w:bookmarkStart w:id="79" w:name="_Toc4019"/>
      <w:bookmarkStart w:id="80" w:name="_Toc25211"/>
      <w:r>
        <w:rPr>
          <w:rFonts w:hint="eastAsia" w:ascii="宋体"/>
          <w:b/>
          <w:szCs w:val="21"/>
        </w:rPr>
        <w:t>1、公厕保洁范围</w:t>
      </w:r>
      <w:bookmarkEnd w:id="78"/>
      <w:bookmarkEnd w:id="79"/>
      <w:bookmarkEnd w:id="80"/>
    </w:p>
    <w:p w14:paraId="4509D833">
      <w:pPr>
        <w:pStyle w:val="19"/>
        <w:overflowPunct w:val="0"/>
        <w:adjustRightInd w:val="0"/>
        <w:snapToGrid w:val="0"/>
        <w:spacing w:after="0" w:line="420" w:lineRule="exact"/>
        <w:ind w:left="0" w:leftChars="0" w:firstLine="550" w:firstLineChars="250"/>
        <w:rPr>
          <w:szCs w:val="21"/>
        </w:rPr>
      </w:pPr>
      <w:r>
        <w:rPr>
          <w:rFonts w:hint="eastAsia" w:ascii="宋体" w:hAnsi="宋体"/>
          <w:szCs w:val="21"/>
        </w:rPr>
        <w:t>保洁区域内公厕及公厕周边5米范围。</w:t>
      </w:r>
    </w:p>
    <w:p w14:paraId="374F7A3C">
      <w:pPr>
        <w:overflowPunct w:val="0"/>
        <w:snapToGrid w:val="0"/>
        <w:spacing w:line="420" w:lineRule="exact"/>
        <w:ind w:firstLine="442" w:firstLineChars="200"/>
        <w:outlineLvl w:val="3"/>
        <w:rPr>
          <w:rFonts w:ascii="宋体"/>
          <w:b/>
          <w:szCs w:val="21"/>
        </w:rPr>
      </w:pPr>
      <w:bookmarkStart w:id="81" w:name="_Toc19346"/>
      <w:bookmarkStart w:id="82" w:name="_Toc6076"/>
      <w:bookmarkStart w:id="83" w:name="_Toc30813"/>
      <w:r>
        <w:rPr>
          <w:rFonts w:hint="eastAsia" w:ascii="宋体"/>
          <w:b/>
          <w:szCs w:val="21"/>
        </w:rPr>
        <w:t>2、公厕保洁质量要求</w:t>
      </w:r>
      <w:bookmarkEnd w:id="81"/>
      <w:bookmarkEnd w:id="82"/>
      <w:bookmarkEnd w:id="83"/>
    </w:p>
    <w:p w14:paraId="35E807C7">
      <w:pPr>
        <w:overflowPunct w:val="0"/>
        <w:adjustRightInd w:val="0"/>
        <w:snapToGrid w:val="0"/>
        <w:spacing w:line="420" w:lineRule="exact"/>
        <w:ind w:firstLine="440" w:firstLineChars="200"/>
        <w:textAlignment w:val="bottom"/>
        <w:rPr>
          <w:rFonts w:ascii="宋体"/>
          <w:szCs w:val="21"/>
        </w:rPr>
      </w:pPr>
      <w:r>
        <w:rPr>
          <w:rFonts w:hint="eastAsia" w:ascii="宋体"/>
          <w:szCs w:val="21"/>
        </w:rPr>
        <w:t>（1）公厕保洁要达到“十净、六无、一整洁”标准：</w:t>
      </w:r>
    </w:p>
    <w:p w14:paraId="4EB90F92">
      <w:pPr>
        <w:overflowPunct w:val="0"/>
        <w:adjustRightInd w:val="0"/>
        <w:snapToGrid w:val="0"/>
        <w:spacing w:line="420" w:lineRule="exact"/>
        <w:ind w:firstLine="440" w:firstLineChars="200"/>
        <w:textAlignment w:val="bottom"/>
        <w:rPr>
          <w:rFonts w:ascii="宋体"/>
          <w:szCs w:val="21"/>
        </w:rPr>
      </w:pPr>
      <w:r>
        <w:rPr>
          <w:rFonts w:hint="eastAsia" w:ascii="宋体"/>
          <w:szCs w:val="21"/>
        </w:rPr>
        <w:t>1）十净：地面净、墙壁净、蹲台净、门窗净、隔板净、便池净、洁具净、灯具净、天花板净、周围环境净；</w:t>
      </w:r>
    </w:p>
    <w:p w14:paraId="48E3CB19">
      <w:pPr>
        <w:overflowPunct w:val="0"/>
        <w:adjustRightInd w:val="0"/>
        <w:snapToGrid w:val="0"/>
        <w:spacing w:line="420" w:lineRule="exact"/>
        <w:ind w:firstLine="440" w:firstLineChars="200"/>
        <w:textAlignment w:val="bottom"/>
        <w:rPr>
          <w:rFonts w:ascii="宋体"/>
          <w:szCs w:val="21"/>
        </w:rPr>
      </w:pPr>
      <w:r>
        <w:rPr>
          <w:rFonts w:hint="eastAsia" w:ascii="宋体"/>
          <w:szCs w:val="21"/>
        </w:rPr>
        <w:t>2）六无：蹲坑便槽无杂物，厕内外无乱涂写、乱张贴、乱堆乱放，定期消毒无蝇蛆，厕内无明显臭味，上水通畅、下水无堵塞（包括坑位到化粪池的管道），厕内无灰网；</w:t>
      </w:r>
    </w:p>
    <w:p w14:paraId="7DABD49D">
      <w:pPr>
        <w:overflowPunct w:val="0"/>
        <w:adjustRightInd w:val="0"/>
        <w:snapToGrid w:val="0"/>
        <w:spacing w:line="420" w:lineRule="exact"/>
        <w:ind w:firstLine="440" w:firstLineChars="200"/>
        <w:textAlignment w:val="bottom"/>
        <w:rPr>
          <w:rFonts w:ascii="宋体"/>
          <w:szCs w:val="21"/>
        </w:rPr>
      </w:pPr>
      <w:r>
        <w:rPr>
          <w:rFonts w:hint="eastAsia" w:ascii="宋体"/>
          <w:szCs w:val="21"/>
        </w:rPr>
        <w:t>3）一整洁：管理间、工具间干净整洁无杂物。</w:t>
      </w:r>
    </w:p>
    <w:p w14:paraId="1CBE7790">
      <w:pPr>
        <w:overflowPunct w:val="0"/>
        <w:adjustRightInd w:val="0"/>
        <w:snapToGrid w:val="0"/>
        <w:spacing w:line="420" w:lineRule="exact"/>
        <w:ind w:firstLine="440" w:firstLineChars="200"/>
        <w:textAlignment w:val="bottom"/>
        <w:rPr>
          <w:rFonts w:ascii="宋体"/>
          <w:szCs w:val="21"/>
        </w:rPr>
      </w:pPr>
      <w:r>
        <w:rPr>
          <w:rFonts w:hint="eastAsia" w:ascii="宋体"/>
          <w:szCs w:val="21"/>
        </w:rPr>
        <w:t>（2）保证室内设施设备</w:t>
      </w:r>
      <w:r>
        <w:rPr>
          <w:rFonts w:ascii="宋体"/>
          <w:szCs w:val="21"/>
        </w:rPr>
        <w:t>(</w:t>
      </w:r>
      <w:r>
        <w:rPr>
          <w:rFonts w:hint="eastAsia" w:ascii="宋体"/>
          <w:szCs w:val="21"/>
        </w:rPr>
        <w:t>门、窗、供水、供电、照明等</w:t>
      </w:r>
      <w:r>
        <w:rPr>
          <w:rFonts w:ascii="宋体"/>
          <w:szCs w:val="21"/>
        </w:rPr>
        <w:t>)</w:t>
      </w:r>
      <w:r>
        <w:rPr>
          <w:rFonts w:hint="eastAsia" w:ascii="宋体"/>
          <w:szCs w:val="21"/>
        </w:rPr>
        <w:t>完好和正常使用，无漏雨、透风及管道堵塞现象；</w:t>
      </w:r>
    </w:p>
    <w:p w14:paraId="1C49FAFD">
      <w:pPr>
        <w:overflowPunct w:val="0"/>
        <w:adjustRightInd w:val="0"/>
        <w:snapToGrid w:val="0"/>
        <w:spacing w:line="420" w:lineRule="exact"/>
        <w:ind w:firstLine="440" w:firstLineChars="200"/>
        <w:textAlignment w:val="bottom"/>
        <w:rPr>
          <w:rFonts w:ascii="宋体"/>
          <w:szCs w:val="21"/>
        </w:rPr>
      </w:pPr>
      <w:r>
        <w:rPr>
          <w:rFonts w:hint="eastAsia" w:ascii="宋体"/>
          <w:szCs w:val="21"/>
        </w:rPr>
        <w:t>（3）地面、蹲位、便池、墙壁、挡板等保持完好和整洁；无地面积水、纸屑、烟头、痰迹，无积存尿液、尿垢，无蚊蝇；</w:t>
      </w:r>
    </w:p>
    <w:p w14:paraId="647697EC">
      <w:pPr>
        <w:overflowPunct w:val="0"/>
        <w:adjustRightInd w:val="0"/>
        <w:snapToGrid w:val="0"/>
        <w:spacing w:line="420" w:lineRule="exact"/>
        <w:ind w:firstLine="440" w:firstLineChars="200"/>
        <w:textAlignment w:val="bottom"/>
        <w:rPr>
          <w:rFonts w:ascii="宋体"/>
          <w:szCs w:val="21"/>
        </w:rPr>
      </w:pPr>
      <w:r>
        <w:rPr>
          <w:rFonts w:hint="eastAsia" w:ascii="宋体"/>
          <w:szCs w:val="21"/>
        </w:rPr>
        <w:t>（4）换气、除臭等设施必须使用。保持厕内通风良好，无异味，厕内燃点盘香，男小便器内投放专用樟脑球，废纸篓内套放标准垃圾袋（均由中标供应商提供，计入投标报价成本中）；</w:t>
      </w:r>
    </w:p>
    <w:p w14:paraId="56FACF47">
      <w:pPr>
        <w:overflowPunct w:val="0"/>
        <w:adjustRightInd w:val="0"/>
        <w:snapToGrid w:val="0"/>
        <w:spacing w:line="420" w:lineRule="exact"/>
        <w:ind w:firstLine="440" w:firstLineChars="200"/>
        <w:textAlignment w:val="bottom"/>
        <w:rPr>
          <w:rFonts w:ascii="宋体"/>
          <w:szCs w:val="21"/>
        </w:rPr>
      </w:pPr>
      <w:r>
        <w:rPr>
          <w:rFonts w:hint="eastAsia" w:ascii="宋体"/>
          <w:szCs w:val="21"/>
        </w:rPr>
        <w:t>（5）保持公共厕所外周边</w:t>
      </w:r>
      <w:r>
        <w:rPr>
          <w:rFonts w:ascii="宋体"/>
          <w:szCs w:val="21"/>
        </w:rPr>
        <w:t>5</w:t>
      </w:r>
      <w:r>
        <w:rPr>
          <w:rFonts w:hint="eastAsia" w:ascii="宋体"/>
          <w:szCs w:val="21"/>
        </w:rPr>
        <w:t>米范围环境整洁，无乱堆杂物、杂草、垃圾、粪便、污水等；</w:t>
      </w:r>
    </w:p>
    <w:p w14:paraId="09B0ACAF">
      <w:pPr>
        <w:overflowPunct w:val="0"/>
        <w:adjustRightInd w:val="0"/>
        <w:snapToGrid w:val="0"/>
        <w:spacing w:line="420" w:lineRule="exact"/>
        <w:ind w:firstLine="440" w:firstLineChars="200"/>
        <w:textAlignment w:val="bottom"/>
        <w:rPr>
          <w:rFonts w:ascii="宋体"/>
          <w:szCs w:val="21"/>
        </w:rPr>
      </w:pPr>
      <w:r>
        <w:rPr>
          <w:rFonts w:hint="eastAsia" w:ascii="宋体"/>
          <w:szCs w:val="21"/>
        </w:rPr>
        <w:t>（6）蝇蚊孳生季节，定时喷洒药物，有效控制蝇蛆孳生；</w:t>
      </w:r>
    </w:p>
    <w:p w14:paraId="49185091">
      <w:pPr>
        <w:overflowPunct w:val="0"/>
        <w:adjustRightInd w:val="0"/>
        <w:snapToGrid w:val="0"/>
        <w:spacing w:line="420" w:lineRule="exact"/>
        <w:ind w:firstLine="440" w:firstLineChars="200"/>
        <w:textAlignment w:val="bottom"/>
        <w:rPr>
          <w:rFonts w:ascii="宋体"/>
          <w:szCs w:val="21"/>
        </w:rPr>
      </w:pPr>
      <w:r>
        <w:rPr>
          <w:rFonts w:hint="eastAsia" w:ascii="宋体"/>
          <w:szCs w:val="21"/>
        </w:rPr>
        <w:t>（</w:t>
      </w:r>
      <w:r>
        <w:rPr>
          <w:rFonts w:ascii="宋体"/>
          <w:szCs w:val="21"/>
        </w:rPr>
        <w:t>7</w:t>
      </w:r>
      <w:r>
        <w:rPr>
          <w:rFonts w:hint="eastAsia" w:ascii="宋体"/>
          <w:szCs w:val="21"/>
        </w:rPr>
        <w:t>）保洁工具应放置整齐，照明灯具、洗手器具、镜子、挂衣钩、烘手器、冲水等设备完好，无积灰、污物。</w:t>
      </w:r>
    </w:p>
    <w:p w14:paraId="231BA2BE">
      <w:pPr>
        <w:overflowPunct w:val="0"/>
        <w:adjustRightInd w:val="0"/>
        <w:snapToGrid w:val="0"/>
        <w:spacing w:line="420" w:lineRule="exact"/>
        <w:ind w:firstLine="440" w:firstLineChars="200"/>
        <w:textAlignment w:val="bottom"/>
        <w:rPr>
          <w:rFonts w:ascii="宋体"/>
          <w:szCs w:val="21"/>
        </w:rPr>
      </w:pPr>
      <w:r>
        <w:rPr>
          <w:rFonts w:hint="eastAsia" w:ascii="宋体"/>
          <w:szCs w:val="21"/>
        </w:rPr>
        <w:t>（</w:t>
      </w:r>
      <w:r>
        <w:rPr>
          <w:rFonts w:ascii="宋体"/>
          <w:szCs w:val="21"/>
        </w:rPr>
        <w:t>8</w:t>
      </w:r>
      <w:r>
        <w:rPr>
          <w:rFonts w:hint="eastAsia" w:ascii="宋体"/>
          <w:szCs w:val="21"/>
        </w:rPr>
        <w:t>）发现公厕水龙头未拧紧导致漏水的情况，须及时拧紧水龙头。</w:t>
      </w:r>
    </w:p>
    <w:p w14:paraId="5931D390">
      <w:pPr>
        <w:overflowPunct w:val="0"/>
        <w:adjustRightInd w:val="0"/>
        <w:snapToGrid w:val="0"/>
        <w:spacing w:line="420" w:lineRule="exact"/>
        <w:ind w:firstLine="440" w:firstLineChars="200"/>
        <w:textAlignment w:val="bottom"/>
        <w:rPr>
          <w:rFonts w:ascii="宋体"/>
          <w:szCs w:val="21"/>
        </w:rPr>
      </w:pPr>
      <w:r>
        <w:rPr>
          <w:rFonts w:hint="eastAsia" w:ascii="宋体"/>
          <w:szCs w:val="21"/>
        </w:rPr>
        <w:t>（</w:t>
      </w:r>
      <w:r>
        <w:rPr>
          <w:rFonts w:ascii="宋体"/>
          <w:szCs w:val="21"/>
        </w:rPr>
        <w:t>9</w:t>
      </w:r>
      <w:r>
        <w:rPr>
          <w:rFonts w:hint="eastAsia" w:ascii="宋体"/>
          <w:szCs w:val="21"/>
        </w:rPr>
        <w:t>）中标供应商保洁服务期间，如采购人对公厕类别进行提升的，保洁服务等级要求须做相应的提升，费用不另行计算。</w:t>
      </w:r>
    </w:p>
    <w:p w14:paraId="39BB9A3C">
      <w:pPr>
        <w:overflowPunct w:val="0"/>
        <w:snapToGrid w:val="0"/>
        <w:spacing w:line="420" w:lineRule="exact"/>
        <w:ind w:firstLine="442" w:firstLineChars="200"/>
        <w:outlineLvl w:val="3"/>
        <w:rPr>
          <w:rFonts w:ascii="宋体"/>
          <w:b/>
          <w:szCs w:val="21"/>
        </w:rPr>
      </w:pPr>
      <w:bookmarkStart w:id="84" w:name="_Toc7961"/>
      <w:bookmarkStart w:id="85" w:name="_Toc13365"/>
      <w:bookmarkStart w:id="86" w:name="_Toc19363"/>
      <w:r>
        <w:rPr>
          <w:rFonts w:hint="eastAsia" w:ascii="宋体"/>
          <w:b/>
          <w:szCs w:val="21"/>
        </w:rPr>
        <w:t>3、公厕保洁作业要求</w:t>
      </w:r>
      <w:bookmarkEnd w:id="84"/>
      <w:bookmarkEnd w:id="85"/>
      <w:bookmarkEnd w:id="86"/>
    </w:p>
    <w:p w14:paraId="5EAE59AA">
      <w:pPr>
        <w:overflowPunct w:val="0"/>
        <w:adjustRightInd w:val="0"/>
        <w:spacing w:line="420" w:lineRule="exact"/>
        <w:ind w:firstLine="440" w:firstLineChars="200"/>
        <w:textAlignment w:val="bottom"/>
        <w:outlineLvl w:val="4"/>
        <w:rPr>
          <w:rFonts w:ascii="宋体"/>
          <w:szCs w:val="21"/>
        </w:rPr>
      </w:pPr>
      <w:r>
        <w:rPr>
          <w:rFonts w:hint="eastAsia" w:ascii="宋体"/>
          <w:szCs w:val="21"/>
        </w:rPr>
        <w:t>（1）公厕保洁员到岗后的保洁程序为：</w:t>
      </w:r>
    </w:p>
    <w:p w14:paraId="5180AFB8">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一掸：即使用清洁工具掸除公厕内的蛛网、灰尘；</w:t>
      </w:r>
    </w:p>
    <w:p w14:paraId="62E2ABD1">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二抹：即用抹布清洗门窗、洗手器具、隔断板、墙面等；</w:t>
      </w:r>
    </w:p>
    <w:p w14:paraId="6EA2D761">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三冲：即对公厕蹲便器、座便器、小便斗进行冲洗；</w:t>
      </w:r>
    </w:p>
    <w:p w14:paraId="5DF60660">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四拖：即用拖把清除地面污垢、积水，保持干燥整洁；</w:t>
      </w:r>
    </w:p>
    <w:p w14:paraId="70A7718D">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五扫：即清扫公厕周边环境；</w:t>
      </w:r>
    </w:p>
    <w:p w14:paraId="62D57EDD">
      <w:pPr>
        <w:pStyle w:val="19"/>
        <w:overflowPunct w:val="0"/>
        <w:adjustRightInd w:val="0"/>
        <w:snapToGrid w:val="0"/>
        <w:spacing w:after="0" w:line="420" w:lineRule="exact"/>
        <w:ind w:left="0" w:leftChars="0" w:firstLine="550" w:firstLineChars="250"/>
        <w:rPr>
          <w:rFonts w:ascii="宋体" w:hAnsi="宋体" w:cs="宋体"/>
          <w:szCs w:val="21"/>
        </w:rPr>
      </w:pPr>
      <w:r>
        <w:rPr>
          <w:rFonts w:hint="eastAsia" w:ascii="宋体" w:hAnsi="宋体" w:cs="宋体"/>
          <w:szCs w:val="21"/>
        </w:rPr>
        <w:t>六理：即清理垃圾；</w:t>
      </w:r>
    </w:p>
    <w:p w14:paraId="0D73C2D9">
      <w:pPr>
        <w:pStyle w:val="19"/>
        <w:overflowPunct w:val="0"/>
        <w:adjustRightInd w:val="0"/>
        <w:snapToGrid w:val="0"/>
        <w:spacing w:after="0" w:line="420" w:lineRule="exact"/>
        <w:ind w:left="0" w:leftChars="0" w:firstLine="550" w:firstLineChars="250"/>
        <w:rPr>
          <w:szCs w:val="21"/>
        </w:rPr>
      </w:pPr>
      <w:r>
        <w:rPr>
          <w:rFonts w:hint="eastAsia" w:ascii="宋体" w:hAnsi="宋体" w:cs="宋体"/>
          <w:szCs w:val="21"/>
        </w:rPr>
        <w:t>七查：即检查水龙头、干手器、水箱等设施是否完好，发现损坏</w:t>
      </w:r>
      <w:r>
        <w:rPr>
          <w:rFonts w:hint="eastAsia"/>
          <w:szCs w:val="21"/>
        </w:rPr>
        <w:t>损坏及时修理；</w:t>
      </w:r>
    </w:p>
    <w:p w14:paraId="3B4B4BFF">
      <w:pPr>
        <w:pStyle w:val="19"/>
        <w:overflowPunct w:val="0"/>
        <w:adjustRightInd w:val="0"/>
        <w:snapToGrid w:val="0"/>
        <w:spacing w:after="0" w:line="420" w:lineRule="exact"/>
        <w:ind w:left="0" w:leftChars="0" w:firstLine="550" w:firstLineChars="250"/>
        <w:rPr>
          <w:szCs w:val="21"/>
        </w:rPr>
      </w:pPr>
      <w:r>
        <w:rPr>
          <w:rFonts w:hint="eastAsia"/>
          <w:szCs w:val="21"/>
        </w:rPr>
        <w:t>八喷：即喷洒消毒药水。</w:t>
      </w:r>
    </w:p>
    <w:p w14:paraId="2514F872">
      <w:pPr>
        <w:overflowPunct w:val="0"/>
        <w:adjustRightInd w:val="0"/>
        <w:spacing w:line="420" w:lineRule="exact"/>
        <w:ind w:firstLine="440" w:firstLineChars="200"/>
        <w:textAlignment w:val="bottom"/>
        <w:outlineLvl w:val="4"/>
        <w:rPr>
          <w:rFonts w:ascii="宋体"/>
          <w:szCs w:val="21"/>
        </w:rPr>
      </w:pPr>
      <w:r>
        <w:rPr>
          <w:rFonts w:hint="eastAsia" w:ascii="宋体"/>
          <w:szCs w:val="21"/>
        </w:rPr>
        <w:t>（2）坑位内冲洗、坑位周边保持干净、及时清理垃圾篓（垃圾篓内垃圾不超过三分之二），做到公厕内部地面（坑位）干净整洁、无污迹水迹。</w:t>
      </w:r>
    </w:p>
    <w:p w14:paraId="1572168C">
      <w:pPr>
        <w:overflowPunct w:val="0"/>
        <w:adjustRightInd w:val="0"/>
        <w:spacing w:line="420" w:lineRule="exact"/>
        <w:ind w:firstLine="440" w:firstLineChars="200"/>
        <w:textAlignment w:val="bottom"/>
        <w:outlineLvl w:val="4"/>
        <w:rPr>
          <w:rFonts w:ascii="宋体"/>
          <w:szCs w:val="21"/>
        </w:rPr>
      </w:pPr>
      <w:r>
        <w:rPr>
          <w:rFonts w:hint="eastAsia" w:ascii="宋体"/>
          <w:szCs w:val="21"/>
        </w:rPr>
        <w:t>（3）严格区分保洁工具：男厕与女厕、地面、与踏步的保洁扫帚、拖把分开使用，分别使用不同的擦洗工具清理门窗、洗手器具、分隔板、墙面。保洁工具使用后，必须立即清洗，确保无异味。</w:t>
      </w:r>
    </w:p>
    <w:p w14:paraId="4422308F">
      <w:pPr>
        <w:overflowPunct w:val="0"/>
        <w:adjustRightInd w:val="0"/>
        <w:spacing w:line="420" w:lineRule="exact"/>
        <w:ind w:firstLine="440" w:firstLineChars="200"/>
        <w:textAlignment w:val="bottom"/>
        <w:outlineLvl w:val="4"/>
        <w:rPr>
          <w:rFonts w:ascii="宋体"/>
          <w:szCs w:val="21"/>
        </w:rPr>
      </w:pPr>
      <w:r>
        <w:rPr>
          <w:rFonts w:hint="eastAsia" w:ascii="宋体"/>
          <w:szCs w:val="21"/>
        </w:rPr>
        <w:t>（4）供洗手用的水龙头不得用于保洁作业。</w:t>
      </w:r>
    </w:p>
    <w:p w14:paraId="703F8D8B">
      <w:pPr>
        <w:overflowPunct w:val="0"/>
        <w:snapToGrid w:val="0"/>
        <w:spacing w:line="420" w:lineRule="exact"/>
        <w:ind w:firstLine="442" w:firstLineChars="200"/>
        <w:outlineLvl w:val="3"/>
        <w:rPr>
          <w:rFonts w:ascii="宋体"/>
          <w:b/>
          <w:szCs w:val="21"/>
        </w:rPr>
      </w:pPr>
      <w:bookmarkStart w:id="87" w:name="_Toc21982"/>
      <w:bookmarkStart w:id="88" w:name="_Toc4843"/>
      <w:bookmarkStart w:id="89" w:name="_Toc29960"/>
      <w:r>
        <w:rPr>
          <w:rFonts w:hint="eastAsia" w:ascii="宋体"/>
          <w:b/>
          <w:szCs w:val="21"/>
        </w:rPr>
        <w:t>4、公厕管理要求</w:t>
      </w:r>
      <w:bookmarkEnd w:id="87"/>
      <w:bookmarkEnd w:id="88"/>
      <w:bookmarkEnd w:id="89"/>
    </w:p>
    <w:p w14:paraId="75D98746">
      <w:pPr>
        <w:overflowPunct w:val="0"/>
        <w:adjustRightInd w:val="0"/>
        <w:snapToGrid w:val="0"/>
        <w:spacing w:line="420" w:lineRule="exact"/>
        <w:ind w:firstLine="440" w:firstLineChars="200"/>
        <w:textAlignment w:val="bottom"/>
        <w:rPr>
          <w:rFonts w:ascii="宋体"/>
          <w:szCs w:val="21"/>
        </w:rPr>
      </w:pPr>
      <w:r>
        <w:rPr>
          <w:rFonts w:hint="eastAsia" w:ascii="宋体"/>
          <w:szCs w:val="21"/>
        </w:rPr>
        <w:t>（1）按规定要求公厕实行全天候免费开放使用，不得擅自停业、歇业，影响公众使用；如需停止开放的，要征得业主同意后，公示停业原由和期限。</w:t>
      </w:r>
    </w:p>
    <w:p w14:paraId="600DB60B">
      <w:pPr>
        <w:overflowPunct w:val="0"/>
        <w:adjustRightInd w:val="0"/>
        <w:snapToGrid w:val="0"/>
        <w:spacing w:line="420" w:lineRule="exact"/>
        <w:ind w:firstLine="440" w:firstLineChars="200"/>
        <w:textAlignment w:val="bottom"/>
        <w:rPr>
          <w:rFonts w:ascii="宋体"/>
          <w:szCs w:val="21"/>
        </w:rPr>
      </w:pPr>
      <w:r>
        <w:rPr>
          <w:rFonts w:hint="eastAsia" w:ascii="宋体"/>
          <w:szCs w:val="21"/>
        </w:rPr>
        <w:t>（2）各项制度（内容包括但不限于公厕名称、类别、公厕编号、管理单位、服务公约、联系电话、监管电话、开放时间等信息）、责任内容按规定要求上墙，文明规范用语按要求配置，设置规范且醒目，便于市民监督；设置节约用水、禁止吸烟、文明如厕、爱护公物等提示性、劝导性标识。</w:t>
      </w:r>
    </w:p>
    <w:p w14:paraId="43A1BDA0">
      <w:pPr>
        <w:overflowPunct w:val="0"/>
        <w:adjustRightInd w:val="0"/>
        <w:snapToGrid w:val="0"/>
        <w:spacing w:line="420" w:lineRule="exact"/>
        <w:ind w:firstLine="440" w:firstLineChars="200"/>
        <w:textAlignment w:val="bottom"/>
        <w:rPr>
          <w:rFonts w:ascii="宋体"/>
          <w:szCs w:val="21"/>
        </w:rPr>
      </w:pPr>
      <w:r>
        <w:rPr>
          <w:rFonts w:hint="eastAsia" w:ascii="宋体"/>
          <w:szCs w:val="21"/>
        </w:rPr>
        <w:t>（3）严禁公厕内经营活动和私自收费现象，责任范围内不得有乱搭建、乱堆放；</w:t>
      </w:r>
    </w:p>
    <w:p w14:paraId="45307BCF">
      <w:pPr>
        <w:overflowPunct w:val="0"/>
        <w:adjustRightInd w:val="0"/>
        <w:snapToGrid w:val="0"/>
        <w:spacing w:line="420" w:lineRule="exact"/>
        <w:ind w:firstLine="440" w:firstLineChars="200"/>
        <w:textAlignment w:val="bottom"/>
        <w:rPr>
          <w:rFonts w:ascii="宋体"/>
          <w:szCs w:val="21"/>
        </w:rPr>
      </w:pPr>
      <w:r>
        <w:rPr>
          <w:rFonts w:hint="eastAsia" w:ascii="宋体"/>
          <w:szCs w:val="21"/>
        </w:rPr>
        <w:t>（4）公厕管理间卫生整洁、秩序井然，无闲杂人员，无乱堆杂物，无人员留宿；</w:t>
      </w:r>
    </w:p>
    <w:p w14:paraId="0CEAEA03">
      <w:pPr>
        <w:overflowPunct w:val="0"/>
        <w:adjustRightInd w:val="0"/>
        <w:snapToGrid w:val="0"/>
        <w:spacing w:line="420" w:lineRule="exact"/>
        <w:ind w:firstLine="440" w:firstLineChars="200"/>
        <w:textAlignment w:val="bottom"/>
        <w:rPr>
          <w:rFonts w:ascii="宋体"/>
          <w:szCs w:val="21"/>
        </w:rPr>
      </w:pPr>
      <w:r>
        <w:rPr>
          <w:rFonts w:hint="eastAsia" w:ascii="宋体"/>
          <w:szCs w:val="21"/>
        </w:rPr>
        <w:t>（5）公厕保洁人员统一服装、统一佩证上岗、礼貌待人、服务周到。</w:t>
      </w:r>
    </w:p>
    <w:p w14:paraId="72D479B8">
      <w:pPr>
        <w:overflowPunct w:val="0"/>
        <w:adjustRightInd w:val="0"/>
        <w:snapToGrid w:val="0"/>
        <w:spacing w:line="420" w:lineRule="exact"/>
        <w:ind w:firstLine="440" w:firstLineChars="200"/>
        <w:textAlignment w:val="bottom"/>
        <w:rPr>
          <w:rFonts w:ascii="宋体"/>
          <w:szCs w:val="21"/>
        </w:rPr>
      </w:pPr>
      <w:r>
        <w:rPr>
          <w:rFonts w:hint="eastAsia" w:ascii="宋体"/>
          <w:szCs w:val="21"/>
        </w:rPr>
        <w:t>（6）公厕保洁人员不得在公厕内私设厨房及就餐，在保洁时间范围外不得在公厕内住宿，不得占用妨碍残疾人公共厕所、第三卫生间的正常使用；</w:t>
      </w:r>
    </w:p>
    <w:p w14:paraId="4A074F74">
      <w:pPr>
        <w:overflowPunct w:val="0"/>
        <w:adjustRightInd w:val="0"/>
        <w:snapToGrid w:val="0"/>
        <w:spacing w:line="420" w:lineRule="exact"/>
        <w:ind w:firstLine="440" w:firstLineChars="200"/>
        <w:textAlignment w:val="bottom"/>
        <w:rPr>
          <w:rFonts w:ascii="宋体"/>
          <w:szCs w:val="21"/>
        </w:rPr>
      </w:pPr>
      <w:r>
        <w:rPr>
          <w:rFonts w:hint="eastAsia" w:ascii="宋体"/>
          <w:szCs w:val="21"/>
        </w:rPr>
        <w:t>（7）除公厕固有用电设施外，其他设备不得在公厕内进行充电，违反一次处罚1000元，第二次加倍扣罚，以此类推。</w:t>
      </w:r>
    </w:p>
    <w:p w14:paraId="5DC6B2CD">
      <w:pPr>
        <w:overflowPunct w:val="0"/>
        <w:adjustRightInd w:val="0"/>
        <w:snapToGrid w:val="0"/>
        <w:spacing w:line="420" w:lineRule="exact"/>
        <w:ind w:firstLine="440" w:firstLineChars="200"/>
        <w:textAlignment w:val="bottom"/>
        <w:rPr>
          <w:rFonts w:ascii="宋体"/>
          <w:szCs w:val="21"/>
        </w:rPr>
      </w:pPr>
      <w:r>
        <w:rPr>
          <w:rFonts w:hint="eastAsia" w:ascii="宋体"/>
          <w:szCs w:val="21"/>
        </w:rPr>
        <w:t>（</w:t>
      </w:r>
      <w:r>
        <w:rPr>
          <w:rFonts w:ascii="宋体"/>
          <w:szCs w:val="21"/>
        </w:rPr>
        <w:t>8</w:t>
      </w:r>
      <w:r>
        <w:rPr>
          <w:rFonts w:hint="eastAsia" w:ascii="宋体"/>
          <w:szCs w:val="21"/>
        </w:rPr>
        <w:t>）积极配合完成管理部门的各项工作或临时突击性和检查任务。</w:t>
      </w:r>
    </w:p>
    <w:p w14:paraId="34A4557C">
      <w:pPr>
        <w:overflowPunct w:val="0"/>
        <w:snapToGrid w:val="0"/>
        <w:spacing w:line="420" w:lineRule="exact"/>
        <w:ind w:firstLine="442" w:firstLineChars="200"/>
        <w:outlineLvl w:val="3"/>
        <w:rPr>
          <w:rFonts w:ascii="宋体"/>
          <w:b/>
          <w:szCs w:val="21"/>
        </w:rPr>
      </w:pPr>
      <w:bookmarkStart w:id="90" w:name="_Toc31964"/>
      <w:bookmarkStart w:id="91" w:name="_Toc30631"/>
      <w:r>
        <w:rPr>
          <w:rFonts w:hint="eastAsia" w:ascii="宋体"/>
          <w:b/>
          <w:szCs w:val="21"/>
        </w:rPr>
        <w:t>5、卫生消毒要求</w:t>
      </w:r>
      <w:bookmarkEnd w:id="90"/>
      <w:bookmarkEnd w:id="91"/>
    </w:p>
    <w:p w14:paraId="447F1F52">
      <w:pPr>
        <w:overflowPunct w:val="0"/>
        <w:adjustRightInd w:val="0"/>
        <w:spacing w:line="420" w:lineRule="exact"/>
        <w:ind w:firstLine="550" w:firstLineChars="250"/>
        <w:textAlignment w:val="bottom"/>
        <w:rPr>
          <w:rFonts w:ascii="宋体"/>
          <w:szCs w:val="21"/>
        </w:rPr>
      </w:pPr>
      <w:bookmarkStart w:id="92" w:name="_Toc1796"/>
      <w:r>
        <w:rPr>
          <w:rFonts w:hint="eastAsia" w:ascii="宋体"/>
          <w:szCs w:val="21"/>
        </w:rPr>
        <w:t>（1）公厕内的便器、洗手器具、扶手等每日消毒1次及以上，通风、给排水设施、烘手器等设施设备每周消毒1次及以上。（一次未按时消毒扣罚500元）</w:t>
      </w:r>
    </w:p>
    <w:p w14:paraId="4391CE94">
      <w:pPr>
        <w:overflowPunct w:val="0"/>
        <w:adjustRightInd w:val="0"/>
        <w:spacing w:line="420" w:lineRule="exact"/>
        <w:ind w:firstLine="550" w:firstLineChars="250"/>
        <w:textAlignment w:val="bottom"/>
        <w:rPr>
          <w:rFonts w:ascii="宋体"/>
          <w:szCs w:val="21"/>
        </w:rPr>
      </w:pPr>
      <w:r>
        <w:rPr>
          <w:rFonts w:hint="eastAsia" w:ascii="宋体"/>
          <w:szCs w:val="21"/>
        </w:rPr>
        <w:t>（2）蚊蝇孳生季节（4月至10月），根据实际情况每日至少1次喷洒灭蚊蝇药物，控制蚊蝇孳生。（一次未按时喷洒药物的扣罚500元）</w:t>
      </w:r>
    </w:p>
    <w:p w14:paraId="0A5566B2">
      <w:pPr>
        <w:overflowPunct w:val="0"/>
        <w:adjustRightInd w:val="0"/>
        <w:spacing w:line="420" w:lineRule="exact"/>
        <w:ind w:firstLine="550" w:firstLineChars="250"/>
        <w:textAlignment w:val="bottom"/>
        <w:rPr>
          <w:rFonts w:ascii="宋体"/>
          <w:szCs w:val="21"/>
        </w:rPr>
      </w:pPr>
      <w:r>
        <w:rPr>
          <w:rFonts w:hint="eastAsia" w:ascii="宋体"/>
          <w:szCs w:val="21"/>
        </w:rPr>
        <w:t>（3）在传染病流行期间，应做好公厕的卫生消毒工作，提高消毒次数，无条件服从政策和业主的消毒要求。</w:t>
      </w:r>
    </w:p>
    <w:p w14:paraId="2E9B1ED8">
      <w:pPr>
        <w:overflowPunct w:val="0"/>
        <w:adjustRightInd w:val="0"/>
        <w:spacing w:line="420" w:lineRule="exact"/>
        <w:ind w:firstLine="550" w:firstLineChars="250"/>
        <w:textAlignment w:val="bottom"/>
        <w:rPr>
          <w:rFonts w:ascii="宋体" w:hAnsi="宋体"/>
          <w:color w:val="000000"/>
          <w:szCs w:val="22"/>
        </w:rPr>
      </w:pPr>
      <w:r>
        <w:rPr>
          <w:rFonts w:hint="eastAsia" w:ascii="宋体" w:hAnsi="宋体"/>
          <w:color w:val="000000"/>
          <w:szCs w:val="22"/>
        </w:rPr>
        <w:t>（4）消毒、灭蚊蝇所需药水药物和作业工具由中标供应商负责。</w:t>
      </w:r>
    </w:p>
    <w:p w14:paraId="283545AE">
      <w:pPr>
        <w:overflowPunct w:val="0"/>
        <w:snapToGrid w:val="0"/>
        <w:spacing w:line="420" w:lineRule="exact"/>
        <w:ind w:firstLine="442" w:firstLineChars="200"/>
        <w:outlineLvl w:val="3"/>
        <w:rPr>
          <w:rFonts w:ascii="宋体"/>
          <w:b/>
          <w:szCs w:val="21"/>
          <w:highlight w:val="none"/>
        </w:rPr>
      </w:pPr>
      <w:r>
        <w:rPr>
          <w:rFonts w:hint="eastAsia" w:ascii="宋体"/>
          <w:b/>
          <w:szCs w:val="21"/>
          <w:highlight w:val="none"/>
        </w:rPr>
        <w:t>6、特殊要求</w:t>
      </w:r>
      <w:bookmarkEnd w:id="92"/>
    </w:p>
    <w:p w14:paraId="0F1FEDB6">
      <w:pPr>
        <w:autoSpaceDE w:val="0"/>
        <w:autoSpaceDN w:val="0"/>
        <w:adjustRightInd w:val="0"/>
        <w:spacing w:line="420" w:lineRule="exact"/>
        <w:ind w:firstLine="550" w:firstLineChars="250"/>
        <w:textAlignment w:val="bottom"/>
        <w:rPr>
          <w:rFonts w:ascii="宋体"/>
          <w:szCs w:val="21"/>
        </w:rPr>
      </w:pPr>
      <w:r>
        <w:rPr>
          <w:rFonts w:hint="eastAsia" w:ascii="宋体"/>
          <w:szCs w:val="21"/>
        </w:rPr>
        <w:t>（1）采购人确保室内设施设备</w:t>
      </w:r>
      <w:r>
        <w:rPr>
          <w:rFonts w:ascii="宋体"/>
          <w:szCs w:val="21"/>
        </w:rPr>
        <w:t>(</w:t>
      </w:r>
      <w:r>
        <w:rPr>
          <w:rFonts w:hint="eastAsia" w:ascii="宋体"/>
          <w:szCs w:val="21"/>
        </w:rPr>
        <w:t>门、窗、供水、供电、照明、</w:t>
      </w:r>
      <w:r>
        <w:rPr>
          <w:rFonts w:hint="eastAsia" w:ascii="宋体" w:hAnsi="宋体" w:cs="宋体"/>
          <w:szCs w:val="21"/>
        </w:rPr>
        <w:t>警报器（如有）</w:t>
      </w:r>
      <w:r>
        <w:rPr>
          <w:rFonts w:hint="eastAsia" w:ascii="宋体"/>
          <w:szCs w:val="21"/>
        </w:rPr>
        <w:t>等</w:t>
      </w:r>
      <w:r>
        <w:rPr>
          <w:rFonts w:ascii="宋体"/>
          <w:szCs w:val="21"/>
        </w:rPr>
        <w:t>)</w:t>
      </w:r>
      <w:r>
        <w:rPr>
          <w:rFonts w:hint="eastAsia" w:ascii="宋体"/>
          <w:szCs w:val="21"/>
        </w:rPr>
        <w:t>完好和正常使用后，以清单和照片留存的形式移交给中标供应商维修维护。</w:t>
      </w:r>
      <w:r>
        <w:rPr>
          <w:rFonts w:hint="eastAsia" w:ascii="宋体" w:hAnsi="宋体" w:cs="黑体"/>
          <w:szCs w:val="21"/>
        </w:rPr>
        <w:t>合同履行到期，中标供应商须按原样与采购人办理相关移交手续。</w:t>
      </w:r>
    </w:p>
    <w:p w14:paraId="1F302A01">
      <w:pPr>
        <w:autoSpaceDE w:val="0"/>
        <w:autoSpaceDN w:val="0"/>
        <w:adjustRightInd w:val="0"/>
        <w:spacing w:line="420" w:lineRule="exact"/>
        <w:ind w:firstLine="550" w:firstLineChars="250"/>
        <w:textAlignment w:val="bottom"/>
        <w:rPr>
          <w:rFonts w:ascii="宋体"/>
          <w:b/>
          <w:bCs/>
          <w:szCs w:val="21"/>
        </w:rPr>
      </w:pPr>
      <w:r>
        <w:rPr>
          <w:rFonts w:hint="eastAsia" w:ascii="宋体"/>
          <w:szCs w:val="21"/>
        </w:rPr>
        <w:t>（2）中标供应商发现公厕内设施设备损坏的，须在进场作业后30日历天内提出，经采购人现场确认后由采购人负责维修或更换，逾期视为设施设备完好，由中标供应商负责维修或更换。</w:t>
      </w:r>
    </w:p>
    <w:p w14:paraId="12BBAB18">
      <w:pPr>
        <w:adjustRightInd w:val="0"/>
        <w:snapToGrid w:val="0"/>
        <w:spacing w:before="156" w:beforeLines="50" w:after="156" w:afterLines="50" w:line="420" w:lineRule="exact"/>
        <w:rPr>
          <w:rFonts w:ascii="宋体" w:hAnsi="宋体" w:cs="Arial"/>
          <w:b/>
          <w:bCs/>
        </w:rPr>
      </w:pPr>
      <w:bookmarkStart w:id="93" w:name="_Toc3067"/>
      <w:bookmarkStart w:id="94" w:name="_Toc32105"/>
      <w:bookmarkStart w:id="95" w:name="_Toc64913336"/>
      <w:bookmarkStart w:id="96" w:name="_Toc17127"/>
      <w:bookmarkStart w:id="97" w:name="_Toc64901752"/>
      <w:r>
        <w:rPr>
          <w:rFonts w:hint="eastAsia" w:ascii="宋体" w:hAnsi="宋体" w:cs="Arial"/>
          <w:b/>
          <w:bCs/>
        </w:rPr>
        <w:t>（六）垃圾收集与清运要求</w:t>
      </w:r>
      <w:bookmarkEnd w:id="93"/>
      <w:bookmarkEnd w:id="94"/>
      <w:bookmarkEnd w:id="95"/>
      <w:bookmarkEnd w:id="96"/>
      <w:bookmarkEnd w:id="97"/>
    </w:p>
    <w:p w14:paraId="72E77485">
      <w:pPr>
        <w:overflowPunct w:val="0"/>
        <w:snapToGrid w:val="0"/>
        <w:spacing w:line="420" w:lineRule="exact"/>
        <w:ind w:firstLine="442" w:firstLineChars="200"/>
        <w:outlineLvl w:val="3"/>
        <w:rPr>
          <w:rFonts w:ascii="宋体"/>
          <w:b/>
          <w:bCs/>
          <w:szCs w:val="21"/>
        </w:rPr>
      </w:pPr>
      <w:bookmarkStart w:id="98" w:name="_Toc4845"/>
      <w:bookmarkStart w:id="99" w:name="_Toc19842"/>
      <w:bookmarkStart w:id="100" w:name="_Toc11457"/>
      <w:r>
        <w:rPr>
          <w:rFonts w:hint="eastAsia" w:ascii="宋体"/>
          <w:b/>
          <w:bCs/>
          <w:szCs w:val="21"/>
        </w:rPr>
        <w:t>1、垃圾收集与清运范围</w:t>
      </w:r>
      <w:bookmarkEnd w:id="98"/>
      <w:bookmarkEnd w:id="99"/>
      <w:bookmarkEnd w:id="100"/>
    </w:p>
    <w:p w14:paraId="6A41EC91">
      <w:pPr>
        <w:overflowPunct w:val="0"/>
        <w:adjustRightInd w:val="0"/>
        <w:spacing w:line="420" w:lineRule="exact"/>
        <w:ind w:firstLine="550" w:firstLineChars="250"/>
        <w:textAlignment w:val="bottom"/>
        <w:rPr>
          <w:rFonts w:ascii="宋体"/>
          <w:szCs w:val="21"/>
        </w:rPr>
      </w:pPr>
      <w:r>
        <w:rPr>
          <w:rFonts w:hint="eastAsia" w:ascii="宋体"/>
          <w:szCs w:val="21"/>
        </w:rPr>
        <w:t>区域内生活垃圾实行统一清运，包括但不限于道路（含公路）、公园、广场、公共绿地及公厕、机关事业单位、学校、企业、物管小区、经营性场所等区域所产生的所有生活垃圾。</w:t>
      </w:r>
    </w:p>
    <w:p w14:paraId="3697B582">
      <w:pPr>
        <w:overflowPunct w:val="0"/>
        <w:snapToGrid w:val="0"/>
        <w:spacing w:line="420" w:lineRule="exact"/>
        <w:ind w:firstLine="440" w:firstLineChars="200"/>
        <w:outlineLvl w:val="3"/>
        <w:rPr>
          <w:rFonts w:ascii="宋体"/>
          <w:bCs/>
          <w:szCs w:val="21"/>
        </w:rPr>
      </w:pPr>
      <w:bookmarkStart w:id="101" w:name="_Toc32717"/>
      <w:bookmarkStart w:id="102" w:name="_Toc7185"/>
      <w:bookmarkStart w:id="103" w:name="_Toc7648"/>
      <w:r>
        <w:rPr>
          <w:rFonts w:hint="eastAsia" w:ascii="宋体"/>
          <w:bCs/>
          <w:szCs w:val="21"/>
        </w:rPr>
        <w:t>2、垃圾收集与清运质量要求</w:t>
      </w:r>
      <w:bookmarkEnd w:id="101"/>
      <w:bookmarkEnd w:id="102"/>
      <w:bookmarkEnd w:id="103"/>
    </w:p>
    <w:p w14:paraId="0E046D3F">
      <w:pPr>
        <w:overflowPunct w:val="0"/>
        <w:adjustRightInd w:val="0"/>
        <w:spacing w:line="420" w:lineRule="exact"/>
        <w:ind w:firstLine="440" w:firstLineChars="200"/>
        <w:textAlignment w:val="bottom"/>
        <w:rPr>
          <w:rFonts w:ascii="宋体"/>
          <w:szCs w:val="21"/>
        </w:rPr>
      </w:pPr>
      <w:r>
        <w:rPr>
          <w:rFonts w:hint="eastAsia" w:ascii="宋体"/>
          <w:szCs w:val="21"/>
        </w:rPr>
        <w:t>（1）每日生活垃圾必须日产日清，及时收集清运, 无积压、溢满，周围无散落垃圾及污水；定时喷洒除臭剂、杀虫剂、消毒剂等，确保废物箱（果壳箱、垃圾桶）、垃圾坞无四害滋生。</w:t>
      </w:r>
    </w:p>
    <w:p w14:paraId="48944AE9">
      <w:pPr>
        <w:overflowPunct w:val="0"/>
        <w:adjustRightInd w:val="0"/>
        <w:spacing w:line="420" w:lineRule="exact"/>
        <w:ind w:firstLine="440" w:firstLineChars="200"/>
        <w:textAlignment w:val="bottom"/>
        <w:rPr>
          <w:rFonts w:ascii="宋体"/>
          <w:szCs w:val="21"/>
        </w:rPr>
      </w:pPr>
      <w:r>
        <w:rPr>
          <w:rFonts w:hint="eastAsia" w:ascii="宋体"/>
          <w:szCs w:val="21"/>
        </w:rPr>
        <w:t>（</w:t>
      </w:r>
      <w:r>
        <w:rPr>
          <w:rFonts w:hint="eastAsia" w:ascii="宋体"/>
          <w:szCs w:val="21"/>
          <w:lang w:val="en-US" w:eastAsia="zh-CN"/>
        </w:rPr>
        <w:t>2</w:t>
      </w:r>
      <w:r>
        <w:rPr>
          <w:rFonts w:hint="eastAsia" w:ascii="宋体"/>
          <w:szCs w:val="21"/>
        </w:rPr>
        <w:t>）按照要求配套装备分类收集清运车辆设备，生活垃圾统一清运到就近垃圾中转站，清理、收集的其它类垃圾必须按指定地点倾倒；垃圾运输密闭，无抛洒、吊挂和污水滴漏。清运路线要合理规划设置，并报采购人备案认可。</w:t>
      </w:r>
    </w:p>
    <w:p w14:paraId="7E012E61">
      <w:pPr>
        <w:overflowPunct w:val="0"/>
        <w:adjustRightInd w:val="0"/>
        <w:spacing w:line="420" w:lineRule="exact"/>
        <w:ind w:firstLine="440" w:firstLineChars="200"/>
        <w:textAlignment w:val="bottom"/>
        <w:rPr>
          <w:rFonts w:ascii="宋体"/>
          <w:szCs w:val="21"/>
        </w:rPr>
      </w:pPr>
      <w:r>
        <w:rPr>
          <w:rFonts w:hint="eastAsia" w:ascii="宋体"/>
          <w:szCs w:val="21"/>
        </w:rPr>
        <w:t>（</w:t>
      </w:r>
      <w:r>
        <w:rPr>
          <w:rFonts w:hint="eastAsia" w:ascii="宋体"/>
          <w:szCs w:val="21"/>
          <w:lang w:val="en-US" w:eastAsia="zh-CN"/>
        </w:rPr>
        <w:t>3</w:t>
      </w:r>
      <w:r>
        <w:rPr>
          <w:rFonts w:hint="eastAsia" w:ascii="宋体"/>
          <w:szCs w:val="21"/>
        </w:rPr>
        <w:t>）收运垃圾时控制噪声防止扰民。</w:t>
      </w:r>
    </w:p>
    <w:p w14:paraId="729E7FB6">
      <w:pPr>
        <w:overflowPunct w:val="0"/>
        <w:snapToGrid w:val="0"/>
        <w:spacing w:line="420" w:lineRule="exact"/>
        <w:ind w:firstLine="442" w:firstLineChars="200"/>
        <w:outlineLvl w:val="3"/>
        <w:rPr>
          <w:rFonts w:ascii="宋体"/>
          <w:b/>
          <w:szCs w:val="21"/>
        </w:rPr>
      </w:pPr>
      <w:bookmarkStart w:id="104" w:name="_Toc30540"/>
      <w:bookmarkStart w:id="105" w:name="_Toc27911"/>
      <w:bookmarkStart w:id="106" w:name="_Toc10116"/>
      <w:r>
        <w:rPr>
          <w:rFonts w:hint="eastAsia" w:ascii="宋体"/>
          <w:b/>
          <w:szCs w:val="21"/>
        </w:rPr>
        <w:t>3、配置车辆要求</w:t>
      </w:r>
      <w:bookmarkEnd w:id="104"/>
      <w:bookmarkEnd w:id="105"/>
      <w:bookmarkEnd w:id="106"/>
    </w:p>
    <w:p w14:paraId="57D5D221">
      <w:pPr>
        <w:overflowPunct w:val="0"/>
        <w:adjustRightInd w:val="0"/>
        <w:spacing w:line="420" w:lineRule="exact"/>
        <w:ind w:firstLine="440" w:firstLineChars="200"/>
        <w:textAlignment w:val="bottom"/>
        <w:rPr>
          <w:rFonts w:ascii="宋体"/>
          <w:szCs w:val="21"/>
        </w:rPr>
      </w:pPr>
      <w:r>
        <w:rPr>
          <w:rFonts w:hint="eastAsia" w:ascii="宋体"/>
          <w:szCs w:val="21"/>
        </w:rPr>
        <w:t>（1）根据垃圾的类型和数量，自行科学合理的配置垃圾分类收集和运输车辆的种类、规格、数量；</w:t>
      </w:r>
    </w:p>
    <w:p w14:paraId="1F8404A8">
      <w:pPr>
        <w:overflowPunct w:val="0"/>
        <w:adjustRightInd w:val="0"/>
        <w:spacing w:line="420" w:lineRule="exact"/>
        <w:ind w:firstLine="440" w:firstLineChars="200"/>
        <w:textAlignment w:val="bottom"/>
        <w:rPr>
          <w:rFonts w:ascii="宋体"/>
          <w:szCs w:val="21"/>
        </w:rPr>
      </w:pPr>
      <w:r>
        <w:rPr>
          <w:rFonts w:hint="eastAsia" w:ascii="宋体"/>
          <w:szCs w:val="21"/>
        </w:rPr>
        <w:t>（2）垃圾运输车辆干净整洁（不准安装外挂袋），一日一洗，保持安全正常运转，定期维护，停放有序。</w:t>
      </w:r>
    </w:p>
    <w:p w14:paraId="10949E1E">
      <w:pPr>
        <w:overflowPunct w:val="0"/>
        <w:adjustRightInd w:val="0"/>
        <w:spacing w:line="420" w:lineRule="exact"/>
        <w:ind w:firstLine="440" w:firstLineChars="200"/>
        <w:textAlignment w:val="bottom"/>
        <w:rPr>
          <w:rFonts w:ascii="宋体"/>
          <w:szCs w:val="21"/>
        </w:rPr>
      </w:pPr>
      <w:r>
        <w:rPr>
          <w:rFonts w:hint="eastAsia" w:ascii="宋体"/>
          <w:szCs w:val="21"/>
        </w:rPr>
        <w:t>（3）垃圾运输车车身应印刷公司名称、编号、分类标识，字迹清晰、整洁。</w:t>
      </w:r>
    </w:p>
    <w:p w14:paraId="58A8A7BF">
      <w:pPr>
        <w:overflowPunct w:val="0"/>
        <w:adjustRightInd w:val="0"/>
        <w:spacing w:line="420" w:lineRule="exact"/>
        <w:ind w:firstLine="440" w:firstLineChars="200"/>
        <w:textAlignment w:val="bottom"/>
        <w:rPr>
          <w:rFonts w:ascii="宋体"/>
          <w:szCs w:val="21"/>
        </w:rPr>
      </w:pPr>
      <w:r>
        <w:rPr>
          <w:rFonts w:hint="eastAsia" w:ascii="宋体"/>
          <w:szCs w:val="21"/>
        </w:rPr>
        <w:t>（4）垃圾运输车辆应与垃圾中转站设施设备相配套，垃圾装卸方便。</w:t>
      </w:r>
    </w:p>
    <w:p w14:paraId="481A58C1">
      <w:pPr>
        <w:overflowPunct w:val="0"/>
        <w:adjustRightInd w:val="0"/>
        <w:spacing w:line="420" w:lineRule="exact"/>
        <w:ind w:firstLine="440" w:firstLineChars="200"/>
        <w:textAlignment w:val="bottom"/>
        <w:rPr>
          <w:rFonts w:ascii="宋体"/>
          <w:szCs w:val="21"/>
        </w:rPr>
      </w:pPr>
      <w:r>
        <w:rPr>
          <w:rFonts w:hint="eastAsia" w:ascii="宋体"/>
          <w:szCs w:val="21"/>
        </w:rPr>
        <w:t>（5）垃圾运输车辆应保证整车密封性，设有防遗洒、渗漏装置，确保运输过程中不扬、撤、拖挂，澎溢超载和污水滴漏。</w:t>
      </w:r>
    </w:p>
    <w:p w14:paraId="1456763E">
      <w:pPr>
        <w:overflowPunct w:val="0"/>
        <w:adjustRightInd w:val="0"/>
        <w:spacing w:line="420" w:lineRule="exact"/>
        <w:ind w:firstLine="440" w:firstLineChars="200"/>
        <w:textAlignment w:val="bottom"/>
        <w:rPr>
          <w:rFonts w:ascii="宋体"/>
          <w:szCs w:val="21"/>
        </w:rPr>
      </w:pPr>
      <w:r>
        <w:rPr>
          <w:rFonts w:hint="eastAsia" w:ascii="宋体"/>
          <w:szCs w:val="21"/>
        </w:rPr>
        <w:t>（6）垃圾运输车辆外部和垃圾箱体应完好无损，如遇磕碰漆皮脱落等应及时修补。</w:t>
      </w:r>
    </w:p>
    <w:p w14:paraId="275B198A">
      <w:pPr>
        <w:overflowPunct w:val="0"/>
        <w:snapToGrid w:val="0"/>
        <w:spacing w:line="420" w:lineRule="exact"/>
        <w:ind w:firstLine="442" w:firstLineChars="200"/>
        <w:outlineLvl w:val="3"/>
        <w:rPr>
          <w:rFonts w:ascii="宋体"/>
          <w:b/>
          <w:szCs w:val="21"/>
        </w:rPr>
      </w:pPr>
      <w:bookmarkStart w:id="107" w:name="_Toc27061"/>
      <w:bookmarkStart w:id="108" w:name="_Toc7444"/>
      <w:bookmarkStart w:id="109" w:name="_Toc18053"/>
      <w:r>
        <w:rPr>
          <w:rFonts w:hint="eastAsia" w:ascii="宋体"/>
          <w:b/>
          <w:szCs w:val="21"/>
        </w:rPr>
        <w:t>4、垃圾收集与清运作业要求</w:t>
      </w:r>
      <w:bookmarkEnd w:id="107"/>
      <w:bookmarkEnd w:id="108"/>
      <w:bookmarkEnd w:id="109"/>
    </w:p>
    <w:p w14:paraId="1C72AC93">
      <w:pPr>
        <w:overflowPunct w:val="0"/>
        <w:adjustRightInd w:val="0"/>
        <w:spacing w:line="420" w:lineRule="exact"/>
        <w:ind w:firstLine="440" w:firstLineChars="200"/>
        <w:textAlignment w:val="bottom"/>
        <w:rPr>
          <w:rFonts w:ascii="宋体"/>
          <w:szCs w:val="21"/>
        </w:rPr>
      </w:pPr>
      <w:r>
        <w:rPr>
          <w:rFonts w:hint="eastAsia" w:ascii="宋体"/>
          <w:szCs w:val="21"/>
        </w:rPr>
        <w:t>（1）道路、公园、广场、绿地垃圾收集及清运</w:t>
      </w:r>
    </w:p>
    <w:p w14:paraId="756DA7A7">
      <w:pPr>
        <w:overflowPunct w:val="0"/>
        <w:adjustRightInd w:val="0"/>
        <w:spacing w:line="420" w:lineRule="exact"/>
        <w:ind w:firstLine="550" w:firstLineChars="250"/>
        <w:textAlignment w:val="bottom"/>
        <w:rPr>
          <w:rFonts w:ascii="宋体"/>
          <w:szCs w:val="21"/>
        </w:rPr>
      </w:pPr>
      <w:r>
        <w:rPr>
          <w:rFonts w:hint="eastAsia" w:ascii="宋体"/>
          <w:szCs w:val="21"/>
        </w:rPr>
        <w:t>1）每日生活垃圾必须日产日清，及时收集清运，在作业和运输过程中不得遗洒垃圾和污水。</w:t>
      </w:r>
    </w:p>
    <w:p w14:paraId="3C251409">
      <w:pPr>
        <w:overflowPunct w:val="0"/>
        <w:adjustRightInd w:val="0"/>
        <w:spacing w:line="420" w:lineRule="exact"/>
        <w:ind w:firstLine="550" w:firstLineChars="250"/>
        <w:textAlignment w:val="bottom"/>
        <w:rPr>
          <w:rFonts w:ascii="宋体"/>
          <w:szCs w:val="21"/>
        </w:rPr>
      </w:pPr>
      <w:r>
        <w:rPr>
          <w:rFonts w:hint="eastAsia" w:ascii="宋体"/>
          <w:szCs w:val="21"/>
        </w:rPr>
        <w:t>2）废物箱（果壳箱、垃圾桶）、垃圾坞无四害孳生, 无积压、溢满，废物箱（果壳箱、垃圾桶）周围散落垃圾及时收集清运。</w:t>
      </w:r>
    </w:p>
    <w:p w14:paraId="2F23A15B">
      <w:pPr>
        <w:overflowPunct w:val="0"/>
        <w:adjustRightInd w:val="0"/>
        <w:spacing w:line="420" w:lineRule="exact"/>
        <w:ind w:firstLine="550" w:firstLineChars="250"/>
        <w:textAlignment w:val="bottom"/>
        <w:rPr>
          <w:rFonts w:ascii="宋体"/>
          <w:szCs w:val="21"/>
        </w:rPr>
      </w:pPr>
      <w:r>
        <w:rPr>
          <w:rFonts w:hint="eastAsia" w:ascii="宋体"/>
          <w:szCs w:val="21"/>
        </w:rPr>
        <w:t>3）果壳箱垃圾收集每日不少于1次、垃圾桶垃圾收集每日不少于3次、垃圾坞垃圾收集每日不少于3次。学校、医院、农贸市场、车站等重要区域应按实际需要增加收集与清运频次。</w:t>
      </w:r>
    </w:p>
    <w:p w14:paraId="076B0474">
      <w:pPr>
        <w:overflowPunct w:val="0"/>
        <w:adjustRightInd w:val="0"/>
        <w:spacing w:line="420" w:lineRule="exact"/>
        <w:ind w:firstLine="550" w:firstLineChars="250"/>
        <w:textAlignment w:val="bottom"/>
        <w:rPr>
          <w:rFonts w:ascii="宋体"/>
          <w:szCs w:val="21"/>
        </w:rPr>
      </w:pPr>
      <w:r>
        <w:rPr>
          <w:rFonts w:hint="eastAsia" w:ascii="宋体"/>
          <w:szCs w:val="21"/>
        </w:rPr>
        <w:t>4）作业时车辆应靠边停放，不能太靠近车行线。</w:t>
      </w:r>
    </w:p>
    <w:p w14:paraId="72A4403C">
      <w:pPr>
        <w:overflowPunct w:val="0"/>
        <w:adjustRightInd w:val="0"/>
        <w:spacing w:line="420" w:lineRule="exact"/>
        <w:ind w:firstLine="550" w:firstLineChars="250"/>
        <w:textAlignment w:val="bottom"/>
        <w:rPr>
          <w:rFonts w:ascii="宋体"/>
          <w:szCs w:val="21"/>
        </w:rPr>
      </w:pPr>
      <w:r>
        <w:rPr>
          <w:rFonts w:hint="eastAsia" w:ascii="宋体"/>
          <w:szCs w:val="21"/>
        </w:rPr>
        <w:t>5）车辆上的作业工具应摆放整齐，不能对交通安全产生影响。</w:t>
      </w:r>
    </w:p>
    <w:p w14:paraId="27A57745">
      <w:pPr>
        <w:overflowPunct w:val="0"/>
        <w:adjustRightInd w:val="0"/>
        <w:spacing w:line="420" w:lineRule="exact"/>
        <w:ind w:firstLine="550" w:firstLineChars="250"/>
        <w:textAlignment w:val="bottom"/>
        <w:rPr>
          <w:rFonts w:ascii="宋体"/>
          <w:szCs w:val="21"/>
        </w:rPr>
      </w:pPr>
      <w:r>
        <w:rPr>
          <w:rFonts w:hint="eastAsia" w:ascii="宋体"/>
          <w:szCs w:val="21"/>
        </w:rPr>
        <w:t>6）对已经实施垃圾分类的区域或单位，须进行分类收集、分类运输，分类运输车辆分类标识应完整清晰。</w:t>
      </w:r>
    </w:p>
    <w:p w14:paraId="7E329367">
      <w:pPr>
        <w:pStyle w:val="19"/>
        <w:overflowPunct w:val="0"/>
        <w:spacing w:line="420" w:lineRule="exact"/>
        <w:ind w:left="440" w:firstLine="110" w:firstLineChars="50"/>
        <w:rPr>
          <w:rFonts w:ascii="宋体"/>
          <w:szCs w:val="21"/>
        </w:rPr>
      </w:pPr>
      <w:r>
        <w:rPr>
          <w:rFonts w:hint="eastAsia" w:ascii="宋体"/>
          <w:szCs w:val="21"/>
        </w:rPr>
        <w:t>7）驾驶员应文明行车、车辆运输尽量避开人口密集区和交通拥堵区。</w:t>
      </w:r>
    </w:p>
    <w:p w14:paraId="6E5C7D1F">
      <w:pPr>
        <w:overflowPunct w:val="0"/>
        <w:adjustRightInd w:val="0"/>
        <w:spacing w:line="420" w:lineRule="exact"/>
        <w:ind w:firstLine="440" w:firstLineChars="200"/>
        <w:textAlignment w:val="bottom"/>
        <w:rPr>
          <w:rFonts w:ascii="宋体" w:hAnsi="宋体"/>
          <w:szCs w:val="21"/>
        </w:rPr>
      </w:pPr>
      <w:r>
        <w:rPr>
          <w:rFonts w:ascii="宋体"/>
          <w:szCs w:val="21"/>
        </w:rPr>
        <w:t>（</w:t>
      </w:r>
      <w:r>
        <w:rPr>
          <w:rFonts w:hint="eastAsia" w:ascii="宋体"/>
          <w:szCs w:val="21"/>
          <w:lang w:val="en-US" w:eastAsia="zh-CN"/>
        </w:rPr>
        <w:t>2</w:t>
      </w:r>
      <w:r>
        <w:rPr>
          <w:rFonts w:ascii="宋体"/>
          <w:szCs w:val="21"/>
        </w:rPr>
        <w:t>）</w:t>
      </w:r>
      <w:r>
        <w:rPr>
          <w:rFonts w:hint="eastAsia"/>
          <w:szCs w:val="21"/>
        </w:rPr>
        <w:t>机关事业单位、学校、企业、物管小区、经营性场所</w:t>
      </w:r>
      <w:r>
        <w:rPr>
          <w:rFonts w:ascii="宋体"/>
          <w:szCs w:val="21"/>
        </w:rPr>
        <w:t>等垃圾收运</w:t>
      </w:r>
    </w:p>
    <w:p w14:paraId="5D160DD2">
      <w:pPr>
        <w:overflowPunct w:val="0"/>
        <w:adjustRightInd w:val="0"/>
        <w:spacing w:line="420" w:lineRule="exact"/>
        <w:ind w:firstLine="440" w:firstLineChars="200"/>
        <w:textAlignment w:val="bottom"/>
        <w:rPr>
          <w:rFonts w:ascii="宋体" w:hAnsi="宋体"/>
          <w:szCs w:val="21"/>
        </w:rPr>
      </w:pPr>
      <w:r>
        <w:rPr>
          <w:rFonts w:ascii="宋体" w:hAnsi="宋体"/>
          <w:szCs w:val="21"/>
        </w:rPr>
        <w:t>1）中标供应商中标后积极对接</w:t>
      </w:r>
      <w:r>
        <w:rPr>
          <w:rFonts w:hint="eastAsia"/>
          <w:szCs w:val="21"/>
        </w:rPr>
        <w:t>机关事业单位、学校、企业、物管小区、经营性场所</w:t>
      </w:r>
      <w:r>
        <w:rPr>
          <w:rFonts w:ascii="宋体" w:hAnsi="宋体"/>
          <w:szCs w:val="21"/>
        </w:rPr>
        <w:t>，提出合理化的垃圾收集点设置方案和收运流程，已经实施垃圾分类的须</w:t>
      </w:r>
      <w:r>
        <w:rPr>
          <w:rFonts w:hint="eastAsia" w:ascii="宋体" w:hAnsi="宋体"/>
          <w:szCs w:val="21"/>
        </w:rPr>
        <w:t>按</w:t>
      </w:r>
      <w:r>
        <w:rPr>
          <w:rFonts w:ascii="宋体" w:hAnsi="宋体"/>
          <w:szCs w:val="21"/>
        </w:rPr>
        <w:t>分类要求进行收集运输</w:t>
      </w:r>
      <w:r>
        <w:rPr>
          <w:rFonts w:hint="eastAsia" w:ascii="宋体" w:hAnsi="宋体"/>
          <w:szCs w:val="21"/>
        </w:rPr>
        <w:t>，</w:t>
      </w:r>
      <w:r>
        <w:rPr>
          <w:rFonts w:ascii="宋体" w:hAnsi="宋体"/>
          <w:szCs w:val="21"/>
        </w:rPr>
        <w:t>同时制作定时定点上门垃圾收集宣传手册进行发放。</w:t>
      </w:r>
    </w:p>
    <w:p w14:paraId="2241ED0F">
      <w:pPr>
        <w:overflowPunct w:val="0"/>
        <w:adjustRightInd w:val="0"/>
        <w:spacing w:line="420" w:lineRule="exact"/>
        <w:ind w:firstLine="440" w:firstLineChars="200"/>
        <w:textAlignment w:val="bottom"/>
        <w:rPr>
          <w:rFonts w:ascii="宋体" w:hAnsi="宋体"/>
          <w:szCs w:val="21"/>
        </w:rPr>
      </w:pPr>
      <w:r>
        <w:rPr>
          <w:rFonts w:ascii="宋体" w:hAnsi="宋体"/>
          <w:szCs w:val="21"/>
        </w:rPr>
        <w:t>2）</w:t>
      </w:r>
      <w:r>
        <w:rPr>
          <w:rFonts w:hint="eastAsia"/>
          <w:szCs w:val="21"/>
        </w:rPr>
        <w:t>机关事业单位、学校、企业、物管小区、经营性场所</w:t>
      </w:r>
      <w:r>
        <w:rPr>
          <w:rFonts w:ascii="宋体" w:hAnsi="宋体"/>
          <w:szCs w:val="21"/>
        </w:rPr>
        <w:t>等因垃圾分类不到位或拒缴垃圾处理</w:t>
      </w:r>
      <w:r>
        <w:rPr>
          <w:rFonts w:hint="eastAsia" w:ascii="宋体" w:hAnsi="宋体"/>
          <w:szCs w:val="21"/>
        </w:rPr>
        <w:t>费</w:t>
      </w:r>
      <w:r>
        <w:rPr>
          <w:rFonts w:ascii="宋体" w:hAnsi="宋体"/>
          <w:szCs w:val="21"/>
        </w:rPr>
        <w:t>，采购人需要采取垃圾暂停清运服务的，中标供应商要无条件予以配合，</w:t>
      </w:r>
      <w:r>
        <w:rPr>
          <w:rFonts w:hint="eastAsia" w:ascii="宋体" w:hAnsi="宋体"/>
          <w:szCs w:val="21"/>
        </w:rPr>
        <w:t>每</w:t>
      </w:r>
      <w:r>
        <w:rPr>
          <w:rFonts w:ascii="宋体" w:hAnsi="宋体"/>
          <w:szCs w:val="21"/>
        </w:rPr>
        <w:t>发现一次不配合扣罚</w:t>
      </w:r>
      <w:r>
        <w:rPr>
          <w:rFonts w:hint="eastAsia" w:ascii="宋体" w:hAnsi="宋体"/>
          <w:szCs w:val="21"/>
        </w:rPr>
        <w:t>5</w:t>
      </w:r>
      <w:r>
        <w:rPr>
          <w:rFonts w:ascii="宋体" w:hAnsi="宋体"/>
          <w:szCs w:val="21"/>
        </w:rPr>
        <w:t>000元。</w:t>
      </w:r>
    </w:p>
    <w:p w14:paraId="0664A08C">
      <w:pPr>
        <w:overflowPunct w:val="0"/>
        <w:adjustRightInd w:val="0"/>
        <w:spacing w:line="420" w:lineRule="exact"/>
        <w:ind w:firstLine="440" w:firstLineChars="200"/>
        <w:textAlignment w:val="bottom"/>
        <w:rPr>
          <w:rFonts w:ascii="宋体" w:hAnsi="宋体"/>
          <w:szCs w:val="21"/>
        </w:rPr>
      </w:pPr>
      <w:r>
        <w:rPr>
          <w:rFonts w:ascii="宋体" w:hAnsi="宋体"/>
          <w:szCs w:val="21"/>
        </w:rPr>
        <w:t>3）</w:t>
      </w:r>
      <w:bookmarkStart w:id="110" w:name="_Hlk69252428"/>
      <w:r>
        <w:rPr>
          <w:rFonts w:hint="eastAsia"/>
          <w:szCs w:val="21"/>
        </w:rPr>
        <w:t>机关事业单位、学校、企业、物管小区、经营性场所</w:t>
      </w:r>
      <w:bookmarkEnd w:id="110"/>
      <w:r>
        <w:rPr>
          <w:rFonts w:ascii="宋体" w:hAnsi="宋体"/>
          <w:szCs w:val="21"/>
        </w:rPr>
        <w:t>，设置1-2处垃圾集中收集点供保洁公司收运。垃圾产生单位提供按分类要求垃圾收集容器，并负责清洗和维护。</w:t>
      </w:r>
    </w:p>
    <w:p w14:paraId="789B7228">
      <w:pPr>
        <w:overflowPunct w:val="0"/>
        <w:snapToGrid w:val="0"/>
        <w:spacing w:line="420" w:lineRule="exact"/>
        <w:ind w:firstLine="442" w:firstLineChars="200"/>
        <w:outlineLvl w:val="3"/>
        <w:rPr>
          <w:rFonts w:ascii="宋体"/>
          <w:b/>
          <w:szCs w:val="21"/>
          <w:highlight w:val="none"/>
        </w:rPr>
      </w:pPr>
      <w:bookmarkStart w:id="111" w:name="_Toc29834"/>
      <w:bookmarkStart w:id="112" w:name="_Toc3868"/>
      <w:bookmarkStart w:id="113" w:name="_Toc24779"/>
      <w:r>
        <w:rPr>
          <w:rFonts w:hint="eastAsia" w:ascii="宋体"/>
          <w:b/>
          <w:szCs w:val="21"/>
          <w:highlight w:val="none"/>
        </w:rPr>
        <w:t>5、特殊要求</w:t>
      </w:r>
      <w:bookmarkEnd w:id="111"/>
      <w:bookmarkEnd w:id="112"/>
      <w:bookmarkEnd w:id="113"/>
    </w:p>
    <w:p w14:paraId="6130C3E3">
      <w:pPr>
        <w:overflowPunct w:val="0"/>
        <w:adjustRightInd w:val="0"/>
        <w:spacing w:line="420" w:lineRule="exact"/>
        <w:ind w:firstLine="440" w:firstLineChars="200"/>
        <w:textAlignment w:val="bottom"/>
        <w:rPr>
          <w:rFonts w:ascii="宋体"/>
          <w:szCs w:val="21"/>
          <w:highlight w:val="none"/>
        </w:rPr>
      </w:pPr>
      <w:r>
        <w:rPr>
          <w:rFonts w:hint="eastAsia" w:ascii="宋体"/>
          <w:szCs w:val="21"/>
          <w:highlight w:val="none"/>
        </w:rPr>
        <w:t>（1）</w:t>
      </w:r>
      <w:r>
        <w:rPr>
          <w:rFonts w:hint="eastAsia" w:ascii="宋体" w:hAnsi="宋体" w:cs="宋体"/>
          <w:szCs w:val="21"/>
          <w:highlight w:val="none"/>
        </w:rPr>
        <w:t>本项目清扫保洁、垃圾清运范围限定于招标行政区域内，不经采购人及相关部门同意，不得到区域外清扫保洁作业或将行政区域外垃圾运输至本区域内</w:t>
      </w:r>
      <w:r>
        <w:rPr>
          <w:rFonts w:hint="eastAsia" w:ascii="宋体"/>
          <w:szCs w:val="21"/>
          <w:highlight w:val="none"/>
        </w:rPr>
        <w:t>。</w:t>
      </w:r>
    </w:p>
    <w:p w14:paraId="161AEFF6">
      <w:pPr>
        <w:overflowPunct w:val="0"/>
        <w:adjustRightInd w:val="0"/>
        <w:spacing w:line="420" w:lineRule="exact"/>
        <w:ind w:firstLine="440" w:firstLineChars="200"/>
        <w:textAlignment w:val="bottom"/>
        <w:rPr>
          <w:rFonts w:ascii="宋体"/>
          <w:szCs w:val="21"/>
          <w:highlight w:val="none"/>
        </w:rPr>
      </w:pPr>
      <w:r>
        <w:rPr>
          <w:rFonts w:hint="eastAsia" w:ascii="宋体"/>
          <w:szCs w:val="21"/>
          <w:highlight w:val="none"/>
        </w:rPr>
        <w:t>（2）后续中转站进行市场化经营、改造提升的，中标供应商须服从采购人、中转站运营方的相关管理规定。</w:t>
      </w:r>
    </w:p>
    <w:p w14:paraId="38C46A23">
      <w:pPr>
        <w:overflowPunct w:val="0"/>
        <w:adjustRightInd w:val="0"/>
        <w:spacing w:line="420" w:lineRule="exact"/>
        <w:ind w:firstLine="440" w:firstLineChars="200"/>
        <w:textAlignment w:val="bottom"/>
        <w:rPr>
          <w:rFonts w:ascii="宋体"/>
          <w:szCs w:val="21"/>
          <w:highlight w:val="none"/>
        </w:rPr>
      </w:pPr>
      <w:r>
        <w:rPr>
          <w:rFonts w:hint="eastAsia" w:ascii="宋体"/>
          <w:szCs w:val="21"/>
          <w:highlight w:val="none"/>
        </w:rPr>
        <w:t>（3）当垃圾中转站运力不足时或采购人有特殊要求时，使用重型压缩车直运至采购人指定垃圾焚烧厂，相关费用包含在投标报价内。</w:t>
      </w:r>
    </w:p>
    <w:p w14:paraId="00C45138">
      <w:pPr>
        <w:adjustRightInd w:val="0"/>
        <w:snapToGrid w:val="0"/>
        <w:spacing w:before="156" w:beforeLines="50" w:after="156" w:afterLines="50" w:line="420" w:lineRule="exact"/>
        <w:rPr>
          <w:rFonts w:ascii="宋体" w:hAnsi="宋体" w:cs="Arial"/>
          <w:b/>
          <w:bCs/>
        </w:rPr>
      </w:pPr>
      <w:bookmarkStart w:id="114" w:name="_Toc5589"/>
      <w:bookmarkStart w:id="115" w:name="_Toc22345"/>
      <w:bookmarkStart w:id="116" w:name="_Toc64913339"/>
      <w:bookmarkStart w:id="117" w:name="_Toc20881"/>
      <w:bookmarkStart w:id="118" w:name="_Toc64901755"/>
      <w:r>
        <w:rPr>
          <w:rFonts w:hint="eastAsia" w:ascii="宋体" w:hAnsi="宋体" w:cs="Arial"/>
          <w:b/>
          <w:bCs/>
        </w:rPr>
        <w:t>（七）垃圾分类要求</w:t>
      </w:r>
      <w:bookmarkEnd w:id="114"/>
      <w:bookmarkEnd w:id="115"/>
      <w:bookmarkEnd w:id="116"/>
      <w:bookmarkEnd w:id="117"/>
      <w:bookmarkEnd w:id="118"/>
    </w:p>
    <w:p w14:paraId="14CAC1A7">
      <w:pPr>
        <w:overflowPunct w:val="0"/>
        <w:snapToGrid w:val="0"/>
        <w:spacing w:line="420" w:lineRule="exact"/>
        <w:ind w:firstLine="442" w:firstLineChars="200"/>
        <w:outlineLvl w:val="3"/>
        <w:rPr>
          <w:rFonts w:ascii="宋体"/>
          <w:b/>
          <w:szCs w:val="21"/>
        </w:rPr>
      </w:pPr>
      <w:bookmarkStart w:id="119" w:name="_Toc16356"/>
      <w:bookmarkStart w:id="120" w:name="_Toc7044"/>
      <w:bookmarkStart w:id="121" w:name="_Toc31042"/>
      <w:r>
        <w:rPr>
          <w:rFonts w:hint="eastAsia" w:ascii="宋体"/>
          <w:b/>
          <w:szCs w:val="21"/>
        </w:rPr>
        <w:t>1、垃圾分类范围</w:t>
      </w:r>
      <w:bookmarkEnd w:id="119"/>
      <w:bookmarkEnd w:id="120"/>
      <w:bookmarkEnd w:id="121"/>
    </w:p>
    <w:p w14:paraId="54FA0CFC">
      <w:pPr>
        <w:overflowPunct w:val="0"/>
        <w:adjustRightInd w:val="0"/>
        <w:spacing w:line="420" w:lineRule="exact"/>
        <w:ind w:firstLine="440" w:firstLineChars="200"/>
        <w:textAlignment w:val="bottom"/>
        <w:rPr>
          <w:rFonts w:ascii="宋体"/>
          <w:szCs w:val="21"/>
        </w:rPr>
      </w:pPr>
      <w:r>
        <w:rPr>
          <w:rFonts w:hint="eastAsia" w:ascii="宋体"/>
          <w:szCs w:val="21"/>
        </w:rPr>
        <w:t>保洁区域内的垃圾分类收集及运输。</w:t>
      </w:r>
    </w:p>
    <w:p w14:paraId="327EEC79">
      <w:pPr>
        <w:overflowPunct w:val="0"/>
        <w:snapToGrid w:val="0"/>
        <w:spacing w:line="420" w:lineRule="exact"/>
        <w:ind w:firstLine="442" w:firstLineChars="200"/>
        <w:outlineLvl w:val="3"/>
        <w:rPr>
          <w:rFonts w:ascii="宋体"/>
          <w:b/>
          <w:szCs w:val="21"/>
        </w:rPr>
      </w:pPr>
      <w:bookmarkStart w:id="122" w:name="_Toc11641"/>
      <w:bookmarkStart w:id="123" w:name="_Toc18899"/>
      <w:bookmarkStart w:id="124" w:name="_Toc22142"/>
      <w:r>
        <w:rPr>
          <w:rFonts w:hint="eastAsia" w:ascii="宋体"/>
          <w:b/>
          <w:szCs w:val="21"/>
        </w:rPr>
        <w:t>2、垃圾分类质量要求</w:t>
      </w:r>
      <w:bookmarkEnd w:id="122"/>
      <w:bookmarkEnd w:id="123"/>
      <w:bookmarkEnd w:id="124"/>
    </w:p>
    <w:p w14:paraId="6B93C9E7">
      <w:pPr>
        <w:overflowPunct w:val="0"/>
        <w:adjustRightInd w:val="0"/>
        <w:spacing w:line="420" w:lineRule="exact"/>
        <w:ind w:firstLine="440" w:firstLineChars="200"/>
        <w:textAlignment w:val="bottom"/>
        <w:rPr>
          <w:rFonts w:ascii="宋体"/>
          <w:szCs w:val="21"/>
        </w:rPr>
      </w:pPr>
      <w:r>
        <w:rPr>
          <w:rFonts w:hint="eastAsia" w:ascii="宋体"/>
          <w:szCs w:val="21"/>
        </w:rPr>
        <w:t>按照确定的分类方法以及年度工作目标，科学合理设置生活垃圾分类运输路线，统一配置数量充足、规格适宜、标识醒目一致的分类运输车辆，确保垃圾分类运输率达到100%。</w:t>
      </w:r>
    </w:p>
    <w:p w14:paraId="0EF4988C">
      <w:pPr>
        <w:overflowPunct w:val="0"/>
        <w:snapToGrid w:val="0"/>
        <w:spacing w:line="420" w:lineRule="exact"/>
        <w:ind w:firstLine="442" w:firstLineChars="200"/>
        <w:outlineLvl w:val="3"/>
        <w:rPr>
          <w:rFonts w:ascii="宋体"/>
          <w:b/>
          <w:szCs w:val="21"/>
        </w:rPr>
      </w:pPr>
      <w:bookmarkStart w:id="125" w:name="_Toc3505"/>
      <w:bookmarkStart w:id="126" w:name="_Toc3679"/>
      <w:bookmarkStart w:id="127" w:name="_Toc19616"/>
      <w:r>
        <w:rPr>
          <w:rFonts w:hint="eastAsia" w:ascii="宋体"/>
          <w:b/>
          <w:szCs w:val="21"/>
        </w:rPr>
        <w:t>3、垃圾分类作业要求</w:t>
      </w:r>
      <w:bookmarkEnd w:id="125"/>
      <w:bookmarkEnd w:id="126"/>
      <w:bookmarkEnd w:id="127"/>
    </w:p>
    <w:p w14:paraId="63A504CE">
      <w:pPr>
        <w:autoSpaceDE w:val="0"/>
        <w:autoSpaceDN w:val="0"/>
        <w:adjustRightInd w:val="0"/>
        <w:spacing w:line="420" w:lineRule="exact"/>
        <w:ind w:firstLine="440" w:firstLineChars="200"/>
        <w:textAlignment w:val="bottom"/>
        <w:outlineLvl w:val="4"/>
        <w:rPr>
          <w:szCs w:val="22"/>
        </w:rPr>
      </w:pPr>
      <w:r>
        <w:rPr>
          <w:rFonts w:hint="eastAsia"/>
          <w:szCs w:val="22"/>
        </w:rPr>
        <w:t>（1）易腐垃圾收集</w:t>
      </w:r>
    </w:p>
    <w:p w14:paraId="760BB0C7">
      <w:pPr>
        <w:autoSpaceDE w:val="0"/>
        <w:autoSpaceDN w:val="0"/>
        <w:adjustRightInd w:val="0"/>
        <w:spacing w:line="420" w:lineRule="exact"/>
        <w:ind w:firstLine="440" w:firstLineChars="200"/>
        <w:textAlignment w:val="bottom"/>
        <w:rPr>
          <w:rFonts w:ascii="宋体"/>
          <w:szCs w:val="21"/>
        </w:rPr>
      </w:pPr>
      <w:r>
        <w:rPr>
          <w:rFonts w:hint="eastAsia" w:ascii="宋体"/>
          <w:szCs w:val="21"/>
        </w:rPr>
        <w:t>1）频次：每天收集不少于2次，有特殊需求的须及时收集。</w:t>
      </w:r>
    </w:p>
    <w:p w14:paraId="0EF3D67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40" w:firstLineChars="200"/>
        <w:textAlignment w:val="bottom"/>
        <w:rPr>
          <w:highlight w:val="none"/>
        </w:rPr>
      </w:pPr>
      <w:r>
        <w:rPr>
          <w:rFonts w:hint="eastAsia" w:ascii="宋体"/>
          <w:szCs w:val="21"/>
        </w:rPr>
        <w:t>2</w:t>
      </w:r>
      <w:r>
        <w:rPr>
          <w:rFonts w:hint="eastAsia" w:ascii="宋体"/>
          <w:szCs w:val="21"/>
          <w:highlight w:val="none"/>
        </w:rPr>
        <w:t>）要求：保洁区域内的易腐垃圾由中标单位采用专用运输车辆运送至采购单位指定的易腐垃圾处理中心进行处理，但保洁区域内的大中型</w:t>
      </w:r>
      <w:r>
        <w:rPr>
          <w:rFonts w:hint="eastAsia"/>
          <w:highlight w:val="none"/>
        </w:rPr>
        <w:t>酒店、餐饮单位的餐厨垃圾由第三方餐厨垃圾收运公司负责收运处理的除外。</w:t>
      </w:r>
    </w:p>
    <w:p w14:paraId="440D6E70">
      <w:pPr>
        <w:autoSpaceDE w:val="0"/>
        <w:autoSpaceDN w:val="0"/>
        <w:adjustRightInd w:val="0"/>
        <w:spacing w:line="420" w:lineRule="exact"/>
        <w:ind w:firstLine="440" w:firstLineChars="200"/>
        <w:textAlignment w:val="bottom"/>
        <w:outlineLvl w:val="4"/>
        <w:rPr>
          <w:szCs w:val="22"/>
          <w:highlight w:val="none"/>
        </w:rPr>
      </w:pPr>
      <w:r>
        <w:rPr>
          <w:rFonts w:hint="eastAsia"/>
          <w:szCs w:val="22"/>
          <w:highlight w:val="none"/>
        </w:rPr>
        <w:t>（2）可回收物收集</w:t>
      </w:r>
    </w:p>
    <w:p w14:paraId="6D08D7A7">
      <w:pPr>
        <w:autoSpaceDE w:val="0"/>
        <w:autoSpaceDN w:val="0"/>
        <w:adjustRightInd w:val="0"/>
        <w:spacing w:line="420" w:lineRule="exact"/>
        <w:ind w:firstLine="440" w:firstLineChars="200"/>
        <w:textAlignment w:val="bottom"/>
        <w:rPr>
          <w:rFonts w:ascii="宋体"/>
          <w:szCs w:val="21"/>
        </w:rPr>
      </w:pPr>
      <w:r>
        <w:rPr>
          <w:rFonts w:hint="eastAsia" w:ascii="宋体"/>
          <w:szCs w:val="21"/>
        </w:rPr>
        <w:t>1）频次：每天收集不少于2次，有特殊需求的须及时收集。</w:t>
      </w:r>
    </w:p>
    <w:p w14:paraId="7A4C9D2A">
      <w:pPr>
        <w:autoSpaceDE w:val="0"/>
        <w:autoSpaceDN w:val="0"/>
        <w:adjustRightInd w:val="0"/>
        <w:spacing w:line="420" w:lineRule="exact"/>
        <w:ind w:firstLine="440" w:firstLineChars="200"/>
        <w:textAlignment w:val="bottom"/>
        <w:rPr>
          <w:rFonts w:ascii="宋体"/>
          <w:szCs w:val="21"/>
        </w:rPr>
      </w:pPr>
      <w:r>
        <w:rPr>
          <w:rFonts w:hint="eastAsia" w:ascii="宋体"/>
          <w:szCs w:val="21"/>
        </w:rPr>
        <w:t>2）要求：所有区域内的可回收物，由中标供应商统一采用专用车辆收运至采购人指定的第三方回收中心。</w:t>
      </w:r>
    </w:p>
    <w:p w14:paraId="39598CE2">
      <w:pPr>
        <w:autoSpaceDE w:val="0"/>
        <w:autoSpaceDN w:val="0"/>
        <w:adjustRightInd w:val="0"/>
        <w:spacing w:line="420" w:lineRule="exact"/>
        <w:ind w:firstLine="440" w:firstLineChars="200"/>
        <w:textAlignment w:val="bottom"/>
        <w:outlineLvl w:val="4"/>
        <w:rPr>
          <w:rFonts w:ascii="宋体"/>
          <w:szCs w:val="21"/>
        </w:rPr>
      </w:pPr>
      <w:r>
        <w:rPr>
          <w:rFonts w:hint="eastAsia" w:ascii="宋体"/>
          <w:szCs w:val="21"/>
        </w:rPr>
        <w:t>（3）有害垃圾收集</w:t>
      </w:r>
    </w:p>
    <w:p w14:paraId="3A5C627A">
      <w:pPr>
        <w:autoSpaceDE w:val="0"/>
        <w:autoSpaceDN w:val="0"/>
        <w:adjustRightInd w:val="0"/>
        <w:spacing w:line="420" w:lineRule="exact"/>
        <w:ind w:firstLine="440" w:firstLineChars="200"/>
        <w:textAlignment w:val="bottom"/>
        <w:rPr>
          <w:rFonts w:ascii="宋体"/>
          <w:szCs w:val="21"/>
        </w:rPr>
      </w:pPr>
      <w:r>
        <w:rPr>
          <w:rFonts w:hint="eastAsia" w:ascii="宋体"/>
          <w:szCs w:val="21"/>
        </w:rPr>
        <w:t>1）频次：每月收集不少于2次，有特殊需求的须及时收集并做好登记，如实记录有害垃圾来源、重量等相关信息。</w:t>
      </w:r>
    </w:p>
    <w:p w14:paraId="0685026A">
      <w:pPr>
        <w:autoSpaceDE w:val="0"/>
        <w:autoSpaceDN w:val="0"/>
        <w:adjustRightInd w:val="0"/>
        <w:spacing w:line="420" w:lineRule="exact"/>
        <w:ind w:firstLine="440" w:firstLineChars="200"/>
        <w:textAlignment w:val="bottom"/>
        <w:rPr>
          <w:rFonts w:ascii="宋体"/>
          <w:szCs w:val="21"/>
        </w:rPr>
      </w:pPr>
      <w:r>
        <w:rPr>
          <w:rFonts w:hint="eastAsia" w:ascii="宋体"/>
          <w:szCs w:val="21"/>
        </w:rPr>
        <w:t>2）要求：</w:t>
      </w:r>
    </w:p>
    <w:p w14:paraId="542B8D19">
      <w:pPr>
        <w:widowControl/>
        <w:numPr>
          <w:ilvl w:val="0"/>
          <w:numId w:val="4"/>
        </w:numPr>
        <w:autoSpaceDE w:val="0"/>
        <w:autoSpaceDN w:val="0"/>
        <w:adjustRightInd w:val="0"/>
        <w:spacing w:line="420" w:lineRule="exact"/>
        <w:ind w:left="0" w:firstLine="440" w:firstLineChars="200"/>
        <w:jc w:val="left"/>
        <w:textAlignment w:val="bottom"/>
        <w:rPr>
          <w:rFonts w:ascii="宋体"/>
          <w:szCs w:val="21"/>
        </w:rPr>
      </w:pPr>
      <w:r>
        <w:rPr>
          <w:rFonts w:hint="eastAsia" w:ascii="宋体"/>
          <w:szCs w:val="21"/>
        </w:rPr>
        <w:t>做到当天收集当天入库，不得将装有有害垃圾的车辆随意停放。</w:t>
      </w:r>
    </w:p>
    <w:p w14:paraId="45E45E1D">
      <w:pPr>
        <w:widowControl/>
        <w:numPr>
          <w:ilvl w:val="0"/>
          <w:numId w:val="4"/>
        </w:numPr>
        <w:autoSpaceDE w:val="0"/>
        <w:autoSpaceDN w:val="0"/>
        <w:adjustRightInd w:val="0"/>
        <w:spacing w:line="420" w:lineRule="exact"/>
        <w:ind w:left="0" w:firstLine="440" w:firstLineChars="200"/>
        <w:jc w:val="left"/>
        <w:textAlignment w:val="bottom"/>
        <w:rPr>
          <w:rFonts w:ascii="宋体"/>
          <w:szCs w:val="21"/>
        </w:rPr>
      </w:pPr>
      <w:r>
        <w:rPr>
          <w:rFonts w:hint="eastAsia" w:ascii="宋体"/>
          <w:szCs w:val="21"/>
        </w:rPr>
        <w:t>有害垃圾收集必须专人、专车，配备专用封闭车辆或封闭容器，收集过程须保持全程封闭，无遗洒、飘撒。</w:t>
      </w:r>
    </w:p>
    <w:p w14:paraId="55F19E79">
      <w:pPr>
        <w:widowControl/>
        <w:numPr>
          <w:ilvl w:val="0"/>
          <w:numId w:val="4"/>
        </w:numPr>
        <w:autoSpaceDE w:val="0"/>
        <w:autoSpaceDN w:val="0"/>
        <w:adjustRightInd w:val="0"/>
        <w:spacing w:line="420" w:lineRule="exact"/>
        <w:ind w:left="0" w:firstLine="440" w:firstLineChars="200"/>
        <w:jc w:val="left"/>
        <w:textAlignment w:val="bottom"/>
        <w:rPr>
          <w:rFonts w:ascii="宋体"/>
          <w:szCs w:val="21"/>
        </w:rPr>
      </w:pPr>
      <w:r>
        <w:rPr>
          <w:rFonts w:hint="eastAsia" w:ascii="宋体"/>
          <w:szCs w:val="21"/>
        </w:rPr>
        <w:t>收集人员做好自身防护，作业车辆配备灭火器，作业期间严禁烟火。</w:t>
      </w:r>
    </w:p>
    <w:p w14:paraId="78900A32">
      <w:pPr>
        <w:widowControl/>
        <w:numPr>
          <w:ilvl w:val="0"/>
          <w:numId w:val="4"/>
        </w:numPr>
        <w:autoSpaceDE w:val="0"/>
        <w:autoSpaceDN w:val="0"/>
        <w:adjustRightInd w:val="0"/>
        <w:spacing w:line="420" w:lineRule="exact"/>
        <w:ind w:left="0" w:firstLine="440" w:firstLineChars="200"/>
        <w:jc w:val="left"/>
        <w:textAlignment w:val="bottom"/>
        <w:rPr>
          <w:rFonts w:ascii="宋体"/>
          <w:szCs w:val="21"/>
        </w:rPr>
      </w:pPr>
      <w:r>
        <w:rPr>
          <w:rFonts w:hint="eastAsia" w:ascii="宋体"/>
          <w:szCs w:val="21"/>
        </w:rPr>
        <w:t>有害垃圾收集必须收集至指定场所（有害垃圾暂存点），不得自行处置有害垃圾。</w:t>
      </w:r>
    </w:p>
    <w:p w14:paraId="7C3FF85F">
      <w:pPr>
        <w:widowControl/>
        <w:numPr>
          <w:ilvl w:val="0"/>
          <w:numId w:val="4"/>
        </w:numPr>
        <w:autoSpaceDE w:val="0"/>
        <w:autoSpaceDN w:val="0"/>
        <w:adjustRightInd w:val="0"/>
        <w:spacing w:line="420" w:lineRule="exact"/>
        <w:ind w:left="0" w:firstLine="440" w:firstLineChars="200"/>
        <w:jc w:val="left"/>
        <w:textAlignment w:val="bottom"/>
        <w:rPr>
          <w:rFonts w:ascii="宋体"/>
          <w:szCs w:val="21"/>
        </w:rPr>
      </w:pPr>
      <w:r>
        <w:rPr>
          <w:rFonts w:hint="eastAsia" w:ascii="宋体"/>
          <w:szCs w:val="21"/>
        </w:rPr>
        <w:t>建立有害垃圾收集应急预案。</w:t>
      </w:r>
    </w:p>
    <w:p w14:paraId="3D2191BA">
      <w:pPr>
        <w:widowControl/>
        <w:numPr>
          <w:ilvl w:val="0"/>
          <w:numId w:val="4"/>
        </w:numPr>
        <w:autoSpaceDE w:val="0"/>
        <w:autoSpaceDN w:val="0"/>
        <w:adjustRightInd w:val="0"/>
        <w:spacing w:line="420" w:lineRule="exact"/>
        <w:ind w:left="0" w:firstLine="440" w:firstLineChars="200"/>
        <w:jc w:val="left"/>
        <w:textAlignment w:val="bottom"/>
      </w:pPr>
      <w:r>
        <w:rPr>
          <w:rFonts w:hint="eastAsia" w:ascii="宋体"/>
          <w:szCs w:val="21"/>
        </w:rPr>
        <w:t>收集运输中做好“三防”措施，参照危废管理相关要求。</w:t>
      </w:r>
    </w:p>
    <w:p w14:paraId="0550EEF3">
      <w:pPr>
        <w:widowControl/>
        <w:numPr>
          <w:ilvl w:val="0"/>
          <w:numId w:val="4"/>
        </w:numPr>
        <w:autoSpaceDE w:val="0"/>
        <w:autoSpaceDN w:val="0"/>
        <w:adjustRightInd w:val="0"/>
        <w:spacing w:line="420" w:lineRule="exact"/>
        <w:ind w:left="0" w:firstLine="440" w:firstLineChars="200"/>
        <w:jc w:val="left"/>
        <w:textAlignment w:val="bottom"/>
      </w:pPr>
      <w:r>
        <w:rPr>
          <w:rFonts w:hint="eastAsia" w:ascii="宋体"/>
          <w:szCs w:val="21"/>
        </w:rPr>
        <w:t>公布有害垃圾收集预约联系人，预约时间要求等。</w:t>
      </w:r>
    </w:p>
    <w:p w14:paraId="2B2A0755">
      <w:pPr>
        <w:overflowPunct w:val="0"/>
        <w:snapToGrid w:val="0"/>
        <w:spacing w:line="420" w:lineRule="exact"/>
        <w:ind w:firstLine="440" w:firstLineChars="200"/>
        <w:outlineLvl w:val="3"/>
        <w:rPr>
          <w:szCs w:val="22"/>
        </w:rPr>
      </w:pPr>
      <w:r>
        <w:rPr>
          <w:rFonts w:hint="eastAsia"/>
          <w:szCs w:val="22"/>
        </w:rPr>
        <w:t>（4）其他垃圾收集要求：按“（六）垃圾收集与清运要求”进行收集处理。</w:t>
      </w:r>
    </w:p>
    <w:p w14:paraId="1778D3DF">
      <w:pPr>
        <w:overflowPunct w:val="0"/>
        <w:snapToGrid w:val="0"/>
        <w:spacing w:line="420" w:lineRule="exact"/>
        <w:ind w:firstLine="442" w:firstLineChars="200"/>
        <w:outlineLvl w:val="3"/>
        <w:rPr>
          <w:szCs w:val="22"/>
        </w:rPr>
      </w:pPr>
      <w:r>
        <w:rPr>
          <w:rFonts w:hint="eastAsia" w:ascii="宋体"/>
          <w:b/>
          <w:szCs w:val="21"/>
        </w:rPr>
        <w:t>4、特殊要求</w:t>
      </w:r>
    </w:p>
    <w:p w14:paraId="48D13CDF">
      <w:pPr>
        <w:overflowPunct w:val="0"/>
        <w:adjustRightInd w:val="0"/>
        <w:spacing w:line="420" w:lineRule="exact"/>
        <w:ind w:firstLine="440" w:firstLineChars="200"/>
        <w:textAlignment w:val="bottom"/>
        <w:rPr>
          <w:rFonts w:ascii="宋体"/>
          <w:szCs w:val="21"/>
        </w:rPr>
      </w:pPr>
      <w:r>
        <w:rPr>
          <w:rFonts w:hint="eastAsia" w:ascii="宋体"/>
          <w:szCs w:val="21"/>
        </w:rPr>
        <w:t>（1）已实施（或本项目合同实施期间将实施）生活垃圾分类投放的区域，供应商收集、清运、处置垃圾须按规定执行分类。其中涉及的可回收物、有害垃圾、易腐垃圾、其他垃圾须按照省市相关规定分类收集、分类运输、分类处置，所需费用纳入投标总价。</w:t>
      </w:r>
    </w:p>
    <w:p w14:paraId="66BCDD22">
      <w:pPr>
        <w:overflowPunct w:val="0"/>
        <w:adjustRightInd w:val="0"/>
        <w:spacing w:line="420" w:lineRule="exact"/>
        <w:ind w:firstLine="440" w:firstLineChars="200"/>
        <w:textAlignment w:val="bottom"/>
        <w:rPr>
          <w:rFonts w:ascii="宋体" w:hAnsi="宋体"/>
          <w:szCs w:val="21"/>
        </w:rPr>
      </w:pPr>
      <w:r>
        <w:rPr>
          <w:rFonts w:hint="eastAsia" w:ascii="宋体"/>
          <w:szCs w:val="21"/>
        </w:rPr>
        <w:t>（2）</w:t>
      </w:r>
      <w:r>
        <w:rPr>
          <w:rFonts w:hint="eastAsia" w:ascii="宋体" w:hAnsi="宋体" w:cs="宋体"/>
          <w:szCs w:val="21"/>
        </w:rPr>
        <w:t>现尚未实施生活垃圾分类投放的的区域，在逐步推行垃圾分类后，供应商须按规定进行分类收集运输</w:t>
      </w:r>
      <w:r>
        <w:rPr>
          <w:rFonts w:hint="eastAsia" w:ascii="宋体"/>
          <w:szCs w:val="21"/>
        </w:rPr>
        <w:t>。</w:t>
      </w:r>
    </w:p>
    <w:p w14:paraId="0F88E364">
      <w:pPr>
        <w:autoSpaceDE w:val="0"/>
        <w:autoSpaceDN w:val="0"/>
        <w:adjustRightInd w:val="0"/>
        <w:spacing w:line="420" w:lineRule="exact"/>
        <w:ind w:firstLine="440" w:firstLineChars="200"/>
        <w:jc w:val="left"/>
        <w:rPr>
          <w:rFonts w:hint="eastAsia"/>
        </w:rPr>
      </w:pPr>
      <w:r>
        <w:rPr>
          <w:rFonts w:hint="eastAsia" w:ascii="宋体" w:hAnsi="宋体"/>
          <w:szCs w:val="22"/>
        </w:rPr>
        <w:t>（3）明确政府、监管部门、共富委、村委、企业各级垃圾分类管理的工作职责，相互配合，共同做好垃圾分类宣传、教育、监管、考核工作。</w:t>
      </w:r>
    </w:p>
    <w:p w14:paraId="1C9E78CF">
      <w:pPr>
        <w:adjustRightInd w:val="0"/>
        <w:snapToGrid w:val="0"/>
        <w:spacing w:before="156" w:beforeLines="50" w:after="156" w:afterLines="50" w:line="420" w:lineRule="exact"/>
        <w:rPr>
          <w:rFonts w:ascii="宋体" w:hAnsi="宋体" w:cs="Arial"/>
          <w:b/>
          <w:bCs/>
        </w:rPr>
      </w:pPr>
      <w:bookmarkStart w:id="128" w:name="_Toc64913340"/>
      <w:bookmarkStart w:id="129" w:name="_Toc8171"/>
      <w:bookmarkStart w:id="130" w:name="_Toc7146"/>
      <w:bookmarkStart w:id="131" w:name="_Toc64901756"/>
      <w:bookmarkStart w:id="132" w:name="_Toc20288"/>
      <w:r>
        <w:rPr>
          <w:rFonts w:hint="eastAsia" w:ascii="宋体" w:hAnsi="宋体" w:cs="Arial"/>
          <w:b/>
          <w:bCs/>
        </w:rPr>
        <w:t>（</w:t>
      </w:r>
      <w:r>
        <w:rPr>
          <w:rFonts w:hint="eastAsia" w:ascii="宋体" w:hAnsi="宋体" w:cs="Arial"/>
          <w:b/>
          <w:bCs/>
          <w:lang w:val="en-US" w:eastAsia="zh-CN"/>
        </w:rPr>
        <w:t>八</w:t>
      </w:r>
      <w:r>
        <w:rPr>
          <w:rFonts w:hint="eastAsia" w:ascii="宋体" w:hAnsi="宋体" w:cs="Arial"/>
          <w:b/>
          <w:bCs/>
        </w:rPr>
        <w:t>）垃圾中转站的服务要求</w:t>
      </w:r>
    </w:p>
    <w:p w14:paraId="389D0F44">
      <w:pPr>
        <w:overflowPunct w:val="0"/>
        <w:spacing w:line="420" w:lineRule="exact"/>
        <w:ind w:firstLine="440" w:firstLineChars="200"/>
        <w:rPr>
          <w:rFonts w:ascii="宋体"/>
          <w:szCs w:val="21"/>
        </w:rPr>
      </w:pPr>
      <w:r>
        <w:rPr>
          <w:rFonts w:hint="eastAsia" w:ascii="宋体"/>
          <w:szCs w:val="21"/>
        </w:rPr>
        <w:t>1、垃圾中转站的管理运行维护要求：</w:t>
      </w:r>
    </w:p>
    <w:p w14:paraId="2A766AA0">
      <w:pPr>
        <w:overflowPunct w:val="0"/>
        <w:spacing w:line="420" w:lineRule="exact"/>
        <w:ind w:firstLine="440" w:firstLineChars="200"/>
        <w:rPr>
          <w:rFonts w:ascii="宋体"/>
          <w:szCs w:val="21"/>
        </w:rPr>
      </w:pPr>
      <w:r>
        <w:rPr>
          <w:rFonts w:hint="eastAsia" w:ascii="宋体"/>
          <w:szCs w:val="21"/>
        </w:rPr>
        <w:t xml:space="preserve">1.1垃圾中转站内必须安放安全生产公示牌，维护好站内秩序，确保人身和车辆安全。 </w:t>
      </w:r>
    </w:p>
    <w:p w14:paraId="56B9747D">
      <w:pPr>
        <w:overflowPunct w:val="0"/>
        <w:spacing w:line="420" w:lineRule="exact"/>
        <w:ind w:firstLine="440" w:firstLineChars="200"/>
        <w:rPr>
          <w:rFonts w:ascii="宋体"/>
          <w:szCs w:val="21"/>
        </w:rPr>
      </w:pPr>
      <w:r>
        <w:rPr>
          <w:rFonts w:hint="eastAsia" w:ascii="宋体"/>
          <w:szCs w:val="21"/>
        </w:rPr>
        <w:t xml:space="preserve">1.2指定负责人员要随时负责好所属区域的垃圾中转站工作，要严格要求自己，认真履行工作职责，坚持勤打扫、严管理，保持垃圾站周围地面无垃圾、无堆放杂物、无废水，定期消毒灭蚊。 </w:t>
      </w:r>
    </w:p>
    <w:p w14:paraId="13E3A0D3">
      <w:pPr>
        <w:overflowPunct w:val="0"/>
        <w:spacing w:line="420" w:lineRule="exact"/>
        <w:ind w:firstLine="440" w:firstLineChars="200"/>
        <w:rPr>
          <w:rFonts w:ascii="宋体"/>
          <w:szCs w:val="21"/>
        </w:rPr>
      </w:pPr>
      <w:r>
        <w:rPr>
          <w:rFonts w:hint="eastAsia" w:ascii="宋体"/>
          <w:szCs w:val="21"/>
        </w:rPr>
        <w:t xml:space="preserve">1.3指定负责人员要必须熟练掌握和严格执行城区生活垃圾处理程序和操作规程，定期做好机械、电气设备的保养。 </w:t>
      </w:r>
    </w:p>
    <w:p w14:paraId="7AA8E446">
      <w:pPr>
        <w:overflowPunct w:val="0"/>
        <w:spacing w:line="420" w:lineRule="exact"/>
        <w:ind w:firstLine="440" w:firstLineChars="200"/>
        <w:rPr>
          <w:rFonts w:ascii="宋体"/>
          <w:szCs w:val="21"/>
        </w:rPr>
      </w:pPr>
      <w:r>
        <w:rPr>
          <w:rFonts w:hint="eastAsia" w:ascii="宋体"/>
          <w:szCs w:val="21"/>
        </w:rPr>
        <w:t>1.4妥善管理好各种设施设备，保证设备正常运转，做好防火、防盗、防毒、防爆、防突发事件。</w:t>
      </w:r>
    </w:p>
    <w:p w14:paraId="46049C33">
      <w:pPr>
        <w:overflowPunct w:val="0"/>
        <w:spacing w:line="420" w:lineRule="exact"/>
        <w:ind w:firstLine="440" w:firstLineChars="200"/>
        <w:rPr>
          <w:rFonts w:ascii="宋体"/>
          <w:szCs w:val="21"/>
        </w:rPr>
      </w:pPr>
      <w:r>
        <w:rPr>
          <w:rFonts w:hint="eastAsia" w:ascii="宋体"/>
          <w:szCs w:val="21"/>
        </w:rPr>
        <w:t xml:space="preserve">1.5维护和管理好垃圾站的各种设施设备，保证设备正常运转，严防被盗、破损、火烧、管道堵塞。未经批准不得随意接线、接水。因管理不到位造成损失的，追究其相关人员责任。 </w:t>
      </w:r>
    </w:p>
    <w:p w14:paraId="530111C9">
      <w:pPr>
        <w:overflowPunct w:val="0"/>
        <w:spacing w:line="420" w:lineRule="exact"/>
        <w:ind w:firstLine="440" w:firstLineChars="200"/>
        <w:rPr>
          <w:rFonts w:ascii="宋体"/>
          <w:szCs w:val="21"/>
        </w:rPr>
      </w:pPr>
      <w:r>
        <w:rPr>
          <w:rFonts w:hint="eastAsia" w:ascii="宋体"/>
          <w:szCs w:val="21"/>
        </w:rPr>
        <w:t xml:space="preserve">1.6加强安全教育，提高工作人员的安全生产意识，做到警钟长鸣。 </w:t>
      </w:r>
    </w:p>
    <w:p w14:paraId="23D4F587">
      <w:pPr>
        <w:overflowPunct w:val="0"/>
        <w:spacing w:line="420" w:lineRule="exact"/>
        <w:ind w:firstLine="440" w:firstLineChars="200"/>
        <w:rPr>
          <w:rFonts w:ascii="宋体"/>
          <w:szCs w:val="21"/>
        </w:rPr>
      </w:pPr>
      <w:r>
        <w:rPr>
          <w:rFonts w:hint="eastAsia" w:ascii="宋体"/>
          <w:szCs w:val="21"/>
        </w:rPr>
        <w:t>1.7工作人员工作期间，必须着工作服装，遵守操作规程。凡不按操作规程操作盲目蛮干而造成的经济损失承包单位承担。</w:t>
      </w:r>
    </w:p>
    <w:p w14:paraId="55B4E58E">
      <w:pPr>
        <w:overflowPunct w:val="0"/>
        <w:spacing w:line="420" w:lineRule="exact"/>
        <w:ind w:firstLine="440" w:firstLineChars="200"/>
        <w:rPr>
          <w:rFonts w:ascii="宋体"/>
          <w:szCs w:val="21"/>
        </w:rPr>
      </w:pPr>
      <w:r>
        <w:rPr>
          <w:rFonts w:hint="eastAsia" w:ascii="宋体"/>
          <w:szCs w:val="21"/>
        </w:rPr>
        <w:t>1.8设备操作人员须经培训，考核合格后方可上岗。</w:t>
      </w:r>
    </w:p>
    <w:p w14:paraId="5D9CE227">
      <w:pPr>
        <w:overflowPunct w:val="0"/>
        <w:spacing w:line="420" w:lineRule="exact"/>
        <w:ind w:firstLine="440" w:firstLineChars="200"/>
        <w:rPr>
          <w:rFonts w:ascii="宋体"/>
          <w:szCs w:val="21"/>
          <w:highlight w:val="none"/>
        </w:rPr>
      </w:pPr>
      <w:r>
        <w:rPr>
          <w:rFonts w:hint="eastAsia" w:ascii="宋体"/>
          <w:szCs w:val="21"/>
          <w:highlight w:val="none"/>
        </w:rPr>
        <w:t>1.9采购人提供的办公用品（含桌、椅、设备等）不得损毁，如有损毁由中标单位负责赔偿。</w:t>
      </w:r>
    </w:p>
    <w:p w14:paraId="3D1D8089">
      <w:pPr>
        <w:overflowPunct w:val="0"/>
        <w:spacing w:line="420" w:lineRule="exact"/>
        <w:ind w:firstLine="440" w:firstLineChars="200"/>
        <w:rPr>
          <w:rFonts w:ascii="宋体"/>
          <w:szCs w:val="21"/>
        </w:rPr>
      </w:pPr>
      <w:r>
        <w:rPr>
          <w:rFonts w:hint="eastAsia" w:ascii="宋体"/>
          <w:szCs w:val="21"/>
        </w:rPr>
        <w:t>1.1</w:t>
      </w:r>
      <w:r>
        <w:rPr>
          <w:rFonts w:ascii="宋体"/>
          <w:szCs w:val="21"/>
        </w:rPr>
        <w:t>0</w:t>
      </w:r>
      <w:r>
        <w:rPr>
          <w:rFonts w:hint="eastAsia" w:ascii="宋体"/>
          <w:szCs w:val="21"/>
        </w:rPr>
        <w:t>垃圾中转站运行维护严格按照有关最新标准执行。</w:t>
      </w:r>
    </w:p>
    <w:p w14:paraId="2B6C4383">
      <w:pPr>
        <w:spacing w:line="360" w:lineRule="exact"/>
        <w:ind w:firstLine="442" w:firstLineChars="201"/>
        <w:jc w:val="left"/>
        <w:rPr>
          <w:rFonts w:ascii="宋体"/>
          <w:szCs w:val="21"/>
          <w:highlight w:val="none"/>
        </w:rPr>
      </w:pPr>
      <w:r>
        <w:rPr>
          <w:rFonts w:ascii="宋体"/>
          <w:szCs w:val="21"/>
          <w:highlight w:val="none"/>
        </w:rPr>
        <w:t>2</w:t>
      </w:r>
      <w:r>
        <w:rPr>
          <w:rFonts w:hint="eastAsia" w:ascii="宋体"/>
          <w:szCs w:val="21"/>
          <w:highlight w:val="none"/>
        </w:rPr>
        <w:t>、垃圾中转站服务内容</w:t>
      </w:r>
    </w:p>
    <w:p w14:paraId="543898E2">
      <w:pPr>
        <w:spacing w:line="360" w:lineRule="exact"/>
        <w:ind w:firstLine="442" w:firstLineChars="201"/>
        <w:jc w:val="left"/>
        <w:rPr>
          <w:rFonts w:ascii="宋体" w:hAnsi="宋体"/>
          <w:szCs w:val="22"/>
          <w:highlight w:val="none"/>
        </w:rPr>
      </w:pPr>
      <w:r>
        <w:rPr>
          <w:rFonts w:hint="eastAsia" w:ascii="宋体" w:hAnsi="宋体"/>
          <w:szCs w:val="22"/>
          <w:highlight w:val="none"/>
        </w:rPr>
        <w:t>2</w:t>
      </w:r>
      <w:r>
        <w:rPr>
          <w:rFonts w:ascii="宋体" w:hAnsi="宋体"/>
          <w:szCs w:val="22"/>
          <w:highlight w:val="none"/>
        </w:rPr>
        <w:t>.1</w:t>
      </w:r>
      <w:r>
        <w:rPr>
          <w:rFonts w:hint="eastAsia" w:ascii="宋体" w:hAnsi="宋体"/>
          <w:szCs w:val="22"/>
          <w:highlight w:val="none"/>
          <w:lang w:val="en-US" w:eastAsia="zh-CN"/>
        </w:rPr>
        <w:t>藻溪</w:t>
      </w:r>
      <w:r>
        <w:rPr>
          <w:rFonts w:hint="eastAsia" w:ascii="宋体" w:hAnsi="宋体"/>
          <w:szCs w:val="22"/>
          <w:highlight w:val="none"/>
        </w:rPr>
        <w:t>垃圾中转站的管理运维服务，服务内容包含但不限于保洁、管理、清池、水电、机械维护、液压油、生物除臭液、市对接平台容量费、宽带网络费等。</w:t>
      </w:r>
    </w:p>
    <w:bookmarkEnd w:id="128"/>
    <w:bookmarkEnd w:id="129"/>
    <w:bookmarkEnd w:id="130"/>
    <w:bookmarkEnd w:id="131"/>
    <w:bookmarkEnd w:id="132"/>
    <w:p w14:paraId="6FFA660C">
      <w:pPr>
        <w:adjustRightInd w:val="0"/>
        <w:snapToGrid w:val="0"/>
        <w:spacing w:before="156" w:beforeLines="50" w:after="156" w:afterLines="50" w:line="420" w:lineRule="exact"/>
        <w:rPr>
          <w:rFonts w:ascii="宋体" w:hAnsi="宋体" w:cs="Arial"/>
          <w:b/>
          <w:bCs/>
          <w:highlight w:val="none"/>
        </w:rPr>
      </w:pPr>
      <w:bookmarkStart w:id="133" w:name="_Toc7273"/>
      <w:bookmarkStart w:id="134" w:name="_Toc18862"/>
      <w:bookmarkStart w:id="135" w:name="_Toc3766"/>
      <w:r>
        <w:rPr>
          <w:rFonts w:hint="eastAsia" w:ascii="宋体" w:hAnsi="宋体" w:cs="Arial"/>
          <w:b/>
          <w:bCs/>
          <w:highlight w:val="none"/>
        </w:rPr>
        <w:t>（</w:t>
      </w:r>
      <w:r>
        <w:rPr>
          <w:rFonts w:hint="eastAsia" w:ascii="宋体" w:hAnsi="宋体" w:cs="Arial"/>
          <w:b/>
          <w:bCs/>
          <w:highlight w:val="none"/>
          <w:lang w:val="en-US" w:eastAsia="zh-CN"/>
        </w:rPr>
        <w:t>九</w:t>
      </w:r>
      <w:r>
        <w:rPr>
          <w:rFonts w:hint="eastAsia" w:ascii="宋体" w:hAnsi="宋体" w:cs="Arial"/>
          <w:b/>
          <w:bCs/>
          <w:highlight w:val="none"/>
        </w:rPr>
        <w:t>）报告制度</w:t>
      </w:r>
      <w:bookmarkEnd w:id="133"/>
      <w:bookmarkEnd w:id="134"/>
      <w:bookmarkEnd w:id="135"/>
    </w:p>
    <w:p w14:paraId="772B493B">
      <w:pPr>
        <w:overflowPunct w:val="0"/>
        <w:adjustRightInd w:val="0"/>
        <w:spacing w:line="420" w:lineRule="exact"/>
        <w:ind w:firstLine="440" w:firstLineChars="200"/>
        <w:textAlignment w:val="bottom"/>
        <w:rPr>
          <w:rFonts w:ascii="宋体"/>
          <w:szCs w:val="21"/>
        </w:rPr>
      </w:pPr>
      <w:r>
        <w:rPr>
          <w:rFonts w:hint="eastAsia" w:ascii="宋体"/>
          <w:szCs w:val="21"/>
        </w:rPr>
        <w:t xml:space="preserve"> 中标供应商对保洁范围内跟环境卫生有关的内容，但不属于其公司保洁范围的要及时上报（发现后24小时内须上报），如排水管堵塞、乱堆乱放、偷倒建筑垃圾、僵尸车、遇突发事件、其他影响市容市貌的情况等。</w:t>
      </w:r>
      <w:bookmarkStart w:id="136" w:name="_Toc7812"/>
      <w:bookmarkStart w:id="137" w:name="_Toc5304"/>
      <w:bookmarkStart w:id="138" w:name="_Toc24244"/>
    </w:p>
    <w:p w14:paraId="7701E8DA">
      <w:pPr>
        <w:adjustRightInd w:val="0"/>
        <w:snapToGrid w:val="0"/>
        <w:spacing w:before="156" w:beforeLines="50" w:after="156" w:afterLines="50" w:line="420" w:lineRule="exact"/>
        <w:rPr>
          <w:rFonts w:ascii="宋体" w:hAnsi="宋体" w:cs="Arial"/>
          <w:b/>
          <w:bCs/>
        </w:rPr>
      </w:pPr>
      <w:r>
        <w:rPr>
          <w:rFonts w:hint="eastAsia" w:ascii="宋体" w:hAnsi="宋体" w:cs="Arial"/>
          <w:b/>
          <w:bCs/>
        </w:rPr>
        <w:t>（十）其他特殊情况的处理</w:t>
      </w:r>
      <w:bookmarkEnd w:id="136"/>
      <w:bookmarkEnd w:id="137"/>
      <w:bookmarkEnd w:id="138"/>
    </w:p>
    <w:p w14:paraId="6BF8F2AA">
      <w:pPr>
        <w:spacing w:after="156" w:afterLines="50" w:line="420" w:lineRule="exact"/>
        <w:rPr>
          <w:rFonts w:ascii="宋体"/>
          <w:szCs w:val="21"/>
        </w:rPr>
      </w:pPr>
      <w:r>
        <w:rPr>
          <w:rFonts w:hint="eastAsia" w:ascii="宋体"/>
          <w:szCs w:val="21"/>
        </w:rPr>
        <w:t xml:space="preserve">    如遇到异常恶劣的气候条件（气象台发布以下天气预警信号，其他不计：台风预警黄色及以上、暴雨预警橙色及以上、暴雪预警橙色及以上、大风预警橙色及以上、雷电预警橙色及以上、高温预警橙色及以上）、大雾、寒潮、高温等，中标供应商须上报采购人备案，以确定当天的保洁部署情况及考核情况。</w:t>
      </w:r>
    </w:p>
    <w:p w14:paraId="11372FF0">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lang w:val="en-US" w:eastAsia="zh-CN"/>
        </w:rPr>
        <w:t>7</w:t>
      </w:r>
      <w:r>
        <w:rPr>
          <w:rFonts w:hint="eastAsia" w:ascii="宋体" w:hAnsi="宋体" w:cs="宋体"/>
          <w:szCs w:val="22"/>
          <w:highlight w:val="none"/>
        </w:rPr>
        <w:t>、公厕保洁与管理</w:t>
      </w:r>
    </w:p>
    <w:p w14:paraId="4E56F482">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lang w:val="en-US" w:eastAsia="zh-CN"/>
        </w:rPr>
        <w:t>7</w:t>
      </w:r>
      <w:r>
        <w:rPr>
          <w:rFonts w:hint="eastAsia" w:ascii="宋体" w:hAnsi="宋体" w:cs="宋体"/>
          <w:szCs w:val="22"/>
          <w:highlight w:val="none"/>
        </w:rPr>
        <w:t xml:space="preserve">.1 采用专人保洁管理的方式对片区内所有公共厕所的日常保洁作业、运行管理服务，质量标准应达到二类公厕标准，具体如下； </w:t>
      </w:r>
    </w:p>
    <w:p w14:paraId="59B51C9B">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（1）公厕内采光、照明和通风应良好，无明显臭味； </w:t>
      </w:r>
    </w:p>
    <w:p w14:paraId="64D7825B">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（2）公厕内墙面、天花板、门窗和隔离板应无积灰、污迹、蛛网，无乱涂乱画，墙面应光洁，公厕外墙面应整洁； </w:t>
      </w:r>
    </w:p>
    <w:p w14:paraId="120D5C99">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（3）公厕内地面应光洁，无积水； </w:t>
      </w:r>
    </w:p>
    <w:p w14:paraId="036643CF">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（4）蹲位应整洁，大便槽两侧应无粪便污物，槽内无积粪，洁净见底； </w:t>
      </w:r>
    </w:p>
    <w:p w14:paraId="7F1B6733">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（5）小便槽(斗)应无水锈、尿垢、垃圾，基本无臭；沟眼、管道保持畅通；</w:t>
      </w:r>
    </w:p>
    <w:p w14:paraId="3CAA12BE">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（6）公厕内照明灯具、洗手器具、镜子、挂衣钩、烘手器、冲水设备等应完好，无积灰、污物； </w:t>
      </w:r>
    </w:p>
    <w:p w14:paraId="0BAF6A70">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（7）公厕外环境应整洁，无乱堆杂物，保洁工具应放置整齐。公厕四周3～5m范围内，应无垃圾、粪便、污水等污物； </w:t>
      </w:r>
    </w:p>
    <w:p w14:paraId="3CAB1D37">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rPr>
        <w:t xml:space="preserve">（8）蝇蚊孳生季节，应定时喷洒灭蚊蝇药物，有效控制蝇蛆孳生； </w:t>
      </w:r>
    </w:p>
    <w:p w14:paraId="2F6A3E08">
      <w:pPr>
        <w:autoSpaceDE w:val="0"/>
        <w:autoSpaceDN w:val="0"/>
        <w:adjustRightInd w:val="0"/>
        <w:spacing w:line="460" w:lineRule="exact"/>
        <w:ind w:firstLine="440" w:firstLineChars="200"/>
        <w:jc w:val="left"/>
        <w:rPr>
          <w:rFonts w:ascii="宋体" w:hAnsi="宋体" w:cs="宋体"/>
          <w:szCs w:val="22"/>
          <w:highlight w:val="none"/>
        </w:rPr>
      </w:pPr>
      <w:r>
        <w:rPr>
          <w:rFonts w:hint="eastAsia" w:ascii="宋体" w:hAnsi="宋体" w:cs="宋体"/>
          <w:szCs w:val="22"/>
          <w:highlight w:val="none"/>
          <w:lang w:val="en-US" w:eastAsia="zh-CN"/>
        </w:rPr>
        <w:t>7</w:t>
      </w:r>
      <w:r>
        <w:rPr>
          <w:rFonts w:hint="eastAsia" w:ascii="宋体" w:hAnsi="宋体" w:cs="宋体"/>
          <w:szCs w:val="22"/>
          <w:highlight w:val="none"/>
        </w:rPr>
        <w:t>.2所有公厕必须免费对外开放使用，不得私自收取任何使用费用。如确实需要的，可以有偿提供卫生纸等有关物品，但物品清单、售价等必须经采购人同意后方可执行，贩售时应明码标价，合法经营，否则视为私自收取费用，按相关规定予以处理。</w:t>
      </w:r>
    </w:p>
    <w:p w14:paraId="0654328A">
      <w:pPr>
        <w:pStyle w:val="2"/>
        <w:spacing w:line="420" w:lineRule="exact"/>
        <w:ind w:firstLine="440" w:firstLineChars="200"/>
        <w:rPr>
          <w:rFonts w:ascii="宋体" w:hAnsi="宋体"/>
          <w:color w:val="000000"/>
          <w:szCs w:val="22"/>
          <w:highlight w:val="none"/>
        </w:rPr>
      </w:pPr>
      <w:r>
        <w:rPr>
          <w:rFonts w:hint="eastAsia" w:ascii="宋体" w:cs="宋体"/>
          <w:szCs w:val="22"/>
          <w:highlight w:val="none"/>
          <w:lang w:val="en-US" w:eastAsia="zh-CN"/>
        </w:rPr>
        <w:t>8</w:t>
      </w:r>
      <w:r>
        <w:rPr>
          <w:rFonts w:hint="eastAsia" w:ascii="宋体" w:cs="宋体"/>
          <w:szCs w:val="22"/>
          <w:highlight w:val="none"/>
        </w:rPr>
        <w:t>、</w:t>
      </w:r>
      <w:r>
        <w:rPr>
          <w:rFonts w:hint="eastAsia" w:ascii="宋体" w:hAnsi="宋体" w:cs="宋体"/>
          <w:szCs w:val="22"/>
          <w:highlight w:val="none"/>
        </w:rPr>
        <w:t>环境卫生信息反馈以及无条件执行和配合采购人下达的其他相关配合工作。</w:t>
      </w:r>
    </w:p>
    <w:p w14:paraId="74CE8775">
      <w:pPr>
        <w:widowControl/>
        <w:jc w:val="left"/>
        <w:rPr>
          <w:rFonts w:hint="eastAsia" w:ascii="宋体" w:hAnsi="宋体" w:cs="宋体"/>
          <w:b/>
          <w:bCs/>
          <w:szCs w:val="22"/>
        </w:rPr>
      </w:pPr>
    </w:p>
    <w:p w14:paraId="0F077882">
      <w:pPr>
        <w:widowControl/>
        <w:jc w:val="left"/>
        <w:rPr>
          <w:rFonts w:hint="eastAsia" w:ascii="宋体" w:hAnsi="宋体" w:cs="宋体"/>
          <w:b/>
          <w:bCs/>
          <w:szCs w:val="22"/>
        </w:rPr>
      </w:pPr>
    </w:p>
    <w:p w14:paraId="6226211C">
      <w:pPr>
        <w:widowControl/>
        <w:jc w:val="left"/>
        <w:rPr>
          <w:rFonts w:hint="eastAsia" w:ascii="宋体" w:hAnsi="宋体" w:cs="宋体"/>
          <w:b/>
          <w:bCs/>
          <w:szCs w:val="22"/>
        </w:rPr>
      </w:pPr>
    </w:p>
    <w:p w14:paraId="6E2EF469">
      <w:pPr>
        <w:pStyle w:val="31"/>
        <w:rPr>
          <w:rFonts w:hint="eastAsia"/>
        </w:rPr>
      </w:pPr>
    </w:p>
    <w:p w14:paraId="41783DB0">
      <w:pPr>
        <w:widowControl/>
        <w:numPr>
          <w:ilvl w:val="0"/>
          <w:numId w:val="5"/>
        </w:numPr>
        <w:jc w:val="left"/>
      </w:pPr>
      <w:r>
        <w:rPr>
          <w:rFonts w:hint="eastAsia" w:ascii="宋体" w:hAnsi="宋体" w:cs="宋体"/>
          <w:b/>
          <w:bCs/>
          <w:szCs w:val="22"/>
        </w:rPr>
        <w:t>人员投入最低配置及相关要求</w:t>
      </w:r>
    </w:p>
    <w:tbl>
      <w:tblPr>
        <w:tblStyle w:val="32"/>
        <w:tblW w:w="9759"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4944"/>
        <w:gridCol w:w="2070"/>
        <w:gridCol w:w="2070"/>
      </w:tblGrid>
      <w:tr w14:paraId="74C36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675" w:type="dxa"/>
            <w:noWrap w:val="0"/>
            <w:vAlign w:val="center"/>
          </w:tcPr>
          <w:p w14:paraId="2FE8316F">
            <w:pPr>
              <w:spacing w:line="276" w:lineRule="auto"/>
              <w:jc w:val="center"/>
              <w:rPr>
                <w:rFonts w:ascii="仿宋" w:hAnsi="仿宋" w:eastAsia="仿宋"/>
                <w:b/>
                <w:color w:val="000000"/>
              </w:rPr>
            </w:pPr>
            <w:r>
              <w:rPr>
                <w:rFonts w:hint="eastAsia" w:ascii="仿宋" w:hAnsi="仿宋" w:eastAsia="仿宋"/>
                <w:b/>
                <w:color w:val="000000"/>
              </w:rPr>
              <w:t>序号</w:t>
            </w:r>
          </w:p>
        </w:tc>
        <w:tc>
          <w:tcPr>
            <w:tcW w:w="4944" w:type="dxa"/>
            <w:tcBorders>
              <w:right w:val="single" w:color="auto" w:sz="4" w:space="0"/>
            </w:tcBorders>
            <w:noWrap w:val="0"/>
            <w:vAlign w:val="center"/>
          </w:tcPr>
          <w:p w14:paraId="4AEC109F">
            <w:pPr>
              <w:spacing w:line="276" w:lineRule="auto"/>
              <w:jc w:val="center"/>
              <w:rPr>
                <w:rFonts w:ascii="仿宋" w:hAnsi="仿宋" w:eastAsia="仿宋"/>
                <w:b/>
                <w:color w:val="000000"/>
              </w:rPr>
            </w:pPr>
            <w:r>
              <w:rPr>
                <w:rFonts w:hint="eastAsia" w:ascii="仿宋" w:hAnsi="仿宋" w:eastAsia="仿宋"/>
                <w:b/>
                <w:color w:val="000000"/>
              </w:rPr>
              <w:t>人员类别</w:t>
            </w:r>
          </w:p>
        </w:tc>
        <w:tc>
          <w:tcPr>
            <w:tcW w:w="2070" w:type="dxa"/>
            <w:tcBorders>
              <w:left w:val="single" w:color="auto" w:sz="4" w:space="0"/>
            </w:tcBorders>
            <w:noWrap w:val="0"/>
            <w:vAlign w:val="center"/>
          </w:tcPr>
          <w:p w14:paraId="20BCC266">
            <w:pPr>
              <w:spacing w:line="276" w:lineRule="auto"/>
              <w:jc w:val="center"/>
              <w:rPr>
                <w:rFonts w:ascii="仿宋" w:hAnsi="仿宋" w:eastAsia="仿宋"/>
                <w:b/>
                <w:color w:val="000000"/>
              </w:rPr>
            </w:pPr>
            <w:r>
              <w:rPr>
                <w:rFonts w:hint="eastAsia" w:ascii="仿宋" w:hAnsi="仿宋" w:eastAsia="仿宋"/>
                <w:b/>
                <w:color w:val="000000"/>
              </w:rPr>
              <w:t>人员数量</w:t>
            </w:r>
          </w:p>
        </w:tc>
        <w:tc>
          <w:tcPr>
            <w:tcW w:w="2070" w:type="dxa"/>
            <w:tcBorders>
              <w:left w:val="single" w:color="auto" w:sz="4" w:space="0"/>
            </w:tcBorders>
            <w:noWrap w:val="0"/>
            <w:vAlign w:val="center"/>
          </w:tcPr>
          <w:p w14:paraId="3095775B">
            <w:pPr>
              <w:spacing w:line="276" w:lineRule="auto"/>
              <w:jc w:val="center"/>
              <w:rPr>
                <w:rFonts w:hint="eastAsia" w:ascii="仿宋" w:hAnsi="仿宋" w:eastAsia="仿宋"/>
                <w:b/>
                <w:color w:val="000000"/>
                <w:lang w:val="en-US" w:eastAsia="zh-CN"/>
              </w:rPr>
            </w:pPr>
            <w:r>
              <w:rPr>
                <w:rFonts w:hint="eastAsia" w:ascii="仿宋" w:hAnsi="仿宋" w:eastAsia="仿宋"/>
                <w:b/>
                <w:color w:val="000000"/>
                <w:lang w:val="en-US" w:eastAsia="zh-CN"/>
              </w:rPr>
              <w:t>备注</w:t>
            </w:r>
          </w:p>
        </w:tc>
      </w:tr>
      <w:tr w14:paraId="7C5E7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536FB01A">
            <w:pPr>
              <w:jc w:val="center"/>
              <w:rPr>
                <w:rFonts w:ascii="仿宋" w:hAnsi="仿宋" w:eastAsia="仿宋" w:cs="宋体"/>
                <w:b/>
                <w:bCs/>
                <w:color w:val="000000"/>
                <w:szCs w:val="22"/>
              </w:rPr>
            </w:pPr>
            <w:r>
              <w:rPr>
                <w:rFonts w:hint="eastAsia" w:ascii="仿宋" w:hAnsi="仿宋" w:eastAsia="仿宋"/>
                <w:b/>
                <w:bCs/>
                <w:color w:val="000000"/>
                <w:szCs w:val="22"/>
              </w:rPr>
              <w:t>1</w:t>
            </w:r>
          </w:p>
        </w:tc>
        <w:tc>
          <w:tcPr>
            <w:tcW w:w="4944" w:type="dxa"/>
            <w:tcBorders>
              <w:right w:val="single" w:color="auto" w:sz="4" w:space="0"/>
            </w:tcBorders>
            <w:noWrap w:val="0"/>
            <w:vAlign w:val="center"/>
          </w:tcPr>
          <w:p w14:paraId="1AEA3E60">
            <w:pPr>
              <w:jc w:val="center"/>
              <w:rPr>
                <w:rFonts w:hint="default" w:ascii="仿宋" w:hAnsi="仿宋" w:eastAsia="仿宋" w:cs="宋体"/>
                <w:b/>
                <w:bCs/>
                <w:szCs w:val="22"/>
                <w:lang w:val="en-US"/>
              </w:rPr>
            </w:pPr>
            <w:r>
              <w:rPr>
                <w:rFonts w:hint="eastAsia" w:ascii="仿宋" w:hAnsi="仿宋" w:eastAsia="仿宋" w:cs="宋体"/>
                <w:b/>
                <w:bCs/>
                <w:szCs w:val="22"/>
                <w:lang w:val="en-US" w:eastAsia="zh-CN"/>
              </w:rPr>
              <w:t>兴洲街保洁人员</w:t>
            </w:r>
          </w:p>
        </w:tc>
        <w:tc>
          <w:tcPr>
            <w:tcW w:w="2070" w:type="dxa"/>
            <w:tcBorders>
              <w:left w:val="single" w:color="auto" w:sz="4" w:space="0"/>
            </w:tcBorders>
            <w:noWrap w:val="0"/>
            <w:vAlign w:val="center"/>
          </w:tcPr>
          <w:p w14:paraId="0080283B">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3</w:t>
            </w:r>
          </w:p>
        </w:tc>
        <w:tc>
          <w:tcPr>
            <w:tcW w:w="2070" w:type="dxa"/>
            <w:tcBorders>
              <w:left w:val="single" w:color="auto" w:sz="4" w:space="0"/>
            </w:tcBorders>
            <w:noWrap w:val="0"/>
            <w:vAlign w:val="center"/>
          </w:tcPr>
          <w:p w14:paraId="15D0E5AA">
            <w:pPr>
              <w:jc w:val="center"/>
              <w:rPr>
                <w:rFonts w:hint="eastAsia" w:ascii="宋体" w:hAnsi="宋体" w:cs="宋体"/>
                <w:b/>
                <w:bCs/>
                <w:szCs w:val="22"/>
                <w:lang w:val="en-US" w:eastAsia="zh-CN"/>
              </w:rPr>
            </w:pPr>
          </w:p>
        </w:tc>
      </w:tr>
      <w:tr w14:paraId="69D37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79C9BB0E">
            <w:pPr>
              <w:jc w:val="center"/>
              <w:rPr>
                <w:rFonts w:ascii="仿宋" w:hAnsi="仿宋" w:eastAsia="仿宋" w:cs="宋体"/>
                <w:b/>
                <w:bCs/>
                <w:color w:val="000000"/>
                <w:szCs w:val="22"/>
              </w:rPr>
            </w:pPr>
            <w:r>
              <w:rPr>
                <w:rFonts w:hint="eastAsia" w:ascii="仿宋" w:hAnsi="仿宋" w:eastAsia="仿宋"/>
                <w:b/>
                <w:bCs/>
                <w:color w:val="000000"/>
                <w:szCs w:val="22"/>
              </w:rPr>
              <w:t>2</w:t>
            </w:r>
          </w:p>
        </w:tc>
        <w:tc>
          <w:tcPr>
            <w:tcW w:w="4944" w:type="dxa"/>
            <w:tcBorders>
              <w:right w:val="single" w:color="auto" w:sz="4" w:space="0"/>
            </w:tcBorders>
            <w:noWrap w:val="0"/>
            <w:vAlign w:val="center"/>
          </w:tcPr>
          <w:p w14:paraId="21AD2F45">
            <w:pPr>
              <w:jc w:val="center"/>
              <w:rPr>
                <w:rFonts w:hint="default" w:ascii="仿宋" w:hAnsi="仿宋" w:eastAsia="仿宋" w:cs="宋体"/>
                <w:b/>
                <w:bCs/>
                <w:szCs w:val="22"/>
                <w:lang w:val="en-US" w:eastAsia="zh-CN"/>
              </w:rPr>
            </w:pPr>
            <w:r>
              <w:rPr>
                <w:rFonts w:hint="eastAsia" w:ascii="仿宋" w:hAnsi="仿宋" w:eastAsia="仿宋"/>
                <w:b/>
                <w:bCs/>
                <w:szCs w:val="22"/>
                <w:lang w:val="en-US" w:eastAsia="zh-CN"/>
              </w:rPr>
              <w:t>涌泉街保洁人员</w:t>
            </w:r>
          </w:p>
        </w:tc>
        <w:tc>
          <w:tcPr>
            <w:tcW w:w="2070" w:type="dxa"/>
            <w:tcBorders>
              <w:left w:val="single" w:color="auto" w:sz="4" w:space="0"/>
            </w:tcBorders>
            <w:noWrap w:val="0"/>
            <w:vAlign w:val="center"/>
          </w:tcPr>
          <w:p w14:paraId="05A31024">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4F8414E8">
            <w:pPr>
              <w:jc w:val="center"/>
              <w:rPr>
                <w:rFonts w:hint="eastAsia" w:ascii="宋体" w:hAnsi="宋体" w:cs="宋体"/>
                <w:b/>
                <w:bCs/>
                <w:szCs w:val="22"/>
                <w:lang w:val="en-US" w:eastAsia="zh-CN"/>
              </w:rPr>
            </w:pPr>
          </w:p>
        </w:tc>
      </w:tr>
      <w:tr w14:paraId="38FE0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41AE974A">
            <w:pPr>
              <w:jc w:val="center"/>
              <w:rPr>
                <w:rFonts w:ascii="仿宋" w:hAnsi="仿宋" w:eastAsia="仿宋" w:cs="宋体"/>
                <w:b/>
                <w:bCs/>
                <w:color w:val="000000"/>
                <w:szCs w:val="22"/>
              </w:rPr>
            </w:pPr>
            <w:r>
              <w:rPr>
                <w:rFonts w:hint="eastAsia" w:ascii="仿宋" w:hAnsi="仿宋" w:eastAsia="仿宋"/>
                <w:b/>
                <w:bCs/>
                <w:color w:val="000000"/>
                <w:szCs w:val="22"/>
              </w:rPr>
              <w:t>3</w:t>
            </w:r>
          </w:p>
        </w:tc>
        <w:tc>
          <w:tcPr>
            <w:tcW w:w="4944" w:type="dxa"/>
            <w:tcBorders>
              <w:right w:val="single" w:color="auto" w:sz="4" w:space="0"/>
            </w:tcBorders>
            <w:noWrap w:val="0"/>
            <w:vAlign w:val="center"/>
          </w:tcPr>
          <w:p w14:paraId="287D65BA">
            <w:pPr>
              <w:jc w:val="center"/>
              <w:rPr>
                <w:rFonts w:hint="default" w:ascii="仿宋" w:hAnsi="仿宋" w:eastAsia="仿宋" w:cs="宋体"/>
                <w:b/>
                <w:bCs/>
                <w:szCs w:val="22"/>
                <w:lang w:val="en-US" w:eastAsia="zh-CN"/>
              </w:rPr>
            </w:pPr>
            <w:r>
              <w:rPr>
                <w:rFonts w:hint="eastAsia" w:ascii="仿宋" w:hAnsi="仿宋" w:eastAsia="仿宋"/>
                <w:b/>
                <w:bCs/>
                <w:szCs w:val="22"/>
                <w:lang w:val="en-US" w:eastAsia="zh-CN"/>
              </w:rPr>
              <w:t>九堡路保洁人员</w:t>
            </w:r>
          </w:p>
        </w:tc>
        <w:tc>
          <w:tcPr>
            <w:tcW w:w="2070" w:type="dxa"/>
            <w:tcBorders>
              <w:left w:val="single" w:color="auto" w:sz="4" w:space="0"/>
            </w:tcBorders>
            <w:noWrap w:val="0"/>
            <w:vAlign w:val="center"/>
          </w:tcPr>
          <w:p w14:paraId="5D2C32F3">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496D8DD8">
            <w:pPr>
              <w:jc w:val="center"/>
              <w:rPr>
                <w:rFonts w:hint="eastAsia" w:ascii="宋体" w:hAnsi="宋体" w:cs="宋体"/>
                <w:b/>
                <w:bCs/>
                <w:szCs w:val="22"/>
                <w:lang w:val="en-US" w:eastAsia="zh-CN"/>
              </w:rPr>
            </w:pPr>
          </w:p>
        </w:tc>
      </w:tr>
      <w:tr w14:paraId="43DF2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4355F543">
            <w:pPr>
              <w:jc w:val="center"/>
              <w:rPr>
                <w:rFonts w:ascii="仿宋" w:hAnsi="仿宋" w:eastAsia="仿宋" w:cs="宋体"/>
                <w:b/>
                <w:bCs/>
                <w:color w:val="000000"/>
                <w:szCs w:val="22"/>
              </w:rPr>
            </w:pPr>
            <w:r>
              <w:rPr>
                <w:rFonts w:hint="eastAsia" w:ascii="仿宋" w:hAnsi="仿宋" w:eastAsia="仿宋"/>
                <w:b/>
                <w:bCs/>
                <w:color w:val="000000"/>
                <w:szCs w:val="22"/>
              </w:rPr>
              <w:t>4</w:t>
            </w:r>
          </w:p>
        </w:tc>
        <w:tc>
          <w:tcPr>
            <w:tcW w:w="4944" w:type="dxa"/>
            <w:tcBorders>
              <w:right w:val="single" w:color="auto" w:sz="4" w:space="0"/>
            </w:tcBorders>
            <w:noWrap w:val="0"/>
            <w:vAlign w:val="center"/>
          </w:tcPr>
          <w:p w14:paraId="6B890637">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文兰街保洁人员</w:t>
            </w:r>
          </w:p>
        </w:tc>
        <w:tc>
          <w:tcPr>
            <w:tcW w:w="2070" w:type="dxa"/>
            <w:tcBorders>
              <w:left w:val="single" w:color="auto" w:sz="4" w:space="0"/>
            </w:tcBorders>
            <w:noWrap w:val="0"/>
            <w:vAlign w:val="center"/>
          </w:tcPr>
          <w:p w14:paraId="1090586D">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610E968E">
            <w:pPr>
              <w:jc w:val="center"/>
              <w:rPr>
                <w:rFonts w:hint="eastAsia" w:ascii="宋体" w:hAnsi="宋体" w:cs="宋体"/>
                <w:b/>
                <w:bCs/>
                <w:szCs w:val="22"/>
                <w:lang w:val="en-US" w:eastAsia="zh-CN"/>
              </w:rPr>
            </w:pPr>
          </w:p>
        </w:tc>
      </w:tr>
      <w:tr w14:paraId="504D79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03123BBA">
            <w:pPr>
              <w:jc w:val="center"/>
              <w:rPr>
                <w:rFonts w:ascii="仿宋" w:hAnsi="仿宋" w:eastAsia="仿宋"/>
                <w:b/>
                <w:bCs/>
                <w:color w:val="000000"/>
                <w:szCs w:val="22"/>
              </w:rPr>
            </w:pPr>
            <w:r>
              <w:rPr>
                <w:rFonts w:hint="eastAsia" w:ascii="仿宋" w:hAnsi="仿宋" w:eastAsia="仿宋"/>
                <w:b/>
                <w:bCs/>
                <w:color w:val="000000"/>
                <w:szCs w:val="22"/>
              </w:rPr>
              <w:t>5</w:t>
            </w:r>
          </w:p>
        </w:tc>
        <w:tc>
          <w:tcPr>
            <w:tcW w:w="4944" w:type="dxa"/>
            <w:tcBorders>
              <w:right w:val="single" w:color="auto" w:sz="4" w:space="0"/>
            </w:tcBorders>
            <w:noWrap w:val="0"/>
            <w:vAlign w:val="center"/>
          </w:tcPr>
          <w:p w14:paraId="1368C73D">
            <w:pPr>
              <w:jc w:val="center"/>
              <w:rPr>
                <w:rFonts w:hint="default" w:ascii="仿宋" w:hAnsi="仿宋" w:eastAsia="仿宋"/>
                <w:b/>
                <w:bCs/>
                <w:szCs w:val="22"/>
                <w:lang w:val="en-US" w:eastAsia="zh-CN"/>
              </w:rPr>
            </w:pPr>
            <w:r>
              <w:rPr>
                <w:rFonts w:hint="eastAsia" w:ascii="仿宋" w:hAnsi="仿宋" w:eastAsia="仿宋"/>
                <w:b/>
                <w:bCs/>
                <w:szCs w:val="22"/>
                <w:lang w:val="en-US" w:eastAsia="zh-CN"/>
              </w:rPr>
              <w:t>藻溪街保洁人员</w:t>
            </w:r>
          </w:p>
        </w:tc>
        <w:tc>
          <w:tcPr>
            <w:tcW w:w="2070" w:type="dxa"/>
            <w:tcBorders>
              <w:left w:val="single" w:color="auto" w:sz="4" w:space="0"/>
            </w:tcBorders>
            <w:noWrap w:val="0"/>
            <w:vAlign w:val="center"/>
          </w:tcPr>
          <w:p w14:paraId="221B87C1">
            <w:pPr>
              <w:jc w:val="center"/>
              <w:rPr>
                <w:rFonts w:hint="eastAsia" w:eastAsia="宋体"/>
                <w:b/>
                <w:bCs/>
                <w:szCs w:val="22"/>
                <w:lang w:val="en-US" w:eastAsia="zh-CN"/>
              </w:rPr>
            </w:pPr>
            <w:r>
              <w:rPr>
                <w:rFonts w:hint="eastAsia"/>
                <w:b/>
                <w:bCs/>
                <w:szCs w:val="22"/>
                <w:lang w:val="en-US" w:eastAsia="zh-CN"/>
              </w:rPr>
              <w:t>1</w:t>
            </w:r>
          </w:p>
        </w:tc>
        <w:tc>
          <w:tcPr>
            <w:tcW w:w="2070" w:type="dxa"/>
            <w:tcBorders>
              <w:left w:val="single" w:color="auto" w:sz="4" w:space="0"/>
            </w:tcBorders>
            <w:noWrap w:val="0"/>
            <w:vAlign w:val="center"/>
          </w:tcPr>
          <w:p w14:paraId="04296AA8">
            <w:pPr>
              <w:jc w:val="center"/>
              <w:rPr>
                <w:rFonts w:hint="eastAsia"/>
                <w:b/>
                <w:bCs/>
                <w:szCs w:val="22"/>
                <w:lang w:val="en-US" w:eastAsia="zh-CN"/>
              </w:rPr>
            </w:pPr>
          </w:p>
        </w:tc>
      </w:tr>
      <w:tr w14:paraId="0978E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0F34FDB">
            <w:pPr>
              <w:jc w:val="center"/>
              <w:rPr>
                <w:rFonts w:ascii="仿宋" w:hAnsi="仿宋" w:eastAsia="仿宋" w:cs="宋体"/>
                <w:b/>
                <w:bCs/>
                <w:color w:val="000000"/>
                <w:szCs w:val="22"/>
              </w:rPr>
            </w:pPr>
            <w:r>
              <w:rPr>
                <w:rFonts w:hint="eastAsia" w:ascii="仿宋" w:hAnsi="仿宋" w:eastAsia="仿宋"/>
                <w:b/>
                <w:bCs/>
                <w:color w:val="000000"/>
                <w:szCs w:val="22"/>
              </w:rPr>
              <w:t>6</w:t>
            </w:r>
          </w:p>
        </w:tc>
        <w:tc>
          <w:tcPr>
            <w:tcW w:w="4944" w:type="dxa"/>
            <w:tcBorders>
              <w:right w:val="single" w:color="auto" w:sz="4" w:space="0"/>
            </w:tcBorders>
            <w:noWrap w:val="0"/>
            <w:vAlign w:val="center"/>
          </w:tcPr>
          <w:p w14:paraId="4236574B">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信用街保洁人员</w:t>
            </w:r>
          </w:p>
        </w:tc>
        <w:tc>
          <w:tcPr>
            <w:tcW w:w="2070" w:type="dxa"/>
            <w:tcBorders>
              <w:left w:val="single" w:color="auto" w:sz="4" w:space="0"/>
            </w:tcBorders>
            <w:noWrap w:val="0"/>
            <w:vAlign w:val="center"/>
          </w:tcPr>
          <w:p w14:paraId="5310725E">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0D28462F">
            <w:pPr>
              <w:jc w:val="center"/>
              <w:rPr>
                <w:rFonts w:hint="eastAsia" w:ascii="宋体" w:hAnsi="宋体" w:cs="宋体"/>
                <w:b/>
                <w:bCs/>
                <w:szCs w:val="22"/>
                <w:lang w:val="en-US" w:eastAsia="zh-CN"/>
              </w:rPr>
            </w:pPr>
          </w:p>
        </w:tc>
      </w:tr>
      <w:tr w14:paraId="7FBE29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675" w:type="dxa"/>
            <w:noWrap w:val="0"/>
            <w:vAlign w:val="center"/>
          </w:tcPr>
          <w:p w14:paraId="0672DD20">
            <w:pPr>
              <w:jc w:val="center"/>
              <w:rPr>
                <w:rFonts w:ascii="仿宋" w:hAnsi="仿宋" w:eastAsia="仿宋" w:cs="宋体"/>
                <w:b/>
                <w:bCs/>
                <w:color w:val="000000"/>
                <w:szCs w:val="22"/>
              </w:rPr>
            </w:pPr>
            <w:r>
              <w:rPr>
                <w:rFonts w:hint="eastAsia" w:ascii="仿宋" w:hAnsi="仿宋" w:eastAsia="仿宋"/>
                <w:b/>
                <w:bCs/>
                <w:color w:val="000000"/>
                <w:szCs w:val="22"/>
              </w:rPr>
              <w:t>7</w:t>
            </w:r>
          </w:p>
        </w:tc>
        <w:tc>
          <w:tcPr>
            <w:tcW w:w="4944" w:type="dxa"/>
            <w:tcBorders>
              <w:right w:val="single" w:color="auto" w:sz="4" w:space="0"/>
            </w:tcBorders>
            <w:noWrap w:val="0"/>
            <w:vAlign w:val="center"/>
          </w:tcPr>
          <w:p w14:paraId="67FBFE88">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中兴路保洁人员</w:t>
            </w:r>
          </w:p>
        </w:tc>
        <w:tc>
          <w:tcPr>
            <w:tcW w:w="2070" w:type="dxa"/>
            <w:tcBorders>
              <w:left w:val="single" w:color="auto" w:sz="4" w:space="0"/>
            </w:tcBorders>
            <w:noWrap w:val="0"/>
            <w:vAlign w:val="center"/>
          </w:tcPr>
          <w:p w14:paraId="24CEC1CD">
            <w:pPr>
              <w:jc w:val="center"/>
              <w:rPr>
                <w:rFonts w:hint="default"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2C34E65F">
            <w:pPr>
              <w:jc w:val="center"/>
              <w:rPr>
                <w:rFonts w:hint="eastAsia" w:ascii="宋体" w:hAnsi="宋体" w:cs="宋体"/>
                <w:b/>
                <w:bCs/>
                <w:szCs w:val="22"/>
                <w:lang w:val="en-US" w:eastAsia="zh-CN"/>
              </w:rPr>
            </w:pPr>
          </w:p>
        </w:tc>
      </w:tr>
      <w:tr w14:paraId="680EB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1FFC6A75">
            <w:pPr>
              <w:jc w:val="center"/>
              <w:rPr>
                <w:rFonts w:ascii="仿宋" w:hAnsi="仿宋" w:eastAsia="仿宋" w:cs="宋体"/>
                <w:b/>
                <w:bCs/>
                <w:color w:val="000000"/>
                <w:szCs w:val="22"/>
              </w:rPr>
            </w:pPr>
            <w:r>
              <w:rPr>
                <w:rFonts w:hint="eastAsia" w:ascii="仿宋" w:hAnsi="仿宋" w:eastAsia="仿宋"/>
                <w:b/>
                <w:bCs/>
                <w:color w:val="000000"/>
                <w:szCs w:val="22"/>
              </w:rPr>
              <w:t>8</w:t>
            </w:r>
          </w:p>
        </w:tc>
        <w:tc>
          <w:tcPr>
            <w:tcW w:w="4944" w:type="dxa"/>
            <w:tcBorders>
              <w:right w:val="single" w:color="auto" w:sz="4" w:space="0"/>
            </w:tcBorders>
            <w:noWrap w:val="0"/>
            <w:vAlign w:val="center"/>
          </w:tcPr>
          <w:p w14:paraId="0113E26A">
            <w:pPr>
              <w:jc w:val="center"/>
              <w:rPr>
                <w:rFonts w:hint="default" w:ascii="仿宋" w:hAnsi="仿宋" w:eastAsia="仿宋" w:cs="宋体"/>
                <w:b/>
                <w:bCs/>
                <w:szCs w:val="22"/>
                <w:lang w:val="en-US" w:eastAsia="zh-CN"/>
              </w:rPr>
            </w:pPr>
            <w:r>
              <w:rPr>
                <w:rFonts w:hint="eastAsia" w:ascii="仿宋" w:hAnsi="仿宋" w:eastAsia="仿宋"/>
                <w:b/>
                <w:bCs/>
                <w:szCs w:val="22"/>
                <w:lang w:val="en-US" w:eastAsia="zh-CN"/>
              </w:rPr>
              <w:t>经三路加经四路保洁人员</w:t>
            </w:r>
          </w:p>
        </w:tc>
        <w:tc>
          <w:tcPr>
            <w:tcW w:w="2070" w:type="dxa"/>
            <w:tcBorders>
              <w:left w:val="single" w:color="auto" w:sz="4" w:space="0"/>
            </w:tcBorders>
            <w:noWrap w:val="0"/>
            <w:vAlign w:val="center"/>
          </w:tcPr>
          <w:p w14:paraId="6B72F468">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07135CEF">
            <w:pPr>
              <w:jc w:val="center"/>
              <w:rPr>
                <w:rFonts w:hint="eastAsia" w:ascii="宋体" w:hAnsi="宋体" w:cs="宋体"/>
                <w:b/>
                <w:bCs/>
                <w:szCs w:val="22"/>
                <w:lang w:val="en-US" w:eastAsia="zh-CN"/>
              </w:rPr>
            </w:pPr>
          </w:p>
        </w:tc>
      </w:tr>
      <w:tr w14:paraId="49B10D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675" w:type="dxa"/>
            <w:noWrap w:val="0"/>
            <w:vAlign w:val="center"/>
          </w:tcPr>
          <w:p w14:paraId="650C8CDF">
            <w:pPr>
              <w:jc w:val="center"/>
              <w:rPr>
                <w:rFonts w:ascii="仿宋" w:hAnsi="仿宋" w:eastAsia="仿宋" w:cs="宋体"/>
                <w:b/>
                <w:bCs/>
                <w:color w:val="000000"/>
                <w:szCs w:val="22"/>
                <w:highlight w:val="none"/>
              </w:rPr>
            </w:pPr>
            <w:r>
              <w:rPr>
                <w:rFonts w:hint="eastAsia" w:ascii="仿宋" w:hAnsi="仿宋" w:eastAsia="仿宋"/>
                <w:b/>
                <w:bCs/>
                <w:color w:val="000000"/>
                <w:szCs w:val="22"/>
                <w:highlight w:val="none"/>
              </w:rPr>
              <w:t>9</w:t>
            </w:r>
          </w:p>
        </w:tc>
        <w:tc>
          <w:tcPr>
            <w:tcW w:w="4944" w:type="dxa"/>
            <w:tcBorders>
              <w:right w:val="single" w:color="auto" w:sz="4" w:space="0"/>
            </w:tcBorders>
            <w:noWrap w:val="0"/>
            <w:vAlign w:val="center"/>
          </w:tcPr>
          <w:p w14:paraId="7990F1D5">
            <w:pPr>
              <w:jc w:val="center"/>
              <w:rPr>
                <w:rFonts w:hint="default" w:ascii="仿宋" w:hAnsi="仿宋" w:eastAsia="仿宋" w:cs="宋体"/>
                <w:b/>
                <w:bCs/>
                <w:szCs w:val="22"/>
                <w:highlight w:val="none"/>
                <w:lang w:val="en-US" w:eastAsia="zh-CN"/>
              </w:rPr>
            </w:pPr>
            <w:r>
              <w:rPr>
                <w:rFonts w:hint="eastAsia" w:ascii="仿宋" w:hAnsi="仿宋" w:eastAsia="仿宋"/>
                <w:b/>
                <w:bCs/>
                <w:szCs w:val="22"/>
                <w:highlight w:val="none"/>
                <w:lang w:val="en-US" w:eastAsia="zh-CN"/>
              </w:rPr>
              <w:t>公园一街、公园二街、公园路加溪南路保洁人员</w:t>
            </w:r>
            <w:r>
              <w:rPr>
                <w:rFonts w:hint="eastAsia" w:ascii="仿宋" w:hAnsi="仿宋" w:eastAsia="仿宋" w:cs="宋体"/>
                <w:b/>
                <w:bCs/>
                <w:szCs w:val="22"/>
                <w:lang w:val="en-US" w:eastAsia="zh-CN"/>
              </w:rPr>
              <w:t>（小学换班）</w:t>
            </w:r>
            <w:r>
              <w:rPr>
                <w:rFonts w:hint="eastAsia" w:ascii="仿宋" w:hAnsi="仿宋" w:eastAsia="仿宋"/>
                <w:b/>
                <w:bCs/>
                <w:szCs w:val="22"/>
                <w:highlight w:val="none"/>
                <w:lang w:val="en-US" w:eastAsia="zh-CN"/>
              </w:rPr>
              <w:t xml:space="preserve"> </w:t>
            </w:r>
          </w:p>
        </w:tc>
        <w:tc>
          <w:tcPr>
            <w:tcW w:w="2070" w:type="dxa"/>
            <w:tcBorders>
              <w:left w:val="single" w:color="auto" w:sz="4" w:space="0"/>
            </w:tcBorders>
            <w:noWrap w:val="0"/>
            <w:vAlign w:val="center"/>
          </w:tcPr>
          <w:p w14:paraId="61D95697">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506D7D14">
            <w:pPr>
              <w:jc w:val="center"/>
              <w:rPr>
                <w:rFonts w:hint="eastAsia" w:ascii="宋体" w:hAnsi="宋体" w:cs="宋体"/>
                <w:b/>
                <w:bCs/>
                <w:szCs w:val="22"/>
                <w:lang w:val="en-US" w:eastAsia="zh-CN"/>
              </w:rPr>
            </w:pPr>
          </w:p>
        </w:tc>
      </w:tr>
      <w:tr w14:paraId="1D944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675" w:type="dxa"/>
            <w:noWrap w:val="0"/>
            <w:vAlign w:val="center"/>
          </w:tcPr>
          <w:p w14:paraId="6656B8F9">
            <w:pPr>
              <w:jc w:val="center"/>
              <w:rPr>
                <w:rFonts w:ascii="仿宋" w:hAnsi="仿宋" w:eastAsia="仿宋"/>
                <w:b/>
                <w:bCs/>
                <w:color w:val="000000"/>
                <w:szCs w:val="22"/>
              </w:rPr>
            </w:pPr>
            <w:r>
              <w:rPr>
                <w:rFonts w:hint="eastAsia" w:ascii="仿宋" w:hAnsi="仿宋" w:eastAsia="仿宋"/>
                <w:b/>
                <w:bCs/>
                <w:color w:val="000000"/>
                <w:szCs w:val="22"/>
              </w:rPr>
              <w:t>10</w:t>
            </w:r>
          </w:p>
        </w:tc>
        <w:tc>
          <w:tcPr>
            <w:tcW w:w="4944" w:type="dxa"/>
            <w:tcBorders>
              <w:right w:val="single" w:color="auto" w:sz="4" w:space="0"/>
            </w:tcBorders>
            <w:noWrap w:val="0"/>
            <w:vAlign w:val="center"/>
          </w:tcPr>
          <w:p w14:paraId="5E8FE801">
            <w:pPr>
              <w:jc w:val="center"/>
              <w:rPr>
                <w:rFonts w:hint="default" w:ascii="仿宋" w:hAnsi="仿宋" w:eastAsia="仿宋"/>
                <w:b/>
                <w:bCs/>
                <w:szCs w:val="22"/>
                <w:lang w:val="en-US" w:eastAsia="zh-CN"/>
              </w:rPr>
            </w:pPr>
            <w:r>
              <w:rPr>
                <w:rFonts w:hint="eastAsia" w:ascii="仿宋" w:hAnsi="仿宋" w:eastAsia="仿宋"/>
                <w:b/>
                <w:bCs/>
                <w:szCs w:val="22"/>
                <w:lang w:val="en-US" w:eastAsia="zh-CN"/>
              </w:rPr>
              <w:t>康乐街保洁人员</w:t>
            </w:r>
          </w:p>
        </w:tc>
        <w:tc>
          <w:tcPr>
            <w:tcW w:w="2070" w:type="dxa"/>
            <w:tcBorders>
              <w:left w:val="single" w:color="auto" w:sz="4" w:space="0"/>
            </w:tcBorders>
            <w:noWrap w:val="0"/>
            <w:vAlign w:val="center"/>
          </w:tcPr>
          <w:p w14:paraId="0960D571">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5AE6DB93">
            <w:pPr>
              <w:jc w:val="center"/>
              <w:rPr>
                <w:rFonts w:hint="eastAsia" w:ascii="宋体" w:hAnsi="宋体" w:cs="宋体"/>
                <w:b/>
                <w:bCs/>
                <w:szCs w:val="22"/>
                <w:lang w:val="en-US" w:eastAsia="zh-CN"/>
              </w:rPr>
            </w:pPr>
          </w:p>
        </w:tc>
      </w:tr>
      <w:tr w14:paraId="199182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675" w:type="dxa"/>
            <w:noWrap w:val="0"/>
            <w:vAlign w:val="center"/>
          </w:tcPr>
          <w:p w14:paraId="44D1491F">
            <w:pPr>
              <w:jc w:val="center"/>
              <w:rPr>
                <w:rFonts w:ascii="仿宋" w:hAnsi="仿宋" w:eastAsia="仿宋" w:cs="宋体"/>
                <w:b/>
                <w:bCs/>
                <w:color w:val="000000"/>
                <w:szCs w:val="22"/>
              </w:rPr>
            </w:pPr>
            <w:r>
              <w:rPr>
                <w:rFonts w:hint="eastAsia" w:ascii="仿宋" w:hAnsi="仿宋" w:eastAsia="仿宋"/>
                <w:b/>
                <w:bCs/>
                <w:color w:val="000000"/>
                <w:szCs w:val="22"/>
              </w:rPr>
              <w:t>11</w:t>
            </w:r>
          </w:p>
        </w:tc>
        <w:tc>
          <w:tcPr>
            <w:tcW w:w="4944" w:type="dxa"/>
            <w:tcBorders>
              <w:right w:val="single" w:color="auto" w:sz="4" w:space="0"/>
            </w:tcBorders>
            <w:noWrap w:val="0"/>
            <w:vAlign w:val="center"/>
          </w:tcPr>
          <w:p w14:paraId="5E5AA94D">
            <w:pPr>
              <w:jc w:val="center"/>
              <w:rPr>
                <w:rFonts w:hint="default" w:ascii="仿宋" w:hAnsi="仿宋" w:eastAsia="仿宋" w:cs="宋体"/>
                <w:b/>
                <w:bCs/>
                <w:szCs w:val="22"/>
                <w:lang w:val="en-US" w:eastAsia="zh-CN"/>
              </w:rPr>
            </w:pPr>
            <w:r>
              <w:rPr>
                <w:rFonts w:hint="eastAsia" w:ascii="仿宋" w:hAnsi="仿宋" w:eastAsia="仿宋"/>
                <w:b/>
                <w:bCs/>
                <w:szCs w:val="22"/>
                <w:lang w:val="en-US" w:eastAsia="zh-CN"/>
              </w:rPr>
              <w:t>菜市场保洁人员</w:t>
            </w:r>
            <w:r>
              <w:rPr>
                <w:rFonts w:hint="eastAsia" w:ascii="仿宋" w:hAnsi="仿宋" w:eastAsia="仿宋" w:cs="宋体"/>
                <w:b/>
                <w:bCs/>
                <w:szCs w:val="22"/>
                <w:lang w:val="en-US" w:eastAsia="zh-CN"/>
              </w:rPr>
              <w:t>（扫、拉、装）</w:t>
            </w:r>
          </w:p>
        </w:tc>
        <w:tc>
          <w:tcPr>
            <w:tcW w:w="2070" w:type="dxa"/>
            <w:tcBorders>
              <w:left w:val="single" w:color="auto" w:sz="4" w:space="0"/>
            </w:tcBorders>
            <w:noWrap w:val="0"/>
            <w:vAlign w:val="center"/>
          </w:tcPr>
          <w:p w14:paraId="1E661EE1">
            <w:pPr>
              <w:jc w:val="center"/>
              <w:rPr>
                <w:rFonts w:hint="eastAsia" w:ascii="宋体" w:hAnsi="宋体" w:eastAsia="宋体" w:cs="宋体"/>
                <w:b/>
                <w:bCs/>
                <w:szCs w:val="22"/>
                <w:lang w:val="en-US" w:eastAsia="zh-CN"/>
              </w:rPr>
            </w:pPr>
            <w:r>
              <w:rPr>
                <w:rFonts w:hint="eastAsia" w:ascii="宋体" w:hAnsi="宋体" w:cs="宋体"/>
                <w:b/>
                <w:bCs/>
                <w:szCs w:val="22"/>
                <w:lang w:val="en-US" w:eastAsia="zh-CN"/>
              </w:rPr>
              <w:t>1</w:t>
            </w:r>
          </w:p>
        </w:tc>
        <w:tc>
          <w:tcPr>
            <w:tcW w:w="2070" w:type="dxa"/>
            <w:tcBorders>
              <w:left w:val="single" w:color="auto" w:sz="4" w:space="0"/>
            </w:tcBorders>
            <w:noWrap w:val="0"/>
            <w:vAlign w:val="center"/>
          </w:tcPr>
          <w:p w14:paraId="22D79624">
            <w:pPr>
              <w:jc w:val="center"/>
              <w:rPr>
                <w:rFonts w:hint="eastAsia" w:ascii="宋体" w:hAnsi="宋体" w:cs="宋体"/>
                <w:b/>
                <w:bCs/>
                <w:szCs w:val="22"/>
                <w:lang w:val="en-US" w:eastAsia="zh-CN"/>
              </w:rPr>
            </w:pPr>
          </w:p>
        </w:tc>
      </w:tr>
      <w:tr w14:paraId="4F48E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7FA5A6E">
            <w:pPr>
              <w:jc w:val="center"/>
              <w:rPr>
                <w:rFonts w:ascii="仿宋" w:hAnsi="仿宋" w:eastAsia="仿宋" w:cs="宋体"/>
                <w:b/>
                <w:bCs/>
                <w:color w:val="000000"/>
                <w:szCs w:val="22"/>
              </w:rPr>
            </w:pPr>
            <w:r>
              <w:rPr>
                <w:rFonts w:hint="eastAsia" w:ascii="仿宋" w:hAnsi="仿宋" w:eastAsia="仿宋"/>
                <w:b/>
                <w:bCs/>
                <w:color w:val="000000"/>
                <w:szCs w:val="22"/>
              </w:rPr>
              <w:t>12</w:t>
            </w:r>
          </w:p>
        </w:tc>
        <w:tc>
          <w:tcPr>
            <w:tcW w:w="4944" w:type="dxa"/>
            <w:tcBorders>
              <w:right w:val="single" w:color="auto" w:sz="4" w:space="0"/>
            </w:tcBorders>
            <w:noWrap w:val="0"/>
            <w:vAlign w:val="center"/>
          </w:tcPr>
          <w:p w14:paraId="537C1F29">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溪心岛（3个岛）保洁人员</w:t>
            </w:r>
          </w:p>
        </w:tc>
        <w:tc>
          <w:tcPr>
            <w:tcW w:w="2070" w:type="dxa"/>
            <w:tcBorders>
              <w:left w:val="single" w:color="auto" w:sz="4" w:space="0"/>
            </w:tcBorders>
            <w:noWrap w:val="0"/>
            <w:vAlign w:val="center"/>
          </w:tcPr>
          <w:p w14:paraId="3FAC5C8E">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31AEBFE1">
            <w:pPr>
              <w:spacing w:line="276" w:lineRule="auto"/>
              <w:jc w:val="center"/>
              <w:rPr>
                <w:rFonts w:hint="eastAsia" w:ascii="仿宋" w:hAnsi="仿宋" w:eastAsia="仿宋"/>
                <w:b/>
                <w:lang w:val="en-US" w:eastAsia="zh-CN"/>
              </w:rPr>
            </w:pPr>
          </w:p>
        </w:tc>
      </w:tr>
      <w:tr w14:paraId="0B8CB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13C5625E">
            <w:pPr>
              <w:jc w:val="center"/>
              <w:rPr>
                <w:rFonts w:ascii="仿宋" w:hAnsi="仿宋" w:eastAsia="仿宋"/>
                <w:b/>
                <w:bCs/>
                <w:color w:val="000000"/>
                <w:szCs w:val="22"/>
              </w:rPr>
            </w:pPr>
            <w:r>
              <w:rPr>
                <w:rFonts w:hint="eastAsia" w:ascii="仿宋" w:hAnsi="仿宋" w:eastAsia="仿宋"/>
                <w:b/>
                <w:bCs/>
                <w:color w:val="000000"/>
                <w:szCs w:val="22"/>
              </w:rPr>
              <w:t>13</w:t>
            </w:r>
          </w:p>
        </w:tc>
        <w:tc>
          <w:tcPr>
            <w:tcW w:w="4944" w:type="dxa"/>
            <w:tcBorders>
              <w:right w:val="single" w:color="auto" w:sz="4" w:space="0"/>
            </w:tcBorders>
            <w:noWrap w:val="0"/>
            <w:vAlign w:val="center"/>
          </w:tcPr>
          <w:p w14:paraId="0023EC66">
            <w:pPr>
              <w:jc w:val="center"/>
              <w:rPr>
                <w:rFonts w:hint="default" w:ascii="仿宋" w:hAnsi="仿宋" w:eastAsia="仿宋"/>
                <w:b/>
                <w:bCs/>
                <w:szCs w:val="22"/>
                <w:lang w:val="en-US" w:eastAsia="zh-CN"/>
              </w:rPr>
            </w:pPr>
            <w:r>
              <w:rPr>
                <w:rFonts w:hint="eastAsia" w:ascii="仿宋" w:hAnsi="仿宋" w:eastAsia="仿宋"/>
                <w:b/>
                <w:bCs/>
                <w:szCs w:val="22"/>
                <w:lang w:val="en-US" w:eastAsia="zh-CN"/>
              </w:rPr>
              <w:t>栈道保洁人员</w:t>
            </w:r>
          </w:p>
        </w:tc>
        <w:tc>
          <w:tcPr>
            <w:tcW w:w="2070" w:type="dxa"/>
            <w:tcBorders>
              <w:left w:val="single" w:color="auto" w:sz="4" w:space="0"/>
            </w:tcBorders>
            <w:noWrap w:val="0"/>
            <w:vAlign w:val="center"/>
          </w:tcPr>
          <w:p w14:paraId="606E6833">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2C0B3776">
            <w:pPr>
              <w:spacing w:line="276" w:lineRule="auto"/>
              <w:jc w:val="center"/>
              <w:rPr>
                <w:rFonts w:hint="eastAsia" w:ascii="仿宋" w:hAnsi="仿宋" w:eastAsia="仿宋"/>
                <w:b/>
                <w:lang w:val="en-US" w:eastAsia="zh-CN"/>
              </w:rPr>
            </w:pPr>
          </w:p>
        </w:tc>
      </w:tr>
      <w:tr w14:paraId="61832B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5AE85447">
            <w:pPr>
              <w:jc w:val="center"/>
              <w:rPr>
                <w:rFonts w:ascii="仿宋" w:hAnsi="仿宋" w:eastAsia="仿宋" w:cs="宋体"/>
                <w:b/>
                <w:bCs/>
                <w:color w:val="000000"/>
                <w:szCs w:val="22"/>
              </w:rPr>
            </w:pPr>
            <w:r>
              <w:rPr>
                <w:rFonts w:hint="eastAsia" w:ascii="仿宋" w:hAnsi="仿宋" w:eastAsia="仿宋"/>
                <w:b/>
                <w:bCs/>
                <w:color w:val="000000"/>
                <w:szCs w:val="22"/>
              </w:rPr>
              <w:t>14</w:t>
            </w:r>
          </w:p>
        </w:tc>
        <w:tc>
          <w:tcPr>
            <w:tcW w:w="4944" w:type="dxa"/>
            <w:tcBorders>
              <w:right w:val="single" w:color="auto" w:sz="4" w:space="0"/>
            </w:tcBorders>
            <w:noWrap w:val="0"/>
            <w:vAlign w:val="center"/>
          </w:tcPr>
          <w:p w14:paraId="76628936">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停车场保洁人员</w:t>
            </w:r>
          </w:p>
        </w:tc>
        <w:tc>
          <w:tcPr>
            <w:tcW w:w="2070" w:type="dxa"/>
            <w:tcBorders>
              <w:left w:val="single" w:color="auto" w:sz="4" w:space="0"/>
            </w:tcBorders>
            <w:noWrap w:val="0"/>
            <w:vAlign w:val="center"/>
          </w:tcPr>
          <w:p w14:paraId="0A3C6B11">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6880BBC9">
            <w:pPr>
              <w:spacing w:line="276" w:lineRule="auto"/>
              <w:jc w:val="center"/>
              <w:rPr>
                <w:rFonts w:hint="eastAsia" w:ascii="仿宋" w:hAnsi="仿宋" w:eastAsia="仿宋"/>
                <w:b/>
                <w:lang w:val="en-US" w:eastAsia="zh-CN"/>
              </w:rPr>
            </w:pPr>
          </w:p>
        </w:tc>
      </w:tr>
      <w:tr w14:paraId="7051E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3C39331F">
            <w:pPr>
              <w:jc w:val="center"/>
              <w:rPr>
                <w:rFonts w:ascii="仿宋" w:hAnsi="仿宋" w:eastAsia="仿宋"/>
                <w:b/>
                <w:bCs/>
                <w:color w:val="000000"/>
                <w:szCs w:val="22"/>
              </w:rPr>
            </w:pPr>
            <w:r>
              <w:rPr>
                <w:rFonts w:hint="eastAsia" w:ascii="仿宋" w:hAnsi="仿宋" w:eastAsia="仿宋"/>
                <w:b/>
                <w:bCs/>
                <w:color w:val="000000"/>
                <w:szCs w:val="22"/>
              </w:rPr>
              <w:t>15</w:t>
            </w:r>
          </w:p>
        </w:tc>
        <w:tc>
          <w:tcPr>
            <w:tcW w:w="4944" w:type="dxa"/>
            <w:tcBorders>
              <w:right w:val="single" w:color="auto" w:sz="4" w:space="0"/>
            </w:tcBorders>
            <w:noWrap w:val="0"/>
            <w:vAlign w:val="center"/>
          </w:tcPr>
          <w:p w14:paraId="639A7A11">
            <w:pPr>
              <w:jc w:val="center"/>
              <w:rPr>
                <w:rFonts w:hint="default" w:ascii="仿宋" w:hAnsi="仿宋" w:eastAsia="仿宋"/>
                <w:b/>
                <w:bCs/>
                <w:szCs w:val="22"/>
                <w:lang w:val="en-US" w:eastAsia="zh-CN"/>
              </w:rPr>
            </w:pPr>
            <w:r>
              <w:rPr>
                <w:rFonts w:hint="eastAsia" w:ascii="仿宋" w:hAnsi="仿宋" w:eastAsia="仿宋"/>
                <w:b/>
                <w:bCs/>
                <w:szCs w:val="22"/>
                <w:lang w:val="en-US" w:eastAsia="zh-CN"/>
              </w:rPr>
              <w:t>藻溪公园雁过藻溪保洁人员</w:t>
            </w:r>
          </w:p>
        </w:tc>
        <w:tc>
          <w:tcPr>
            <w:tcW w:w="2070" w:type="dxa"/>
            <w:tcBorders>
              <w:left w:val="single" w:color="auto" w:sz="4" w:space="0"/>
            </w:tcBorders>
            <w:noWrap w:val="0"/>
            <w:vAlign w:val="center"/>
          </w:tcPr>
          <w:p w14:paraId="6B55E80C">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5FEF8B18">
            <w:pPr>
              <w:spacing w:line="276" w:lineRule="auto"/>
              <w:jc w:val="center"/>
              <w:rPr>
                <w:rFonts w:hint="eastAsia" w:ascii="仿宋" w:hAnsi="仿宋" w:eastAsia="仿宋"/>
                <w:b/>
                <w:lang w:val="en-US" w:eastAsia="zh-CN"/>
              </w:rPr>
            </w:pPr>
          </w:p>
        </w:tc>
      </w:tr>
      <w:tr w14:paraId="1573C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070C092D">
            <w:pPr>
              <w:jc w:val="center"/>
              <w:rPr>
                <w:rFonts w:ascii="仿宋" w:hAnsi="仿宋" w:eastAsia="仿宋"/>
                <w:b/>
                <w:bCs/>
                <w:color w:val="000000"/>
                <w:szCs w:val="22"/>
              </w:rPr>
            </w:pPr>
            <w:r>
              <w:rPr>
                <w:rFonts w:ascii="仿宋" w:hAnsi="仿宋" w:eastAsia="仿宋"/>
                <w:b/>
                <w:bCs/>
                <w:color w:val="000000"/>
                <w:szCs w:val="22"/>
              </w:rPr>
              <w:t>16</w:t>
            </w:r>
          </w:p>
        </w:tc>
        <w:tc>
          <w:tcPr>
            <w:tcW w:w="4944" w:type="dxa"/>
            <w:tcBorders>
              <w:right w:val="single" w:color="auto" w:sz="4" w:space="0"/>
            </w:tcBorders>
            <w:noWrap w:val="0"/>
            <w:vAlign w:val="center"/>
          </w:tcPr>
          <w:p w14:paraId="3619A20B">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文泰路及鲤鱼山公园保洁人员</w:t>
            </w:r>
          </w:p>
        </w:tc>
        <w:tc>
          <w:tcPr>
            <w:tcW w:w="2070" w:type="dxa"/>
            <w:tcBorders>
              <w:left w:val="single" w:color="auto" w:sz="4" w:space="0"/>
            </w:tcBorders>
            <w:noWrap w:val="0"/>
            <w:vAlign w:val="center"/>
          </w:tcPr>
          <w:p w14:paraId="5EB6EAF9">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10876E6E">
            <w:pPr>
              <w:spacing w:line="276" w:lineRule="auto"/>
              <w:jc w:val="center"/>
              <w:rPr>
                <w:rFonts w:hint="eastAsia" w:ascii="仿宋" w:hAnsi="仿宋" w:eastAsia="仿宋"/>
                <w:b/>
                <w:lang w:val="en-US" w:eastAsia="zh-CN"/>
              </w:rPr>
            </w:pPr>
          </w:p>
        </w:tc>
      </w:tr>
      <w:tr w14:paraId="45B9E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7FAF0E1A">
            <w:pPr>
              <w:jc w:val="center"/>
              <w:rPr>
                <w:rFonts w:hint="eastAsia" w:ascii="仿宋" w:hAnsi="仿宋" w:eastAsia="仿宋" w:cs="宋体"/>
                <w:b/>
                <w:bCs/>
                <w:color w:val="000000"/>
                <w:szCs w:val="22"/>
                <w:lang w:eastAsia="zh-CN"/>
              </w:rPr>
            </w:pPr>
            <w:r>
              <w:rPr>
                <w:rFonts w:hint="eastAsia" w:ascii="仿宋" w:hAnsi="仿宋" w:eastAsia="仿宋" w:cs="宋体"/>
                <w:b/>
                <w:bCs/>
                <w:color w:val="000000"/>
                <w:szCs w:val="22"/>
              </w:rPr>
              <w:t>1</w:t>
            </w:r>
            <w:r>
              <w:rPr>
                <w:rFonts w:hint="eastAsia" w:ascii="仿宋" w:hAnsi="仿宋" w:eastAsia="仿宋" w:cs="宋体"/>
                <w:b/>
                <w:bCs/>
                <w:color w:val="000000"/>
                <w:szCs w:val="22"/>
                <w:lang w:val="en-US" w:eastAsia="zh-CN"/>
              </w:rPr>
              <w:t>7</w:t>
            </w:r>
          </w:p>
        </w:tc>
        <w:tc>
          <w:tcPr>
            <w:tcW w:w="4944" w:type="dxa"/>
            <w:tcBorders>
              <w:right w:val="single" w:color="auto" w:sz="4" w:space="0"/>
            </w:tcBorders>
            <w:noWrap w:val="0"/>
            <w:vAlign w:val="center"/>
          </w:tcPr>
          <w:p w14:paraId="4BF81991">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灵沙大道（藻溪支线主入口）保洁人员</w:t>
            </w:r>
          </w:p>
        </w:tc>
        <w:tc>
          <w:tcPr>
            <w:tcW w:w="2070" w:type="dxa"/>
            <w:tcBorders>
              <w:left w:val="single" w:color="auto" w:sz="4" w:space="0"/>
            </w:tcBorders>
            <w:noWrap w:val="0"/>
            <w:vAlign w:val="center"/>
          </w:tcPr>
          <w:p w14:paraId="1BAB8ACC">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3FEB72D2">
            <w:pPr>
              <w:spacing w:line="276" w:lineRule="auto"/>
              <w:jc w:val="center"/>
              <w:rPr>
                <w:rFonts w:hint="eastAsia" w:ascii="仿宋" w:hAnsi="仿宋" w:eastAsia="仿宋"/>
                <w:b/>
                <w:lang w:val="en-US" w:eastAsia="zh-CN"/>
              </w:rPr>
            </w:pPr>
          </w:p>
        </w:tc>
      </w:tr>
      <w:tr w14:paraId="0216D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462FF1C">
            <w:pPr>
              <w:jc w:val="center"/>
              <w:rPr>
                <w:rFonts w:hint="eastAsia" w:ascii="仿宋" w:hAnsi="仿宋" w:eastAsia="仿宋"/>
                <w:b/>
                <w:bCs/>
                <w:color w:val="000000"/>
                <w:szCs w:val="22"/>
                <w:lang w:eastAsia="zh-CN"/>
              </w:rPr>
            </w:pPr>
            <w:r>
              <w:rPr>
                <w:rFonts w:hint="eastAsia" w:ascii="仿宋" w:hAnsi="仿宋" w:eastAsia="仿宋"/>
                <w:b/>
                <w:bCs/>
                <w:color w:val="000000"/>
                <w:szCs w:val="22"/>
              </w:rPr>
              <w:t>1</w:t>
            </w:r>
            <w:r>
              <w:rPr>
                <w:rFonts w:hint="eastAsia" w:ascii="仿宋" w:hAnsi="仿宋" w:eastAsia="仿宋"/>
                <w:b/>
                <w:bCs/>
                <w:color w:val="000000"/>
                <w:szCs w:val="22"/>
                <w:lang w:val="en-US" w:eastAsia="zh-CN"/>
              </w:rPr>
              <w:t>8</w:t>
            </w:r>
          </w:p>
        </w:tc>
        <w:tc>
          <w:tcPr>
            <w:tcW w:w="4944" w:type="dxa"/>
            <w:tcBorders>
              <w:right w:val="single" w:color="auto" w:sz="4" w:space="0"/>
            </w:tcBorders>
            <w:noWrap w:val="0"/>
            <w:vAlign w:val="center"/>
          </w:tcPr>
          <w:p w14:paraId="0387F27B">
            <w:pPr>
              <w:jc w:val="center"/>
              <w:rPr>
                <w:rFonts w:hint="default" w:ascii="仿宋" w:hAnsi="仿宋" w:eastAsia="仿宋"/>
                <w:b/>
                <w:bCs/>
                <w:szCs w:val="22"/>
                <w:lang w:val="en-US" w:eastAsia="zh-CN"/>
              </w:rPr>
            </w:pPr>
            <w:r>
              <w:rPr>
                <w:rFonts w:hint="eastAsia" w:ascii="仿宋" w:hAnsi="仿宋" w:eastAsia="仿宋"/>
                <w:b/>
                <w:bCs/>
                <w:szCs w:val="22"/>
                <w:lang w:val="en-US" w:eastAsia="zh-CN"/>
              </w:rPr>
              <w:t>三轮垃圾收集车驾驶员</w:t>
            </w:r>
          </w:p>
        </w:tc>
        <w:tc>
          <w:tcPr>
            <w:tcW w:w="2070" w:type="dxa"/>
            <w:tcBorders>
              <w:left w:val="single" w:color="auto" w:sz="4" w:space="0"/>
            </w:tcBorders>
            <w:noWrap w:val="0"/>
            <w:vAlign w:val="center"/>
          </w:tcPr>
          <w:p w14:paraId="29E598E1">
            <w:pPr>
              <w:spacing w:line="276" w:lineRule="auto"/>
              <w:jc w:val="center"/>
              <w:rPr>
                <w:rFonts w:hint="eastAsia" w:ascii="仿宋" w:hAnsi="仿宋" w:eastAsia="仿宋"/>
                <w:b/>
                <w:lang w:val="en-US" w:eastAsia="zh-CN"/>
              </w:rPr>
            </w:pPr>
            <w:r>
              <w:rPr>
                <w:rFonts w:hint="eastAsia" w:ascii="仿宋" w:hAnsi="仿宋" w:eastAsia="仿宋"/>
                <w:b/>
                <w:lang w:val="en-US" w:eastAsia="zh-CN"/>
              </w:rPr>
              <w:t>6</w:t>
            </w:r>
          </w:p>
        </w:tc>
        <w:tc>
          <w:tcPr>
            <w:tcW w:w="2070" w:type="dxa"/>
            <w:tcBorders>
              <w:left w:val="single" w:color="auto" w:sz="4" w:space="0"/>
            </w:tcBorders>
            <w:noWrap w:val="0"/>
            <w:vAlign w:val="center"/>
          </w:tcPr>
          <w:p w14:paraId="3EA2F6E7">
            <w:pPr>
              <w:spacing w:line="276" w:lineRule="auto"/>
              <w:jc w:val="center"/>
              <w:rPr>
                <w:rFonts w:hint="eastAsia" w:ascii="仿宋" w:hAnsi="仿宋" w:eastAsia="仿宋"/>
                <w:b/>
                <w:lang w:val="en-US" w:eastAsia="zh-CN"/>
              </w:rPr>
            </w:pPr>
          </w:p>
        </w:tc>
      </w:tr>
      <w:tr w14:paraId="2F22D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F29F3F0">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19</w:t>
            </w:r>
          </w:p>
        </w:tc>
        <w:tc>
          <w:tcPr>
            <w:tcW w:w="4944" w:type="dxa"/>
            <w:tcBorders>
              <w:right w:val="single" w:color="auto" w:sz="4" w:space="0"/>
            </w:tcBorders>
            <w:noWrap w:val="0"/>
            <w:vAlign w:val="center"/>
          </w:tcPr>
          <w:p w14:paraId="3E263221">
            <w:pPr>
              <w:jc w:val="center"/>
              <w:rPr>
                <w:rFonts w:hint="eastAsia" w:ascii="仿宋" w:hAnsi="仿宋" w:eastAsia="仿宋"/>
                <w:b/>
                <w:bCs/>
                <w:szCs w:val="22"/>
                <w:lang w:val="en-US" w:eastAsia="zh-CN"/>
              </w:rPr>
            </w:pPr>
            <w:r>
              <w:rPr>
                <w:rFonts w:hint="eastAsia" w:ascii="仿宋" w:hAnsi="仿宋" w:eastAsia="仿宋"/>
                <w:b/>
                <w:bCs/>
                <w:szCs w:val="22"/>
                <w:lang w:val="en-US" w:eastAsia="zh-CN"/>
              </w:rPr>
              <w:t>巡回保洁</w:t>
            </w:r>
          </w:p>
        </w:tc>
        <w:tc>
          <w:tcPr>
            <w:tcW w:w="2070" w:type="dxa"/>
            <w:tcBorders>
              <w:left w:val="single" w:color="auto" w:sz="4" w:space="0"/>
            </w:tcBorders>
            <w:noWrap w:val="0"/>
            <w:vAlign w:val="center"/>
          </w:tcPr>
          <w:p w14:paraId="0813807D">
            <w:pPr>
              <w:spacing w:line="276" w:lineRule="auto"/>
              <w:jc w:val="center"/>
              <w:rPr>
                <w:rFonts w:hint="default" w:ascii="仿宋" w:hAnsi="仿宋" w:eastAsia="仿宋"/>
                <w:b/>
                <w:lang w:val="en-US" w:eastAsia="zh-CN"/>
              </w:rPr>
            </w:pPr>
            <w:r>
              <w:rPr>
                <w:rFonts w:hint="eastAsia" w:ascii="仿宋" w:hAnsi="仿宋" w:eastAsia="仿宋"/>
                <w:b/>
                <w:lang w:val="en-US" w:eastAsia="zh-CN"/>
              </w:rPr>
              <w:t>2</w:t>
            </w:r>
          </w:p>
        </w:tc>
        <w:tc>
          <w:tcPr>
            <w:tcW w:w="2070" w:type="dxa"/>
            <w:tcBorders>
              <w:left w:val="single" w:color="auto" w:sz="4" w:space="0"/>
            </w:tcBorders>
            <w:noWrap w:val="0"/>
            <w:vAlign w:val="center"/>
          </w:tcPr>
          <w:p w14:paraId="6B0675E4">
            <w:pPr>
              <w:spacing w:line="276" w:lineRule="auto"/>
              <w:jc w:val="center"/>
              <w:rPr>
                <w:rFonts w:hint="eastAsia" w:ascii="仿宋" w:hAnsi="仿宋" w:eastAsia="仿宋"/>
                <w:b/>
                <w:lang w:val="en-US" w:eastAsia="zh-CN"/>
              </w:rPr>
            </w:pPr>
          </w:p>
        </w:tc>
      </w:tr>
      <w:tr w14:paraId="51CBE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A3D8025">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20</w:t>
            </w:r>
          </w:p>
        </w:tc>
        <w:tc>
          <w:tcPr>
            <w:tcW w:w="4944" w:type="dxa"/>
            <w:tcBorders>
              <w:right w:val="single" w:color="auto" w:sz="4" w:space="0"/>
            </w:tcBorders>
            <w:noWrap w:val="0"/>
            <w:vAlign w:val="center"/>
          </w:tcPr>
          <w:p w14:paraId="6F6C2B07">
            <w:pPr>
              <w:jc w:val="center"/>
              <w:rPr>
                <w:rFonts w:hint="eastAsia" w:ascii="仿宋" w:hAnsi="仿宋" w:eastAsia="仿宋"/>
                <w:b/>
                <w:bCs/>
                <w:szCs w:val="22"/>
                <w:lang w:val="en-US" w:eastAsia="zh-CN"/>
              </w:rPr>
            </w:pPr>
            <w:r>
              <w:rPr>
                <w:rFonts w:hint="eastAsia" w:ascii="仿宋" w:hAnsi="仿宋" w:eastAsia="仿宋"/>
                <w:b/>
                <w:bCs/>
                <w:szCs w:val="22"/>
                <w:lang w:val="en-US" w:eastAsia="zh-CN"/>
              </w:rPr>
              <w:t>藻溪片区-九堡村保洁人员</w:t>
            </w:r>
          </w:p>
        </w:tc>
        <w:tc>
          <w:tcPr>
            <w:tcW w:w="2070" w:type="dxa"/>
            <w:tcBorders>
              <w:left w:val="single" w:color="auto" w:sz="4" w:space="0"/>
            </w:tcBorders>
            <w:noWrap w:val="0"/>
            <w:vAlign w:val="center"/>
          </w:tcPr>
          <w:p w14:paraId="4064D7F2">
            <w:pPr>
              <w:spacing w:line="276" w:lineRule="auto"/>
              <w:jc w:val="center"/>
              <w:rPr>
                <w:rFonts w:hint="default" w:ascii="仿宋" w:hAnsi="仿宋" w:eastAsia="仿宋"/>
                <w:b/>
                <w:lang w:val="en-US" w:eastAsia="zh-CN"/>
              </w:rPr>
            </w:pPr>
            <w:r>
              <w:rPr>
                <w:rFonts w:hint="eastAsia" w:ascii="仿宋" w:hAnsi="仿宋" w:eastAsia="仿宋"/>
                <w:b/>
                <w:lang w:val="en-US" w:eastAsia="zh-CN"/>
              </w:rPr>
              <w:t>3</w:t>
            </w:r>
          </w:p>
        </w:tc>
        <w:tc>
          <w:tcPr>
            <w:tcW w:w="2070" w:type="dxa"/>
            <w:tcBorders>
              <w:left w:val="single" w:color="auto" w:sz="4" w:space="0"/>
            </w:tcBorders>
            <w:noWrap w:val="0"/>
            <w:vAlign w:val="center"/>
          </w:tcPr>
          <w:p w14:paraId="498A25C0">
            <w:pPr>
              <w:spacing w:line="276" w:lineRule="auto"/>
              <w:jc w:val="center"/>
              <w:rPr>
                <w:rFonts w:hint="eastAsia" w:ascii="仿宋" w:hAnsi="仿宋" w:eastAsia="仿宋"/>
                <w:b/>
                <w:lang w:val="en-US" w:eastAsia="zh-CN"/>
              </w:rPr>
            </w:pPr>
          </w:p>
        </w:tc>
      </w:tr>
      <w:tr w14:paraId="601D4D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58C8FAA6">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21</w:t>
            </w:r>
          </w:p>
        </w:tc>
        <w:tc>
          <w:tcPr>
            <w:tcW w:w="4944" w:type="dxa"/>
            <w:tcBorders>
              <w:right w:val="single" w:color="auto" w:sz="4" w:space="0"/>
            </w:tcBorders>
            <w:noWrap w:val="0"/>
            <w:vAlign w:val="center"/>
          </w:tcPr>
          <w:p w14:paraId="7C4A179A">
            <w:pPr>
              <w:jc w:val="center"/>
              <w:rPr>
                <w:rFonts w:hint="eastAsia" w:ascii="仿宋" w:hAnsi="仿宋" w:eastAsia="仿宋"/>
                <w:b/>
                <w:bCs/>
                <w:szCs w:val="22"/>
                <w:lang w:val="en-US" w:eastAsia="zh-CN"/>
              </w:rPr>
            </w:pPr>
            <w:r>
              <w:rPr>
                <w:rFonts w:hint="eastAsia" w:ascii="仿宋" w:hAnsi="仿宋" w:eastAsia="仿宋"/>
                <w:b/>
                <w:bCs/>
                <w:szCs w:val="22"/>
                <w:lang w:val="en-US" w:eastAsia="zh-CN"/>
              </w:rPr>
              <w:t>藻溪片区-建光社区保洁人员</w:t>
            </w:r>
          </w:p>
        </w:tc>
        <w:tc>
          <w:tcPr>
            <w:tcW w:w="2070" w:type="dxa"/>
            <w:tcBorders>
              <w:left w:val="single" w:color="auto" w:sz="4" w:space="0"/>
            </w:tcBorders>
            <w:noWrap w:val="0"/>
            <w:vAlign w:val="center"/>
          </w:tcPr>
          <w:p w14:paraId="08CA4369">
            <w:pPr>
              <w:spacing w:line="276" w:lineRule="auto"/>
              <w:jc w:val="center"/>
              <w:rPr>
                <w:rFonts w:hint="default"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40265596">
            <w:pPr>
              <w:spacing w:line="276" w:lineRule="auto"/>
              <w:jc w:val="center"/>
              <w:rPr>
                <w:rFonts w:hint="eastAsia" w:ascii="仿宋" w:hAnsi="仿宋" w:eastAsia="仿宋"/>
                <w:b/>
                <w:lang w:val="en-US" w:eastAsia="zh-CN"/>
              </w:rPr>
            </w:pPr>
          </w:p>
        </w:tc>
      </w:tr>
      <w:tr w14:paraId="4578B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6279FC4A">
            <w:pPr>
              <w:jc w:val="center"/>
              <w:rPr>
                <w:rFonts w:hint="default" w:ascii="仿宋" w:hAnsi="仿宋" w:eastAsia="仿宋" w:cs="宋体"/>
                <w:b/>
                <w:bCs/>
                <w:color w:val="000000"/>
                <w:szCs w:val="22"/>
                <w:lang w:val="en-US" w:eastAsia="zh-CN"/>
              </w:rPr>
            </w:pPr>
            <w:r>
              <w:rPr>
                <w:rFonts w:hint="eastAsia" w:ascii="仿宋" w:hAnsi="仿宋" w:eastAsia="仿宋" w:cs="宋体"/>
                <w:b/>
                <w:bCs/>
                <w:color w:val="000000"/>
                <w:szCs w:val="22"/>
                <w:lang w:val="en-US" w:eastAsia="zh-CN"/>
              </w:rPr>
              <w:t>22</w:t>
            </w:r>
          </w:p>
        </w:tc>
        <w:tc>
          <w:tcPr>
            <w:tcW w:w="4944" w:type="dxa"/>
            <w:tcBorders>
              <w:right w:val="single" w:color="auto" w:sz="4" w:space="0"/>
            </w:tcBorders>
            <w:noWrap w:val="0"/>
            <w:vAlign w:val="center"/>
          </w:tcPr>
          <w:p w14:paraId="7F610867">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垃圾压缩式收集车驾驶员</w:t>
            </w:r>
          </w:p>
        </w:tc>
        <w:tc>
          <w:tcPr>
            <w:tcW w:w="2070" w:type="dxa"/>
            <w:tcBorders>
              <w:left w:val="single" w:color="auto" w:sz="4" w:space="0"/>
            </w:tcBorders>
            <w:noWrap w:val="0"/>
            <w:vAlign w:val="center"/>
          </w:tcPr>
          <w:p w14:paraId="607BBE50">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4547BF75">
            <w:pPr>
              <w:spacing w:line="276" w:lineRule="auto"/>
              <w:jc w:val="center"/>
              <w:rPr>
                <w:rFonts w:hint="eastAsia" w:ascii="仿宋" w:hAnsi="仿宋" w:eastAsia="仿宋"/>
                <w:b/>
                <w:lang w:val="en-US" w:eastAsia="zh-CN"/>
              </w:rPr>
            </w:pPr>
          </w:p>
        </w:tc>
      </w:tr>
      <w:tr w14:paraId="34AF8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26CBBFAC">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23</w:t>
            </w:r>
          </w:p>
        </w:tc>
        <w:tc>
          <w:tcPr>
            <w:tcW w:w="4944" w:type="dxa"/>
            <w:tcBorders>
              <w:right w:val="single" w:color="auto" w:sz="4" w:space="0"/>
            </w:tcBorders>
            <w:noWrap w:val="0"/>
            <w:vAlign w:val="center"/>
          </w:tcPr>
          <w:p w14:paraId="58E3CE23">
            <w:pPr>
              <w:jc w:val="center"/>
              <w:rPr>
                <w:rFonts w:hint="default" w:ascii="仿宋" w:hAnsi="仿宋" w:eastAsia="仿宋"/>
                <w:b/>
                <w:bCs/>
                <w:szCs w:val="22"/>
                <w:lang w:val="en-US"/>
              </w:rPr>
            </w:pPr>
            <w:r>
              <w:rPr>
                <w:rFonts w:hint="eastAsia" w:ascii="仿宋" w:hAnsi="仿宋" w:eastAsia="仿宋" w:cs="宋体"/>
                <w:b/>
                <w:bCs/>
                <w:szCs w:val="22"/>
                <w:lang w:val="en-US" w:eastAsia="zh-CN"/>
              </w:rPr>
              <w:t>垃圾压缩式收集车跟随保洁员</w:t>
            </w:r>
          </w:p>
        </w:tc>
        <w:tc>
          <w:tcPr>
            <w:tcW w:w="2070" w:type="dxa"/>
            <w:tcBorders>
              <w:left w:val="single" w:color="auto" w:sz="4" w:space="0"/>
            </w:tcBorders>
            <w:noWrap w:val="0"/>
            <w:vAlign w:val="center"/>
          </w:tcPr>
          <w:p w14:paraId="5DFB3C5A">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747F0438">
            <w:pPr>
              <w:spacing w:line="276" w:lineRule="auto"/>
              <w:jc w:val="center"/>
              <w:rPr>
                <w:rFonts w:hint="eastAsia" w:ascii="仿宋" w:hAnsi="仿宋" w:eastAsia="仿宋"/>
                <w:b/>
                <w:lang w:val="en-US" w:eastAsia="zh-CN"/>
              </w:rPr>
            </w:pPr>
          </w:p>
        </w:tc>
      </w:tr>
      <w:tr w14:paraId="7C547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00381016">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24</w:t>
            </w:r>
          </w:p>
        </w:tc>
        <w:tc>
          <w:tcPr>
            <w:tcW w:w="4944" w:type="dxa"/>
            <w:tcBorders>
              <w:right w:val="single" w:color="auto" w:sz="4" w:space="0"/>
            </w:tcBorders>
            <w:noWrap w:val="0"/>
            <w:vAlign w:val="center"/>
          </w:tcPr>
          <w:p w14:paraId="535E87E7">
            <w:pPr>
              <w:jc w:val="center"/>
              <w:rPr>
                <w:rFonts w:hint="default" w:ascii="仿宋" w:hAnsi="仿宋" w:eastAsia="仿宋"/>
                <w:b/>
                <w:bCs/>
                <w:szCs w:val="22"/>
                <w:lang w:val="en-US" w:eastAsia="zh-CN"/>
              </w:rPr>
            </w:pPr>
            <w:r>
              <w:rPr>
                <w:rFonts w:hint="eastAsia" w:ascii="仿宋" w:hAnsi="仿宋" w:eastAsia="仿宋"/>
                <w:b/>
                <w:bCs/>
                <w:szCs w:val="22"/>
                <w:lang w:val="en-US" w:eastAsia="zh-CN"/>
              </w:rPr>
              <w:t>垃圾桶清洗车驾驶员</w:t>
            </w:r>
          </w:p>
        </w:tc>
        <w:tc>
          <w:tcPr>
            <w:tcW w:w="2070" w:type="dxa"/>
            <w:tcBorders>
              <w:left w:val="single" w:color="auto" w:sz="4" w:space="0"/>
            </w:tcBorders>
            <w:noWrap w:val="0"/>
            <w:vAlign w:val="center"/>
          </w:tcPr>
          <w:p w14:paraId="7E806866">
            <w:pPr>
              <w:spacing w:line="276" w:lineRule="auto"/>
              <w:jc w:val="center"/>
              <w:rPr>
                <w:rFonts w:hint="eastAsia" w:ascii="仿宋" w:hAnsi="仿宋" w:eastAsia="仿宋"/>
                <w:b/>
                <w:lang w:val="en-US" w:eastAsia="zh-CN"/>
              </w:rPr>
            </w:pPr>
            <w:r>
              <w:rPr>
                <w:rFonts w:hint="eastAsia" w:ascii="仿宋" w:hAnsi="仿宋" w:eastAsia="仿宋"/>
                <w:b/>
                <w:lang w:val="en-US" w:eastAsia="zh-CN"/>
              </w:rPr>
              <w:t>2</w:t>
            </w:r>
          </w:p>
        </w:tc>
        <w:tc>
          <w:tcPr>
            <w:tcW w:w="2070" w:type="dxa"/>
            <w:tcBorders>
              <w:left w:val="single" w:color="auto" w:sz="4" w:space="0"/>
            </w:tcBorders>
            <w:noWrap w:val="0"/>
            <w:vAlign w:val="center"/>
          </w:tcPr>
          <w:p w14:paraId="3E88873A">
            <w:pPr>
              <w:spacing w:line="276" w:lineRule="auto"/>
              <w:jc w:val="center"/>
              <w:rPr>
                <w:rFonts w:hint="eastAsia" w:ascii="仿宋" w:hAnsi="仿宋" w:eastAsia="仿宋"/>
                <w:b/>
                <w:lang w:val="en-US" w:eastAsia="zh-CN"/>
              </w:rPr>
            </w:pPr>
          </w:p>
        </w:tc>
      </w:tr>
      <w:tr w14:paraId="2AEBDE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5A556952">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25</w:t>
            </w:r>
          </w:p>
        </w:tc>
        <w:tc>
          <w:tcPr>
            <w:tcW w:w="4944" w:type="dxa"/>
            <w:tcBorders>
              <w:right w:val="single" w:color="auto" w:sz="4" w:space="0"/>
            </w:tcBorders>
            <w:noWrap w:val="0"/>
            <w:vAlign w:val="center"/>
          </w:tcPr>
          <w:p w14:paraId="38F2FC82">
            <w:pPr>
              <w:jc w:val="center"/>
              <w:rPr>
                <w:rFonts w:hint="default" w:ascii="仿宋" w:hAnsi="仿宋" w:eastAsia="仿宋"/>
                <w:b/>
                <w:bCs/>
                <w:szCs w:val="22"/>
                <w:lang w:val="en-US" w:eastAsia="zh-CN"/>
              </w:rPr>
            </w:pPr>
            <w:r>
              <w:rPr>
                <w:rFonts w:hint="eastAsia" w:ascii="仿宋" w:hAnsi="仿宋" w:eastAsia="仿宋"/>
                <w:b/>
                <w:bCs/>
                <w:szCs w:val="22"/>
                <w:lang w:val="en-US" w:eastAsia="zh-CN"/>
              </w:rPr>
              <w:t>洒扫车驾驶员</w:t>
            </w:r>
          </w:p>
        </w:tc>
        <w:tc>
          <w:tcPr>
            <w:tcW w:w="2070" w:type="dxa"/>
            <w:tcBorders>
              <w:left w:val="single" w:color="auto" w:sz="4" w:space="0"/>
            </w:tcBorders>
            <w:noWrap w:val="0"/>
            <w:vAlign w:val="center"/>
          </w:tcPr>
          <w:p w14:paraId="3C957225">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1A3CFD10">
            <w:pPr>
              <w:spacing w:line="276" w:lineRule="auto"/>
              <w:jc w:val="center"/>
              <w:rPr>
                <w:rFonts w:hint="eastAsia" w:ascii="仿宋" w:hAnsi="仿宋" w:eastAsia="仿宋"/>
                <w:b/>
                <w:lang w:val="en-US" w:eastAsia="zh-CN"/>
              </w:rPr>
            </w:pPr>
          </w:p>
        </w:tc>
      </w:tr>
      <w:tr w14:paraId="61CF8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0B57FA5D">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26</w:t>
            </w:r>
          </w:p>
        </w:tc>
        <w:tc>
          <w:tcPr>
            <w:tcW w:w="4944" w:type="dxa"/>
            <w:tcBorders>
              <w:right w:val="single" w:color="auto" w:sz="4" w:space="0"/>
            </w:tcBorders>
            <w:noWrap w:val="0"/>
            <w:vAlign w:val="center"/>
          </w:tcPr>
          <w:p w14:paraId="4AB93294">
            <w:pPr>
              <w:jc w:val="center"/>
              <w:rPr>
                <w:rFonts w:hint="default" w:ascii="仿宋" w:hAnsi="仿宋" w:eastAsia="仿宋"/>
                <w:b/>
                <w:bCs/>
                <w:szCs w:val="22"/>
                <w:lang w:val="en-US" w:eastAsia="zh-CN"/>
              </w:rPr>
            </w:pPr>
            <w:r>
              <w:rPr>
                <w:rFonts w:hint="eastAsia" w:ascii="仿宋" w:hAnsi="仿宋" w:eastAsia="仿宋"/>
                <w:b/>
                <w:bCs/>
                <w:szCs w:val="22"/>
                <w:lang w:val="en-US" w:eastAsia="zh-CN"/>
              </w:rPr>
              <w:t>转运车驾驶员</w:t>
            </w:r>
          </w:p>
        </w:tc>
        <w:tc>
          <w:tcPr>
            <w:tcW w:w="2070" w:type="dxa"/>
            <w:tcBorders>
              <w:left w:val="single" w:color="auto" w:sz="4" w:space="0"/>
            </w:tcBorders>
            <w:noWrap w:val="0"/>
            <w:vAlign w:val="center"/>
          </w:tcPr>
          <w:p w14:paraId="707401B0">
            <w:pPr>
              <w:spacing w:line="276" w:lineRule="auto"/>
              <w:jc w:val="center"/>
              <w:rPr>
                <w:rFonts w:hint="eastAsia"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63E27C3F">
            <w:pPr>
              <w:spacing w:line="276" w:lineRule="auto"/>
              <w:jc w:val="center"/>
              <w:rPr>
                <w:rFonts w:hint="eastAsia" w:ascii="仿宋" w:hAnsi="仿宋" w:eastAsia="仿宋"/>
                <w:b/>
                <w:lang w:val="en-US" w:eastAsia="zh-CN"/>
              </w:rPr>
            </w:pPr>
          </w:p>
        </w:tc>
      </w:tr>
      <w:tr w14:paraId="164CF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56052ED2">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27</w:t>
            </w:r>
          </w:p>
        </w:tc>
        <w:tc>
          <w:tcPr>
            <w:tcW w:w="4944" w:type="dxa"/>
            <w:tcBorders>
              <w:right w:val="single" w:color="auto" w:sz="4" w:space="0"/>
            </w:tcBorders>
            <w:noWrap w:val="0"/>
            <w:vAlign w:val="center"/>
          </w:tcPr>
          <w:p w14:paraId="1D670ECA">
            <w:pPr>
              <w:jc w:val="center"/>
              <w:rPr>
                <w:rFonts w:hint="default" w:ascii="仿宋" w:hAnsi="仿宋" w:eastAsia="仿宋"/>
                <w:b/>
                <w:bCs/>
                <w:szCs w:val="22"/>
                <w:lang w:val="en-US" w:eastAsia="zh-CN"/>
              </w:rPr>
            </w:pPr>
            <w:r>
              <w:rPr>
                <w:rFonts w:hint="eastAsia" w:ascii="仿宋" w:hAnsi="仿宋" w:eastAsia="仿宋"/>
                <w:b/>
                <w:bCs/>
                <w:szCs w:val="22"/>
                <w:lang w:val="en-US" w:eastAsia="zh-CN"/>
              </w:rPr>
              <w:t>城区河道专用保洁船保洁人员</w:t>
            </w:r>
          </w:p>
        </w:tc>
        <w:tc>
          <w:tcPr>
            <w:tcW w:w="2070" w:type="dxa"/>
            <w:tcBorders>
              <w:left w:val="single" w:color="auto" w:sz="4" w:space="0"/>
            </w:tcBorders>
            <w:noWrap w:val="0"/>
            <w:vAlign w:val="center"/>
          </w:tcPr>
          <w:p w14:paraId="4F9D68E8">
            <w:pPr>
              <w:spacing w:line="276" w:lineRule="auto"/>
              <w:jc w:val="center"/>
              <w:rPr>
                <w:rFonts w:hint="default" w:ascii="仿宋" w:hAnsi="仿宋" w:eastAsia="仿宋"/>
                <w:b/>
                <w:lang w:val="en-US" w:eastAsia="zh-CN"/>
              </w:rPr>
            </w:pPr>
            <w:r>
              <w:rPr>
                <w:rFonts w:hint="eastAsia" w:ascii="仿宋" w:hAnsi="仿宋" w:eastAsia="仿宋"/>
                <w:b/>
                <w:lang w:val="en-US" w:eastAsia="zh-CN"/>
              </w:rPr>
              <w:t>4</w:t>
            </w:r>
          </w:p>
        </w:tc>
        <w:tc>
          <w:tcPr>
            <w:tcW w:w="2070" w:type="dxa"/>
            <w:tcBorders>
              <w:left w:val="single" w:color="auto" w:sz="4" w:space="0"/>
            </w:tcBorders>
            <w:noWrap w:val="0"/>
            <w:vAlign w:val="center"/>
          </w:tcPr>
          <w:p w14:paraId="70A8BFE9">
            <w:pPr>
              <w:spacing w:line="276" w:lineRule="auto"/>
              <w:jc w:val="center"/>
              <w:rPr>
                <w:rFonts w:hint="eastAsia" w:ascii="仿宋" w:hAnsi="仿宋" w:eastAsia="仿宋"/>
                <w:b/>
                <w:lang w:val="en-US" w:eastAsia="zh-CN"/>
              </w:rPr>
            </w:pPr>
          </w:p>
        </w:tc>
      </w:tr>
      <w:tr w14:paraId="6A0EC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4B8913C8">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28</w:t>
            </w:r>
          </w:p>
        </w:tc>
        <w:tc>
          <w:tcPr>
            <w:tcW w:w="4944" w:type="dxa"/>
            <w:tcBorders>
              <w:right w:val="single" w:color="auto" w:sz="4" w:space="0"/>
            </w:tcBorders>
            <w:noWrap w:val="0"/>
            <w:vAlign w:val="center"/>
          </w:tcPr>
          <w:p w14:paraId="62599E65">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管理人员</w:t>
            </w:r>
          </w:p>
        </w:tc>
        <w:tc>
          <w:tcPr>
            <w:tcW w:w="2070" w:type="dxa"/>
            <w:tcBorders>
              <w:left w:val="single" w:color="auto" w:sz="4" w:space="0"/>
            </w:tcBorders>
            <w:noWrap w:val="0"/>
            <w:vAlign w:val="center"/>
          </w:tcPr>
          <w:p w14:paraId="0068CA6E">
            <w:pPr>
              <w:spacing w:line="276" w:lineRule="auto"/>
              <w:jc w:val="center"/>
              <w:rPr>
                <w:rFonts w:hint="eastAsia" w:ascii="仿宋" w:hAnsi="仿宋" w:eastAsia="仿宋"/>
                <w:b/>
                <w:lang w:val="en-US" w:eastAsia="zh-CN"/>
              </w:rPr>
            </w:pPr>
            <w:r>
              <w:rPr>
                <w:rFonts w:hint="eastAsia" w:ascii="仿宋" w:hAnsi="仿宋" w:eastAsia="仿宋"/>
                <w:b/>
                <w:lang w:val="en-US" w:eastAsia="zh-CN"/>
              </w:rPr>
              <w:t>2</w:t>
            </w:r>
          </w:p>
        </w:tc>
        <w:tc>
          <w:tcPr>
            <w:tcW w:w="2070" w:type="dxa"/>
            <w:tcBorders>
              <w:left w:val="single" w:color="auto" w:sz="4" w:space="0"/>
            </w:tcBorders>
            <w:noWrap w:val="0"/>
            <w:vAlign w:val="center"/>
          </w:tcPr>
          <w:p w14:paraId="3AFDEFC4">
            <w:pPr>
              <w:spacing w:line="276" w:lineRule="auto"/>
              <w:jc w:val="center"/>
              <w:rPr>
                <w:rFonts w:hint="eastAsia" w:ascii="仿宋" w:hAnsi="仿宋" w:eastAsia="仿宋"/>
                <w:b/>
                <w:lang w:val="en-US" w:eastAsia="zh-CN"/>
              </w:rPr>
            </w:pPr>
          </w:p>
        </w:tc>
      </w:tr>
      <w:tr w14:paraId="61F07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16BEDF1A">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29</w:t>
            </w:r>
          </w:p>
        </w:tc>
        <w:tc>
          <w:tcPr>
            <w:tcW w:w="4944" w:type="dxa"/>
            <w:tcBorders>
              <w:right w:val="single" w:color="auto" w:sz="4" w:space="0"/>
            </w:tcBorders>
            <w:noWrap w:val="0"/>
            <w:vAlign w:val="center"/>
          </w:tcPr>
          <w:p w14:paraId="01410E62">
            <w:pPr>
              <w:jc w:val="center"/>
              <w:rPr>
                <w:rFonts w:hint="eastAsia" w:ascii="仿宋" w:hAnsi="仿宋" w:eastAsia="仿宋" w:cs="宋体"/>
                <w:b/>
                <w:bCs/>
                <w:szCs w:val="22"/>
                <w:lang w:val="en-US" w:eastAsia="zh-CN"/>
              </w:rPr>
            </w:pPr>
            <w:r>
              <w:rPr>
                <w:rFonts w:hint="eastAsia" w:ascii="仿宋" w:hAnsi="仿宋" w:eastAsia="仿宋" w:cs="宋体"/>
                <w:b/>
                <w:bCs/>
                <w:szCs w:val="22"/>
                <w:lang w:val="en-US" w:eastAsia="zh-CN"/>
              </w:rPr>
              <w:t>大溪步道、冬泳基地保洁人员</w:t>
            </w:r>
          </w:p>
        </w:tc>
        <w:tc>
          <w:tcPr>
            <w:tcW w:w="2070" w:type="dxa"/>
            <w:tcBorders>
              <w:left w:val="single" w:color="auto" w:sz="4" w:space="0"/>
            </w:tcBorders>
            <w:noWrap w:val="0"/>
            <w:vAlign w:val="center"/>
          </w:tcPr>
          <w:p w14:paraId="2D2845F7">
            <w:pPr>
              <w:spacing w:line="276" w:lineRule="auto"/>
              <w:jc w:val="center"/>
              <w:rPr>
                <w:rFonts w:hint="default" w:ascii="仿宋" w:hAnsi="仿宋" w:eastAsia="仿宋"/>
                <w:b/>
                <w:lang w:val="en-US" w:eastAsia="zh-CN"/>
              </w:rPr>
            </w:pPr>
            <w:r>
              <w:rPr>
                <w:rFonts w:hint="eastAsia" w:ascii="仿宋" w:hAnsi="仿宋" w:eastAsia="仿宋"/>
                <w:b/>
                <w:lang w:val="en-US" w:eastAsia="zh-CN"/>
              </w:rPr>
              <w:t>1</w:t>
            </w:r>
          </w:p>
        </w:tc>
        <w:tc>
          <w:tcPr>
            <w:tcW w:w="2070" w:type="dxa"/>
            <w:tcBorders>
              <w:left w:val="single" w:color="auto" w:sz="4" w:space="0"/>
            </w:tcBorders>
            <w:noWrap w:val="0"/>
            <w:vAlign w:val="center"/>
          </w:tcPr>
          <w:p w14:paraId="44777EC5">
            <w:pPr>
              <w:spacing w:line="276" w:lineRule="auto"/>
              <w:jc w:val="center"/>
              <w:rPr>
                <w:rFonts w:hint="eastAsia" w:ascii="仿宋" w:hAnsi="仿宋" w:eastAsia="仿宋"/>
                <w:b/>
                <w:lang w:val="en-US" w:eastAsia="zh-CN"/>
              </w:rPr>
            </w:pPr>
          </w:p>
        </w:tc>
      </w:tr>
      <w:tr w14:paraId="3253C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6A2BD113">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30</w:t>
            </w:r>
          </w:p>
        </w:tc>
        <w:tc>
          <w:tcPr>
            <w:tcW w:w="4944" w:type="dxa"/>
            <w:tcBorders>
              <w:right w:val="single" w:color="auto" w:sz="4" w:space="0"/>
            </w:tcBorders>
            <w:noWrap w:val="0"/>
            <w:vAlign w:val="center"/>
          </w:tcPr>
          <w:p w14:paraId="23F7629C">
            <w:pPr>
              <w:jc w:val="center"/>
              <w:rPr>
                <w:rFonts w:hint="eastAsia" w:ascii="仿宋" w:hAnsi="仿宋" w:eastAsia="仿宋" w:cs="宋体"/>
                <w:b/>
                <w:bCs/>
                <w:szCs w:val="22"/>
                <w:lang w:val="en-US" w:eastAsia="zh-CN"/>
              </w:rPr>
            </w:pPr>
            <w:r>
              <w:rPr>
                <w:rFonts w:hint="eastAsia" w:ascii="仿宋" w:hAnsi="仿宋" w:eastAsia="仿宋" w:cs="宋体"/>
                <w:b/>
                <w:bCs/>
                <w:szCs w:val="22"/>
                <w:lang w:val="en-US" w:eastAsia="zh-CN"/>
              </w:rPr>
              <w:t>垃圾中转站工作人员</w:t>
            </w:r>
          </w:p>
        </w:tc>
        <w:tc>
          <w:tcPr>
            <w:tcW w:w="2070" w:type="dxa"/>
            <w:tcBorders>
              <w:left w:val="single" w:color="auto" w:sz="4" w:space="0"/>
            </w:tcBorders>
            <w:noWrap w:val="0"/>
            <w:vAlign w:val="center"/>
          </w:tcPr>
          <w:p w14:paraId="4225AE59">
            <w:pPr>
              <w:spacing w:line="276" w:lineRule="auto"/>
              <w:jc w:val="center"/>
              <w:rPr>
                <w:rFonts w:hint="default" w:ascii="仿宋" w:hAnsi="仿宋" w:eastAsia="仿宋"/>
                <w:b/>
                <w:lang w:val="en-US" w:eastAsia="zh-CN"/>
              </w:rPr>
            </w:pPr>
            <w:r>
              <w:rPr>
                <w:rFonts w:hint="eastAsia" w:ascii="仿宋" w:hAnsi="仿宋" w:eastAsia="仿宋"/>
                <w:b/>
                <w:lang w:val="en-US" w:eastAsia="zh-CN"/>
              </w:rPr>
              <w:t>2</w:t>
            </w:r>
          </w:p>
        </w:tc>
        <w:tc>
          <w:tcPr>
            <w:tcW w:w="2070" w:type="dxa"/>
            <w:tcBorders>
              <w:left w:val="single" w:color="auto" w:sz="4" w:space="0"/>
            </w:tcBorders>
            <w:noWrap w:val="0"/>
            <w:vAlign w:val="center"/>
          </w:tcPr>
          <w:p w14:paraId="1730D406">
            <w:pPr>
              <w:spacing w:line="276" w:lineRule="auto"/>
              <w:jc w:val="center"/>
              <w:rPr>
                <w:rFonts w:hint="eastAsia" w:ascii="仿宋" w:hAnsi="仿宋" w:eastAsia="仿宋"/>
                <w:b/>
                <w:lang w:val="en-US" w:eastAsia="zh-CN"/>
              </w:rPr>
            </w:pPr>
          </w:p>
        </w:tc>
      </w:tr>
      <w:tr w14:paraId="1BE69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5" w:type="dxa"/>
            <w:noWrap w:val="0"/>
            <w:vAlign w:val="center"/>
          </w:tcPr>
          <w:p w14:paraId="10894DE5">
            <w:pPr>
              <w:jc w:val="center"/>
              <w:rPr>
                <w:rFonts w:hint="default" w:ascii="仿宋" w:hAnsi="仿宋" w:eastAsia="仿宋"/>
                <w:b/>
                <w:bCs/>
                <w:color w:val="000000"/>
                <w:szCs w:val="22"/>
                <w:lang w:val="en-US" w:eastAsia="zh-CN"/>
              </w:rPr>
            </w:pPr>
            <w:r>
              <w:rPr>
                <w:rFonts w:hint="eastAsia" w:ascii="仿宋" w:hAnsi="仿宋" w:eastAsia="仿宋"/>
                <w:b/>
                <w:bCs/>
                <w:color w:val="000000"/>
                <w:szCs w:val="22"/>
                <w:lang w:val="en-US" w:eastAsia="zh-CN"/>
              </w:rPr>
              <w:t>31</w:t>
            </w:r>
          </w:p>
        </w:tc>
        <w:tc>
          <w:tcPr>
            <w:tcW w:w="4944" w:type="dxa"/>
            <w:tcBorders>
              <w:right w:val="single" w:color="auto" w:sz="4" w:space="0"/>
            </w:tcBorders>
            <w:noWrap w:val="0"/>
            <w:vAlign w:val="center"/>
          </w:tcPr>
          <w:p w14:paraId="6C3FD5D0">
            <w:pPr>
              <w:jc w:val="center"/>
              <w:rPr>
                <w:rFonts w:hint="default" w:ascii="仿宋" w:hAnsi="仿宋" w:eastAsia="仿宋" w:cs="宋体"/>
                <w:b/>
                <w:bCs/>
                <w:szCs w:val="22"/>
                <w:lang w:val="en-US" w:eastAsia="zh-CN"/>
              </w:rPr>
            </w:pPr>
            <w:r>
              <w:rPr>
                <w:rFonts w:hint="eastAsia" w:ascii="仿宋" w:hAnsi="仿宋" w:eastAsia="仿宋" w:cs="宋体"/>
                <w:b/>
                <w:bCs/>
                <w:szCs w:val="22"/>
                <w:lang w:val="en-US" w:eastAsia="zh-CN"/>
              </w:rPr>
              <w:t>餐厨垃圾回收工作人员</w:t>
            </w:r>
          </w:p>
        </w:tc>
        <w:tc>
          <w:tcPr>
            <w:tcW w:w="2070" w:type="dxa"/>
            <w:tcBorders>
              <w:left w:val="single" w:color="auto" w:sz="4" w:space="0"/>
            </w:tcBorders>
            <w:noWrap w:val="0"/>
            <w:vAlign w:val="center"/>
          </w:tcPr>
          <w:p w14:paraId="0200D1B4">
            <w:pPr>
              <w:spacing w:line="276" w:lineRule="auto"/>
              <w:jc w:val="center"/>
              <w:rPr>
                <w:rFonts w:hint="default" w:ascii="仿宋" w:hAnsi="仿宋" w:eastAsia="仿宋"/>
                <w:b/>
                <w:lang w:val="en-US" w:eastAsia="zh-CN"/>
              </w:rPr>
            </w:pPr>
            <w:r>
              <w:rPr>
                <w:rFonts w:hint="eastAsia" w:ascii="仿宋" w:hAnsi="仿宋" w:eastAsia="仿宋"/>
                <w:b/>
                <w:lang w:val="en-US" w:eastAsia="zh-CN"/>
              </w:rPr>
              <w:t>2</w:t>
            </w:r>
          </w:p>
        </w:tc>
        <w:tc>
          <w:tcPr>
            <w:tcW w:w="2070" w:type="dxa"/>
            <w:tcBorders>
              <w:left w:val="single" w:color="auto" w:sz="4" w:space="0"/>
            </w:tcBorders>
            <w:noWrap w:val="0"/>
            <w:vAlign w:val="center"/>
          </w:tcPr>
          <w:p w14:paraId="5D099524">
            <w:pPr>
              <w:spacing w:line="276" w:lineRule="auto"/>
              <w:jc w:val="center"/>
              <w:rPr>
                <w:rFonts w:hint="eastAsia" w:ascii="仿宋" w:hAnsi="仿宋" w:eastAsia="仿宋"/>
                <w:b/>
                <w:lang w:val="en-US" w:eastAsia="zh-CN"/>
              </w:rPr>
            </w:pPr>
          </w:p>
        </w:tc>
      </w:tr>
      <w:tr w14:paraId="5294C3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675" w:type="dxa"/>
            <w:noWrap w:val="0"/>
            <w:vAlign w:val="center"/>
          </w:tcPr>
          <w:p w14:paraId="6DD03A94">
            <w:pPr>
              <w:spacing w:line="276" w:lineRule="auto"/>
              <w:jc w:val="center"/>
              <w:rPr>
                <w:rFonts w:hint="default" w:ascii="仿宋" w:hAnsi="仿宋" w:eastAsia="仿宋"/>
                <w:b/>
                <w:bCs/>
                <w:color w:val="000000"/>
                <w:lang w:val="en-US" w:eastAsia="zh-CN"/>
              </w:rPr>
            </w:pPr>
            <w:r>
              <w:rPr>
                <w:rFonts w:hint="eastAsia" w:ascii="仿宋" w:hAnsi="仿宋" w:eastAsia="仿宋"/>
                <w:b/>
                <w:bCs/>
                <w:color w:val="000000"/>
                <w:lang w:val="en-US" w:eastAsia="zh-CN"/>
              </w:rPr>
              <w:t>32</w:t>
            </w:r>
          </w:p>
        </w:tc>
        <w:tc>
          <w:tcPr>
            <w:tcW w:w="4944" w:type="dxa"/>
            <w:tcBorders>
              <w:right w:val="single" w:color="auto" w:sz="4" w:space="0"/>
            </w:tcBorders>
            <w:noWrap w:val="0"/>
            <w:vAlign w:val="center"/>
          </w:tcPr>
          <w:p w14:paraId="0C9CF450">
            <w:pPr>
              <w:spacing w:line="276" w:lineRule="auto"/>
              <w:jc w:val="center"/>
              <w:rPr>
                <w:rFonts w:ascii="仿宋" w:hAnsi="仿宋" w:eastAsia="仿宋"/>
                <w:b/>
                <w:bCs/>
                <w:szCs w:val="22"/>
              </w:rPr>
            </w:pPr>
            <w:r>
              <w:rPr>
                <w:rFonts w:hint="eastAsia" w:ascii="仿宋" w:hAnsi="仿宋" w:eastAsia="仿宋"/>
                <w:b/>
                <w:bCs/>
                <w:szCs w:val="22"/>
              </w:rPr>
              <w:t>合计</w:t>
            </w:r>
          </w:p>
        </w:tc>
        <w:tc>
          <w:tcPr>
            <w:tcW w:w="2070" w:type="dxa"/>
            <w:tcBorders>
              <w:left w:val="single" w:color="auto" w:sz="4" w:space="0"/>
            </w:tcBorders>
            <w:noWrap w:val="0"/>
            <w:vAlign w:val="center"/>
          </w:tcPr>
          <w:p w14:paraId="79F275B3">
            <w:pPr>
              <w:spacing w:line="276" w:lineRule="auto"/>
              <w:jc w:val="center"/>
              <w:rPr>
                <w:rFonts w:hint="default" w:ascii="仿宋" w:hAnsi="仿宋" w:eastAsia="仿宋"/>
                <w:b/>
                <w:lang w:val="en-US" w:eastAsia="zh-CN"/>
              </w:rPr>
            </w:pPr>
            <w:r>
              <w:rPr>
                <w:rFonts w:hint="eastAsia" w:ascii="仿宋" w:hAnsi="仿宋" w:eastAsia="仿宋"/>
                <w:b/>
                <w:lang w:val="en-US" w:eastAsia="zh-CN"/>
              </w:rPr>
              <w:t>48</w:t>
            </w:r>
          </w:p>
        </w:tc>
        <w:tc>
          <w:tcPr>
            <w:tcW w:w="2070" w:type="dxa"/>
            <w:tcBorders>
              <w:left w:val="single" w:color="auto" w:sz="4" w:space="0"/>
            </w:tcBorders>
            <w:noWrap w:val="0"/>
            <w:vAlign w:val="center"/>
          </w:tcPr>
          <w:p w14:paraId="412B1CD3">
            <w:pPr>
              <w:spacing w:line="276" w:lineRule="auto"/>
              <w:jc w:val="center"/>
              <w:rPr>
                <w:rFonts w:hint="eastAsia" w:ascii="仿宋" w:hAnsi="仿宋" w:eastAsia="仿宋"/>
                <w:b/>
                <w:lang w:val="en-US" w:eastAsia="zh-CN"/>
              </w:rPr>
            </w:pPr>
          </w:p>
        </w:tc>
      </w:tr>
    </w:tbl>
    <w:p w14:paraId="537C8172">
      <w:pPr>
        <w:widowControl/>
        <w:numPr>
          <w:ilvl w:val="0"/>
          <w:numId w:val="0"/>
        </w:numPr>
        <w:jc w:val="left"/>
      </w:pPr>
    </w:p>
    <w:tbl>
      <w:tblPr>
        <w:tblStyle w:val="32"/>
        <w:tblW w:w="9782" w:type="dxa"/>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2"/>
      </w:tblGrid>
      <w:tr w14:paraId="4D268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9782" w:type="dxa"/>
            <w:noWrap w:val="0"/>
            <w:vAlign w:val="center"/>
          </w:tcPr>
          <w:p w14:paraId="67B75835">
            <w:pPr>
              <w:spacing w:line="420" w:lineRule="exact"/>
              <w:rPr>
                <w:b/>
                <w:sz w:val="22"/>
                <w:szCs w:val="22"/>
              </w:rPr>
            </w:pPr>
            <w:r>
              <w:rPr>
                <w:sz w:val="22"/>
                <w:szCs w:val="22"/>
              </w:rPr>
              <w:t>▲</w:t>
            </w:r>
            <w:r>
              <w:rPr>
                <w:b/>
                <w:sz w:val="22"/>
                <w:szCs w:val="22"/>
              </w:rPr>
              <w:t>1、</w:t>
            </w:r>
            <w:r>
              <w:rPr>
                <w:rFonts w:hint="eastAsia" w:ascii="宋体" w:hAnsi="宋体" w:cs="宋体"/>
                <w:b/>
                <w:color w:val="000000"/>
                <w:kern w:val="0"/>
                <w:sz w:val="22"/>
                <w:szCs w:val="22"/>
              </w:rPr>
              <w:t>上述各类岗位人员最低配置数量是根据现行实际投入数量结合本次项目未来发展的实际需要确定，为确保中标单位的服务质量，投标供应商</w:t>
            </w:r>
            <w:r>
              <w:rPr>
                <w:rFonts w:hint="eastAsia" w:ascii="宋体" w:hAnsi="宋体" w:cs="宋体"/>
                <w:b/>
                <w:color w:val="000000"/>
                <w:kern w:val="0"/>
                <w:sz w:val="22"/>
                <w:szCs w:val="22"/>
                <w:lang w:val="en-US" w:eastAsia="zh-CN"/>
              </w:rPr>
              <w:t>所</w:t>
            </w:r>
            <w:r>
              <w:rPr>
                <w:rFonts w:hint="eastAsia" w:ascii="宋体" w:hAnsi="宋体" w:cs="宋体"/>
                <w:b/>
                <w:color w:val="000000"/>
                <w:kern w:val="0"/>
                <w:sz w:val="22"/>
                <w:szCs w:val="22"/>
              </w:rPr>
              <w:t>配置的人员数量不得低于上表要求，否则，投标无效。</w:t>
            </w:r>
          </w:p>
          <w:p w14:paraId="5DCCA869">
            <w:pPr>
              <w:spacing w:line="420" w:lineRule="exact"/>
              <w:rPr>
                <w:sz w:val="22"/>
                <w:szCs w:val="22"/>
              </w:rPr>
            </w:pPr>
            <w:r>
              <w:rPr>
                <w:sz w:val="22"/>
                <w:szCs w:val="22"/>
              </w:rPr>
              <w:t>2、人员配置说明及要求：</w:t>
            </w:r>
          </w:p>
          <w:p w14:paraId="4BCBDE6D">
            <w:pPr>
              <w:spacing w:line="420" w:lineRule="exact"/>
              <w:rPr>
                <w:sz w:val="22"/>
                <w:szCs w:val="22"/>
              </w:rPr>
            </w:pPr>
            <w:r>
              <w:rPr>
                <w:sz w:val="22"/>
                <w:szCs w:val="22"/>
              </w:rPr>
              <w:t xml:space="preserve">（1）上述人员除已有说明外，均应专岗负责，不得兼任其他工作。 </w:t>
            </w:r>
          </w:p>
          <w:p w14:paraId="5BE700FD">
            <w:pPr>
              <w:spacing w:line="420" w:lineRule="exact"/>
              <w:rPr>
                <w:sz w:val="22"/>
                <w:szCs w:val="22"/>
              </w:rPr>
            </w:pPr>
            <w:r>
              <w:rPr>
                <w:sz w:val="22"/>
                <w:szCs w:val="22"/>
              </w:rPr>
              <w:t>（2）</w:t>
            </w:r>
            <w:r>
              <w:rPr>
                <w:rFonts w:hint="eastAsia"/>
                <w:b/>
                <w:sz w:val="22"/>
                <w:szCs w:val="22"/>
              </w:rPr>
              <w:t>“</w:t>
            </w:r>
            <w:r>
              <w:rPr>
                <w:b/>
                <w:sz w:val="22"/>
                <w:szCs w:val="22"/>
              </w:rPr>
              <w:t>管理人员</w:t>
            </w:r>
            <w:r>
              <w:rPr>
                <w:rFonts w:hint="eastAsia"/>
                <w:b/>
                <w:sz w:val="22"/>
                <w:szCs w:val="22"/>
              </w:rPr>
              <w:t>”是指具体投入本项目管理工作的安全作业负责人、内部服务质量考核负责人等负有管理职责的人员（保洁人员中的班、组长不列入管理人员），管理人员专岗专责，不得兼任一线保洁岗位，并且同一人不得兼任不同管理岗位。</w:t>
            </w:r>
          </w:p>
          <w:p w14:paraId="59C022AC">
            <w:pPr>
              <w:spacing w:line="420" w:lineRule="exact"/>
              <w:rPr>
                <w:sz w:val="22"/>
                <w:szCs w:val="22"/>
              </w:rPr>
            </w:pPr>
            <w:r>
              <w:rPr>
                <w:rFonts w:hint="eastAsia"/>
                <w:sz w:val="22"/>
                <w:szCs w:val="22"/>
              </w:rPr>
              <w:t>（3）相关车辆的驾驶员必须严格遵照国家相关规定持证驾驶，禁止无证驾驶。</w:t>
            </w:r>
          </w:p>
          <w:p w14:paraId="6976BAC2">
            <w:pPr>
              <w:spacing w:line="420" w:lineRule="exact"/>
              <w:rPr>
                <w:sz w:val="22"/>
                <w:szCs w:val="22"/>
              </w:rPr>
            </w:pPr>
            <w:r>
              <w:rPr>
                <w:rFonts w:hint="eastAsia"/>
                <w:sz w:val="22"/>
                <w:szCs w:val="22"/>
              </w:rPr>
              <w:t>（4）“机械化车辆驾驶员”由中标单位自行招聘有经验的环卫车辆驾驶员，入职前须上报采购人批准；</w:t>
            </w:r>
          </w:p>
          <w:p w14:paraId="76A5293C">
            <w:pPr>
              <w:spacing w:line="420" w:lineRule="exact"/>
              <w:rPr>
                <w:rFonts w:hint="eastAsia"/>
                <w:b/>
                <w:sz w:val="22"/>
                <w:szCs w:val="22"/>
              </w:rPr>
            </w:pPr>
            <w:r>
              <w:rPr>
                <w:rFonts w:hint="eastAsia"/>
                <w:sz w:val="22"/>
                <w:szCs w:val="22"/>
              </w:rPr>
              <w:t>（5）</w:t>
            </w:r>
            <w:r>
              <w:rPr>
                <w:rFonts w:hint="eastAsia"/>
                <w:b/>
                <w:sz w:val="22"/>
                <w:szCs w:val="22"/>
              </w:rPr>
              <w:t>投标供应商如认为有必要，可以在上表基础上自行增加相应人员数量，所需的费用包含在投标总价中，合同签订时按投标文件配置的数量落实。</w:t>
            </w:r>
          </w:p>
          <w:p w14:paraId="741A9792">
            <w:pPr>
              <w:pStyle w:val="2"/>
              <w:rPr>
                <w:rFonts w:hint="default" w:eastAsia="宋体"/>
                <w:lang w:val="en-US" w:eastAsia="zh-CN"/>
              </w:rPr>
            </w:pPr>
            <w:r>
              <w:rPr>
                <w:rFonts w:hint="eastAsia"/>
                <w:b/>
                <w:sz w:val="22"/>
                <w:szCs w:val="22"/>
                <w:lang w:eastAsia="zh-CN"/>
              </w:rPr>
              <w:t>（</w:t>
            </w:r>
            <w:r>
              <w:rPr>
                <w:rFonts w:hint="eastAsia"/>
                <w:b/>
                <w:sz w:val="22"/>
                <w:szCs w:val="22"/>
                <w:lang w:val="en-US" w:eastAsia="zh-CN"/>
              </w:rPr>
              <w:t>6</w:t>
            </w:r>
            <w:r>
              <w:rPr>
                <w:rFonts w:hint="eastAsia"/>
                <w:b/>
                <w:sz w:val="22"/>
                <w:szCs w:val="22"/>
                <w:lang w:eastAsia="zh-CN"/>
              </w:rPr>
              <w:t>）</w:t>
            </w:r>
            <w:r>
              <w:rPr>
                <w:rFonts w:hint="eastAsia" w:ascii="仿宋" w:hAnsi="仿宋" w:eastAsia="仿宋" w:cs="宋体"/>
                <w:b/>
                <w:bCs/>
                <w:szCs w:val="22"/>
                <w:lang w:val="en-US" w:eastAsia="zh-CN"/>
              </w:rPr>
              <w:t>餐厨垃圾回收工作人员负责3个餐厨垃圾站管理及日常运行。</w:t>
            </w:r>
          </w:p>
          <w:p w14:paraId="4D85B99C">
            <w:pPr>
              <w:spacing w:line="420" w:lineRule="exact"/>
              <w:rPr>
                <w:b/>
                <w:sz w:val="22"/>
                <w:szCs w:val="22"/>
              </w:rPr>
            </w:pPr>
            <w:r>
              <w:rPr>
                <w:rFonts w:hint="eastAsia"/>
                <w:b/>
                <w:sz w:val="22"/>
                <w:szCs w:val="22"/>
              </w:rPr>
              <w:t>3、上述所有人员均由中标单位自行招聘并落实到位。为了确保项目的顺利交接和及时进场，中标单位在落实作业人员时应优先考虑接收有经验的环卫作业人员，严禁招聘未成年人员以及无自主劳动能力的人员。</w:t>
            </w:r>
          </w:p>
          <w:p w14:paraId="6CA88018">
            <w:pPr>
              <w:spacing w:line="420" w:lineRule="exact"/>
              <w:rPr>
                <w:rFonts w:hint="eastAsia"/>
                <w:b/>
                <w:sz w:val="22"/>
                <w:szCs w:val="22"/>
              </w:rPr>
            </w:pPr>
            <w:r>
              <w:rPr>
                <w:rFonts w:hint="eastAsia"/>
                <w:b/>
                <w:sz w:val="22"/>
                <w:szCs w:val="22"/>
              </w:rPr>
              <w:t>4、水域保洁人员必须会游泳（男性年龄不超过60周岁，身体健康；女性年龄不超过55周岁，身体健康），文明作业。保洁船驾驶员必须有相关资格。</w:t>
            </w:r>
          </w:p>
          <w:p w14:paraId="2B29E761">
            <w:pPr>
              <w:spacing w:line="420" w:lineRule="exact"/>
              <w:rPr>
                <w:rFonts w:hint="eastAsia"/>
                <w:b/>
                <w:sz w:val="22"/>
                <w:szCs w:val="22"/>
              </w:rPr>
            </w:pPr>
            <w:r>
              <w:rPr>
                <w:rFonts w:hint="eastAsia"/>
                <w:b/>
                <w:sz w:val="22"/>
                <w:szCs w:val="22"/>
                <w:lang w:val="en-US" w:eastAsia="zh-CN"/>
              </w:rPr>
              <w:t>5</w:t>
            </w:r>
            <w:r>
              <w:rPr>
                <w:rFonts w:hint="eastAsia"/>
                <w:b/>
                <w:sz w:val="22"/>
                <w:szCs w:val="22"/>
              </w:rPr>
              <w:t>、合同期内中标</w:t>
            </w:r>
            <w:r>
              <w:rPr>
                <w:rFonts w:hint="eastAsia"/>
                <w:b/>
                <w:sz w:val="22"/>
                <w:szCs w:val="22"/>
                <w:lang w:val="en-US" w:eastAsia="zh-CN"/>
              </w:rPr>
              <w:t>供应商</w:t>
            </w:r>
            <w:r>
              <w:rPr>
                <w:rFonts w:hint="eastAsia"/>
                <w:b/>
                <w:sz w:val="22"/>
                <w:szCs w:val="22"/>
              </w:rPr>
              <w:t>所属人员如发生各种意外事故（包括给第三方造成损害）全部责任由中标</w:t>
            </w:r>
            <w:r>
              <w:rPr>
                <w:rFonts w:hint="eastAsia"/>
                <w:b/>
                <w:sz w:val="22"/>
                <w:szCs w:val="22"/>
                <w:lang w:val="en-US" w:eastAsia="zh-CN"/>
              </w:rPr>
              <w:t>供应商</w:t>
            </w:r>
            <w:r>
              <w:rPr>
                <w:rFonts w:hint="eastAsia"/>
                <w:b/>
                <w:sz w:val="22"/>
                <w:szCs w:val="22"/>
              </w:rPr>
              <w:t>承担，依照法律法规妥善处理。</w:t>
            </w:r>
          </w:p>
          <w:p w14:paraId="0E58644E">
            <w:pPr>
              <w:spacing w:line="420" w:lineRule="exact"/>
              <w:rPr>
                <w:b/>
                <w:sz w:val="20"/>
              </w:rPr>
            </w:pPr>
            <w:r>
              <w:rPr>
                <w:rFonts w:hint="eastAsia"/>
                <w:b/>
                <w:sz w:val="22"/>
                <w:szCs w:val="22"/>
                <w:lang w:val="en-US" w:eastAsia="zh-CN"/>
              </w:rPr>
              <w:t>6、</w:t>
            </w:r>
            <w:r>
              <w:rPr>
                <w:rFonts w:hint="eastAsia" w:ascii="宋体" w:hAnsi="宋体" w:eastAsia="宋体" w:cs="宋体"/>
                <w:b/>
                <w:color w:val="000000"/>
                <w:sz w:val="22"/>
                <w:szCs w:val="22"/>
              </w:rPr>
              <w:t>严格执行和落实作业人员工资福利待遇。</w:t>
            </w:r>
          </w:p>
        </w:tc>
      </w:tr>
    </w:tbl>
    <w:p w14:paraId="4F6E725D">
      <w:pPr>
        <w:spacing w:before="312" w:beforeLines="100" w:after="156" w:afterLines="50" w:line="420" w:lineRule="exact"/>
        <w:rPr>
          <w:rFonts w:ascii="宋体" w:hAnsi="宋体" w:cs="宋体"/>
          <w:b/>
          <w:bCs/>
          <w:szCs w:val="22"/>
        </w:rPr>
      </w:pPr>
    </w:p>
    <w:p w14:paraId="4221FD9F">
      <w:pPr>
        <w:spacing w:before="312" w:beforeLines="100" w:after="156" w:afterLines="50" w:line="420" w:lineRule="exact"/>
        <w:rPr>
          <w:rFonts w:ascii="宋体" w:hAnsi="宋体" w:cs="宋体"/>
          <w:b/>
          <w:bCs/>
          <w:szCs w:val="22"/>
        </w:rPr>
      </w:pPr>
    </w:p>
    <w:p w14:paraId="35FD495B">
      <w:pPr>
        <w:spacing w:before="312" w:beforeLines="100" w:after="156" w:afterLines="50" w:line="420" w:lineRule="exact"/>
        <w:rPr>
          <w:rFonts w:ascii="宋体" w:hAnsi="宋体" w:cs="宋体"/>
          <w:b/>
          <w:bCs/>
          <w:szCs w:val="22"/>
        </w:rPr>
      </w:pPr>
    </w:p>
    <w:p w14:paraId="63FBCD8F">
      <w:pPr>
        <w:spacing w:before="312" w:beforeLines="100" w:after="156" w:afterLines="50" w:line="420" w:lineRule="exact"/>
        <w:rPr>
          <w:rFonts w:ascii="宋体" w:hAnsi="宋体" w:cs="宋体"/>
          <w:b/>
          <w:bCs/>
          <w:szCs w:val="22"/>
        </w:rPr>
      </w:pPr>
    </w:p>
    <w:p w14:paraId="72E24C10">
      <w:pPr>
        <w:spacing w:before="312" w:beforeLines="100" w:after="156" w:afterLines="50" w:line="420" w:lineRule="exact"/>
        <w:rPr>
          <w:rFonts w:ascii="宋体" w:hAnsi="宋体" w:cs="宋体"/>
          <w:b/>
          <w:bCs/>
          <w:szCs w:val="22"/>
        </w:rPr>
      </w:pPr>
    </w:p>
    <w:p w14:paraId="71669DA7">
      <w:pPr>
        <w:spacing w:before="312" w:beforeLines="100" w:after="156" w:afterLines="50" w:line="420" w:lineRule="exact"/>
        <w:rPr>
          <w:rFonts w:ascii="宋体" w:hAnsi="宋体" w:cs="宋体"/>
          <w:b/>
          <w:bCs/>
          <w:szCs w:val="22"/>
        </w:rPr>
        <w:sectPr>
          <w:footerReference r:id="rId5" w:type="default"/>
          <w:pgSz w:w="11906" w:h="16838"/>
          <w:pgMar w:top="1191" w:right="1191" w:bottom="1191" w:left="136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26CB763">
      <w:pPr>
        <w:spacing w:after="156" w:afterLines="50" w:line="420" w:lineRule="exact"/>
        <w:rPr>
          <w:rFonts w:ascii="宋体" w:hAnsi="宋体" w:cs="宋体"/>
          <w:b/>
          <w:bCs/>
          <w:szCs w:val="22"/>
        </w:rPr>
      </w:pPr>
      <w:r>
        <w:rPr>
          <w:rFonts w:hint="eastAsia" w:ascii="宋体" w:hAnsi="宋体" w:cs="宋体"/>
          <w:b/>
          <w:bCs/>
          <w:szCs w:val="22"/>
        </w:rPr>
        <w:t>六、</w:t>
      </w:r>
      <w:r>
        <w:rPr>
          <w:rFonts w:hint="eastAsia" w:ascii="宋体" w:hAnsi="宋体" w:cs="宋体"/>
          <w:b/>
          <w:bCs/>
          <w:szCs w:val="22"/>
          <w:lang w:val="en-US" w:eastAsia="zh-CN"/>
        </w:rPr>
        <w:t>各类</w:t>
      </w:r>
      <w:r>
        <w:rPr>
          <w:rFonts w:hint="eastAsia" w:ascii="宋体" w:hAnsi="宋体" w:cs="宋体"/>
          <w:b/>
          <w:bCs/>
          <w:szCs w:val="22"/>
        </w:rPr>
        <w:t>车辆</w:t>
      </w:r>
      <w:r>
        <w:rPr>
          <w:rFonts w:hint="eastAsia" w:ascii="宋体" w:hAnsi="宋体" w:cs="宋体"/>
          <w:b/>
          <w:bCs/>
          <w:szCs w:val="22"/>
          <w:lang w:val="en-US" w:eastAsia="zh-CN"/>
        </w:rPr>
        <w:t>投入</w:t>
      </w:r>
      <w:r>
        <w:rPr>
          <w:rFonts w:hint="eastAsia" w:ascii="宋体" w:hAnsi="宋体" w:cs="宋体"/>
          <w:b/>
          <w:bCs/>
          <w:szCs w:val="22"/>
        </w:rPr>
        <w:t>最低配置及相关要求</w:t>
      </w:r>
    </w:p>
    <w:p w14:paraId="7DD3A308">
      <w:pPr>
        <w:pStyle w:val="52"/>
        <w:spacing w:line="360" w:lineRule="exact"/>
        <w:jc w:val="left"/>
        <w:rPr>
          <w:rFonts w:ascii="宋体" w:hAnsi="宋体"/>
          <w:b/>
          <w:bCs/>
          <w:color w:val="000000"/>
          <w:szCs w:val="22"/>
          <w:highlight w:val="none"/>
        </w:rPr>
      </w:pPr>
      <w:r>
        <w:rPr>
          <w:rFonts w:hint="eastAsia" w:ascii="宋体" w:hAnsi="宋体"/>
          <w:b/>
          <w:bCs/>
          <w:color w:val="000000"/>
          <w:szCs w:val="22"/>
          <w:highlight w:val="none"/>
        </w:rPr>
        <w:t>1、▲本项目要求车辆、船只投入的最低数量要求，车辆、船只持有形式可以自有已上牌(指投标供应商自行购置，包括分公司或全资子公司购置)或现已租赁或承诺中标后购买或承诺中标后租赁。</w:t>
      </w:r>
    </w:p>
    <w:p w14:paraId="11BEB542">
      <w:pPr>
        <w:pStyle w:val="52"/>
        <w:spacing w:before="156" w:beforeLines="50" w:after="156" w:afterLines="50" w:line="420" w:lineRule="exact"/>
        <w:jc w:val="center"/>
        <w:rPr>
          <w:rFonts w:ascii="华文中宋" w:hAnsi="华文中宋" w:eastAsia="华文中宋" w:cs="Arial"/>
          <w:b/>
          <w:color w:val="000000"/>
          <w:szCs w:val="22"/>
        </w:rPr>
      </w:pPr>
      <w:r>
        <w:rPr>
          <w:rFonts w:hint="eastAsia" w:ascii="宋体" w:hAnsi="宋体"/>
          <w:b/>
          <w:bCs/>
          <w:sz w:val="32"/>
          <w:szCs w:val="32"/>
        </w:rPr>
        <w:t>车辆（船只）/设备最低配置表（单位：辆/</w:t>
      </w:r>
      <w:r>
        <w:rPr>
          <w:rFonts w:hint="eastAsia" w:ascii="宋体" w:hAnsi="宋体"/>
          <w:b/>
          <w:bCs/>
          <w:sz w:val="32"/>
          <w:szCs w:val="32"/>
          <w:lang w:val="en-US" w:eastAsia="zh-CN"/>
        </w:rPr>
        <w:t>艘</w:t>
      </w:r>
      <w:r>
        <w:rPr>
          <w:rFonts w:hint="eastAsia" w:ascii="宋体" w:hAnsi="宋体"/>
          <w:b/>
          <w:bCs/>
          <w:sz w:val="32"/>
          <w:szCs w:val="32"/>
        </w:rPr>
        <w:t>）</w:t>
      </w:r>
    </w:p>
    <w:tbl>
      <w:tblPr>
        <w:tblStyle w:val="32"/>
        <w:tblW w:w="9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7"/>
        <w:gridCol w:w="2475"/>
        <w:gridCol w:w="1230"/>
        <w:gridCol w:w="5283"/>
      </w:tblGrid>
      <w:tr w14:paraId="24381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1007" w:type="dxa"/>
            <w:noWrap w:val="0"/>
            <w:vAlign w:val="center"/>
          </w:tcPr>
          <w:p w14:paraId="2680B065">
            <w:pPr>
              <w:spacing w:line="420" w:lineRule="exact"/>
              <w:jc w:val="center"/>
              <w:rPr>
                <w:b/>
                <w:sz w:val="24"/>
                <w:szCs w:val="24"/>
              </w:rPr>
            </w:pPr>
            <w:r>
              <w:rPr>
                <w:rFonts w:hint="eastAsia"/>
                <w:b/>
                <w:sz w:val="24"/>
                <w:szCs w:val="24"/>
              </w:rPr>
              <w:t>序号</w:t>
            </w:r>
          </w:p>
        </w:tc>
        <w:tc>
          <w:tcPr>
            <w:tcW w:w="2475" w:type="dxa"/>
            <w:noWrap w:val="0"/>
            <w:vAlign w:val="center"/>
          </w:tcPr>
          <w:p w14:paraId="640726D7">
            <w:pPr>
              <w:autoSpaceDE w:val="0"/>
              <w:autoSpaceDN w:val="0"/>
              <w:adjustRightInd w:val="0"/>
              <w:spacing w:line="420" w:lineRule="exact"/>
              <w:jc w:val="center"/>
              <w:rPr>
                <w:b/>
                <w:sz w:val="24"/>
                <w:szCs w:val="24"/>
              </w:rPr>
            </w:pPr>
            <w:r>
              <w:rPr>
                <w:rFonts w:hint="eastAsia"/>
                <w:b/>
                <w:sz w:val="24"/>
                <w:szCs w:val="24"/>
              </w:rPr>
              <w:t>品种</w:t>
            </w:r>
          </w:p>
        </w:tc>
        <w:tc>
          <w:tcPr>
            <w:tcW w:w="1230" w:type="dxa"/>
            <w:tcBorders>
              <w:right w:val="single" w:color="auto" w:sz="4" w:space="0"/>
            </w:tcBorders>
            <w:noWrap w:val="0"/>
            <w:vAlign w:val="center"/>
          </w:tcPr>
          <w:p w14:paraId="2D712EDE">
            <w:pPr>
              <w:autoSpaceDE w:val="0"/>
              <w:autoSpaceDN w:val="0"/>
              <w:adjustRightInd w:val="0"/>
              <w:spacing w:line="420" w:lineRule="exact"/>
              <w:jc w:val="center"/>
              <w:rPr>
                <w:rFonts w:ascii="仿宋" w:hAnsi="仿宋" w:eastAsia="仿宋"/>
                <w:b/>
                <w:color w:val="000000"/>
              </w:rPr>
            </w:pPr>
            <w:r>
              <w:rPr>
                <w:rFonts w:hint="eastAsia"/>
                <w:b/>
                <w:sz w:val="24"/>
                <w:szCs w:val="24"/>
              </w:rPr>
              <w:t>数量</w:t>
            </w:r>
          </w:p>
        </w:tc>
        <w:tc>
          <w:tcPr>
            <w:tcW w:w="5283" w:type="dxa"/>
            <w:noWrap w:val="0"/>
            <w:vAlign w:val="center"/>
          </w:tcPr>
          <w:p w14:paraId="2F8696E7">
            <w:pPr>
              <w:autoSpaceDE w:val="0"/>
              <w:autoSpaceDN w:val="0"/>
              <w:adjustRightInd w:val="0"/>
              <w:spacing w:line="420" w:lineRule="exact"/>
              <w:jc w:val="center"/>
              <w:rPr>
                <w:rFonts w:hint="eastAsia" w:eastAsia="宋体"/>
                <w:b/>
                <w:sz w:val="24"/>
                <w:szCs w:val="24"/>
                <w:lang w:eastAsia="zh-CN"/>
              </w:rPr>
            </w:pPr>
            <w:r>
              <w:rPr>
                <w:rFonts w:hint="eastAsia"/>
                <w:b/>
                <w:sz w:val="24"/>
                <w:szCs w:val="24"/>
                <w:lang w:val="en-US" w:eastAsia="zh-CN"/>
              </w:rPr>
              <w:t>备注</w:t>
            </w:r>
          </w:p>
        </w:tc>
      </w:tr>
      <w:tr w14:paraId="53850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7" w:type="dxa"/>
            <w:tcBorders>
              <w:bottom w:val="single" w:color="auto" w:sz="4" w:space="0"/>
            </w:tcBorders>
            <w:noWrap w:val="0"/>
            <w:vAlign w:val="center"/>
          </w:tcPr>
          <w:p w14:paraId="5A5215EC">
            <w:pPr>
              <w:spacing w:line="276" w:lineRule="auto"/>
              <w:jc w:val="center"/>
              <w:rPr>
                <w:rFonts w:ascii="仿宋" w:hAnsi="仿宋" w:eastAsia="仿宋"/>
                <w:color w:val="000000"/>
              </w:rPr>
            </w:pPr>
            <w:r>
              <w:rPr>
                <w:rFonts w:hint="eastAsia" w:ascii="仿宋" w:hAnsi="仿宋" w:eastAsia="仿宋"/>
                <w:color w:val="000000"/>
              </w:rPr>
              <w:t>1</w:t>
            </w:r>
          </w:p>
        </w:tc>
        <w:tc>
          <w:tcPr>
            <w:tcW w:w="2475" w:type="dxa"/>
            <w:noWrap w:val="0"/>
            <w:vAlign w:val="center"/>
          </w:tcPr>
          <w:p w14:paraId="3532109F">
            <w:pPr>
              <w:autoSpaceDE w:val="0"/>
              <w:autoSpaceDN w:val="0"/>
              <w:adjustRightInd w:val="0"/>
              <w:spacing w:line="420" w:lineRule="exact"/>
              <w:jc w:val="center"/>
              <w:rPr>
                <w:rFonts w:hint="default" w:eastAsia="宋体"/>
                <w:b/>
                <w:sz w:val="24"/>
                <w:szCs w:val="24"/>
                <w:lang w:val="en-US" w:eastAsia="zh-CN"/>
              </w:rPr>
            </w:pPr>
            <w:r>
              <w:rPr>
                <w:rFonts w:hint="eastAsia"/>
                <w:b/>
                <w:sz w:val="24"/>
                <w:szCs w:val="24"/>
                <w:lang w:val="en-US" w:eastAsia="zh-CN"/>
              </w:rPr>
              <w:t>三轮垃圾收集车</w:t>
            </w:r>
          </w:p>
        </w:tc>
        <w:tc>
          <w:tcPr>
            <w:tcW w:w="1230" w:type="dxa"/>
            <w:tcBorders>
              <w:right w:val="single" w:color="auto" w:sz="4" w:space="0"/>
            </w:tcBorders>
            <w:noWrap w:val="0"/>
            <w:vAlign w:val="center"/>
          </w:tcPr>
          <w:p w14:paraId="76D7F1EC">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6</w:t>
            </w:r>
          </w:p>
        </w:tc>
        <w:tc>
          <w:tcPr>
            <w:tcW w:w="5283" w:type="dxa"/>
            <w:tcBorders>
              <w:bottom w:val="single" w:color="auto" w:sz="4" w:space="0"/>
            </w:tcBorders>
            <w:noWrap w:val="0"/>
            <w:vAlign w:val="center"/>
          </w:tcPr>
          <w:p w14:paraId="282484D0">
            <w:pPr>
              <w:autoSpaceDE w:val="0"/>
              <w:autoSpaceDN w:val="0"/>
              <w:adjustRightInd w:val="0"/>
              <w:spacing w:line="320" w:lineRule="exact"/>
              <w:jc w:val="left"/>
              <w:rPr>
                <w:b/>
                <w:sz w:val="24"/>
                <w:szCs w:val="24"/>
              </w:rPr>
            </w:pPr>
            <w:r>
              <w:rPr>
                <w:rFonts w:hint="eastAsia" w:ascii="宋体" w:hAnsi="宋体" w:eastAsia="宋体" w:cs="宋体"/>
                <w:b/>
                <w:sz w:val="22"/>
                <w:szCs w:val="22"/>
              </w:rPr>
              <w:t>投标供应商自备，</w:t>
            </w:r>
            <w:r>
              <w:rPr>
                <w:rFonts w:hint="eastAsia" w:ascii="宋体" w:hAnsi="宋体" w:eastAsia="宋体" w:cs="宋体"/>
                <w:sz w:val="22"/>
                <w:szCs w:val="22"/>
              </w:rPr>
              <w:t>负责垃圾清运收集。</w:t>
            </w:r>
          </w:p>
        </w:tc>
      </w:tr>
      <w:tr w14:paraId="51909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7" w:type="dxa"/>
            <w:tcBorders>
              <w:bottom w:val="single" w:color="auto" w:sz="4" w:space="0"/>
            </w:tcBorders>
            <w:noWrap w:val="0"/>
            <w:vAlign w:val="center"/>
          </w:tcPr>
          <w:p w14:paraId="58F2A892">
            <w:pPr>
              <w:spacing w:line="276" w:lineRule="auto"/>
              <w:jc w:val="center"/>
              <w:rPr>
                <w:rFonts w:ascii="仿宋" w:hAnsi="仿宋" w:eastAsia="仿宋"/>
                <w:color w:val="000000"/>
              </w:rPr>
            </w:pPr>
            <w:r>
              <w:rPr>
                <w:rFonts w:hint="eastAsia" w:ascii="仿宋" w:hAnsi="仿宋" w:eastAsia="仿宋"/>
                <w:color w:val="000000"/>
              </w:rPr>
              <w:t>2</w:t>
            </w:r>
          </w:p>
        </w:tc>
        <w:tc>
          <w:tcPr>
            <w:tcW w:w="2475" w:type="dxa"/>
            <w:noWrap w:val="0"/>
            <w:vAlign w:val="center"/>
          </w:tcPr>
          <w:p w14:paraId="2250EBF9">
            <w:pPr>
              <w:autoSpaceDE w:val="0"/>
              <w:autoSpaceDN w:val="0"/>
              <w:adjustRightInd w:val="0"/>
              <w:spacing w:line="420" w:lineRule="exact"/>
              <w:jc w:val="center"/>
              <w:rPr>
                <w:rFonts w:hint="default" w:eastAsia="宋体"/>
                <w:b/>
                <w:sz w:val="24"/>
                <w:szCs w:val="24"/>
                <w:lang w:val="en-US" w:eastAsia="zh-CN"/>
              </w:rPr>
            </w:pPr>
            <w:r>
              <w:rPr>
                <w:rFonts w:hint="eastAsia"/>
                <w:b/>
                <w:sz w:val="24"/>
                <w:szCs w:val="24"/>
                <w:lang w:val="en-US" w:eastAsia="zh-CN"/>
              </w:rPr>
              <w:t>垃圾压缩式收集车</w:t>
            </w:r>
          </w:p>
        </w:tc>
        <w:tc>
          <w:tcPr>
            <w:tcW w:w="1230" w:type="dxa"/>
            <w:tcBorders>
              <w:right w:val="single" w:color="auto" w:sz="4" w:space="0"/>
            </w:tcBorders>
            <w:noWrap w:val="0"/>
            <w:vAlign w:val="center"/>
          </w:tcPr>
          <w:p w14:paraId="1696A3BD">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1</w:t>
            </w:r>
          </w:p>
        </w:tc>
        <w:tc>
          <w:tcPr>
            <w:tcW w:w="5283" w:type="dxa"/>
            <w:tcBorders>
              <w:bottom w:val="single" w:color="auto" w:sz="4" w:space="0"/>
            </w:tcBorders>
            <w:noWrap w:val="0"/>
            <w:vAlign w:val="center"/>
          </w:tcPr>
          <w:p w14:paraId="6BCAA6B6">
            <w:pPr>
              <w:autoSpaceDE w:val="0"/>
              <w:autoSpaceDN w:val="0"/>
              <w:adjustRightInd w:val="0"/>
              <w:spacing w:line="320" w:lineRule="exact"/>
              <w:jc w:val="left"/>
              <w:rPr>
                <w:b/>
                <w:sz w:val="24"/>
                <w:szCs w:val="24"/>
              </w:rPr>
            </w:pPr>
            <w:r>
              <w:rPr>
                <w:rFonts w:hint="eastAsia" w:ascii="宋体" w:hAnsi="宋体" w:eastAsia="宋体" w:cs="宋体"/>
                <w:b/>
                <w:sz w:val="22"/>
                <w:szCs w:val="22"/>
              </w:rPr>
              <w:t>由采购人提供（免租金）</w:t>
            </w:r>
            <w:r>
              <w:rPr>
                <w:rFonts w:hint="eastAsia" w:ascii="宋体" w:hAnsi="宋体" w:eastAsia="宋体" w:cs="宋体"/>
                <w:sz w:val="22"/>
                <w:szCs w:val="22"/>
              </w:rPr>
              <w:t>，中标</w:t>
            </w:r>
            <w:r>
              <w:rPr>
                <w:rFonts w:hint="eastAsia" w:ascii="宋体" w:hAnsi="宋体" w:eastAsia="宋体" w:cs="宋体"/>
                <w:sz w:val="22"/>
                <w:szCs w:val="22"/>
                <w:lang w:val="en-US" w:eastAsia="zh-CN"/>
              </w:rPr>
              <w:t>供应商</w:t>
            </w:r>
            <w:r>
              <w:rPr>
                <w:rFonts w:hint="eastAsia" w:ascii="宋体" w:hAnsi="宋体" w:eastAsia="宋体" w:cs="宋体"/>
                <w:sz w:val="22"/>
                <w:szCs w:val="22"/>
              </w:rPr>
              <w:t>负责运行管理，负责主次道路垃圾收集。</w:t>
            </w:r>
          </w:p>
        </w:tc>
      </w:tr>
      <w:tr w14:paraId="0A324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7" w:type="dxa"/>
            <w:tcBorders>
              <w:bottom w:val="single" w:color="auto" w:sz="4" w:space="0"/>
            </w:tcBorders>
            <w:noWrap w:val="0"/>
            <w:vAlign w:val="center"/>
          </w:tcPr>
          <w:p w14:paraId="5B2EE80A">
            <w:pPr>
              <w:spacing w:line="276" w:lineRule="auto"/>
              <w:jc w:val="center"/>
              <w:rPr>
                <w:rFonts w:ascii="仿宋" w:hAnsi="仿宋" w:eastAsia="仿宋"/>
                <w:color w:val="000000"/>
              </w:rPr>
            </w:pPr>
            <w:r>
              <w:rPr>
                <w:rFonts w:hint="eastAsia" w:ascii="仿宋" w:hAnsi="仿宋" w:eastAsia="仿宋"/>
                <w:color w:val="000000"/>
              </w:rPr>
              <w:t>3</w:t>
            </w:r>
          </w:p>
        </w:tc>
        <w:tc>
          <w:tcPr>
            <w:tcW w:w="2475" w:type="dxa"/>
            <w:noWrap w:val="0"/>
            <w:vAlign w:val="center"/>
          </w:tcPr>
          <w:p w14:paraId="38AEC916">
            <w:pPr>
              <w:autoSpaceDE w:val="0"/>
              <w:autoSpaceDN w:val="0"/>
              <w:adjustRightInd w:val="0"/>
              <w:spacing w:line="420" w:lineRule="exact"/>
              <w:jc w:val="center"/>
              <w:rPr>
                <w:rFonts w:hint="default" w:ascii="宋体" w:hAnsi="宋体" w:eastAsia="宋体"/>
                <w:b/>
                <w:szCs w:val="21"/>
                <w:lang w:val="en-US" w:eastAsia="zh-CN"/>
              </w:rPr>
            </w:pPr>
            <w:r>
              <w:rPr>
                <w:rFonts w:hint="eastAsia" w:ascii="宋体" w:hAnsi="宋体"/>
                <w:b/>
                <w:szCs w:val="21"/>
                <w:lang w:val="en-US" w:eastAsia="zh-CN"/>
              </w:rPr>
              <w:t>垃圾桶清洗车</w:t>
            </w:r>
          </w:p>
        </w:tc>
        <w:tc>
          <w:tcPr>
            <w:tcW w:w="1230" w:type="dxa"/>
            <w:tcBorders>
              <w:right w:val="single" w:color="auto" w:sz="4" w:space="0"/>
            </w:tcBorders>
            <w:noWrap w:val="0"/>
            <w:vAlign w:val="center"/>
          </w:tcPr>
          <w:p w14:paraId="6CC995CC">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2</w:t>
            </w:r>
          </w:p>
        </w:tc>
        <w:tc>
          <w:tcPr>
            <w:tcW w:w="5283" w:type="dxa"/>
            <w:tcBorders>
              <w:bottom w:val="single" w:color="auto" w:sz="4" w:space="0"/>
            </w:tcBorders>
            <w:noWrap w:val="0"/>
            <w:vAlign w:val="center"/>
          </w:tcPr>
          <w:p w14:paraId="25D3D9CD">
            <w:pPr>
              <w:autoSpaceDE w:val="0"/>
              <w:autoSpaceDN w:val="0"/>
              <w:adjustRightInd w:val="0"/>
              <w:spacing w:line="320" w:lineRule="exact"/>
              <w:jc w:val="left"/>
              <w:rPr>
                <w:rFonts w:ascii="宋体" w:hAnsi="宋体" w:cs="宋体"/>
                <w:kern w:val="0"/>
                <w:szCs w:val="22"/>
              </w:rPr>
            </w:pPr>
            <w:r>
              <w:rPr>
                <w:rFonts w:hint="eastAsia" w:ascii="宋体" w:hAnsi="宋体" w:cs="宋体"/>
                <w:b/>
                <w:bCs/>
                <w:kern w:val="0"/>
                <w:szCs w:val="22"/>
              </w:rPr>
              <w:t>投标供应商自备</w:t>
            </w:r>
            <w:r>
              <w:rPr>
                <w:rFonts w:hint="eastAsia" w:ascii="宋体" w:hAnsi="宋体" w:cs="宋体"/>
                <w:b/>
                <w:bCs/>
                <w:kern w:val="0"/>
                <w:szCs w:val="22"/>
                <w:lang w:eastAsia="zh-CN"/>
              </w:rPr>
              <w:t>，</w:t>
            </w:r>
            <w:r>
              <w:rPr>
                <w:rFonts w:hint="eastAsia" w:ascii="宋体" w:hAnsi="宋体" w:cs="宋体"/>
                <w:kern w:val="0"/>
                <w:szCs w:val="22"/>
                <w:lang w:val="en-US" w:eastAsia="zh-CN"/>
              </w:rPr>
              <w:t>负责垃圾桶日常清洗。</w:t>
            </w:r>
          </w:p>
        </w:tc>
      </w:tr>
      <w:tr w14:paraId="08DC7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07" w:type="dxa"/>
            <w:tcBorders>
              <w:bottom w:val="single" w:color="auto" w:sz="4" w:space="0"/>
            </w:tcBorders>
            <w:noWrap w:val="0"/>
            <w:vAlign w:val="center"/>
          </w:tcPr>
          <w:p w14:paraId="777F3BF4">
            <w:pPr>
              <w:spacing w:line="276" w:lineRule="auto"/>
              <w:jc w:val="center"/>
              <w:rPr>
                <w:rFonts w:ascii="仿宋" w:hAnsi="仿宋" w:eastAsia="仿宋"/>
                <w:color w:val="000000"/>
              </w:rPr>
            </w:pPr>
            <w:r>
              <w:rPr>
                <w:rFonts w:ascii="仿宋" w:hAnsi="仿宋" w:eastAsia="仿宋"/>
                <w:color w:val="000000"/>
              </w:rPr>
              <w:t>4</w:t>
            </w:r>
          </w:p>
        </w:tc>
        <w:tc>
          <w:tcPr>
            <w:tcW w:w="2475" w:type="dxa"/>
            <w:noWrap w:val="0"/>
            <w:vAlign w:val="center"/>
          </w:tcPr>
          <w:p w14:paraId="1C82E7B7">
            <w:pPr>
              <w:autoSpaceDE w:val="0"/>
              <w:autoSpaceDN w:val="0"/>
              <w:adjustRightInd w:val="0"/>
              <w:spacing w:line="320" w:lineRule="exact"/>
              <w:jc w:val="center"/>
              <w:rPr>
                <w:rFonts w:hint="eastAsia" w:eastAsia="宋体"/>
                <w:b/>
                <w:sz w:val="24"/>
                <w:szCs w:val="24"/>
                <w:lang w:val="en-US" w:eastAsia="zh-CN"/>
              </w:rPr>
            </w:pPr>
            <w:r>
              <w:rPr>
                <w:rFonts w:hint="eastAsia"/>
                <w:b/>
                <w:sz w:val="24"/>
                <w:szCs w:val="24"/>
                <w:lang w:val="en-US" w:eastAsia="zh-CN"/>
              </w:rPr>
              <w:t>洒扫车</w:t>
            </w:r>
          </w:p>
        </w:tc>
        <w:tc>
          <w:tcPr>
            <w:tcW w:w="1230" w:type="dxa"/>
            <w:tcBorders>
              <w:right w:val="single" w:color="auto" w:sz="4" w:space="0"/>
            </w:tcBorders>
            <w:noWrap w:val="0"/>
            <w:vAlign w:val="center"/>
          </w:tcPr>
          <w:p w14:paraId="57365CFD">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1</w:t>
            </w:r>
          </w:p>
        </w:tc>
        <w:tc>
          <w:tcPr>
            <w:tcW w:w="5283" w:type="dxa"/>
            <w:tcBorders>
              <w:bottom w:val="single" w:color="auto" w:sz="4" w:space="0"/>
            </w:tcBorders>
            <w:noWrap w:val="0"/>
            <w:vAlign w:val="center"/>
          </w:tcPr>
          <w:p w14:paraId="78A2A28C">
            <w:pPr>
              <w:autoSpaceDE w:val="0"/>
              <w:autoSpaceDN w:val="0"/>
              <w:adjustRightInd w:val="0"/>
              <w:spacing w:line="420" w:lineRule="exact"/>
              <w:jc w:val="left"/>
              <w:rPr>
                <w:b/>
                <w:sz w:val="24"/>
                <w:szCs w:val="24"/>
              </w:rPr>
            </w:pPr>
            <w:r>
              <w:rPr>
                <w:rFonts w:hint="eastAsia"/>
                <w:b/>
                <w:sz w:val="24"/>
                <w:szCs w:val="24"/>
              </w:rPr>
              <w:t>由采购人提供（免租金），</w:t>
            </w:r>
            <w:r>
              <w:rPr>
                <w:rFonts w:hint="eastAsia"/>
                <w:b w:val="0"/>
                <w:bCs/>
                <w:sz w:val="24"/>
                <w:szCs w:val="24"/>
              </w:rPr>
              <w:t>中标</w:t>
            </w:r>
            <w:r>
              <w:rPr>
                <w:rFonts w:hint="eastAsia"/>
                <w:b w:val="0"/>
                <w:bCs/>
                <w:sz w:val="24"/>
                <w:szCs w:val="24"/>
                <w:lang w:val="en-US" w:eastAsia="zh-CN"/>
              </w:rPr>
              <w:t>供应商</w:t>
            </w:r>
            <w:r>
              <w:rPr>
                <w:rFonts w:hint="eastAsia"/>
                <w:b w:val="0"/>
                <w:bCs/>
                <w:sz w:val="24"/>
                <w:szCs w:val="24"/>
              </w:rPr>
              <w:t>负责运行管理，每月按</w:t>
            </w:r>
            <w:r>
              <w:rPr>
                <w:rFonts w:hint="eastAsia"/>
                <w:b w:val="0"/>
                <w:bCs/>
                <w:sz w:val="24"/>
                <w:szCs w:val="24"/>
                <w:lang w:val="en-US" w:eastAsia="zh-CN"/>
              </w:rPr>
              <w:t>采购</w:t>
            </w:r>
            <w:r>
              <w:rPr>
                <w:rFonts w:hint="eastAsia"/>
                <w:b w:val="0"/>
                <w:bCs/>
                <w:sz w:val="24"/>
                <w:szCs w:val="24"/>
              </w:rPr>
              <w:t>人安排执行工作，运行维护费用由中标</w:t>
            </w:r>
            <w:r>
              <w:rPr>
                <w:rFonts w:hint="eastAsia"/>
                <w:b w:val="0"/>
                <w:bCs/>
                <w:sz w:val="24"/>
                <w:szCs w:val="24"/>
                <w:lang w:val="en-US" w:eastAsia="zh-CN"/>
              </w:rPr>
              <w:t>供应商</w:t>
            </w:r>
            <w:r>
              <w:rPr>
                <w:rFonts w:hint="eastAsia"/>
                <w:b w:val="0"/>
                <w:bCs/>
                <w:sz w:val="24"/>
                <w:szCs w:val="24"/>
              </w:rPr>
              <w:t>承担。</w:t>
            </w:r>
          </w:p>
        </w:tc>
      </w:tr>
      <w:tr w14:paraId="5E477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7" w:type="dxa"/>
            <w:tcBorders>
              <w:bottom w:val="single" w:color="auto" w:sz="4" w:space="0"/>
            </w:tcBorders>
            <w:noWrap w:val="0"/>
            <w:vAlign w:val="center"/>
          </w:tcPr>
          <w:p w14:paraId="0FDE99D2">
            <w:pPr>
              <w:spacing w:line="276" w:lineRule="auto"/>
              <w:jc w:val="center"/>
              <w:rPr>
                <w:rFonts w:ascii="仿宋" w:hAnsi="仿宋" w:eastAsia="仿宋"/>
                <w:color w:val="000000"/>
              </w:rPr>
            </w:pPr>
            <w:r>
              <w:rPr>
                <w:rFonts w:hint="eastAsia" w:ascii="仿宋" w:hAnsi="仿宋" w:eastAsia="仿宋"/>
                <w:color w:val="000000"/>
              </w:rPr>
              <w:t>5</w:t>
            </w:r>
          </w:p>
        </w:tc>
        <w:tc>
          <w:tcPr>
            <w:tcW w:w="2475" w:type="dxa"/>
            <w:noWrap w:val="0"/>
            <w:vAlign w:val="center"/>
          </w:tcPr>
          <w:p w14:paraId="44A6A767">
            <w:pPr>
              <w:autoSpaceDE w:val="0"/>
              <w:autoSpaceDN w:val="0"/>
              <w:adjustRightInd w:val="0"/>
              <w:spacing w:line="420" w:lineRule="exact"/>
              <w:jc w:val="center"/>
              <w:rPr>
                <w:rFonts w:hint="eastAsia" w:eastAsia="宋体"/>
                <w:b/>
                <w:sz w:val="24"/>
                <w:szCs w:val="24"/>
                <w:lang w:val="en-US" w:eastAsia="zh-CN"/>
              </w:rPr>
            </w:pPr>
            <w:r>
              <w:rPr>
                <w:rFonts w:hint="eastAsia"/>
                <w:b/>
                <w:sz w:val="24"/>
                <w:szCs w:val="24"/>
                <w:lang w:val="en-US" w:eastAsia="zh-CN"/>
              </w:rPr>
              <w:t>转运车</w:t>
            </w:r>
          </w:p>
        </w:tc>
        <w:tc>
          <w:tcPr>
            <w:tcW w:w="1230" w:type="dxa"/>
            <w:tcBorders>
              <w:right w:val="single" w:color="auto" w:sz="4" w:space="0"/>
            </w:tcBorders>
            <w:noWrap w:val="0"/>
            <w:vAlign w:val="center"/>
          </w:tcPr>
          <w:p w14:paraId="022E1239">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1</w:t>
            </w:r>
          </w:p>
        </w:tc>
        <w:tc>
          <w:tcPr>
            <w:tcW w:w="5283" w:type="dxa"/>
            <w:tcBorders>
              <w:bottom w:val="single" w:color="auto" w:sz="4" w:space="0"/>
            </w:tcBorders>
            <w:noWrap w:val="0"/>
            <w:vAlign w:val="center"/>
          </w:tcPr>
          <w:p w14:paraId="413F9C26">
            <w:pPr>
              <w:autoSpaceDE w:val="0"/>
              <w:autoSpaceDN w:val="0"/>
              <w:adjustRightInd w:val="0"/>
              <w:spacing w:line="420" w:lineRule="exact"/>
              <w:jc w:val="left"/>
              <w:rPr>
                <w:b/>
                <w:sz w:val="24"/>
                <w:szCs w:val="24"/>
              </w:rPr>
            </w:pPr>
            <w:r>
              <w:rPr>
                <w:rFonts w:hint="eastAsia" w:ascii="宋体" w:hAnsi="宋体" w:eastAsia="宋体" w:cs="宋体"/>
                <w:b/>
                <w:sz w:val="22"/>
                <w:szCs w:val="22"/>
              </w:rPr>
              <w:t>由采购人提供（免租金）</w:t>
            </w:r>
            <w:r>
              <w:rPr>
                <w:rFonts w:hint="eastAsia" w:ascii="宋体" w:hAnsi="宋体" w:eastAsia="宋体" w:cs="宋体"/>
                <w:sz w:val="22"/>
                <w:szCs w:val="22"/>
              </w:rPr>
              <w:t>，中标供应商负责运行管理，每月按</w:t>
            </w:r>
            <w:r>
              <w:rPr>
                <w:rFonts w:hint="eastAsia" w:ascii="宋体" w:hAnsi="宋体" w:eastAsia="宋体" w:cs="宋体"/>
                <w:sz w:val="22"/>
                <w:szCs w:val="22"/>
                <w:lang w:val="en-US" w:eastAsia="zh-CN"/>
              </w:rPr>
              <w:t>采购</w:t>
            </w:r>
            <w:r>
              <w:rPr>
                <w:rFonts w:hint="eastAsia" w:ascii="宋体" w:hAnsi="宋体" w:eastAsia="宋体" w:cs="宋体"/>
                <w:sz w:val="22"/>
                <w:szCs w:val="22"/>
              </w:rPr>
              <w:t>人安排执行工作，运行维护费用由中标</w:t>
            </w:r>
            <w:r>
              <w:rPr>
                <w:rFonts w:hint="eastAsia" w:ascii="宋体" w:hAnsi="宋体" w:eastAsia="宋体" w:cs="宋体"/>
                <w:sz w:val="22"/>
                <w:szCs w:val="22"/>
                <w:lang w:val="en-US" w:eastAsia="zh-CN"/>
              </w:rPr>
              <w:t>供应商</w:t>
            </w:r>
            <w:r>
              <w:rPr>
                <w:rFonts w:hint="eastAsia" w:ascii="宋体" w:hAnsi="宋体" w:eastAsia="宋体" w:cs="宋体"/>
                <w:sz w:val="22"/>
                <w:szCs w:val="22"/>
              </w:rPr>
              <w:t>承担。</w:t>
            </w:r>
          </w:p>
        </w:tc>
      </w:tr>
      <w:tr w14:paraId="59D54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007" w:type="dxa"/>
            <w:tcBorders>
              <w:bottom w:val="single" w:color="auto" w:sz="4" w:space="0"/>
            </w:tcBorders>
            <w:noWrap w:val="0"/>
            <w:vAlign w:val="center"/>
          </w:tcPr>
          <w:p w14:paraId="37D6F94E">
            <w:pPr>
              <w:spacing w:line="276" w:lineRule="auto"/>
              <w:jc w:val="center"/>
              <w:rPr>
                <w:rFonts w:ascii="仿宋" w:hAnsi="仿宋" w:eastAsia="仿宋"/>
                <w:color w:val="000000"/>
              </w:rPr>
            </w:pPr>
            <w:r>
              <w:rPr>
                <w:rFonts w:hint="eastAsia" w:ascii="仿宋" w:hAnsi="仿宋" w:eastAsia="仿宋"/>
                <w:color w:val="000000"/>
              </w:rPr>
              <w:t>6</w:t>
            </w:r>
          </w:p>
        </w:tc>
        <w:tc>
          <w:tcPr>
            <w:tcW w:w="2475" w:type="dxa"/>
            <w:noWrap w:val="0"/>
            <w:vAlign w:val="center"/>
          </w:tcPr>
          <w:p w14:paraId="45B72934">
            <w:pPr>
              <w:autoSpaceDE w:val="0"/>
              <w:autoSpaceDN w:val="0"/>
              <w:adjustRightInd w:val="0"/>
              <w:spacing w:line="320" w:lineRule="exact"/>
              <w:jc w:val="center"/>
              <w:rPr>
                <w:rFonts w:hint="default" w:ascii="宋体" w:hAnsi="宋体" w:eastAsia="宋体"/>
                <w:b/>
                <w:szCs w:val="21"/>
                <w:lang w:val="en-US" w:eastAsia="zh-CN"/>
              </w:rPr>
            </w:pPr>
            <w:r>
              <w:rPr>
                <w:rFonts w:hint="eastAsia" w:ascii="宋体" w:hAnsi="宋体"/>
                <w:b/>
                <w:szCs w:val="21"/>
                <w:lang w:val="en-US" w:eastAsia="zh-CN"/>
              </w:rPr>
              <w:t>河道专用保洁船</w:t>
            </w:r>
          </w:p>
        </w:tc>
        <w:tc>
          <w:tcPr>
            <w:tcW w:w="1230" w:type="dxa"/>
            <w:tcBorders>
              <w:right w:val="single" w:color="auto" w:sz="4" w:space="0"/>
            </w:tcBorders>
            <w:noWrap w:val="0"/>
            <w:vAlign w:val="center"/>
          </w:tcPr>
          <w:p w14:paraId="727E7767">
            <w:pPr>
              <w:autoSpaceDE w:val="0"/>
              <w:autoSpaceDN w:val="0"/>
              <w:adjustRightInd w:val="0"/>
              <w:spacing w:line="320" w:lineRule="exact"/>
              <w:jc w:val="center"/>
              <w:rPr>
                <w:rFonts w:hint="eastAsia" w:eastAsia="宋体"/>
                <w:szCs w:val="22"/>
                <w:lang w:val="en-US" w:eastAsia="zh-CN"/>
              </w:rPr>
            </w:pPr>
            <w:r>
              <w:rPr>
                <w:rFonts w:hint="eastAsia"/>
                <w:szCs w:val="22"/>
                <w:lang w:val="en-US" w:eastAsia="zh-CN"/>
              </w:rPr>
              <w:t>3</w:t>
            </w:r>
          </w:p>
        </w:tc>
        <w:tc>
          <w:tcPr>
            <w:tcW w:w="5283" w:type="dxa"/>
            <w:tcBorders>
              <w:bottom w:val="single" w:color="auto" w:sz="4" w:space="0"/>
            </w:tcBorders>
            <w:noWrap w:val="0"/>
            <w:vAlign w:val="center"/>
          </w:tcPr>
          <w:p w14:paraId="49BD6F2A">
            <w:pPr>
              <w:autoSpaceDE w:val="0"/>
              <w:autoSpaceDN w:val="0"/>
              <w:adjustRightInd w:val="0"/>
              <w:spacing w:line="420" w:lineRule="exact"/>
              <w:jc w:val="left"/>
              <w:rPr>
                <w:rFonts w:ascii="宋体" w:hAnsi="宋体" w:cs="宋体"/>
                <w:bCs/>
                <w:kern w:val="0"/>
                <w:szCs w:val="22"/>
              </w:rPr>
            </w:pPr>
            <w:r>
              <w:rPr>
                <w:rFonts w:hint="eastAsia" w:ascii="宋体" w:hAnsi="宋体" w:eastAsia="宋体" w:cs="宋体"/>
                <w:b/>
                <w:sz w:val="22"/>
                <w:szCs w:val="22"/>
              </w:rPr>
              <w:t>由中标供应商提供。</w:t>
            </w:r>
          </w:p>
        </w:tc>
      </w:tr>
      <w:tr w14:paraId="1219D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007" w:type="dxa"/>
            <w:noWrap w:val="0"/>
            <w:vAlign w:val="center"/>
          </w:tcPr>
          <w:p w14:paraId="197F45F2">
            <w:pPr>
              <w:autoSpaceDE w:val="0"/>
              <w:autoSpaceDN w:val="0"/>
              <w:adjustRightInd w:val="0"/>
              <w:spacing w:line="420" w:lineRule="exact"/>
              <w:jc w:val="center"/>
              <w:rPr>
                <w:szCs w:val="22"/>
              </w:rPr>
            </w:pPr>
            <w:r>
              <w:rPr>
                <w:rFonts w:hint="eastAsia"/>
                <w:szCs w:val="22"/>
              </w:rPr>
              <w:t>特别</w:t>
            </w:r>
          </w:p>
          <w:p w14:paraId="228AAF2E">
            <w:pPr>
              <w:autoSpaceDE w:val="0"/>
              <w:autoSpaceDN w:val="0"/>
              <w:adjustRightInd w:val="0"/>
              <w:spacing w:line="420" w:lineRule="exact"/>
              <w:jc w:val="center"/>
              <w:rPr>
                <w:szCs w:val="22"/>
              </w:rPr>
            </w:pPr>
            <w:r>
              <w:rPr>
                <w:rFonts w:hint="eastAsia"/>
                <w:szCs w:val="22"/>
              </w:rPr>
              <w:t>说明</w:t>
            </w:r>
          </w:p>
        </w:tc>
        <w:tc>
          <w:tcPr>
            <w:tcW w:w="8988" w:type="dxa"/>
            <w:gridSpan w:val="3"/>
            <w:noWrap w:val="0"/>
            <w:vAlign w:val="top"/>
          </w:tcPr>
          <w:p w14:paraId="7356FF2F">
            <w:pPr>
              <w:autoSpaceDE w:val="0"/>
              <w:autoSpaceDN w:val="0"/>
              <w:adjustRightInd w:val="0"/>
              <w:spacing w:line="360" w:lineRule="exact"/>
              <w:jc w:val="left"/>
              <w:rPr>
                <w:b/>
                <w:color w:val="0000FF"/>
                <w:szCs w:val="22"/>
              </w:rPr>
            </w:pPr>
            <w:r>
              <w:rPr>
                <w:szCs w:val="22"/>
              </w:rPr>
              <w:t>▲</w:t>
            </w:r>
            <w:r>
              <w:rPr>
                <w:b/>
                <w:szCs w:val="22"/>
              </w:rPr>
              <w:t>1、</w:t>
            </w:r>
            <w:r>
              <w:rPr>
                <w:rFonts w:hint="eastAsia"/>
                <w:b/>
                <w:szCs w:val="22"/>
              </w:rPr>
              <w:t>上述各类车辆</w:t>
            </w:r>
            <w:r>
              <w:rPr>
                <w:rFonts w:hint="eastAsia"/>
                <w:b/>
                <w:szCs w:val="22"/>
                <w:lang w:eastAsia="zh-CN"/>
              </w:rPr>
              <w:t>（</w:t>
            </w:r>
            <w:r>
              <w:rPr>
                <w:rFonts w:hint="eastAsia"/>
                <w:b/>
                <w:szCs w:val="22"/>
                <w:lang w:val="en-US" w:eastAsia="zh-CN"/>
              </w:rPr>
              <w:t>船只</w:t>
            </w:r>
            <w:r>
              <w:rPr>
                <w:rFonts w:hint="eastAsia"/>
                <w:b/>
                <w:szCs w:val="22"/>
                <w:lang w:eastAsia="zh-CN"/>
              </w:rPr>
              <w:t>）</w:t>
            </w:r>
            <w:r>
              <w:rPr>
                <w:rFonts w:hint="eastAsia"/>
                <w:b/>
                <w:szCs w:val="22"/>
              </w:rPr>
              <w:t>最低配置数量是根据现行实际投入数量结合本次项目未来发展的实际需要确定，为确保中标单位的服务质量</w:t>
            </w:r>
            <w:r>
              <w:rPr>
                <w:rFonts w:hint="eastAsia"/>
                <w:b/>
                <w:color w:val="000000"/>
                <w:szCs w:val="22"/>
              </w:rPr>
              <w:t>，投标供应商相应标项投标方案中拟投入的各种车辆配置数量均不得低于上表要求，否则，投标无效。</w:t>
            </w:r>
          </w:p>
          <w:p w14:paraId="6BF2A102">
            <w:pPr>
              <w:pStyle w:val="52"/>
              <w:spacing w:line="360" w:lineRule="exact"/>
              <w:rPr>
                <w:b/>
                <w:bCs w:val="0"/>
                <w:szCs w:val="22"/>
              </w:rPr>
            </w:pPr>
            <w:r>
              <w:rPr>
                <w:rFonts w:hint="eastAsia"/>
                <w:b/>
                <w:bCs w:val="0"/>
                <w:szCs w:val="22"/>
              </w:rPr>
              <w:t>2、投标供应商如认为有必要，可以在上表基础上自行增加数量或添加其他种类，所需的费用包含在投标总价中或由投标供应商作为优惠条件自行承担。合同签订时按投标文件承诺的数量落实。</w:t>
            </w:r>
          </w:p>
          <w:p w14:paraId="1094509D">
            <w:pPr>
              <w:pStyle w:val="2"/>
              <w:spacing w:after="0" w:line="360" w:lineRule="exact"/>
              <w:rPr>
                <w:rFonts w:hint="eastAsia"/>
                <w:b/>
                <w:bCs w:val="0"/>
                <w:szCs w:val="22"/>
              </w:rPr>
            </w:pPr>
            <w:r>
              <w:rPr>
                <w:b/>
                <w:bCs w:val="0"/>
                <w:szCs w:val="22"/>
              </w:rPr>
              <w:t>▲</w:t>
            </w:r>
            <w:r>
              <w:rPr>
                <w:rFonts w:hint="eastAsia"/>
                <w:b/>
                <w:bCs w:val="0"/>
                <w:szCs w:val="22"/>
              </w:rPr>
              <w:t>3、所有所需的车辆</w:t>
            </w:r>
            <w:r>
              <w:rPr>
                <w:rFonts w:hint="eastAsia"/>
                <w:b/>
                <w:bCs w:val="0"/>
                <w:szCs w:val="22"/>
                <w:lang w:eastAsia="zh-CN"/>
              </w:rPr>
              <w:t>及船只</w:t>
            </w:r>
            <w:r>
              <w:rPr>
                <w:rFonts w:hint="eastAsia"/>
                <w:b/>
                <w:bCs w:val="0"/>
                <w:szCs w:val="22"/>
              </w:rPr>
              <w:t>一经进场只能在本项目使用，不得用于其他项目。</w:t>
            </w:r>
          </w:p>
          <w:p w14:paraId="70978C1A">
            <w:pPr>
              <w:pStyle w:val="2"/>
              <w:spacing w:after="0" w:line="360" w:lineRule="exact"/>
              <w:rPr>
                <w:rFonts w:hint="eastAsia"/>
                <w:b/>
                <w:bCs w:val="0"/>
                <w:szCs w:val="22"/>
                <w:lang w:val="en-US" w:eastAsia="zh-CN"/>
              </w:rPr>
            </w:pPr>
            <w:r>
              <w:rPr>
                <w:rFonts w:hint="eastAsia"/>
                <w:b/>
                <w:bCs w:val="0"/>
                <w:szCs w:val="22"/>
                <w:lang w:val="en-US" w:eastAsia="zh-CN"/>
              </w:rPr>
              <w:t>4、中标供应商承担车辆使用过程中的维修费、年检保险及燃料（油费、水费、电费等）等所有运行费用并包含在投标总价内；车辆驾驶员应具备相应资格，严禁违规、无证驾驶。</w:t>
            </w:r>
          </w:p>
          <w:p w14:paraId="39C56934">
            <w:pPr>
              <w:pStyle w:val="2"/>
              <w:spacing w:after="0" w:line="360" w:lineRule="exact"/>
              <w:rPr>
                <w:rFonts w:hint="eastAsia" w:ascii="宋体" w:hAnsi="宋体" w:eastAsia="宋体" w:cs="宋体"/>
                <w:b/>
                <w:bCs w:val="0"/>
                <w:sz w:val="22"/>
                <w:szCs w:val="22"/>
                <w:u w:val="single"/>
              </w:rPr>
            </w:pPr>
            <w:r>
              <w:rPr>
                <w:rFonts w:hint="eastAsia"/>
                <w:b/>
                <w:bCs w:val="0"/>
                <w:szCs w:val="22"/>
                <w:lang w:val="en-US" w:eastAsia="zh-CN"/>
              </w:rPr>
              <w:t>5、</w:t>
            </w:r>
            <w:bookmarkStart w:id="139" w:name="OLE_LINK17"/>
            <w:bookmarkStart w:id="140" w:name="OLE_LINK18"/>
            <w:r>
              <w:rPr>
                <w:rFonts w:hint="eastAsia" w:ascii="宋体" w:hAnsi="宋体" w:eastAsia="宋体" w:cs="宋体"/>
                <w:b/>
                <w:bCs w:val="0"/>
                <w:sz w:val="22"/>
                <w:szCs w:val="22"/>
                <w:u w:val="single"/>
              </w:rPr>
              <w:t>投标</w:t>
            </w:r>
            <w:r>
              <w:rPr>
                <w:rFonts w:hint="eastAsia" w:ascii="宋体" w:hAnsi="宋体" w:eastAsia="宋体" w:cs="宋体"/>
                <w:b/>
                <w:bCs w:val="0"/>
                <w:sz w:val="22"/>
                <w:szCs w:val="22"/>
                <w:u w:val="single"/>
                <w:lang w:val="en-US" w:eastAsia="zh-CN"/>
              </w:rPr>
              <w:t>供应商</w:t>
            </w:r>
            <w:r>
              <w:rPr>
                <w:rFonts w:hint="eastAsia" w:ascii="宋体" w:hAnsi="宋体" w:eastAsia="宋体" w:cs="宋体"/>
                <w:b/>
                <w:bCs w:val="0"/>
                <w:sz w:val="22"/>
                <w:szCs w:val="22"/>
                <w:u w:val="single"/>
              </w:rPr>
              <w:t>投标时需提供租赁</w:t>
            </w:r>
            <w:bookmarkEnd w:id="139"/>
            <w:bookmarkEnd w:id="140"/>
            <w:r>
              <w:rPr>
                <w:rFonts w:hint="eastAsia" w:ascii="宋体" w:hAnsi="宋体" w:eastAsia="宋体" w:cs="宋体"/>
                <w:b/>
                <w:bCs w:val="0"/>
                <w:sz w:val="22"/>
                <w:szCs w:val="22"/>
                <w:u w:val="single"/>
              </w:rPr>
              <w:t>、借用、购买船只的相关有效证明，船只只能用于本次项目使用，不可投入其他项目。</w:t>
            </w:r>
          </w:p>
          <w:p w14:paraId="2DB03A39">
            <w:pPr>
              <w:pStyle w:val="2"/>
              <w:spacing w:after="0" w:line="360" w:lineRule="exact"/>
              <w:rPr>
                <w:szCs w:val="22"/>
              </w:rPr>
            </w:pPr>
            <w:r>
              <w:rPr>
                <w:rFonts w:hint="eastAsia" w:ascii="宋体" w:hAnsi="宋体" w:cs="宋体"/>
                <w:b/>
                <w:bCs w:val="0"/>
                <w:sz w:val="22"/>
                <w:szCs w:val="22"/>
                <w:u w:val="none"/>
                <w:lang w:val="en-US" w:eastAsia="zh-CN"/>
              </w:rPr>
              <w:t>6</w:t>
            </w:r>
            <w:r>
              <w:rPr>
                <w:rFonts w:hint="eastAsia"/>
                <w:b/>
                <w:bCs w:val="0"/>
                <w:szCs w:val="22"/>
                <w:u w:val="none"/>
              </w:rPr>
              <w:t>、</w:t>
            </w:r>
            <w:r>
              <w:rPr>
                <w:rFonts w:hint="eastAsia"/>
                <w:szCs w:val="22"/>
              </w:rPr>
              <w:t xml:space="preserve">拟投入本项目运行的机动车等设备应符合国家相关排放标准及安全行驶要求。 </w:t>
            </w:r>
          </w:p>
          <w:p w14:paraId="46521B4C">
            <w:pPr>
              <w:pStyle w:val="2"/>
              <w:spacing w:after="0" w:line="360" w:lineRule="exact"/>
              <w:rPr>
                <w:szCs w:val="22"/>
              </w:rPr>
            </w:pPr>
            <w:r>
              <w:rPr>
                <w:rFonts w:hint="eastAsia"/>
                <w:szCs w:val="22"/>
                <w:lang w:val="en-US" w:eastAsia="zh-CN"/>
              </w:rPr>
              <w:t>7</w:t>
            </w:r>
            <w:r>
              <w:rPr>
                <w:szCs w:val="22"/>
              </w:rPr>
              <w:t>、</w:t>
            </w:r>
            <w:r>
              <w:rPr>
                <w:rFonts w:hint="eastAsia"/>
                <w:szCs w:val="22"/>
              </w:rPr>
              <w:t>所有车辆作业前必须统一刷涂采购人认可的环卫标识。</w:t>
            </w:r>
          </w:p>
          <w:p w14:paraId="58922B24">
            <w:pPr>
              <w:autoSpaceDE w:val="0"/>
              <w:autoSpaceDN w:val="0"/>
              <w:adjustRightInd w:val="0"/>
              <w:spacing w:line="360" w:lineRule="exact"/>
              <w:jc w:val="left"/>
              <w:rPr>
                <w:szCs w:val="22"/>
              </w:rPr>
            </w:pPr>
            <w:r>
              <w:rPr>
                <w:rFonts w:hint="eastAsia"/>
                <w:szCs w:val="22"/>
                <w:lang w:val="en-US" w:eastAsia="zh-CN"/>
              </w:rPr>
              <w:t>8</w:t>
            </w:r>
            <w:r>
              <w:rPr>
                <w:szCs w:val="22"/>
              </w:rPr>
              <w:t>、拟投入本项目的</w:t>
            </w:r>
            <w:r>
              <w:rPr>
                <w:rFonts w:hint="eastAsia"/>
                <w:szCs w:val="22"/>
              </w:rPr>
              <w:t>机械化车辆</w:t>
            </w:r>
            <w:r>
              <w:rPr>
                <w:szCs w:val="22"/>
              </w:rPr>
              <w:t>必须符合</w:t>
            </w:r>
            <w:r>
              <w:rPr>
                <w:rFonts w:hint="eastAsia" w:ascii="宋体" w:hAnsi="宋体" w:cs="宋体"/>
                <w:szCs w:val="22"/>
              </w:rPr>
              <w:t>国家环保要求</w:t>
            </w:r>
            <w:r>
              <w:rPr>
                <w:szCs w:val="22"/>
              </w:rPr>
              <w:t xml:space="preserve">。 </w:t>
            </w:r>
          </w:p>
          <w:p w14:paraId="19271748">
            <w:pPr>
              <w:autoSpaceDE w:val="0"/>
              <w:autoSpaceDN w:val="0"/>
              <w:adjustRightInd w:val="0"/>
              <w:spacing w:line="360" w:lineRule="exact"/>
              <w:jc w:val="left"/>
              <w:rPr>
                <w:szCs w:val="22"/>
              </w:rPr>
            </w:pPr>
            <w:r>
              <w:rPr>
                <w:rFonts w:hint="eastAsia"/>
                <w:szCs w:val="22"/>
                <w:lang w:val="en-US" w:eastAsia="zh-CN"/>
              </w:rPr>
              <w:t>9、中标供应商负责保洁台账整理并及时申报予采购人。</w:t>
            </w:r>
          </w:p>
          <w:p w14:paraId="7643779C">
            <w:pPr>
              <w:autoSpaceDE w:val="0"/>
              <w:autoSpaceDN w:val="0"/>
              <w:adjustRightInd w:val="0"/>
              <w:spacing w:line="360" w:lineRule="exact"/>
              <w:jc w:val="left"/>
              <w:rPr>
                <w:b/>
                <w:szCs w:val="22"/>
              </w:rPr>
            </w:pPr>
            <w:r>
              <w:rPr>
                <w:rFonts w:hint="eastAsia"/>
                <w:b/>
                <w:szCs w:val="22"/>
              </w:rPr>
              <w:t>1</w:t>
            </w:r>
            <w:r>
              <w:rPr>
                <w:rFonts w:hint="eastAsia"/>
                <w:b/>
                <w:szCs w:val="22"/>
                <w:lang w:val="en-US" w:eastAsia="zh-CN"/>
              </w:rPr>
              <w:t>0</w:t>
            </w:r>
            <w:r>
              <w:rPr>
                <w:rFonts w:hint="eastAsia"/>
                <w:b/>
                <w:szCs w:val="22"/>
              </w:rPr>
              <w:t>、如遇有特殊情况（如各项检查等），中标供应商的保洁车辆要服从采购人的调配，保证各项工作的顺利进行。</w:t>
            </w:r>
          </w:p>
        </w:tc>
      </w:tr>
    </w:tbl>
    <w:p w14:paraId="43986ADC">
      <w:pPr>
        <w:widowControl/>
        <w:jc w:val="left"/>
        <w:rPr>
          <w:rFonts w:ascii="宋体" w:hAnsi="宋体"/>
          <w:b/>
          <w:bCs/>
          <w:sz w:val="32"/>
          <w:szCs w:val="32"/>
        </w:rPr>
      </w:pPr>
      <w:r>
        <w:rPr>
          <w:rFonts w:ascii="宋体" w:hAnsi="宋体"/>
          <w:b/>
          <w:bCs/>
          <w:color w:val="0000FF"/>
          <w:sz w:val="32"/>
          <w:szCs w:val="32"/>
        </w:rPr>
        <w:br w:type="page"/>
      </w:r>
    </w:p>
    <w:p w14:paraId="058AC156">
      <w:pPr>
        <w:spacing w:line="420" w:lineRule="exact"/>
        <w:rPr>
          <w:rFonts w:ascii="宋体" w:hAnsi="宋体"/>
          <w:b/>
          <w:szCs w:val="22"/>
        </w:rPr>
      </w:pPr>
      <w:r>
        <w:rPr>
          <w:rFonts w:hint="eastAsia" w:ascii="宋体" w:hAnsi="宋体"/>
          <w:color w:val="0000FF"/>
          <w:szCs w:val="22"/>
        </w:rPr>
        <w:t xml:space="preserve">   </w:t>
      </w:r>
      <w:r>
        <w:rPr>
          <w:rFonts w:hint="eastAsia" w:ascii="宋体" w:hAnsi="宋体"/>
          <w:szCs w:val="22"/>
        </w:rPr>
        <w:t xml:space="preserve"> 2、</w:t>
      </w:r>
      <w:r>
        <w:rPr>
          <w:rFonts w:hint="eastAsia" w:ascii="宋体" w:hAnsi="宋体"/>
          <w:b/>
          <w:bCs/>
          <w:szCs w:val="22"/>
          <w:u w:val="single"/>
        </w:rPr>
        <w:t>中标后如经采购人同意，中标供应商可以用优于投标车辆品牌、参数的车辆以新换旧、以优换次来替代投标承诺投入本项目的车辆，但最终投入进场的车辆须专车专用，只用于本项目，未经采购人同意不得自行变更或另用他处</w:t>
      </w:r>
      <w:r>
        <w:rPr>
          <w:rFonts w:hint="eastAsia" w:ascii="宋体" w:hAnsi="宋体"/>
          <w:szCs w:val="22"/>
        </w:rPr>
        <w:t>。</w:t>
      </w:r>
    </w:p>
    <w:p w14:paraId="5FB693BB">
      <w:pPr>
        <w:spacing w:line="420" w:lineRule="exact"/>
        <w:rPr>
          <w:rFonts w:ascii="宋体" w:hAnsi="宋体"/>
          <w:b/>
          <w:bCs/>
          <w:szCs w:val="22"/>
        </w:rPr>
      </w:pPr>
      <w:r>
        <w:rPr>
          <w:rFonts w:hint="eastAsia" w:ascii="宋体" w:hAnsi="宋体"/>
          <w:b/>
          <w:bCs/>
          <w:szCs w:val="22"/>
        </w:rPr>
        <w:t xml:space="preserve">    3、</w:t>
      </w:r>
      <w:r>
        <w:rPr>
          <w:rFonts w:hint="eastAsia" w:ascii="宋体" w:hAnsi="宋体"/>
          <w:b/>
          <w:bCs/>
          <w:szCs w:val="22"/>
          <w:lang w:val="en-US" w:eastAsia="zh-CN"/>
        </w:rPr>
        <w:t>本项</w:t>
      </w:r>
      <w:r>
        <w:rPr>
          <w:rFonts w:hint="eastAsia" w:ascii="宋体" w:hAnsi="宋体"/>
          <w:b/>
          <w:bCs/>
          <w:szCs w:val="22"/>
          <w:highlight w:val="none"/>
          <w:lang w:val="en-US" w:eastAsia="zh-CN"/>
        </w:rPr>
        <w:t>目</w:t>
      </w:r>
      <w:r>
        <w:rPr>
          <w:rFonts w:hint="eastAsia" w:ascii="宋体" w:hAnsi="宋体"/>
          <w:b/>
          <w:bCs/>
          <w:szCs w:val="22"/>
          <w:highlight w:val="none"/>
        </w:rPr>
        <w:t>所有机动车上路作业时，必须打开警示灯或发送警示信号；作业时要遵守道路交通安全法规，礼让</w:t>
      </w:r>
      <w:r>
        <w:rPr>
          <w:rFonts w:hint="eastAsia" w:ascii="宋体" w:hAnsi="宋体"/>
          <w:b/>
          <w:bCs/>
          <w:szCs w:val="22"/>
        </w:rPr>
        <w:t>行车，注意行人的安全。</w:t>
      </w:r>
    </w:p>
    <w:p w14:paraId="63B0FEAD">
      <w:pPr>
        <w:spacing w:line="420" w:lineRule="exact"/>
        <w:rPr>
          <w:rFonts w:ascii="宋体" w:hAnsi="宋体"/>
          <w:szCs w:val="22"/>
        </w:rPr>
      </w:pPr>
      <w:r>
        <w:rPr>
          <w:rFonts w:hint="eastAsia" w:ascii="宋体" w:hAnsi="宋体"/>
          <w:szCs w:val="22"/>
        </w:rPr>
        <w:t xml:space="preserve">    4、本项目要求中标供应商须具有规范的停车场地，作业车辆统一停放。场地内具有洗车洗轮装备，作业完毕后车辆及时清洗干净入库。</w:t>
      </w:r>
    </w:p>
    <w:p w14:paraId="512EF1E1">
      <w:pPr>
        <w:spacing w:line="420" w:lineRule="exact"/>
        <w:rPr>
          <w:rFonts w:ascii="宋体" w:hAnsi="宋体"/>
          <w:szCs w:val="22"/>
        </w:rPr>
      </w:pPr>
      <w:r>
        <w:rPr>
          <w:rFonts w:hint="eastAsia" w:ascii="宋体" w:hAnsi="宋体"/>
          <w:szCs w:val="22"/>
        </w:rPr>
        <w:t xml:space="preserve">    5、所有车辆须整洁干净，同一种类车辆颜色标识统一，车身明显处具有中标供应商名称标识及设备编号。车辆不得出现吊挂杂物或垃圾袋等影响市容市貌、城市形象的情形。</w:t>
      </w:r>
    </w:p>
    <w:p w14:paraId="29BCD85D">
      <w:pPr>
        <w:keepNext w:val="0"/>
        <w:keepLines w:val="0"/>
        <w:pageBreakBefore w:val="0"/>
        <w:widowControl w:val="0"/>
        <w:kinsoku/>
        <w:wordWrap/>
        <w:overflowPunct w:val="0"/>
        <w:topLinePunct w:val="0"/>
        <w:autoSpaceDE/>
        <w:autoSpaceDN/>
        <w:bidi w:val="0"/>
        <w:adjustRightInd/>
        <w:snapToGrid/>
        <w:spacing w:line="420" w:lineRule="exact"/>
        <w:ind w:left="0" w:firstLine="440" w:firstLineChars="200"/>
        <w:textAlignment w:val="auto"/>
        <w:outlineLvl w:val="1"/>
        <w:rPr>
          <w:rFonts w:ascii="宋体" w:hAnsi="宋体"/>
          <w:color w:val="000000"/>
          <w:szCs w:val="22"/>
        </w:rPr>
      </w:pPr>
      <w:r>
        <w:rPr>
          <w:rFonts w:hint="eastAsia" w:ascii="宋体" w:hAnsi="宋体"/>
          <w:szCs w:val="22"/>
        </w:rPr>
        <w:t>6、所投标机械车辆，须根据投标文件在领取中标通知书</w:t>
      </w:r>
      <w:r>
        <w:rPr>
          <w:rFonts w:ascii="宋体" w:hAnsi="宋体"/>
          <w:szCs w:val="22"/>
        </w:rPr>
        <w:t>15</w:t>
      </w:r>
      <w:r>
        <w:rPr>
          <w:rFonts w:hint="eastAsia" w:ascii="宋体" w:hAnsi="宋体"/>
          <w:szCs w:val="22"/>
        </w:rPr>
        <w:t>日内向采购人</w:t>
      </w:r>
      <w:r>
        <w:rPr>
          <w:rFonts w:hint="eastAsia" w:ascii="宋体" w:hAnsi="宋体"/>
          <w:color w:val="000000"/>
          <w:szCs w:val="22"/>
        </w:rPr>
        <w:t>报备。制定机械作业方案报备采购人审定，并严格按照采购人确认的范围、路线、时间进行作业，不得随意变更。</w:t>
      </w:r>
      <w:bookmarkStart w:id="141" w:name="_Toc64901762"/>
      <w:bookmarkStart w:id="142" w:name="_Toc64913346"/>
    </w:p>
    <w:p w14:paraId="7D5DBEE0">
      <w:pPr>
        <w:overflowPunct w:val="0"/>
        <w:spacing w:line="420" w:lineRule="exact"/>
        <w:ind w:left="420"/>
        <w:outlineLvl w:val="1"/>
        <w:rPr>
          <w:rFonts w:ascii="宋体"/>
          <w:b/>
          <w:szCs w:val="21"/>
        </w:rPr>
      </w:pPr>
      <w:r>
        <w:rPr>
          <w:rFonts w:hint="eastAsia" w:ascii="宋体"/>
          <w:b/>
          <w:szCs w:val="21"/>
        </w:rPr>
        <w:t>7、机械作业规范要求</w:t>
      </w:r>
      <w:bookmarkEnd w:id="141"/>
      <w:bookmarkEnd w:id="142"/>
    </w:p>
    <w:p w14:paraId="340A0E6B">
      <w:pPr>
        <w:overflowPunct w:val="0"/>
        <w:adjustRightInd w:val="0"/>
        <w:spacing w:line="420" w:lineRule="exact"/>
        <w:ind w:firstLine="550" w:firstLineChars="250"/>
        <w:textAlignment w:val="bottom"/>
        <w:rPr>
          <w:rFonts w:ascii="宋体"/>
          <w:szCs w:val="21"/>
        </w:rPr>
      </w:pPr>
      <w:r>
        <w:rPr>
          <w:rFonts w:hint="eastAsia" w:ascii="宋体"/>
          <w:szCs w:val="21"/>
        </w:rPr>
        <w:t>7</w:t>
      </w:r>
      <w:r>
        <w:rPr>
          <w:rFonts w:ascii="宋体"/>
          <w:szCs w:val="21"/>
        </w:rPr>
        <w:t>.</w:t>
      </w:r>
      <w:r>
        <w:rPr>
          <w:rFonts w:hint="eastAsia" w:ascii="宋体"/>
          <w:szCs w:val="21"/>
        </w:rPr>
        <w:t>1、</w:t>
      </w:r>
      <w:r>
        <w:rPr>
          <w:rFonts w:hint="eastAsia" w:ascii="宋体"/>
          <w:szCs w:val="21"/>
          <w:lang w:val="en-US" w:eastAsia="zh-CN"/>
        </w:rPr>
        <w:t>洒扫车</w:t>
      </w:r>
      <w:r>
        <w:rPr>
          <w:rFonts w:hint="eastAsia" w:ascii="宋体"/>
          <w:szCs w:val="21"/>
        </w:rPr>
        <w:t>等机械作业车辆出车前必须进行车辆检查，发现故障及时排除，禁止带故障运行。</w:t>
      </w:r>
    </w:p>
    <w:p w14:paraId="26DE79C9">
      <w:pPr>
        <w:overflowPunct w:val="0"/>
        <w:adjustRightInd w:val="0"/>
        <w:spacing w:line="420" w:lineRule="exact"/>
        <w:ind w:firstLine="550" w:firstLineChars="250"/>
        <w:textAlignment w:val="bottom"/>
        <w:rPr>
          <w:rFonts w:ascii="宋体"/>
          <w:szCs w:val="21"/>
        </w:rPr>
      </w:pPr>
      <w:r>
        <w:rPr>
          <w:rFonts w:hint="eastAsia" w:ascii="宋体"/>
          <w:szCs w:val="21"/>
        </w:rPr>
        <w:t>7</w:t>
      </w:r>
      <w:r>
        <w:rPr>
          <w:rFonts w:ascii="宋体"/>
          <w:szCs w:val="21"/>
        </w:rPr>
        <w:t>.</w:t>
      </w:r>
      <w:r>
        <w:rPr>
          <w:rFonts w:hint="eastAsia" w:ascii="宋体"/>
          <w:szCs w:val="21"/>
        </w:rPr>
        <w:t>2、驾驶员在工作过程中，要遵守道路交通安全法，礼让行车，注意行人的安全。</w:t>
      </w:r>
    </w:p>
    <w:p w14:paraId="43BC0DF2">
      <w:pPr>
        <w:overflowPunct w:val="0"/>
        <w:adjustRightInd w:val="0"/>
        <w:spacing w:line="420" w:lineRule="exact"/>
        <w:ind w:firstLine="550" w:firstLineChars="250"/>
        <w:textAlignment w:val="bottom"/>
        <w:rPr>
          <w:rFonts w:ascii="新宋体" w:hAnsi="新宋体" w:eastAsia="新宋体"/>
          <w:szCs w:val="21"/>
        </w:rPr>
      </w:pPr>
      <w:r>
        <w:rPr>
          <w:rFonts w:hint="eastAsia" w:ascii="宋体"/>
          <w:szCs w:val="21"/>
        </w:rPr>
        <w:t>7</w:t>
      </w:r>
      <w:r>
        <w:rPr>
          <w:rFonts w:ascii="宋体"/>
          <w:szCs w:val="21"/>
        </w:rPr>
        <w:t>.</w:t>
      </w:r>
      <w:r>
        <w:rPr>
          <w:rFonts w:hint="eastAsia" w:ascii="宋体"/>
          <w:szCs w:val="21"/>
        </w:rPr>
        <w:t>3、</w:t>
      </w:r>
      <w:r>
        <w:rPr>
          <w:rFonts w:hint="eastAsia" w:ascii="新宋体" w:hAnsi="新宋体" w:eastAsia="新宋体"/>
          <w:szCs w:val="21"/>
        </w:rPr>
        <w:t>垃圾收集车辆（含机动车和非机动车）一定装有密封盖子，在运输时必须采用全封闭避免滴洒漏情况发生。</w:t>
      </w:r>
    </w:p>
    <w:p w14:paraId="42C9499C">
      <w:pPr>
        <w:overflowPunct w:val="0"/>
        <w:adjustRightInd w:val="0"/>
        <w:spacing w:line="420" w:lineRule="exact"/>
        <w:ind w:firstLine="550" w:firstLineChars="250"/>
        <w:textAlignment w:val="bottom"/>
      </w:pPr>
      <w:r>
        <w:rPr>
          <w:rFonts w:hint="eastAsia" w:ascii="宋体"/>
          <w:szCs w:val="21"/>
        </w:rPr>
        <w:t>7</w:t>
      </w:r>
      <w:r>
        <w:rPr>
          <w:rFonts w:ascii="宋体"/>
          <w:szCs w:val="21"/>
        </w:rPr>
        <w:t>.</w:t>
      </w:r>
      <w:r>
        <w:rPr>
          <w:rFonts w:hint="eastAsia" w:ascii="宋体"/>
          <w:szCs w:val="21"/>
        </w:rPr>
        <w:t>4、机械作业车辆停车场地由中标供应商自行解决。中标供应商须配置洗车设备，车辆外观整洁，及时清洗。</w:t>
      </w:r>
    </w:p>
    <w:p w14:paraId="435A8EC2">
      <w:pPr>
        <w:overflowPunct w:val="0"/>
        <w:spacing w:line="420" w:lineRule="exact"/>
        <w:ind w:firstLine="433" w:firstLineChars="196"/>
        <w:outlineLvl w:val="1"/>
        <w:rPr>
          <w:rFonts w:ascii="宋体"/>
          <w:b/>
          <w:szCs w:val="21"/>
        </w:rPr>
      </w:pPr>
      <w:bookmarkStart w:id="143" w:name="_Toc27917"/>
      <w:bookmarkStart w:id="144" w:name="_Toc64913348"/>
      <w:bookmarkStart w:id="145" w:name="_Toc64901764"/>
      <w:r>
        <w:rPr>
          <w:rFonts w:hint="eastAsia" w:ascii="宋体"/>
          <w:b/>
          <w:szCs w:val="21"/>
        </w:rPr>
        <w:t>七、项目管理要求</w:t>
      </w:r>
      <w:bookmarkEnd w:id="143"/>
      <w:bookmarkEnd w:id="144"/>
      <w:bookmarkEnd w:id="145"/>
    </w:p>
    <w:p w14:paraId="3408461F">
      <w:pPr>
        <w:overflowPunct w:val="0"/>
        <w:adjustRightInd w:val="0"/>
        <w:spacing w:line="420" w:lineRule="exact"/>
        <w:ind w:firstLine="440" w:firstLineChars="200"/>
        <w:textAlignment w:val="bottom"/>
        <w:rPr>
          <w:rFonts w:ascii="宋体"/>
          <w:b/>
          <w:szCs w:val="21"/>
        </w:rPr>
      </w:pPr>
      <w:r>
        <w:rPr>
          <w:rFonts w:hint="eastAsia" w:ascii="宋体"/>
          <w:szCs w:val="21"/>
        </w:rPr>
        <w:t>（一）本项目供应商及其相关服务人员必须服从各级政府职能部门管理要求，服从村居组织监督管理要求。</w:t>
      </w:r>
    </w:p>
    <w:p w14:paraId="3AB5691D">
      <w:pPr>
        <w:overflowPunct w:val="0"/>
        <w:adjustRightInd w:val="0"/>
        <w:spacing w:line="420" w:lineRule="exact"/>
        <w:ind w:firstLine="440" w:firstLineChars="200"/>
        <w:rPr>
          <w:rFonts w:ascii="新宋体" w:hAnsi="新宋体" w:eastAsia="新宋体"/>
          <w:szCs w:val="21"/>
        </w:rPr>
      </w:pPr>
      <w:r>
        <w:rPr>
          <w:rFonts w:hint="eastAsia" w:ascii="新宋体" w:hAnsi="新宋体" w:eastAsia="新宋体"/>
          <w:szCs w:val="21"/>
        </w:rPr>
        <w:t>（二）遇有重大活动或突发事件，中标供应商必须服从</w:t>
      </w:r>
      <w:r>
        <w:rPr>
          <w:rFonts w:hint="eastAsia" w:ascii="Arial" w:hAnsi="Arial"/>
          <w:szCs w:val="21"/>
        </w:rPr>
        <w:t>采购人</w:t>
      </w:r>
      <w:r>
        <w:rPr>
          <w:rFonts w:hint="eastAsia" w:ascii="新宋体" w:hAnsi="新宋体" w:eastAsia="新宋体"/>
          <w:szCs w:val="21"/>
        </w:rPr>
        <w:t>统一指挥，必要时增加调度确保做好</w:t>
      </w:r>
      <w:r>
        <w:rPr>
          <w:rFonts w:hint="eastAsia" w:ascii="新宋体" w:hAnsi="新宋体" w:eastAsia="新宋体"/>
          <w:szCs w:val="21"/>
          <w:lang w:val="en-US" w:eastAsia="zh-CN"/>
        </w:rPr>
        <w:t>环境卫生</w:t>
      </w:r>
      <w:r>
        <w:rPr>
          <w:rFonts w:hint="eastAsia" w:ascii="新宋体" w:hAnsi="新宋体" w:eastAsia="新宋体"/>
          <w:szCs w:val="21"/>
        </w:rPr>
        <w:t>保洁保障工作。</w:t>
      </w:r>
    </w:p>
    <w:p w14:paraId="1CF267BF">
      <w:pPr>
        <w:overflowPunct w:val="0"/>
        <w:spacing w:line="420" w:lineRule="exact"/>
        <w:ind w:left="114" w:leftChars="52" w:firstLine="330" w:firstLineChars="150"/>
        <w:rPr>
          <w:rFonts w:ascii="新宋体" w:hAnsi="新宋体" w:eastAsia="新宋体"/>
          <w:szCs w:val="21"/>
        </w:rPr>
      </w:pPr>
      <w:r>
        <w:rPr>
          <w:rFonts w:hint="eastAsia" w:ascii="新宋体" w:hAnsi="新宋体" w:eastAsia="新宋体"/>
          <w:szCs w:val="21"/>
        </w:rPr>
        <w:t>（三）遇有不可抗力因素，中标供应商应无条件配合业主做好保洁工作。</w:t>
      </w:r>
    </w:p>
    <w:p w14:paraId="5ED14845">
      <w:pPr>
        <w:overflowPunct w:val="0"/>
        <w:snapToGrid w:val="0"/>
        <w:spacing w:line="420" w:lineRule="exact"/>
        <w:ind w:firstLine="440" w:firstLineChars="200"/>
        <w:rPr>
          <w:rFonts w:ascii="新宋体" w:hAnsi="新宋体" w:eastAsia="新宋体"/>
          <w:szCs w:val="21"/>
        </w:rPr>
      </w:pPr>
      <w:r>
        <w:rPr>
          <w:rFonts w:hint="eastAsia" w:ascii="新宋体" w:hAnsi="新宋体" w:eastAsia="新宋体"/>
          <w:szCs w:val="21"/>
        </w:rPr>
        <w:t>（四）供应商要让环卫工人遵守中转站倒垃圾秩序，当垃圾中转站、焚烧厂出现故障等突发事件导致排队倒垃圾现象时，供应商要及时做好环卫工人的情绪疏导，严禁出现乱倒垃圾的情形。</w:t>
      </w:r>
    </w:p>
    <w:p w14:paraId="47146A92">
      <w:pPr>
        <w:overflowPunct w:val="0"/>
        <w:spacing w:line="420" w:lineRule="exact"/>
        <w:ind w:firstLine="440" w:firstLineChars="200"/>
      </w:pPr>
      <w:r>
        <w:rPr>
          <w:rFonts w:hint="eastAsia" w:ascii="新宋体" w:hAnsi="新宋体" w:eastAsia="新宋体"/>
          <w:szCs w:val="21"/>
        </w:rPr>
        <w:t>（五）</w:t>
      </w:r>
      <w:r>
        <w:rPr>
          <w:rFonts w:hint="eastAsia"/>
        </w:rPr>
        <w:t>中标供应商要确保本项目相关服务人员居住地点安全、整洁、不堆放垃圾，每月进行不少于1次自检并做好台账记录备查。</w:t>
      </w:r>
    </w:p>
    <w:p w14:paraId="41C6C835">
      <w:pPr>
        <w:overflowPunct w:val="0"/>
        <w:spacing w:line="420" w:lineRule="exact"/>
        <w:ind w:firstLine="440" w:firstLineChars="200"/>
      </w:pPr>
      <w:r>
        <w:rPr>
          <w:rFonts w:hint="eastAsia"/>
        </w:rPr>
        <w:t>（六）中标后的供应商应派1人参加采购人组织的卫生巡查、检查工作，交通工具及产生费用由供应商负责提供。</w:t>
      </w:r>
    </w:p>
    <w:p w14:paraId="17FC09C7">
      <w:pPr>
        <w:overflowPunct w:val="0"/>
        <w:snapToGrid w:val="0"/>
        <w:spacing w:line="420" w:lineRule="exact"/>
        <w:ind w:firstLine="440" w:firstLineChars="200"/>
        <w:rPr>
          <w:rFonts w:ascii="宋体" w:hAnsi="宋体"/>
          <w:bCs/>
          <w:szCs w:val="22"/>
        </w:rPr>
      </w:pPr>
      <w:r>
        <w:rPr>
          <w:rFonts w:hint="eastAsia" w:ascii="新宋体" w:hAnsi="新宋体" w:eastAsia="新宋体"/>
          <w:szCs w:val="21"/>
        </w:rPr>
        <w:t>（七）</w:t>
      </w:r>
      <w:r>
        <w:rPr>
          <w:rFonts w:hint="eastAsia" w:ascii="新宋体" w:hAnsi="新宋体" w:eastAsia="新宋体"/>
          <w:b/>
          <w:szCs w:val="21"/>
        </w:rPr>
        <w:t>本项目所涉及区域的清扫保洁标准，中标供应商必须无条件按采购人具体要求执行。</w:t>
      </w:r>
    </w:p>
    <w:p w14:paraId="08BACF3B">
      <w:pPr>
        <w:overflowPunct w:val="0"/>
        <w:spacing w:line="420" w:lineRule="exact"/>
        <w:ind w:firstLine="440" w:firstLineChars="200"/>
        <w:rPr>
          <w:rFonts w:ascii="新宋体" w:hAnsi="新宋体" w:eastAsia="新宋体"/>
          <w:szCs w:val="21"/>
        </w:rPr>
      </w:pPr>
      <w:r>
        <w:rPr>
          <w:rFonts w:hint="eastAsia" w:ascii="新宋体" w:hAnsi="新宋体" w:eastAsia="新宋体"/>
          <w:szCs w:val="21"/>
        </w:rPr>
        <w:t>（</w:t>
      </w:r>
      <w:r>
        <w:rPr>
          <w:rFonts w:hint="eastAsia" w:ascii="新宋体" w:hAnsi="新宋体" w:eastAsia="新宋体"/>
          <w:szCs w:val="21"/>
          <w:lang w:val="en-US" w:eastAsia="zh-CN"/>
        </w:rPr>
        <w:t>八</w:t>
      </w:r>
      <w:r>
        <w:rPr>
          <w:rFonts w:hint="eastAsia" w:ascii="新宋体" w:hAnsi="新宋体" w:eastAsia="新宋体"/>
          <w:szCs w:val="21"/>
        </w:rPr>
        <w:t>）台账内部管理</w:t>
      </w:r>
    </w:p>
    <w:p w14:paraId="4ACABBB7">
      <w:pPr>
        <w:overflowPunct w:val="0"/>
        <w:spacing w:line="420" w:lineRule="exact"/>
        <w:ind w:firstLine="550" w:firstLineChars="250"/>
        <w:rPr>
          <w:rFonts w:ascii="新宋体" w:hAnsi="新宋体" w:eastAsia="新宋体"/>
          <w:szCs w:val="21"/>
        </w:rPr>
      </w:pPr>
      <w:r>
        <w:rPr>
          <w:rFonts w:hint="eastAsia" w:ascii="新宋体" w:hAnsi="新宋体" w:eastAsia="新宋体"/>
          <w:szCs w:val="21"/>
        </w:rPr>
        <w:t xml:space="preserve">1、机械操作人员要实时做好出车（船）台账，要做到准确无误，真实有效；  </w:t>
      </w:r>
    </w:p>
    <w:p w14:paraId="5CD173EE">
      <w:pPr>
        <w:overflowPunct w:val="0"/>
        <w:spacing w:line="420" w:lineRule="exact"/>
        <w:ind w:firstLine="550" w:firstLineChars="25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、中标供应商要建立各项规章制度、内部岗位责任制度、内部考核机制，完善的管理制度。</w:t>
      </w:r>
    </w:p>
    <w:p w14:paraId="04DBA974">
      <w:pPr>
        <w:autoSpaceDE w:val="0"/>
        <w:autoSpaceDN w:val="0"/>
        <w:adjustRightInd w:val="0"/>
        <w:spacing w:line="420" w:lineRule="exact"/>
        <w:ind w:firstLine="440" w:firstLineChars="200"/>
        <w:jc w:val="left"/>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、中标供应商要完备的相关台账资料的登记、管理制度，制作的各类台账要规范、真实、清晰、准确。</w:t>
      </w:r>
    </w:p>
    <w:p w14:paraId="7AB44E92">
      <w:pPr>
        <w:overflowPunct w:val="0"/>
        <w:spacing w:line="420" w:lineRule="exact"/>
        <w:ind w:firstLine="433" w:firstLineChars="196"/>
        <w:outlineLvl w:val="1"/>
        <w:rPr>
          <w:rFonts w:ascii="宋体"/>
          <w:b/>
          <w:szCs w:val="21"/>
        </w:rPr>
      </w:pPr>
      <w:bookmarkStart w:id="146" w:name="_Toc15084"/>
      <w:bookmarkStart w:id="147" w:name="_Toc64913349"/>
      <w:bookmarkStart w:id="148" w:name="_Toc64901765"/>
      <w:r>
        <w:rPr>
          <w:rFonts w:hint="eastAsia" w:ascii="宋体"/>
          <w:b/>
          <w:szCs w:val="21"/>
        </w:rPr>
        <w:t>八、保洁安全作业要求</w:t>
      </w:r>
      <w:bookmarkEnd w:id="146"/>
      <w:bookmarkEnd w:id="147"/>
      <w:bookmarkEnd w:id="148"/>
    </w:p>
    <w:p w14:paraId="39601B2C">
      <w:pPr>
        <w:overflowPunct w:val="0"/>
        <w:adjustRightInd w:val="0"/>
        <w:spacing w:line="420" w:lineRule="exact"/>
        <w:ind w:firstLine="442" w:firstLineChars="200"/>
        <w:textAlignment w:val="bottom"/>
        <w:outlineLvl w:val="2"/>
        <w:rPr>
          <w:rFonts w:ascii="新宋体" w:hAnsi="新宋体" w:eastAsia="新宋体"/>
          <w:b/>
          <w:szCs w:val="21"/>
        </w:rPr>
      </w:pPr>
      <w:bookmarkStart w:id="149" w:name="_Toc64901766"/>
      <w:bookmarkStart w:id="150" w:name="_Toc64913350"/>
      <w:bookmarkStart w:id="151" w:name="_Toc31598"/>
      <w:bookmarkStart w:id="152" w:name="_Toc2590"/>
      <w:r>
        <w:rPr>
          <w:rFonts w:hint="eastAsia" w:ascii="新宋体" w:hAnsi="新宋体" w:eastAsia="新宋体"/>
          <w:b/>
          <w:szCs w:val="21"/>
        </w:rPr>
        <w:t>（一）</w:t>
      </w:r>
      <w:r>
        <w:rPr>
          <w:rFonts w:ascii="新宋体" w:hAnsi="新宋体" w:eastAsia="新宋体"/>
          <w:b/>
          <w:szCs w:val="21"/>
        </w:rPr>
        <w:t>总体要求</w:t>
      </w:r>
      <w:bookmarkEnd w:id="149"/>
      <w:bookmarkEnd w:id="150"/>
      <w:bookmarkEnd w:id="151"/>
      <w:bookmarkEnd w:id="152"/>
    </w:p>
    <w:p w14:paraId="00B611FE">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在台风、雷暴雨、洪水、大雾、寒潮、高温等灾害性气候条件下，应按照气象部门发布的预警时间，暂停</w:t>
      </w:r>
      <w:r>
        <w:rPr>
          <w:rFonts w:hint="eastAsia" w:ascii="新宋体" w:hAnsi="新宋体" w:eastAsia="新宋体"/>
          <w:szCs w:val="21"/>
        </w:rPr>
        <w:t>日常保洁</w:t>
      </w:r>
      <w:r>
        <w:rPr>
          <w:rFonts w:ascii="新宋体" w:hAnsi="新宋体" w:eastAsia="新宋体"/>
          <w:szCs w:val="21"/>
        </w:rPr>
        <w:t>相关作业</w:t>
      </w:r>
      <w:r>
        <w:rPr>
          <w:rFonts w:hint="eastAsia" w:ascii="新宋体" w:hAnsi="新宋体" w:eastAsia="新宋体"/>
          <w:szCs w:val="21"/>
        </w:rPr>
        <w:t>，启动应急预案，保证安全前提下进行应急作业</w:t>
      </w:r>
      <w:r>
        <w:rPr>
          <w:rFonts w:ascii="新宋体" w:hAnsi="新宋体" w:eastAsia="新宋体"/>
          <w:szCs w:val="21"/>
        </w:rPr>
        <w:t>。雾霾天（水平能见度在一公里以下）保洁人员应暂停上路作业，雾散后及时上路作业。</w:t>
      </w:r>
    </w:p>
    <w:p w14:paraId="6A097D2A">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作业过程中出现突发情况或发现疑似危险物品，应及时向有关部门报告，待相关人员到现场后，配合清场、协助处理。</w:t>
      </w:r>
    </w:p>
    <w:p w14:paraId="1BE90D4C">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3、中标供应商每月不少于1次组织相关主管部门专业人员对本项目所有员工进行安全生产和作业技能规范培训，并做好台账记录备查。</w:t>
      </w:r>
    </w:p>
    <w:p w14:paraId="4642D47F">
      <w:pPr>
        <w:overflowPunct w:val="0"/>
        <w:adjustRightInd w:val="0"/>
        <w:spacing w:line="420" w:lineRule="exact"/>
        <w:ind w:firstLine="442" w:firstLineChars="200"/>
        <w:textAlignment w:val="bottom"/>
        <w:outlineLvl w:val="2"/>
        <w:rPr>
          <w:rFonts w:ascii="新宋体" w:hAnsi="新宋体" w:eastAsia="新宋体"/>
          <w:b/>
          <w:szCs w:val="21"/>
        </w:rPr>
      </w:pPr>
      <w:bookmarkStart w:id="153" w:name="_Toc22587"/>
      <w:bookmarkStart w:id="154" w:name="_Toc64901767"/>
      <w:bookmarkStart w:id="155" w:name="_Toc8314"/>
      <w:bookmarkStart w:id="156" w:name="_Toc64913351"/>
      <w:r>
        <w:rPr>
          <w:rFonts w:hint="eastAsia" w:ascii="新宋体" w:hAnsi="新宋体" w:eastAsia="新宋体"/>
          <w:b/>
          <w:szCs w:val="21"/>
        </w:rPr>
        <w:t>（二）</w:t>
      </w:r>
      <w:r>
        <w:rPr>
          <w:rFonts w:ascii="新宋体" w:hAnsi="新宋体" w:eastAsia="新宋体"/>
          <w:b/>
          <w:szCs w:val="21"/>
        </w:rPr>
        <w:t>人员服装要求</w:t>
      </w:r>
      <w:bookmarkEnd w:id="153"/>
      <w:bookmarkEnd w:id="154"/>
      <w:bookmarkEnd w:id="155"/>
      <w:bookmarkEnd w:id="156"/>
    </w:p>
    <w:p w14:paraId="7AA209F5">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作业人员在道路上进行流动作业时，应当穿着安全服。安全服当具备反光或部分反光性能，安全服反光部分最小宽度不应小于5cm。</w:t>
      </w:r>
    </w:p>
    <w:p w14:paraId="4834CC34">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水域保洁人员应穿救生衣等防护用品。</w:t>
      </w:r>
    </w:p>
    <w:p w14:paraId="578012E4">
      <w:pPr>
        <w:overflowPunct w:val="0"/>
        <w:adjustRightInd w:val="0"/>
        <w:spacing w:line="420" w:lineRule="exact"/>
        <w:ind w:firstLine="442" w:firstLineChars="200"/>
        <w:textAlignment w:val="bottom"/>
        <w:outlineLvl w:val="2"/>
        <w:rPr>
          <w:rFonts w:ascii="新宋体" w:hAnsi="新宋体" w:eastAsia="新宋体"/>
          <w:b/>
          <w:szCs w:val="21"/>
        </w:rPr>
      </w:pPr>
      <w:bookmarkStart w:id="157" w:name="_Toc3290"/>
      <w:bookmarkStart w:id="158" w:name="_Toc64901768"/>
      <w:bookmarkStart w:id="159" w:name="_Toc64913352"/>
      <w:bookmarkStart w:id="160" w:name="_Toc20686"/>
      <w:r>
        <w:rPr>
          <w:rFonts w:hint="eastAsia" w:ascii="新宋体" w:hAnsi="新宋体" w:eastAsia="新宋体"/>
          <w:b/>
          <w:szCs w:val="21"/>
        </w:rPr>
        <w:t>（三）</w:t>
      </w:r>
      <w:r>
        <w:rPr>
          <w:rFonts w:ascii="新宋体" w:hAnsi="新宋体" w:eastAsia="新宋体"/>
          <w:b/>
          <w:szCs w:val="21"/>
        </w:rPr>
        <w:t>机械安全操作要求</w:t>
      </w:r>
      <w:bookmarkEnd w:id="157"/>
      <w:bookmarkEnd w:id="158"/>
      <w:bookmarkEnd w:id="159"/>
      <w:bookmarkEnd w:id="160"/>
    </w:p>
    <w:p w14:paraId="000BC49D">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机械作业人员应了解各机具的性能、功效、使用方法、注意事项，熟悉操作方法；正确、安全操作。</w:t>
      </w:r>
    </w:p>
    <w:p w14:paraId="5B4A4947">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作业设备应专人使用，并定期检修、保养。作业设备的运转部件应设有安全防护罩和安全警示标志。</w:t>
      </w:r>
    </w:p>
    <w:p w14:paraId="4639A36C">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在机械保洁作业过程中应控制速度，观察作业面情况无异常方可作业。</w:t>
      </w:r>
    </w:p>
    <w:p w14:paraId="60DC43EA">
      <w:pPr>
        <w:overflowPunct w:val="0"/>
        <w:adjustRightInd w:val="0"/>
        <w:spacing w:line="420" w:lineRule="exact"/>
        <w:ind w:firstLine="442" w:firstLineChars="200"/>
        <w:textAlignment w:val="bottom"/>
        <w:outlineLvl w:val="2"/>
        <w:rPr>
          <w:rFonts w:ascii="新宋体" w:hAnsi="新宋体" w:eastAsia="新宋体"/>
          <w:b/>
          <w:szCs w:val="21"/>
        </w:rPr>
      </w:pPr>
      <w:bookmarkStart w:id="161" w:name="_Toc64913353"/>
      <w:bookmarkStart w:id="162" w:name="_Toc29835"/>
      <w:bookmarkStart w:id="163" w:name="_Toc64901769"/>
      <w:bookmarkStart w:id="164" w:name="_Toc15443"/>
      <w:r>
        <w:rPr>
          <w:rFonts w:hint="eastAsia" w:ascii="新宋体" w:hAnsi="新宋体" w:eastAsia="新宋体"/>
          <w:b/>
          <w:szCs w:val="21"/>
        </w:rPr>
        <w:t>（四）</w:t>
      </w:r>
      <w:r>
        <w:rPr>
          <w:rFonts w:ascii="新宋体" w:hAnsi="新宋体" w:eastAsia="新宋体"/>
          <w:b/>
          <w:szCs w:val="21"/>
        </w:rPr>
        <w:t>道路、公路作业安全要求</w:t>
      </w:r>
      <w:bookmarkEnd w:id="161"/>
      <w:bookmarkEnd w:id="162"/>
      <w:bookmarkEnd w:id="163"/>
      <w:bookmarkEnd w:id="164"/>
    </w:p>
    <w:p w14:paraId="3BEEE3B6">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把安全桩放置在过往车辆行驶方向前方20米以外，作为防护提示设施，随走随设。</w:t>
      </w:r>
    </w:p>
    <w:p w14:paraId="0141802E">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用于道路作业的工具、材料应放置在作业区内或其他不影响正常交通的场所。</w:t>
      </w:r>
    </w:p>
    <w:p w14:paraId="4819B89B">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在道路上进行定点作业，白天应设置锥形交通路标或路栏，夜间设置锥形交通路标或路栏及道路作业警示灯。</w:t>
      </w:r>
    </w:p>
    <w:p w14:paraId="5B333749">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恶劣天气下作业时，应穿好带安全反光的雨衣（裤），遇雷雨不可站于树下或金属导体附近躲雨。</w:t>
      </w:r>
    </w:p>
    <w:p w14:paraId="1E3D2322">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5、</w:t>
      </w:r>
      <w:r>
        <w:rPr>
          <w:rFonts w:ascii="新宋体" w:hAnsi="新宋体" w:eastAsia="新宋体"/>
          <w:szCs w:val="21"/>
        </w:rPr>
        <w:t>夏季中午前后高温时段应增加道路机械清扫和冲洗频次，减少或暂时停止人员户外作业。</w:t>
      </w:r>
    </w:p>
    <w:p w14:paraId="099A9711">
      <w:pPr>
        <w:overflowPunct w:val="0"/>
        <w:adjustRightInd w:val="0"/>
        <w:spacing w:line="420" w:lineRule="exact"/>
        <w:ind w:firstLine="442" w:firstLineChars="200"/>
        <w:textAlignment w:val="bottom"/>
        <w:rPr>
          <w:rFonts w:ascii="新宋体" w:hAnsi="新宋体" w:eastAsia="新宋体"/>
          <w:szCs w:val="21"/>
        </w:rPr>
      </w:pPr>
      <w:r>
        <w:rPr>
          <w:rFonts w:hint="eastAsia" w:ascii="新宋体" w:hAnsi="新宋体" w:eastAsia="新宋体"/>
          <w:b/>
          <w:szCs w:val="21"/>
        </w:rPr>
        <w:t>（五）</w:t>
      </w:r>
      <w:r>
        <w:rPr>
          <w:rFonts w:ascii="新宋体" w:hAnsi="新宋体" w:eastAsia="新宋体"/>
          <w:b/>
          <w:szCs w:val="21"/>
        </w:rPr>
        <w:t>违章小广告清理的安全要求</w:t>
      </w:r>
    </w:p>
    <w:p w14:paraId="277B8479">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清理高处的小广告前，应检查所用的机械或折梯的各个部件。</w:t>
      </w:r>
    </w:p>
    <w:p w14:paraId="61CEA078">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上梯操作应系好安全带、安全绳，穿胶底鞋，不穿带“钉”鞋；铲刀应栓绳套，套在手腕上，防止掉下砸伤人。</w:t>
      </w:r>
    </w:p>
    <w:p w14:paraId="4A10E268">
      <w:pPr>
        <w:overflowPunct w:val="0"/>
        <w:adjustRightInd w:val="0"/>
        <w:spacing w:line="420" w:lineRule="exact"/>
        <w:ind w:firstLine="442" w:firstLineChars="200"/>
        <w:textAlignment w:val="bottom"/>
        <w:outlineLvl w:val="2"/>
        <w:rPr>
          <w:rFonts w:ascii="新宋体" w:hAnsi="新宋体" w:eastAsia="新宋体"/>
          <w:b/>
          <w:szCs w:val="21"/>
        </w:rPr>
      </w:pPr>
      <w:bookmarkStart w:id="165" w:name="_Toc13480"/>
      <w:bookmarkStart w:id="166" w:name="_Toc64913355"/>
      <w:bookmarkStart w:id="167" w:name="_Toc64901771"/>
      <w:bookmarkStart w:id="168" w:name="_Toc20335"/>
      <w:r>
        <w:rPr>
          <w:rFonts w:hint="eastAsia" w:ascii="新宋体" w:hAnsi="新宋体" w:eastAsia="新宋体"/>
          <w:b/>
          <w:szCs w:val="21"/>
        </w:rPr>
        <w:t>（六）突发公共卫生事件安全防治</w:t>
      </w:r>
      <w:r>
        <w:rPr>
          <w:rFonts w:ascii="新宋体" w:hAnsi="新宋体" w:eastAsia="新宋体"/>
          <w:b/>
          <w:szCs w:val="21"/>
        </w:rPr>
        <w:t>要求</w:t>
      </w:r>
      <w:bookmarkEnd w:id="165"/>
      <w:bookmarkEnd w:id="166"/>
      <w:bookmarkEnd w:id="167"/>
      <w:bookmarkEnd w:id="168"/>
    </w:p>
    <w:p w14:paraId="32202FCA">
      <w:pPr>
        <w:overflowPunct w:val="0"/>
        <w:adjustRightInd w:val="0"/>
        <w:spacing w:line="420" w:lineRule="exact"/>
        <w:ind w:firstLine="440" w:firstLineChars="200"/>
        <w:textAlignment w:val="bottom"/>
        <w:rPr>
          <w:rFonts w:hint="eastAsia" w:ascii="新宋体" w:hAnsi="新宋体" w:eastAsia="新宋体"/>
          <w:szCs w:val="21"/>
          <w:lang w:eastAsia="zh-CN"/>
        </w:rPr>
      </w:pPr>
      <w:r>
        <w:rPr>
          <w:rFonts w:hint="eastAsia" w:ascii="新宋体" w:hAnsi="新宋体" w:eastAsia="新宋体"/>
          <w:szCs w:val="21"/>
        </w:rPr>
        <w:t>1、发生突发公共卫生事件期间，市容环境卫生行政主管部门应当组织环境卫生专业服务单位，按照应急预案的要求做好垃圾、粪便的清运、处置</w:t>
      </w:r>
      <w:r>
        <w:rPr>
          <w:rFonts w:hint="eastAsia" w:ascii="新宋体" w:hAnsi="新宋体" w:eastAsia="新宋体"/>
          <w:szCs w:val="21"/>
          <w:lang w:eastAsia="zh-CN"/>
        </w:rPr>
        <w:t>。</w:t>
      </w:r>
    </w:p>
    <w:p w14:paraId="5FB18DCC">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2、中标供应商准备足量的</w:t>
      </w:r>
      <w:r>
        <w:rPr>
          <w:rFonts w:hint="eastAsia" w:ascii="新宋体" w:hAnsi="新宋体" w:eastAsia="新宋体"/>
          <w:b/>
          <w:szCs w:val="21"/>
        </w:rPr>
        <w:t>突发公共卫生事件</w:t>
      </w:r>
      <w:r>
        <w:rPr>
          <w:rFonts w:hint="eastAsia" w:ascii="新宋体" w:hAnsi="新宋体" w:eastAsia="新宋体"/>
          <w:szCs w:val="21"/>
        </w:rPr>
        <w:t>防护物品，向一线环卫工人提供口罩、手套、防护服等防护用品，监督每位工人穿戴好防护装备方可上岗。</w:t>
      </w:r>
    </w:p>
    <w:p w14:paraId="00FE5E47">
      <w:pPr>
        <w:overflowPunct w:val="0"/>
        <w:adjustRightInd w:val="0"/>
        <w:spacing w:line="420" w:lineRule="exact"/>
        <w:ind w:firstLine="440" w:firstLineChars="200"/>
        <w:textAlignment w:val="bottom"/>
        <w:rPr>
          <w:rFonts w:ascii="新宋体" w:hAnsi="新宋体" w:eastAsia="新宋体"/>
          <w:szCs w:val="21"/>
        </w:rPr>
      </w:pPr>
      <w:r>
        <w:rPr>
          <w:rFonts w:hint="eastAsia" w:ascii="新宋体" w:hAnsi="新宋体" w:eastAsia="新宋体"/>
          <w:szCs w:val="21"/>
        </w:rPr>
        <w:t>3、购买检测设备，如电子体温计、检测试纸等，每日分时段监测一线环卫工人的健康状况，在中转站或环卫宿舍设置检测点，并记录每位工人的健康状况，如发现工人身体不适应马上就近就医治疗。</w:t>
      </w:r>
    </w:p>
    <w:p w14:paraId="26F305E7">
      <w:pPr>
        <w:autoSpaceDE w:val="0"/>
        <w:autoSpaceDN w:val="0"/>
        <w:adjustRightInd w:val="0"/>
        <w:spacing w:line="420" w:lineRule="exact"/>
        <w:ind w:firstLine="440" w:firstLineChars="200"/>
        <w:jc w:val="left"/>
        <w:rPr>
          <w:rFonts w:ascii="新宋体" w:hAnsi="新宋体" w:eastAsia="新宋体"/>
          <w:szCs w:val="21"/>
        </w:rPr>
      </w:pPr>
      <w:r>
        <w:rPr>
          <w:rFonts w:hint="eastAsia" w:ascii="新宋体" w:hAnsi="新宋体" w:eastAsia="新宋体"/>
          <w:szCs w:val="21"/>
        </w:rPr>
        <w:t>4、每日安排对保洁车辆、清运车辆、垃圾收集容器进行冲洗和消毒。对环卫工人宿舍、</w:t>
      </w:r>
      <w:r>
        <w:rPr>
          <w:rFonts w:hint="eastAsia" w:ascii="新宋体" w:hAnsi="新宋体" w:eastAsia="新宋体"/>
          <w:szCs w:val="21"/>
          <w:lang w:val="en-US" w:eastAsia="zh-CN"/>
        </w:rPr>
        <w:t>保洁区域范围内的</w:t>
      </w:r>
      <w:r>
        <w:rPr>
          <w:rFonts w:hint="eastAsia" w:ascii="新宋体" w:hAnsi="新宋体" w:eastAsia="新宋体"/>
          <w:szCs w:val="21"/>
        </w:rPr>
        <w:t>公厕、中转站等场所进行消毒。</w:t>
      </w:r>
    </w:p>
    <w:p w14:paraId="42D6D8AC">
      <w:pPr>
        <w:spacing w:line="420" w:lineRule="exact"/>
        <w:rPr>
          <w:rFonts w:ascii="宋体" w:hAnsi="宋体" w:cs="宋体"/>
          <w:b/>
          <w:bCs/>
          <w:szCs w:val="22"/>
        </w:rPr>
      </w:pPr>
      <w:r>
        <w:rPr>
          <w:rFonts w:hint="eastAsia" w:ascii="宋体" w:hAnsi="宋体" w:cs="宋体"/>
          <w:b/>
          <w:bCs/>
          <w:szCs w:val="22"/>
        </w:rPr>
        <w:t xml:space="preserve">    九、公司内部管理规范要求</w:t>
      </w:r>
    </w:p>
    <w:p w14:paraId="54F72B99">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规范作业人员岗位职责管理，与作业人员签订岗位职责承诺书，严格按照采购人要求制作作业人员花名册，标明人员姓名、岗位、负责区域、工作时段、社保缴纳、人身意外险等信息，花名册彩色刊印提交采购人考核时核对，各岗位人员调整时，须在当天上报，以便采购人督查。 </w:t>
      </w:r>
    </w:p>
    <w:p w14:paraId="291267D4">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 </w:t>
      </w:r>
    </w:p>
    <w:p w14:paraId="296183CF">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3、加强内部作业管理，合同期内中标单位应加强作业管理，加强安全作业控制，项目管理人员应跟班作业，加强保洁巡视，做好巡视记录，每天检查员工清扫保洁及垃圾清运的时间、任务量等日常工作。 </w:t>
      </w:r>
    </w:p>
    <w:p w14:paraId="112481F0">
      <w:pPr>
        <w:autoSpaceDE w:val="0"/>
        <w:autoSpaceDN w:val="0"/>
        <w:adjustRightInd w:val="0"/>
        <w:spacing w:line="420" w:lineRule="exact"/>
        <w:ind w:firstLine="440" w:firstLineChars="200"/>
        <w:jc w:val="left"/>
        <w:rPr>
          <w:rFonts w:ascii="宋体" w:hAnsi="宋体"/>
          <w:szCs w:val="22"/>
        </w:rPr>
      </w:pPr>
      <w:r>
        <w:rPr>
          <w:rFonts w:ascii="宋体" w:hAnsi="宋体"/>
          <w:szCs w:val="22"/>
        </w:rPr>
        <w:t>4、建立并规范作业台账，按规定建立规范、详细的养护作业台帐，做好养护工作量日报、月报及年报，按时上报各类报表并协助调查、解决来电来信来访等问题。</w:t>
      </w:r>
    </w:p>
    <w:p w14:paraId="7652E5C5">
      <w:pPr>
        <w:autoSpaceDE w:val="0"/>
        <w:autoSpaceDN w:val="0"/>
        <w:adjustRightInd w:val="0"/>
        <w:spacing w:line="420" w:lineRule="exact"/>
        <w:ind w:firstLine="440" w:firstLineChars="200"/>
        <w:jc w:val="left"/>
        <w:rPr>
          <w:rFonts w:ascii="宋体" w:hAnsi="宋体"/>
          <w:szCs w:val="22"/>
        </w:rPr>
      </w:pPr>
      <w:r>
        <w:rPr>
          <w:rFonts w:ascii="宋体" w:hAnsi="宋体"/>
          <w:szCs w:val="22"/>
        </w:rPr>
        <w:t>5、本次项目所需的作业人员均由中标单位自行招聘，优化作业人员年龄结构。</w:t>
      </w:r>
    </w:p>
    <w:p w14:paraId="12378CA3">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14:paraId="114DF833">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7、加强作业车辆管理，中标单位应加强作业车辆的日常管理，确保专车专用，遵守交通规则，文明行驶，安全行驶。 </w:t>
      </w:r>
    </w:p>
    <w:p w14:paraId="0F02B44F">
      <w:pPr>
        <w:autoSpaceDE w:val="0"/>
        <w:autoSpaceDN w:val="0"/>
        <w:adjustRightInd w:val="0"/>
        <w:spacing w:line="420" w:lineRule="exact"/>
        <w:ind w:firstLine="440" w:firstLineChars="200"/>
        <w:jc w:val="left"/>
        <w:rPr>
          <w:rFonts w:ascii="宋体" w:hAnsi="宋体" w:cs="宋体"/>
          <w:b/>
          <w:bCs/>
          <w:szCs w:val="22"/>
        </w:rPr>
      </w:pPr>
      <w:r>
        <w:rPr>
          <w:rFonts w:hint="eastAsia" w:ascii="宋体" w:hAnsi="宋体"/>
          <w:szCs w:val="22"/>
        </w:rPr>
        <w:t>8</w:t>
      </w:r>
      <w:r>
        <w:rPr>
          <w:rFonts w:ascii="宋体" w:hAnsi="宋体"/>
          <w:szCs w:val="22"/>
        </w:rPr>
        <w:t xml:space="preserve">、管理团队人员每日在岗，做好在岗签到和工作记录。 </w:t>
      </w:r>
    </w:p>
    <w:p w14:paraId="2C9CA383">
      <w:pPr>
        <w:pStyle w:val="52"/>
        <w:spacing w:line="420" w:lineRule="exact"/>
        <w:rPr>
          <w:rFonts w:ascii="宋体" w:hAnsi="宋体"/>
          <w:szCs w:val="22"/>
        </w:rPr>
      </w:pPr>
      <w:r>
        <w:rPr>
          <w:rFonts w:hint="eastAsia" w:ascii="宋体" w:hAnsi="宋体" w:cs="宋体"/>
          <w:b/>
          <w:bCs/>
          <w:szCs w:val="22"/>
        </w:rPr>
        <w:t>十、</w:t>
      </w:r>
      <w:r>
        <w:rPr>
          <w:rFonts w:ascii="宋体" w:hAnsi="宋体" w:cs="宋体"/>
          <w:b/>
          <w:kern w:val="0"/>
          <w:sz w:val="22"/>
          <w:szCs w:val="22"/>
        </w:rPr>
        <w:t>保障环卫作业人员合法权益</w:t>
      </w:r>
      <w:r>
        <w:rPr>
          <w:rFonts w:hint="eastAsia" w:ascii="宋体" w:hAnsi="宋体" w:cs="宋体"/>
          <w:b/>
          <w:kern w:val="0"/>
          <w:sz w:val="22"/>
          <w:szCs w:val="22"/>
          <w:lang w:val="en-US" w:eastAsia="zh-CN"/>
        </w:rPr>
        <w:t>及</w:t>
      </w:r>
      <w:r>
        <w:rPr>
          <w:rFonts w:ascii="宋体" w:hAnsi="宋体" w:cs="宋体"/>
          <w:b/>
          <w:kern w:val="0"/>
          <w:sz w:val="22"/>
          <w:szCs w:val="22"/>
        </w:rPr>
        <w:t>相关要求</w:t>
      </w:r>
    </w:p>
    <w:p w14:paraId="3C1444C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lang w:val="en-US" w:eastAsia="zh-CN"/>
        </w:rPr>
        <w:t>1、</w:t>
      </w:r>
      <w:r>
        <w:rPr>
          <w:rFonts w:ascii="宋体" w:hAnsi="宋体"/>
          <w:szCs w:val="22"/>
        </w:rPr>
        <w:t>依据《中华人民共和国劳动法》、《浙江省人民政府办公厅关于进一步改善环卫工人工作生活条件促进环卫事业持续健康发展的若干意见》（浙政办发〔2009〕190号）、《浙江省劳动和社会保障厅、</w:t>
      </w:r>
      <w:r>
        <w:rPr>
          <w:rFonts w:hint="eastAsia" w:ascii="宋体" w:hAnsi="宋体"/>
          <w:szCs w:val="22"/>
        </w:rPr>
        <w:t>《浙江省人力资源和社会保障厅关于调整企业夏季高温津贴标准有关问题的通知》（浙人社发〔2018〕65号）</w:t>
      </w:r>
      <w:r>
        <w:rPr>
          <w:rFonts w:ascii="宋体" w:hAnsi="宋体"/>
          <w:szCs w:val="22"/>
        </w:rPr>
        <w:t>、</w:t>
      </w:r>
      <w:r>
        <w:rPr>
          <w:rFonts w:hint="eastAsia" w:ascii="宋体" w:hAnsi="宋体"/>
          <w:szCs w:val="22"/>
        </w:rPr>
        <w:t>浙政发【2024】3号 浙江省人民政府关于调整全省最低工资标准的通知、</w:t>
      </w:r>
      <w:r>
        <w:rPr>
          <w:rFonts w:ascii="宋体" w:hAnsi="宋体"/>
          <w:szCs w:val="22"/>
        </w:rPr>
        <w:t xml:space="preserve">《全国年节及纪念日放假办法》等相关规定，为落实环卫作业人员的权益，提高环卫保洁服务质量，各投标供应商在聘请人员，编制和落实作业人员待遇及投入生产机具时必须遵照以下要求： </w:t>
      </w:r>
    </w:p>
    <w:p w14:paraId="6CEE27DD">
      <w:pPr>
        <w:autoSpaceDE w:val="0"/>
        <w:autoSpaceDN w:val="0"/>
        <w:adjustRightInd w:val="0"/>
        <w:spacing w:line="420" w:lineRule="exact"/>
        <w:ind w:firstLine="440" w:firstLineChars="200"/>
        <w:jc w:val="left"/>
        <w:rPr>
          <w:rFonts w:hint="eastAsia" w:ascii="宋体" w:hAnsi="宋体" w:eastAsia="宋体"/>
          <w:szCs w:val="22"/>
          <w:lang w:eastAsia="zh-CN"/>
        </w:rPr>
      </w:pPr>
      <w:r>
        <w:rPr>
          <w:rFonts w:ascii="宋体" w:hAnsi="宋体"/>
          <w:szCs w:val="22"/>
        </w:rPr>
        <w:t>1</w:t>
      </w:r>
      <w:r>
        <w:rPr>
          <w:rFonts w:hint="eastAsia" w:ascii="宋体" w:hAnsi="宋体"/>
          <w:szCs w:val="22"/>
        </w:rPr>
        <w:t>.1</w:t>
      </w:r>
      <w:r>
        <w:rPr>
          <w:rFonts w:ascii="宋体" w:hAnsi="宋体"/>
          <w:szCs w:val="22"/>
        </w:rPr>
        <w:t xml:space="preserve">、依法签订劳动合同。拟投入本项目的所有人员均由中标（成交）供应商自行招聘，所有人员必须依法签订劳动合同； </w:t>
      </w:r>
      <w:r>
        <w:rPr>
          <w:rFonts w:hint="eastAsia" w:ascii="宋体" w:hAnsi="宋体"/>
          <w:szCs w:val="22"/>
        </w:rPr>
        <w:t>可以优先聘用在本项目所在地具有实际环卫保洁经验的作业人员，严禁招聘超龄人员、未成年人员以及无自主劳动能力的人员</w:t>
      </w:r>
      <w:r>
        <w:rPr>
          <w:rFonts w:hint="eastAsia" w:ascii="宋体" w:hAnsi="宋体"/>
          <w:szCs w:val="22"/>
          <w:lang w:eastAsia="zh-CN"/>
        </w:rPr>
        <w:t>；</w:t>
      </w:r>
    </w:p>
    <w:p w14:paraId="2653857B">
      <w:pPr>
        <w:autoSpaceDE w:val="0"/>
        <w:autoSpaceDN w:val="0"/>
        <w:adjustRightInd w:val="0"/>
        <w:spacing w:line="420" w:lineRule="exact"/>
        <w:ind w:firstLine="440" w:firstLineChars="200"/>
        <w:jc w:val="left"/>
        <w:rPr>
          <w:rFonts w:hint="eastAsia" w:ascii="宋体" w:hAnsi="宋体" w:eastAsia="宋体"/>
          <w:szCs w:val="22"/>
          <w:lang w:eastAsia="zh-CN"/>
        </w:rPr>
      </w:pPr>
      <w:r>
        <w:rPr>
          <w:rFonts w:hint="eastAsia" w:ascii="宋体" w:hAnsi="宋体"/>
          <w:szCs w:val="22"/>
        </w:rPr>
        <w:t>1.</w:t>
      </w:r>
      <w:r>
        <w:rPr>
          <w:rFonts w:ascii="宋体" w:hAnsi="宋体"/>
          <w:szCs w:val="22"/>
        </w:rPr>
        <w:t>2、依法为</w:t>
      </w:r>
      <w:r>
        <w:rPr>
          <w:rFonts w:hint="eastAsia" w:ascii="宋体" w:hAnsi="宋体"/>
          <w:szCs w:val="22"/>
        </w:rPr>
        <w:t>符合国家相关缴纳社保规定的所有员工缴纳社保</w:t>
      </w:r>
      <w:r>
        <w:rPr>
          <w:rFonts w:ascii="宋体" w:hAnsi="宋体"/>
          <w:szCs w:val="22"/>
        </w:rPr>
        <w:t>，合同期内如遇政策性调整，应及时作出对应的调整；</w:t>
      </w:r>
      <w:r>
        <w:rPr>
          <w:rFonts w:hint="eastAsia" w:ascii="宋体" w:hAnsi="宋体"/>
          <w:szCs w:val="22"/>
        </w:rPr>
        <w:t>无法缴纳社保的员工以现金形式给以补偿</w:t>
      </w:r>
      <w:r>
        <w:rPr>
          <w:rFonts w:hint="eastAsia" w:ascii="宋体" w:hAnsi="宋体"/>
          <w:szCs w:val="22"/>
          <w:lang w:eastAsia="zh-CN"/>
        </w:rPr>
        <w:t>；</w:t>
      </w:r>
    </w:p>
    <w:p w14:paraId="630FEF0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3、依法为所有人员投保人身意外伤害险，保额不得低于50万； </w:t>
      </w:r>
    </w:p>
    <w:p w14:paraId="07FA422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4、严格执行苍南县现行最低工资标准（</w:t>
      </w:r>
      <w:r>
        <w:rPr>
          <w:rFonts w:hint="eastAsia" w:ascii="宋体" w:hAnsi="宋体"/>
          <w:szCs w:val="22"/>
          <w:lang w:val="en-US" w:eastAsia="zh-CN"/>
        </w:rPr>
        <w:t>2010</w:t>
      </w:r>
      <w:r>
        <w:rPr>
          <w:rFonts w:ascii="宋体" w:hAnsi="宋体"/>
          <w:szCs w:val="22"/>
        </w:rPr>
        <w:t>元/月）和环卫作业人员工资标准不得低于苍南县最低工资标准的110%的相关规定，人员每月最低基本工资标准不得低</w:t>
      </w:r>
      <w:r>
        <w:rPr>
          <w:rFonts w:hint="eastAsia" w:ascii="宋体" w:hAnsi="宋体"/>
          <w:szCs w:val="22"/>
          <w:lang w:val="en-US" w:eastAsia="zh-CN"/>
        </w:rPr>
        <w:t>2211</w:t>
      </w:r>
      <w:r>
        <w:rPr>
          <w:rFonts w:ascii="宋体" w:hAnsi="宋体"/>
          <w:szCs w:val="22"/>
        </w:rPr>
        <w:t xml:space="preserve">元。合同期内如遇政策性调整，应及时作出对应的调整； </w:t>
      </w:r>
    </w:p>
    <w:p w14:paraId="3086F80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5、严格执行户外作业人员高温补贴标准。高温补贴标准不得低于</w:t>
      </w:r>
      <w:r>
        <w:rPr>
          <w:rFonts w:hint="eastAsia" w:ascii="宋体" w:hAnsi="宋体"/>
          <w:szCs w:val="22"/>
        </w:rPr>
        <w:t>300</w:t>
      </w:r>
      <w:r>
        <w:rPr>
          <w:rFonts w:ascii="宋体" w:hAnsi="宋体"/>
          <w:szCs w:val="22"/>
        </w:rPr>
        <w:t>元/月，发放时间为六、七、八、九共四个月，全年合计不得低于</w:t>
      </w:r>
      <w:r>
        <w:rPr>
          <w:rFonts w:hint="eastAsia" w:ascii="宋体" w:hAnsi="宋体"/>
          <w:szCs w:val="22"/>
        </w:rPr>
        <w:t>1200</w:t>
      </w:r>
      <w:r>
        <w:rPr>
          <w:rFonts w:ascii="宋体" w:hAnsi="宋体"/>
          <w:szCs w:val="22"/>
        </w:rPr>
        <w:t>元，逐月发放，不得克扣；</w:t>
      </w:r>
    </w:p>
    <w:p w14:paraId="71C7426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6、严格落实加班补贴制度。每人每年日常加班共计24天，日常加班补贴按日工资的二倍计算；国家法定节假日全年11天计，法定节假日加班补贴标准为日工资的三倍计算； </w:t>
      </w:r>
    </w:p>
    <w:p w14:paraId="4489493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7、严格落实特殊岗位津贴。按照每人每个出勤日10元的标准发放特殊岗位津贴，全年按3</w:t>
      </w:r>
      <w:r>
        <w:rPr>
          <w:rFonts w:hint="eastAsia" w:ascii="宋体" w:hAnsi="宋体"/>
          <w:szCs w:val="22"/>
        </w:rPr>
        <w:t>30</w:t>
      </w:r>
      <w:r>
        <w:rPr>
          <w:rFonts w:ascii="宋体" w:hAnsi="宋体"/>
          <w:szCs w:val="22"/>
        </w:rPr>
        <w:t xml:space="preserve">日计。 </w:t>
      </w:r>
    </w:p>
    <w:p w14:paraId="27C3491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 xml:space="preserve">8、统一发放生产工具及劳保用品； </w:t>
      </w:r>
    </w:p>
    <w:p w14:paraId="0C0D058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9、统一购置并发放符合安全标准的反光工作</w:t>
      </w:r>
      <w:r>
        <w:rPr>
          <w:rFonts w:ascii="宋体" w:hAnsi="宋体"/>
          <w:szCs w:val="22"/>
          <w:highlight w:val="none"/>
        </w:rPr>
        <w:t>服</w:t>
      </w:r>
      <w:r>
        <w:rPr>
          <w:rFonts w:hint="eastAsia" w:ascii="宋体" w:hAnsi="宋体"/>
          <w:szCs w:val="22"/>
          <w:highlight w:val="none"/>
          <w:lang w:val="en-US" w:eastAsia="zh-CN"/>
        </w:rPr>
        <w:t>（春装一套、夏装两套、秋装一套、冬装一套、雨天工作服一套）、</w:t>
      </w:r>
      <w:r>
        <w:rPr>
          <w:rFonts w:ascii="宋体" w:hAnsi="宋体"/>
          <w:szCs w:val="22"/>
          <w:highlight w:val="none"/>
        </w:rPr>
        <w:t xml:space="preserve">雨鞋一双、帽二顶； </w:t>
      </w:r>
    </w:p>
    <w:p w14:paraId="1912A29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w:t>
      </w:r>
      <w:r>
        <w:rPr>
          <w:rFonts w:ascii="宋体" w:hAnsi="宋体"/>
          <w:szCs w:val="22"/>
        </w:rPr>
        <w:t>10、严禁克扣、拖欠人员工资、待遇福利的行为，一经查实，按克扣、拖欠总金额的3倍在承包款中扣除；中标（成交）供应商应设立专人负责作业人员的收入落实，做好发放记录，加强管理。</w:t>
      </w:r>
    </w:p>
    <w:p w14:paraId="7CE1533A">
      <w:pPr>
        <w:autoSpaceDE w:val="0"/>
        <w:autoSpaceDN w:val="0"/>
        <w:adjustRightInd w:val="0"/>
        <w:spacing w:line="420" w:lineRule="exact"/>
        <w:ind w:firstLine="440" w:firstLineChars="200"/>
        <w:jc w:val="left"/>
        <w:rPr>
          <w:rFonts w:hint="eastAsia"/>
          <w:lang w:val="en-US" w:eastAsia="zh-CN"/>
        </w:rPr>
      </w:pPr>
      <w:r>
        <w:rPr>
          <w:rFonts w:hint="eastAsia" w:ascii="宋体" w:hAnsi="宋体"/>
          <w:szCs w:val="22"/>
        </w:rPr>
        <w:t>1.</w:t>
      </w:r>
      <w:r>
        <w:rPr>
          <w:rFonts w:ascii="宋体" w:hAnsi="宋体"/>
          <w:szCs w:val="22"/>
        </w:rPr>
        <w:t>1</w:t>
      </w:r>
      <w:r>
        <w:rPr>
          <w:rFonts w:hint="eastAsia" w:ascii="宋体" w:hAnsi="宋体"/>
          <w:szCs w:val="22"/>
        </w:rPr>
        <w:t>1</w:t>
      </w:r>
      <w:r>
        <w:rPr>
          <w:rFonts w:ascii="宋体" w:hAnsi="宋体"/>
          <w:szCs w:val="22"/>
        </w:rPr>
        <w:t>、其他未尽事宜，各投标供应商应参照各项规定进行。</w:t>
      </w:r>
    </w:p>
    <w:p w14:paraId="6AE7BA3F">
      <w:pPr>
        <w:pStyle w:val="52"/>
        <w:spacing w:line="420" w:lineRule="exact"/>
        <w:jc w:val="left"/>
        <w:rPr>
          <w:b/>
          <w:kern w:val="0"/>
          <w:sz w:val="28"/>
          <w:szCs w:val="28"/>
        </w:rPr>
      </w:pPr>
      <w:r>
        <w:rPr>
          <w:rFonts w:hint="eastAsia" w:ascii="宋体" w:hAnsi="宋体" w:cs="宋体"/>
          <w:b/>
          <w:kern w:val="0"/>
          <w:sz w:val="24"/>
          <w:lang w:val="en-US" w:eastAsia="zh-CN"/>
        </w:rPr>
        <w:t>3</w:t>
      </w:r>
      <w:r>
        <w:rPr>
          <w:rFonts w:hint="eastAsia" w:ascii="宋体" w:hAnsi="宋体" w:cs="宋体"/>
          <w:b/>
          <w:kern w:val="0"/>
          <w:sz w:val="28"/>
          <w:szCs w:val="28"/>
        </w:rPr>
        <w:t>、</w:t>
      </w:r>
      <w:r>
        <w:rPr>
          <w:rFonts w:ascii="宋体" w:hAnsi="宋体" w:cs="宋体"/>
          <w:b/>
          <w:kern w:val="0"/>
          <w:sz w:val="28"/>
          <w:szCs w:val="28"/>
        </w:rPr>
        <w:t>人员费用成本组成</w:t>
      </w:r>
    </w:p>
    <w:p w14:paraId="6A9B7D2B">
      <w:pPr>
        <w:pStyle w:val="52"/>
        <w:spacing w:line="276" w:lineRule="auto"/>
        <w:jc w:val="center"/>
        <w:rPr>
          <w:b/>
          <w:bCs/>
          <w:kern w:val="0"/>
          <w:sz w:val="28"/>
          <w:szCs w:val="28"/>
        </w:rPr>
      </w:pPr>
      <w:r>
        <w:rPr>
          <w:rFonts w:hint="eastAsia"/>
          <w:b/>
          <w:bCs/>
          <w:sz w:val="28"/>
          <w:szCs w:val="28"/>
        </w:rPr>
        <w:t>人员费用成本组成表</w:t>
      </w:r>
    </w:p>
    <w:tbl>
      <w:tblPr>
        <w:tblStyle w:val="32"/>
        <w:tblW w:w="1020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843"/>
        <w:gridCol w:w="1134"/>
        <w:gridCol w:w="709"/>
        <w:gridCol w:w="709"/>
        <w:gridCol w:w="1134"/>
        <w:gridCol w:w="3969"/>
      </w:tblGrid>
      <w:tr w14:paraId="297A9F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709" w:type="dxa"/>
            <w:shd w:val="clear" w:color="000000" w:fill="C5D9F1"/>
            <w:noWrap w:val="0"/>
            <w:vAlign w:val="center"/>
          </w:tcPr>
          <w:p w14:paraId="5DF4F527">
            <w:pPr>
              <w:widowControl/>
              <w:spacing w:line="420" w:lineRule="exact"/>
              <w:jc w:val="center"/>
              <w:rPr>
                <w:rFonts w:ascii="宋体" w:hAnsi="宋体" w:cs="宋体"/>
                <w:b/>
                <w:bCs/>
                <w:kern w:val="0"/>
                <w:szCs w:val="22"/>
              </w:rPr>
            </w:pPr>
            <w:r>
              <w:rPr>
                <w:rFonts w:hint="eastAsia" w:ascii="宋体" w:hAnsi="宋体" w:cs="宋体"/>
                <w:b/>
                <w:bCs/>
                <w:kern w:val="0"/>
                <w:szCs w:val="22"/>
              </w:rPr>
              <w:t>序号</w:t>
            </w:r>
          </w:p>
        </w:tc>
        <w:tc>
          <w:tcPr>
            <w:tcW w:w="1843" w:type="dxa"/>
            <w:shd w:val="clear" w:color="000000" w:fill="C5D9F1"/>
            <w:noWrap w:val="0"/>
            <w:vAlign w:val="center"/>
          </w:tcPr>
          <w:p w14:paraId="26FAC7CC">
            <w:pPr>
              <w:widowControl/>
              <w:spacing w:line="420" w:lineRule="exact"/>
              <w:jc w:val="center"/>
              <w:rPr>
                <w:rFonts w:ascii="宋体" w:hAnsi="宋体" w:cs="宋体"/>
                <w:b/>
                <w:bCs/>
                <w:kern w:val="0"/>
                <w:szCs w:val="22"/>
              </w:rPr>
            </w:pPr>
            <w:r>
              <w:rPr>
                <w:rFonts w:hint="eastAsia" w:ascii="宋体" w:hAnsi="宋体" w:cs="宋体"/>
                <w:b/>
                <w:bCs/>
                <w:kern w:val="0"/>
                <w:szCs w:val="22"/>
              </w:rPr>
              <w:t>支出项目</w:t>
            </w:r>
          </w:p>
        </w:tc>
        <w:tc>
          <w:tcPr>
            <w:tcW w:w="1134" w:type="dxa"/>
            <w:tcBorders>
              <w:right w:val="single" w:color="auto" w:sz="4" w:space="0"/>
            </w:tcBorders>
            <w:shd w:val="clear" w:color="000000" w:fill="C5D9F1"/>
            <w:noWrap w:val="0"/>
            <w:vAlign w:val="center"/>
          </w:tcPr>
          <w:p w14:paraId="0B0E4435">
            <w:pPr>
              <w:widowControl/>
              <w:spacing w:line="420" w:lineRule="exact"/>
              <w:jc w:val="center"/>
              <w:rPr>
                <w:rFonts w:ascii="宋体" w:hAnsi="宋体" w:cs="宋体"/>
                <w:b/>
                <w:bCs/>
                <w:kern w:val="0"/>
                <w:szCs w:val="22"/>
              </w:rPr>
            </w:pPr>
            <w:r>
              <w:rPr>
                <w:rFonts w:hint="eastAsia" w:ascii="宋体" w:hAnsi="宋体" w:cs="宋体"/>
                <w:b/>
                <w:bCs/>
                <w:kern w:val="0"/>
                <w:szCs w:val="22"/>
              </w:rPr>
              <w:t>单价（元）</w:t>
            </w:r>
          </w:p>
        </w:tc>
        <w:tc>
          <w:tcPr>
            <w:tcW w:w="709" w:type="dxa"/>
            <w:tcBorders>
              <w:left w:val="single" w:color="auto" w:sz="4" w:space="0"/>
              <w:right w:val="single" w:color="auto" w:sz="4" w:space="0"/>
            </w:tcBorders>
            <w:shd w:val="clear" w:color="000000" w:fill="C5D9F1"/>
            <w:noWrap w:val="0"/>
            <w:vAlign w:val="center"/>
          </w:tcPr>
          <w:p w14:paraId="10E3667E">
            <w:pPr>
              <w:widowControl/>
              <w:spacing w:line="420" w:lineRule="exact"/>
              <w:jc w:val="center"/>
              <w:rPr>
                <w:rFonts w:ascii="宋体" w:hAnsi="宋体" w:cs="宋体"/>
                <w:b/>
                <w:bCs/>
                <w:kern w:val="0"/>
                <w:szCs w:val="22"/>
              </w:rPr>
            </w:pPr>
            <w:r>
              <w:rPr>
                <w:rFonts w:hint="eastAsia" w:ascii="宋体" w:hAnsi="宋体" w:cs="宋体"/>
                <w:b/>
                <w:bCs/>
                <w:kern w:val="0"/>
                <w:szCs w:val="22"/>
              </w:rPr>
              <w:t>数量</w:t>
            </w:r>
          </w:p>
        </w:tc>
        <w:tc>
          <w:tcPr>
            <w:tcW w:w="709" w:type="dxa"/>
            <w:tcBorders>
              <w:left w:val="single" w:color="auto" w:sz="4" w:space="0"/>
              <w:right w:val="single" w:color="auto" w:sz="4" w:space="0"/>
            </w:tcBorders>
            <w:shd w:val="clear" w:color="000000" w:fill="C5D9F1"/>
            <w:noWrap w:val="0"/>
            <w:vAlign w:val="center"/>
          </w:tcPr>
          <w:p w14:paraId="6A3DE806">
            <w:pPr>
              <w:widowControl/>
              <w:spacing w:line="420" w:lineRule="exact"/>
              <w:jc w:val="center"/>
              <w:rPr>
                <w:rFonts w:ascii="宋体" w:hAnsi="宋体" w:cs="宋体"/>
                <w:b/>
                <w:bCs/>
                <w:kern w:val="0"/>
                <w:szCs w:val="22"/>
              </w:rPr>
            </w:pPr>
            <w:r>
              <w:rPr>
                <w:rFonts w:hint="eastAsia" w:ascii="宋体" w:hAnsi="宋体" w:cs="宋体"/>
                <w:b/>
                <w:bCs/>
                <w:kern w:val="0"/>
                <w:szCs w:val="22"/>
              </w:rPr>
              <w:t>单位</w:t>
            </w:r>
          </w:p>
        </w:tc>
        <w:tc>
          <w:tcPr>
            <w:tcW w:w="1134" w:type="dxa"/>
            <w:tcBorders>
              <w:left w:val="single" w:color="auto" w:sz="4" w:space="0"/>
              <w:right w:val="single" w:color="auto" w:sz="4" w:space="0"/>
            </w:tcBorders>
            <w:shd w:val="clear" w:color="000000" w:fill="C5D9F1"/>
            <w:noWrap w:val="0"/>
            <w:vAlign w:val="center"/>
          </w:tcPr>
          <w:p w14:paraId="0A0772A1">
            <w:pPr>
              <w:widowControl/>
              <w:spacing w:line="420" w:lineRule="exact"/>
              <w:jc w:val="center"/>
              <w:rPr>
                <w:rFonts w:ascii="宋体" w:hAnsi="宋体" w:cs="宋体"/>
                <w:b/>
                <w:bCs/>
                <w:kern w:val="0"/>
                <w:szCs w:val="22"/>
              </w:rPr>
            </w:pPr>
            <w:r>
              <w:rPr>
                <w:rFonts w:hint="eastAsia" w:ascii="宋体" w:hAnsi="宋体" w:cs="宋体"/>
                <w:b/>
                <w:bCs/>
                <w:kern w:val="0"/>
                <w:szCs w:val="22"/>
              </w:rPr>
              <w:t>金额（元）</w:t>
            </w:r>
          </w:p>
        </w:tc>
        <w:tc>
          <w:tcPr>
            <w:tcW w:w="3969" w:type="dxa"/>
            <w:tcBorders>
              <w:left w:val="single" w:color="auto" w:sz="4" w:space="0"/>
            </w:tcBorders>
            <w:shd w:val="clear" w:color="000000" w:fill="C5D9F1"/>
            <w:noWrap w:val="0"/>
            <w:vAlign w:val="center"/>
          </w:tcPr>
          <w:p w14:paraId="410DB10C">
            <w:pPr>
              <w:widowControl/>
              <w:spacing w:line="420" w:lineRule="exact"/>
              <w:jc w:val="center"/>
              <w:rPr>
                <w:rFonts w:ascii="宋体" w:hAnsi="宋体" w:cs="宋体"/>
                <w:b/>
                <w:bCs/>
                <w:kern w:val="0"/>
                <w:szCs w:val="22"/>
              </w:rPr>
            </w:pPr>
            <w:r>
              <w:rPr>
                <w:rFonts w:hint="eastAsia" w:ascii="宋体" w:hAnsi="宋体" w:cs="宋体"/>
                <w:b/>
                <w:bCs/>
                <w:kern w:val="0"/>
                <w:szCs w:val="22"/>
              </w:rPr>
              <w:t>备注</w:t>
            </w:r>
          </w:p>
        </w:tc>
      </w:tr>
      <w:tr w14:paraId="55CF368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709" w:type="dxa"/>
            <w:noWrap w:val="0"/>
            <w:vAlign w:val="center"/>
          </w:tcPr>
          <w:p w14:paraId="719048C4">
            <w:pPr>
              <w:widowControl/>
              <w:spacing w:line="420" w:lineRule="exact"/>
              <w:jc w:val="center"/>
              <w:rPr>
                <w:rFonts w:ascii="宋体" w:hAnsi="宋体" w:cs="宋体"/>
                <w:b/>
                <w:bCs/>
                <w:kern w:val="0"/>
                <w:szCs w:val="22"/>
              </w:rPr>
            </w:pPr>
            <w:r>
              <w:rPr>
                <w:rFonts w:hint="eastAsia" w:ascii="宋体" w:hAnsi="宋体" w:cs="宋体"/>
                <w:b/>
                <w:bCs/>
                <w:kern w:val="0"/>
                <w:szCs w:val="22"/>
              </w:rPr>
              <w:t>1</w:t>
            </w:r>
          </w:p>
        </w:tc>
        <w:tc>
          <w:tcPr>
            <w:tcW w:w="1843" w:type="dxa"/>
            <w:noWrap w:val="0"/>
            <w:vAlign w:val="center"/>
          </w:tcPr>
          <w:p w14:paraId="2248DC91">
            <w:pPr>
              <w:spacing w:line="420" w:lineRule="exact"/>
              <w:jc w:val="center"/>
              <w:rPr>
                <w:rFonts w:ascii="宋体" w:hAnsi="宋体" w:cs="宋体"/>
                <w:b/>
                <w:bCs/>
                <w:szCs w:val="22"/>
              </w:rPr>
            </w:pPr>
            <w:r>
              <w:rPr>
                <w:rFonts w:hint="eastAsia"/>
                <w:b/>
                <w:bCs/>
                <w:szCs w:val="22"/>
              </w:rPr>
              <w:t>人员工资</w:t>
            </w:r>
          </w:p>
        </w:tc>
        <w:tc>
          <w:tcPr>
            <w:tcW w:w="1134" w:type="dxa"/>
            <w:tcBorders>
              <w:right w:val="single" w:color="auto" w:sz="4" w:space="0"/>
            </w:tcBorders>
            <w:noWrap w:val="0"/>
            <w:vAlign w:val="center"/>
          </w:tcPr>
          <w:p w14:paraId="069648AD">
            <w:pPr>
              <w:spacing w:line="420" w:lineRule="exact"/>
              <w:jc w:val="center"/>
              <w:rPr>
                <w:rFonts w:ascii="宋体" w:hAnsi="宋体" w:cs="宋体"/>
                <w:b/>
                <w:bCs/>
                <w:szCs w:val="22"/>
              </w:rPr>
            </w:pPr>
            <w:r>
              <w:rPr>
                <w:rFonts w:hint="eastAsia"/>
                <w:b/>
                <w:bCs/>
                <w:szCs w:val="22"/>
              </w:rPr>
              <w:t>2</w:t>
            </w:r>
            <w:r>
              <w:rPr>
                <w:rFonts w:hint="eastAsia"/>
                <w:b/>
                <w:bCs/>
                <w:szCs w:val="22"/>
                <w:lang w:val="en-US" w:eastAsia="zh-CN"/>
              </w:rPr>
              <w:t>211</w:t>
            </w:r>
            <w:r>
              <w:rPr>
                <w:rFonts w:hint="eastAsia"/>
                <w:b/>
                <w:bCs/>
                <w:szCs w:val="22"/>
              </w:rPr>
              <w:t>.00</w:t>
            </w:r>
          </w:p>
        </w:tc>
        <w:tc>
          <w:tcPr>
            <w:tcW w:w="709" w:type="dxa"/>
            <w:tcBorders>
              <w:left w:val="single" w:color="auto" w:sz="4" w:space="0"/>
              <w:right w:val="single" w:color="auto" w:sz="4" w:space="0"/>
            </w:tcBorders>
            <w:noWrap w:val="0"/>
            <w:vAlign w:val="center"/>
          </w:tcPr>
          <w:p w14:paraId="0C6F0B3B">
            <w:pPr>
              <w:spacing w:line="420" w:lineRule="exact"/>
              <w:jc w:val="center"/>
              <w:rPr>
                <w:rFonts w:ascii="宋体" w:hAnsi="宋体" w:cs="宋体"/>
                <w:b/>
                <w:bCs/>
                <w:szCs w:val="22"/>
              </w:rPr>
            </w:pPr>
            <w:r>
              <w:rPr>
                <w:rFonts w:hint="eastAsia"/>
                <w:b/>
                <w:bCs/>
                <w:szCs w:val="22"/>
              </w:rPr>
              <w:t>12</w:t>
            </w:r>
          </w:p>
        </w:tc>
        <w:tc>
          <w:tcPr>
            <w:tcW w:w="709" w:type="dxa"/>
            <w:tcBorders>
              <w:left w:val="single" w:color="auto" w:sz="4" w:space="0"/>
              <w:right w:val="single" w:color="auto" w:sz="4" w:space="0"/>
            </w:tcBorders>
            <w:noWrap w:val="0"/>
            <w:vAlign w:val="center"/>
          </w:tcPr>
          <w:p w14:paraId="4149DD75">
            <w:pPr>
              <w:spacing w:line="420" w:lineRule="exact"/>
              <w:jc w:val="center"/>
              <w:rPr>
                <w:rFonts w:ascii="宋体" w:hAnsi="宋体" w:cs="宋体"/>
                <w:b/>
                <w:bCs/>
                <w:szCs w:val="22"/>
              </w:rPr>
            </w:pPr>
            <w:r>
              <w:rPr>
                <w:rFonts w:hint="eastAsia" w:ascii="宋体" w:hAnsi="宋体" w:cs="宋体"/>
                <w:b/>
                <w:bCs/>
                <w:szCs w:val="22"/>
              </w:rPr>
              <w:t>月</w:t>
            </w:r>
          </w:p>
        </w:tc>
        <w:tc>
          <w:tcPr>
            <w:tcW w:w="1134" w:type="dxa"/>
            <w:tcBorders>
              <w:left w:val="single" w:color="auto" w:sz="4" w:space="0"/>
            </w:tcBorders>
            <w:noWrap w:val="0"/>
            <w:vAlign w:val="center"/>
          </w:tcPr>
          <w:p w14:paraId="1B2A715A">
            <w:pPr>
              <w:spacing w:line="420" w:lineRule="exact"/>
              <w:jc w:val="center"/>
              <w:rPr>
                <w:rFonts w:ascii="宋体" w:hAnsi="宋体" w:cs="宋体"/>
                <w:b/>
                <w:bCs/>
                <w:szCs w:val="22"/>
              </w:rPr>
            </w:pPr>
            <w:r>
              <w:rPr>
                <w:rFonts w:hint="eastAsia"/>
                <w:b/>
                <w:bCs/>
                <w:szCs w:val="22"/>
                <w:lang w:val="en-US" w:eastAsia="zh-CN"/>
              </w:rPr>
              <w:t>26532</w:t>
            </w:r>
            <w:r>
              <w:rPr>
                <w:rFonts w:hint="eastAsia"/>
                <w:b/>
                <w:bCs/>
                <w:szCs w:val="22"/>
              </w:rPr>
              <w:t>.00</w:t>
            </w:r>
          </w:p>
        </w:tc>
        <w:tc>
          <w:tcPr>
            <w:tcW w:w="3969" w:type="dxa"/>
            <w:noWrap w:val="0"/>
            <w:vAlign w:val="center"/>
          </w:tcPr>
          <w:p w14:paraId="108FB57E">
            <w:pPr>
              <w:autoSpaceDE w:val="0"/>
              <w:autoSpaceDN w:val="0"/>
              <w:adjustRightInd w:val="0"/>
              <w:spacing w:before="31" w:beforeLines="10" w:after="31" w:afterLines="10" w:line="340" w:lineRule="exact"/>
              <w:jc w:val="left"/>
              <w:rPr>
                <w:rFonts w:ascii="宋体" w:hAnsi="宋体" w:cs="Arial"/>
                <w:kern w:val="0"/>
                <w:sz w:val="20"/>
              </w:rPr>
            </w:pPr>
            <w:r>
              <w:rPr>
                <w:rFonts w:hint="eastAsia" w:ascii="宋体" w:hAnsi="宋体" w:cs="Arial"/>
                <w:kern w:val="0"/>
                <w:sz w:val="20"/>
              </w:rPr>
              <w:t xml:space="preserve">■依据《浙江省人民政府办公厅关于进一步改善环卫工人工作生活条件促进环卫事业持续健康发展的若干意见》浙政办发〔2009〕190号的规定； </w:t>
            </w:r>
          </w:p>
          <w:p w14:paraId="6A592B7E">
            <w:pPr>
              <w:autoSpaceDE w:val="0"/>
              <w:autoSpaceDN w:val="0"/>
              <w:adjustRightInd w:val="0"/>
              <w:spacing w:before="31" w:beforeLines="10" w:after="31" w:afterLines="10" w:line="340" w:lineRule="exact"/>
              <w:jc w:val="left"/>
              <w:rPr>
                <w:rFonts w:ascii="宋体" w:hAnsi="宋体" w:cs="Arial"/>
                <w:kern w:val="0"/>
                <w:sz w:val="20"/>
              </w:rPr>
            </w:pPr>
            <w:r>
              <w:rPr>
                <w:rFonts w:hint="eastAsia" w:ascii="宋体" w:hAnsi="宋体" w:cs="Arial"/>
                <w:kern w:val="0"/>
                <w:sz w:val="20"/>
              </w:rPr>
              <w:t>■依据《温州市人民政府关于调整全市最低工资标准的通知》（</w:t>
            </w:r>
            <w:r>
              <w:rPr>
                <w:rFonts w:hint="eastAsia" w:ascii="宋体" w:hAnsi="宋体" w:cs="Arial"/>
                <w:kern w:val="0"/>
                <w:sz w:val="20"/>
                <w:lang w:val="en-US" w:eastAsia="zh-CN"/>
              </w:rPr>
              <w:t>浙</w:t>
            </w:r>
            <w:r>
              <w:rPr>
                <w:rFonts w:hint="eastAsia" w:ascii="宋体" w:hAnsi="宋体" w:cs="Arial"/>
                <w:kern w:val="0"/>
                <w:sz w:val="20"/>
              </w:rPr>
              <w:t>政发</w:t>
            </w:r>
            <w:r>
              <w:rPr>
                <w:rFonts w:ascii="宋体" w:hAnsi="宋体" w:cs="Arial"/>
                <w:kern w:val="0"/>
                <w:sz w:val="20"/>
              </w:rPr>
              <w:t>〔20</w:t>
            </w:r>
            <w:r>
              <w:rPr>
                <w:rFonts w:hint="eastAsia" w:ascii="宋体" w:hAnsi="宋体" w:cs="Arial"/>
                <w:kern w:val="0"/>
                <w:sz w:val="20"/>
              </w:rPr>
              <w:t>2</w:t>
            </w:r>
            <w:r>
              <w:rPr>
                <w:rFonts w:hint="eastAsia" w:ascii="宋体" w:hAnsi="宋体" w:cs="Arial"/>
                <w:kern w:val="0"/>
                <w:sz w:val="20"/>
                <w:lang w:val="en-US" w:eastAsia="zh-CN"/>
              </w:rPr>
              <w:t>4</w:t>
            </w:r>
            <w:r>
              <w:rPr>
                <w:rFonts w:ascii="宋体" w:hAnsi="宋体" w:cs="Arial"/>
                <w:kern w:val="0"/>
                <w:sz w:val="20"/>
              </w:rPr>
              <w:t>〕</w:t>
            </w:r>
            <w:r>
              <w:rPr>
                <w:rFonts w:hint="eastAsia" w:ascii="宋体" w:hAnsi="宋体" w:cs="Arial"/>
                <w:kern w:val="0"/>
                <w:sz w:val="20"/>
                <w:lang w:val="en-US" w:eastAsia="zh-CN"/>
              </w:rPr>
              <w:t>3号</w:t>
            </w:r>
            <w:r>
              <w:rPr>
                <w:rFonts w:hint="eastAsia" w:ascii="宋体" w:hAnsi="宋体" w:cs="Arial"/>
                <w:kern w:val="0"/>
                <w:sz w:val="20"/>
              </w:rPr>
              <w:t>）。</w:t>
            </w:r>
          </w:p>
        </w:tc>
      </w:tr>
      <w:tr w14:paraId="5B5D5DD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09" w:type="dxa"/>
            <w:noWrap w:val="0"/>
            <w:vAlign w:val="center"/>
          </w:tcPr>
          <w:p w14:paraId="5624A5B0">
            <w:pPr>
              <w:widowControl/>
              <w:spacing w:line="420" w:lineRule="exact"/>
              <w:jc w:val="center"/>
              <w:rPr>
                <w:rFonts w:ascii="宋体" w:hAnsi="宋体" w:cs="宋体"/>
                <w:b/>
                <w:bCs/>
                <w:kern w:val="0"/>
                <w:szCs w:val="22"/>
              </w:rPr>
            </w:pPr>
            <w:r>
              <w:rPr>
                <w:rFonts w:hint="eastAsia" w:ascii="宋体" w:hAnsi="宋体" w:cs="宋体"/>
                <w:b/>
                <w:bCs/>
                <w:kern w:val="0"/>
                <w:szCs w:val="22"/>
              </w:rPr>
              <w:t>2</w:t>
            </w:r>
          </w:p>
        </w:tc>
        <w:tc>
          <w:tcPr>
            <w:tcW w:w="1843" w:type="dxa"/>
            <w:noWrap w:val="0"/>
            <w:vAlign w:val="center"/>
          </w:tcPr>
          <w:p w14:paraId="5FEF9FDF">
            <w:pPr>
              <w:spacing w:line="420" w:lineRule="exact"/>
              <w:jc w:val="center"/>
              <w:rPr>
                <w:rFonts w:ascii="宋体" w:hAnsi="宋体" w:cs="宋体"/>
                <w:b/>
                <w:bCs/>
                <w:szCs w:val="22"/>
              </w:rPr>
            </w:pPr>
            <w:r>
              <w:rPr>
                <w:rFonts w:hint="eastAsia"/>
                <w:b/>
                <w:bCs/>
                <w:szCs w:val="22"/>
              </w:rPr>
              <w:t>高温补贴</w:t>
            </w:r>
          </w:p>
        </w:tc>
        <w:tc>
          <w:tcPr>
            <w:tcW w:w="1134" w:type="dxa"/>
            <w:tcBorders>
              <w:right w:val="single" w:color="auto" w:sz="4" w:space="0"/>
            </w:tcBorders>
            <w:noWrap w:val="0"/>
            <w:vAlign w:val="center"/>
          </w:tcPr>
          <w:p w14:paraId="2E08BD3E">
            <w:pPr>
              <w:spacing w:line="420" w:lineRule="exact"/>
              <w:jc w:val="center"/>
              <w:rPr>
                <w:rFonts w:ascii="宋体" w:hAnsi="宋体" w:cs="宋体"/>
                <w:b/>
                <w:bCs/>
                <w:szCs w:val="22"/>
              </w:rPr>
            </w:pPr>
            <w:r>
              <w:rPr>
                <w:rFonts w:hint="eastAsia"/>
                <w:b/>
                <w:bCs/>
                <w:szCs w:val="22"/>
              </w:rPr>
              <w:t>300.00</w:t>
            </w:r>
          </w:p>
        </w:tc>
        <w:tc>
          <w:tcPr>
            <w:tcW w:w="709" w:type="dxa"/>
            <w:tcBorders>
              <w:left w:val="single" w:color="auto" w:sz="4" w:space="0"/>
              <w:right w:val="single" w:color="auto" w:sz="4" w:space="0"/>
            </w:tcBorders>
            <w:noWrap w:val="0"/>
            <w:vAlign w:val="center"/>
          </w:tcPr>
          <w:p w14:paraId="10AD5970">
            <w:pPr>
              <w:spacing w:line="420" w:lineRule="exact"/>
              <w:jc w:val="center"/>
              <w:rPr>
                <w:rFonts w:ascii="宋体" w:hAnsi="宋体" w:cs="宋体"/>
                <w:b/>
                <w:bCs/>
                <w:szCs w:val="22"/>
              </w:rPr>
            </w:pPr>
            <w:r>
              <w:rPr>
                <w:rFonts w:hint="eastAsia"/>
                <w:b/>
                <w:bCs/>
                <w:szCs w:val="22"/>
              </w:rPr>
              <w:t>4</w:t>
            </w:r>
          </w:p>
        </w:tc>
        <w:tc>
          <w:tcPr>
            <w:tcW w:w="709" w:type="dxa"/>
            <w:tcBorders>
              <w:left w:val="single" w:color="auto" w:sz="4" w:space="0"/>
            </w:tcBorders>
            <w:noWrap w:val="0"/>
            <w:vAlign w:val="center"/>
          </w:tcPr>
          <w:p w14:paraId="2F3E0F0E">
            <w:pPr>
              <w:spacing w:line="420" w:lineRule="exact"/>
              <w:jc w:val="center"/>
              <w:rPr>
                <w:rFonts w:ascii="宋体" w:hAnsi="宋体" w:cs="宋体"/>
                <w:b/>
                <w:bCs/>
                <w:szCs w:val="22"/>
              </w:rPr>
            </w:pPr>
            <w:r>
              <w:rPr>
                <w:rFonts w:hint="eastAsia" w:ascii="宋体" w:hAnsi="宋体" w:cs="宋体"/>
                <w:b/>
                <w:bCs/>
                <w:szCs w:val="22"/>
              </w:rPr>
              <w:t>月</w:t>
            </w:r>
          </w:p>
        </w:tc>
        <w:tc>
          <w:tcPr>
            <w:tcW w:w="1134" w:type="dxa"/>
            <w:noWrap w:val="0"/>
            <w:vAlign w:val="center"/>
          </w:tcPr>
          <w:p w14:paraId="6C65FA4F">
            <w:pPr>
              <w:spacing w:line="420" w:lineRule="exact"/>
              <w:jc w:val="center"/>
              <w:rPr>
                <w:rFonts w:ascii="宋体" w:hAnsi="宋体" w:cs="宋体"/>
                <w:b/>
                <w:bCs/>
                <w:szCs w:val="22"/>
              </w:rPr>
            </w:pPr>
            <w:r>
              <w:rPr>
                <w:rFonts w:hint="eastAsia"/>
                <w:b/>
                <w:bCs/>
                <w:szCs w:val="22"/>
              </w:rPr>
              <w:t>1200.00</w:t>
            </w:r>
          </w:p>
        </w:tc>
        <w:tc>
          <w:tcPr>
            <w:tcW w:w="3969" w:type="dxa"/>
            <w:noWrap w:val="0"/>
            <w:vAlign w:val="center"/>
          </w:tcPr>
          <w:p w14:paraId="633BF6C0">
            <w:pPr>
              <w:autoSpaceDE w:val="0"/>
              <w:autoSpaceDN w:val="0"/>
              <w:adjustRightInd w:val="0"/>
              <w:spacing w:before="31" w:beforeLines="10" w:after="31" w:afterLines="10" w:line="340" w:lineRule="exact"/>
              <w:jc w:val="left"/>
              <w:rPr>
                <w:rFonts w:ascii="宋体" w:hAnsi="宋体" w:cs="Arial"/>
                <w:kern w:val="0"/>
                <w:sz w:val="20"/>
              </w:rPr>
            </w:pPr>
            <w:r>
              <w:rPr>
                <w:rFonts w:hint="eastAsia" w:ascii="宋体" w:hAnsi="宋体" w:cs="Arial"/>
                <w:kern w:val="0"/>
                <w:sz w:val="20"/>
              </w:rPr>
              <w:t>■依据《浙江省人力资源和社会保障厅关于调整企业夏季高温津贴标准有关问题的通知》（浙人社发〔2018〕65号）。</w:t>
            </w:r>
          </w:p>
        </w:tc>
      </w:tr>
      <w:tr w14:paraId="491F9E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09" w:type="dxa"/>
            <w:noWrap w:val="0"/>
            <w:vAlign w:val="center"/>
          </w:tcPr>
          <w:p w14:paraId="5EAC51EE">
            <w:pPr>
              <w:widowControl/>
              <w:spacing w:line="420" w:lineRule="exact"/>
              <w:jc w:val="center"/>
              <w:rPr>
                <w:rFonts w:ascii="宋体" w:hAnsi="宋体" w:cs="宋体"/>
                <w:b/>
                <w:bCs/>
                <w:kern w:val="0"/>
                <w:szCs w:val="22"/>
              </w:rPr>
            </w:pPr>
            <w:r>
              <w:rPr>
                <w:rFonts w:hint="eastAsia" w:ascii="宋体" w:hAnsi="宋体" w:cs="宋体"/>
                <w:b/>
                <w:bCs/>
                <w:kern w:val="0"/>
                <w:szCs w:val="22"/>
              </w:rPr>
              <w:t>3</w:t>
            </w:r>
          </w:p>
        </w:tc>
        <w:tc>
          <w:tcPr>
            <w:tcW w:w="1843" w:type="dxa"/>
            <w:noWrap w:val="0"/>
            <w:vAlign w:val="center"/>
          </w:tcPr>
          <w:p w14:paraId="11DF61A1">
            <w:pPr>
              <w:spacing w:line="420" w:lineRule="exact"/>
              <w:jc w:val="center"/>
              <w:rPr>
                <w:rFonts w:ascii="宋体" w:hAnsi="宋体" w:cs="宋体"/>
                <w:b/>
                <w:bCs/>
                <w:szCs w:val="22"/>
              </w:rPr>
            </w:pPr>
            <w:r>
              <w:rPr>
                <w:rFonts w:hint="eastAsia"/>
                <w:b/>
                <w:bCs/>
                <w:szCs w:val="22"/>
              </w:rPr>
              <w:t>日常加班费</w:t>
            </w:r>
          </w:p>
        </w:tc>
        <w:tc>
          <w:tcPr>
            <w:tcW w:w="1134" w:type="dxa"/>
            <w:tcBorders>
              <w:right w:val="single" w:color="auto" w:sz="4" w:space="0"/>
            </w:tcBorders>
            <w:noWrap w:val="0"/>
            <w:vAlign w:val="center"/>
          </w:tcPr>
          <w:p w14:paraId="092FA132">
            <w:pPr>
              <w:spacing w:line="420" w:lineRule="exact"/>
              <w:jc w:val="center"/>
              <w:rPr>
                <w:rFonts w:ascii="宋体" w:hAnsi="宋体" w:cs="宋体"/>
                <w:b/>
                <w:bCs/>
                <w:szCs w:val="22"/>
              </w:rPr>
            </w:pPr>
            <w:r>
              <w:rPr>
                <w:rFonts w:hint="eastAsia"/>
                <w:b/>
                <w:bCs/>
                <w:szCs w:val="22"/>
                <w:lang w:val="en-US" w:eastAsia="zh-CN"/>
              </w:rPr>
              <w:t>157.93</w:t>
            </w:r>
          </w:p>
        </w:tc>
        <w:tc>
          <w:tcPr>
            <w:tcW w:w="709" w:type="dxa"/>
            <w:tcBorders>
              <w:left w:val="single" w:color="auto" w:sz="4" w:space="0"/>
              <w:right w:val="single" w:color="auto" w:sz="4" w:space="0"/>
            </w:tcBorders>
            <w:noWrap w:val="0"/>
            <w:vAlign w:val="center"/>
          </w:tcPr>
          <w:p w14:paraId="0E92F33E">
            <w:pPr>
              <w:spacing w:line="420" w:lineRule="exact"/>
              <w:jc w:val="center"/>
              <w:rPr>
                <w:rFonts w:ascii="宋体" w:hAnsi="宋体" w:cs="宋体"/>
                <w:b/>
                <w:bCs/>
                <w:szCs w:val="22"/>
              </w:rPr>
            </w:pPr>
            <w:r>
              <w:rPr>
                <w:rFonts w:hint="eastAsia"/>
                <w:b/>
                <w:bCs/>
                <w:szCs w:val="22"/>
              </w:rPr>
              <w:t>24</w:t>
            </w:r>
          </w:p>
        </w:tc>
        <w:tc>
          <w:tcPr>
            <w:tcW w:w="709" w:type="dxa"/>
            <w:tcBorders>
              <w:left w:val="single" w:color="auto" w:sz="4" w:space="0"/>
            </w:tcBorders>
            <w:noWrap w:val="0"/>
            <w:vAlign w:val="center"/>
          </w:tcPr>
          <w:p w14:paraId="106EB897">
            <w:pPr>
              <w:spacing w:line="420" w:lineRule="exact"/>
              <w:jc w:val="center"/>
              <w:rPr>
                <w:rFonts w:ascii="宋体" w:hAnsi="宋体" w:cs="宋体"/>
                <w:b/>
                <w:bCs/>
                <w:szCs w:val="22"/>
              </w:rPr>
            </w:pPr>
            <w:r>
              <w:rPr>
                <w:rFonts w:hint="eastAsia" w:ascii="宋体" w:hAnsi="宋体" w:cs="宋体"/>
                <w:b/>
                <w:bCs/>
                <w:szCs w:val="22"/>
              </w:rPr>
              <w:t>天</w:t>
            </w:r>
          </w:p>
        </w:tc>
        <w:tc>
          <w:tcPr>
            <w:tcW w:w="1134" w:type="dxa"/>
            <w:noWrap w:val="0"/>
            <w:vAlign w:val="center"/>
          </w:tcPr>
          <w:p w14:paraId="15450E59">
            <w:pPr>
              <w:spacing w:line="420" w:lineRule="exact"/>
              <w:jc w:val="center"/>
              <w:rPr>
                <w:rFonts w:hint="default" w:ascii="宋体" w:hAnsi="宋体" w:eastAsia="宋体" w:cs="宋体"/>
                <w:b/>
                <w:bCs/>
                <w:szCs w:val="22"/>
                <w:lang w:val="en-US" w:eastAsia="zh-CN"/>
              </w:rPr>
            </w:pPr>
            <w:r>
              <w:rPr>
                <w:rFonts w:hint="eastAsia"/>
                <w:b/>
                <w:bCs/>
                <w:szCs w:val="22"/>
                <w:lang w:val="en-US" w:eastAsia="zh-CN"/>
              </w:rPr>
              <w:t>3790</w:t>
            </w:r>
            <w:r>
              <w:rPr>
                <w:rFonts w:hint="eastAsia"/>
                <w:b/>
                <w:bCs/>
                <w:szCs w:val="22"/>
              </w:rPr>
              <w:t>.</w:t>
            </w:r>
            <w:r>
              <w:rPr>
                <w:rFonts w:hint="eastAsia"/>
                <w:b/>
                <w:bCs/>
                <w:szCs w:val="22"/>
                <w:lang w:val="en-US" w:eastAsia="zh-CN"/>
              </w:rPr>
              <w:t>29</w:t>
            </w:r>
          </w:p>
        </w:tc>
        <w:tc>
          <w:tcPr>
            <w:tcW w:w="3969" w:type="dxa"/>
            <w:noWrap w:val="0"/>
            <w:vAlign w:val="center"/>
          </w:tcPr>
          <w:p w14:paraId="543905BE">
            <w:pPr>
              <w:autoSpaceDE w:val="0"/>
              <w:autoSpaceDN w:val="0"/>
              <w:adjustRightInd w:val="0"/>
              <w:spacing w:before="31" w:beforeLines="10" w:after="31" w:afterLines="10" w:line="340" w:lineRule="exact"/>
              <w:jc w:val="left"/>
              <w:rPr>
                <w:rFonts w:ascii="宋体" w:hAnsi="宋体" w:cs="Arial"/>
                <w:kern w:val="0"/>
                <w:sz w:val="20"/>
              </w:rPr>
            </w:pPr>
            <w:r>
              <w:rPr>
                <w:rFonts w:hint="eastAsia" w:ascii="宋体" w:hAnsi="宋体" w:cs="Arial"/>
                <w:kern w:val="0"/>
                <w:sz w:val="20"/>
              </w:rPr>
              <w:t>■每人每年日常加班合计24天，日常加班费按日工资的200%计算。</w:t>
            </w:r>
          </w:p>
        </w:tc>
      </w:tr>
      <w:tr w14:paraId="442BA02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709" w:type="dxa"/>
            <w:noWrap w:val="0"/>
            <w:vAlign w:val="center"/>
          </w:tcPr>
          <w:p w14:paraId="763B39D2">
            <w:pPr>
              <w:spacing w:line="420" w:lineRule="exact"/>
              <w:jc w:val="center"/>
              <w:rPr>
                <w:rFonts w:ascii="宋体" w:hAnsi="宋体" w:cs="宋体"/>
                <w:b/>
                <w:bCs/>
                <w:szCs w:val="22"/>
              </w:rPr>
            </w:pPr>
            <w:r>
              <w:rPr>
                <w:rFonts w:hint="eastAsia"/>
                <w:b/>
                <w:bCs/>
                <w:szCs w:val="22"/>
              </w:rPr>
              <w:t>4</w:t>
            </w:r>
          </w:p>
        </w:tc>
        <w:tc>
          <w:tcPr>
            <w:tcW w:w="1843" w:type="dxa"/>
            <w:noWrap w:val="0"/>
            <w:vAlign w:val="center"/>
          </w:tcPr>
          <w:p w14:paraId="39EAFD1D">
            <w:pPr>
              <w:spacing w:line="420" w:lineRule="exact"/>
              <w:jc w:val="center"/>
              <w:rPr>
                <w:rFonts w:ascii="宋体" w:hAnsi="宋体" w:cs="宋体"/>
                <w:b/>
                <w:bCs/>
                <w:szCs w:val="22"/>
              </w:rPr>
            </w:pPr>
            <w:r>
              <w:rPr>
                <w:rFonts w:hint="eastAsia"/>
                <w:b/>
                <w:bCs/>
                <w:szCs w:val="22"/>
              </w:rPr>
              <w:t>节假日加班费</w:t>
            </w:r>
          </w:p>
        </w:tc>
        <w:tc>
          <w:tcPr>
            <w:tcW w:w="1134" w:type="dxa"/>
            <w:tcBorders>
              <w:right w:val="single" w:color="auto" w:sz="4" w:space="0"/>
            </w:tcBorders>
            <w:noWrap w:val="0"/>
            <w:vAlign w:val="center"/>
          </w:tcPr>
          <w:p w14:paraId="5B6B2CF2">
            <w:pPr>
              <w:spacing w:line="420" w:lineRule="exact"/>
              <w:jc w:val="center"/>
              <w:rPr>
                <w:rFonts w:hint="default" w:ascii="宋体" w:hAnsi="宋体" w:eastAsia="宋体" w:cs="宋体"/>
                <w:b/>
                <w:bCs/>
                <w:szCs w:val="22"/>
                <w:lang w:val="en-US" w:eastAsia="zh-CN"/>
              </w:rPr>
            </w:pPr>
            <w:r>
              <w:rPr>
                <w:rFonts w:hint="eastAsia"/>
                <w:b/>
                <w:bCs/>
                <w:szCs w:val="22"/>
                <w:lang w:val="en-US" w:eastAsia="zh-CN"/>
              </w:rPr>
              <w:t>236.89</w:t>
            </w:r>
          </w:p>
        </w:tc>
        <w:tc>
          <w:tcPr>
            <w:tcW w:w="709" w:type="dxa"/>
            <w:tcBorders>
              <w:left w:val="single" w:color="auto" w:sz="4" w:space="0"/>
              <w:right w:val="single" w:color="auto" w:sz="4" w:space="0"/>
            </w:tcBorders>
            <w:noWrap w:val="0"/>
            <w:vAlign w:val="center"/>
          </w:tcPr>
          <w:p w14:paraId="60934D32">
            <w:pPr>
              <w:spacing w:line="420" w:lineRule="exact"/>
              <w:jc w:val="center"/>
              <w:rPr>
                <w:rFonts w:ascii="宋体" w:hAnsi="宋体" w:cs="宋体"/>
                <w:b/>
                <w:bCs/>
                <w:szCs w:val="22"/>
              </w:rPr>
            </w:pPr>
            <w:r>
              <w:rPr>
                <w:rFonts w:hint="eastAsia"/>
                <w:b/>
                <w:bCs/>
                <w:szCs w:val="22"/>
              </w:rPr>
              <w:t>11</w:t>
            </w:r>
          </w:p>
        </w:tc>
        <w:tc>
          <w:tcPr>
            <w:tcW w:w="709" w:type="dxa"/>
            <w:tcBorders>
              <w:left w:val="single" w:color="auto" w:sz="4" w:space="0"/>
            </w:tcBorders>
            <w:noWrap w:val="0"/>
            <w:vAlign w:val="center"/>
          </w:tcPr>
          <w:p w14:paraId="2062212C">
            <w:pPr>
              <w:spacing w:line="420" w:lineRule="exact"/>
              <w:jc w:val="center"/>
              <w:rPr>
                <w:rFonts w:ascii="宋体" w:hAnsi="宋体" w:cs="宋体"/>
                <w:b/>
                <w:bCs/>
                <w:szCs w:val="22"/>
              </w:rPr>
            </w:pPr>
            <w:r>
              <w:rPr>
                <w:rFonts w:hint="eastAsia" w:ascii="宋体" w:hAnsi="宋体" w:cs="宋体"/>
                <w:b/>
                <w:bCs/>
                <w:szCs w:val="22"/>
              </w:rPr>
              <w:t>天</w:t>
            </w:r>
          </w:p>
        </w:tc>
        <w:tc>
          <w:tcPr>
            <w:tcW w:w="1134" w:type="dxa"/>
            <w:noWrap w:val="0"/>
            <w:vAlign w:val="center"/>
          </w:tcPr>
          <w:p w14:paraId="6E33C275">
            <w:pPr>
              <w:spacing w:line="420" w:lineRule="exact"/>
              <w:jc w:val="center"/>
              <w:rPr>
                <w:rFonts w:hint="default" w:eastAsia="宋体"/>
                <w:b/>
                <w:bCs/>
                <w:szCs w:val="22"/>
                <w:lang w:val="en-US" w:eastAsia="zh-CN"/>
              </w:rPr>
            </w:pPr>
            <w:r>
              <w:rPr>
                <w:rFonts w:hint="eastAsia"/>
                <w:b/>
                <w:bCs/>
                <w:szCs w:val="22"/>
              </w:rPr>
              <w:t>2</w:t>
            </w:r>
            <w:r>
              <w:rPr>
                <w:rFonts w:hint="eastAsia"/>
                <w:b/>
                <w:bCs/>
                <w:szCs w:val="22"/>
                <w:lang w:val="en-US" w:eastAsia="zh-CN"/>
              </w:rPr>
              <w:t>605.82</w:t>
            </w:r>
          </w:p>
        </w:tc>
        <w:tc>
          <w:tcPr>
            <w:tcW w:w="3969" w:type="dxa"/>
            <w:noWrap w:val="0"/>
            <w:vAlign w:val="center"/>
          </w:tcPr>
          <w:p w14:paraId="6D9CA4BE">
            <w:pPr>
              <w:widowControl/>
              <w:spacing w:before="31" w:beforeLines="10" w:after="31" w:afterLines="10" w:line="340" w:lineRule="exact"/>
              <w:jc w:val="left"/>
              <w:rPr>
                <w:rFonts w:ascii="宋体" w:hAnsi="宋体" w:cs="Arial"/>
                <w:kern w:val="0"/>
                <w:sz w:val="20"/>
              </w:rPr>
            </w:pPr>
            <w:r>
              <w:rPr>
                <w:rFonts w:hint="eastAsia" w:ascii="宋体" w:hAnsi="宋体" w:cs="Arial"/>
                <w:kern w:val="0"/>
                <w:sz w:val="20"/>
              </w:rPr>
              <w:t>■国家法定节假日加班按日常工资的300%计算，法定节假日全年11天。</w:t>
            </w:r>
          </w:p>
        </w:tc>
      </w:tr>
      <w:tr w14:paraId="15B9B20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10" w:hRule="atLeast"/>
          <w:jc w:val="center"/>
        </w:trPr>
        <w:tc>
          <w:tcPr>
            <w:tcW w:w="709" w:type="dxa"/>
            <w:noWrap w:val="0"/>
            <w:vAlign w:val="center"/>
          </w:tcPr>
          <w:p w14:paraId="6236F2AC">
            <w:pPr>
              <w:spacing w:line="420" w:lineRule="exact"/>
              <w:jc w:val="center"/>
              <w:rPr>
                <w:rFonts w:ascii="宋体" w:hAnsi="宋体" w:cs="宋体"/>
                <w:b/>
                <w:bCs/>
                <w:szCs w:val="22"/>
              </w:rPr>
            </w:pPr>
            <w:r>
              <w:rPr>
                <w:rFonts w:hint="eastAsia"/>
                <w:b/>
                <w:bCs/>
                <w:szCs w:val="22"/>
              </w:rPr>
              <w:t>5</w:t>
            </w:r>
          </w:p>
        </w:tc>
        <w:tc>
          <w:tcPr>
            <w:tcW w:w="1843" w:type="dxa"/>
            <w:noWrap w:val="0"/>
            <w:vAlign w:val="center"/>
          </w:tcPr>
          <w:p w14:paraId="0225C04C">
            <w:pPr>
              <w:spacing w:line="420" w:lineRule="exact"/>
              <w:jc w:val="center"/>
              <w:rPr>
                <w:rFonts w:ascii="宋体" w:hAnsi="宋体" w:cs="宋体"/>
                <w:b/>
                <w:bCs/>
                <w:szCs w:val="22"/>
              </w:rPr>
            </w:pPr>
            <w:r>
              <w:rPr>
                <w:rFonts w:hint="eastAsia"/>
                <w:b/>
                <w:bCs/>
                <w:szCs w:val="22"/>
              </w:rPr>
              <w:t>特殊岗位津贴</w:t>
            </w:r>
          </w:p>
        </w:tc>
        <w:tc>
          <w:tcPr>
            <w:tcW w:w="1134" w:type="dxa"/>
            <w:tcBorders>
              <w:right w:val="single" w:color="auto" w:sz="4" w:space="0"/>
            </w:tcBorders>
            <w:noWrap w:val="0"/>
            <w:vAlign w:val="center"/>
          </w:tcPr>
          <w:p w14:paraId="01C313E0">
            <w:pPr>
              <w:spacing w:line="420" w:lineRule="exact"/>
              <w:jc w:val="center"/>
              <w:rPr>
                <w:rFonts w:ascii="宋体" w:hAnsi="宋体" w:cs="宋体"/>
                <w:b/>
                <w:bCs/>
                <w:szCs w:val="22"/>
              </w:rPr>
            </w:pPr>
            <w:r>
              <w:rPr>
                <w:rFonts w:hint="eastAsia"/>
                <w:b/>
                <w:bCs/>
                <w:szCs w:val="22"/>
              </w:rPr>
              <w:t>10.00</w:t>
            </w:r>
          </w:p>
        </w:tc>
        <w:tc>
          <w:tcPr>
            <w:tcW w:w="709" w:type="dxa"/>
            <w:tcBorders>
              <w:left w:val="single" w:color="auto" w:sz="4" w:space="0"/>
              <w:right w:val="single" w:color="auto" w:sz="4" w:space="0"/>
            </w:tcBorders>
            <w:noWrap w:val="0"/>
            <w:vAlign w:val="center"/>
          </w:tcPr>
          <w:p w14:paraId="5DF0FDE1">
            <w:pPr>
              <w:spacing w:line="420" w:lineRule="exact"/>
              <w:jc w:val="center"/>
              <w:rPr>
                <w:rFonts w:ascii="宋体" w:hAnsi="宋体" w:cs="宋体"/>
                <w:b/>
                <w:bCs/>
                <w:szCs w:val="22"/>
              </w:rPr>
            </w:pPr>
            <w:r>
              <w:rPr>
                <w:rFonts w:hint="eastAsia"/>
                <w:b/>
                <w:bCs/>
                <w:szCs w:val="22"/>
              </w:rPr>
              <w:t>330</w:t>
            </w:r>
          </w:p>
        </w:tc>
        <w:tc>
          <w:tcPr>
            <w:tcW w:w="709" w:type="dxa"/>
            <w:tcBorders>
              <w:left w:val="single" w:color="auto" w:sz="4" w:space="0"/>
            </w:tcBorders>
            <w:noWrap w:val="0"/>
            <w:vAlign w:val="center"/>
          </w:tcPr>
          <w:p w14:paraId="4FE05CF2">
            <w:pPr>
              <w:spacing w:line="420" w:lineRule="exact"/>
              <w:jc w:val="center"/>
              <w:rPr>
                <w:rFonts w:ascii="宋体" w:hAnsi="宋体" w:cs="宋体"/>
                <w:b/>
                <w:bCs/>
                <w:szCs w:val="22"/>
              </w:rPr>
            </w:pPr>
            <w:r>
              <w:rPr>
                <w:rFonts w:hint="eastAsia" w:ascii="宋体" w:hAnsi="宋体" w:cs="宋体"/>
                <w:b/>
                <w:bCs/>
                <w:szCs w:val="22"/>
              </w:rPr>
              <w:t>天</w:t>
            </w:r>
          </w:p>
        </w:tc>
        <w:tc>
          <w:tcPr>
            <w:tcW w:w="1134" w:type="dxa"/>
            <w:noWrap w:val="0"/>
            <w:vAlign w:val="center"/>
          </w:tcPr>
          <w:p w14:paraId="73985DC8">
            <w:pPr>
              <w:spacing w:line="420" w:lineRule="exact"/>
              <w:jc w:val="center"/>
              <w:rPr>
                <w:rFonts w:ascii="宋体" w:hAnsi="宋体" w:cs="宋体"/>
                <w:b/>
                <w:bCs/>
                <w:szCs w:val="22"/>
              </w:rPr>
            </w:pPr>
            <w:r>
              <w:rPr>
                <w:rFonts w:hint="eastAsia"/>
                <w:b/>
                <w:bCs/>
                <w:szCs w:val="22"/>
              </w:rPr>
              <w:t>3300.00</w:t>
            </w:r>
          </w:p>
        </w:tc>
        <w:tc>
          <w:tcPr>
            <w:tcW w:w="3969" w:type="dxa"/>
            <w:noWrap w:val="0"/>
            <w:vAlign w:val="center"/>
          </w:tcPr>
          <w:p w14:paraId="35B524EC">
            <w:pPr>
              <w:spacing w:before="31" w:beforeLines="10" w:after="31" w:afterLines="10" w:line="340" w:lineRule="exact"/>
              <w:rPr>
                <w:rFonts w:ascii="宋体" w:hAnsi="宋体" w:cs="宋体"/>
                <w:sz w:val="20"/>
              </w:rPr>
            </w:pPr>
            <w:r>
              <w:rPr>
                <w:rFonts w:hint="eastAsia"/>
                <w:sz w:val="20"/>
              </w:rPr>
              <w:t>■</w:t>
            </w:r>
            <w:r>
              <w:rPr>
                <w:rFonts w:hint="eastAsia" w:ascii="宋体" w:hAnsi="宋体" w:cs="Arial"/>
                <w:kern w:val="0"/>
                <w:sz w:val="20"/>
              </w:rPr>
              <w:t>《浙江省人民政府办公厅关于进一步改善环卫工人工作生活条件促进环卫事业持续健康发展的若干意见》（浙政办发〔2009〕190号）规定，一线人员每出勤一日</w:t>
            </w:r>
            <w:r>
              <w:rPr>
                <w:rFonts w:hint="eastAsia"/>
                <w:sz w:val="20"/>
              </w:rPr>
              <w:t>特殊岗位津贴10元，一年按330天计算。</w:t>
            </w:r>
          </w:p>
        </w:tc>
      </w:tr>
      <w:tr w14:paraId="0C86A3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487" w:hRule="atLeast"/>
          <w:jc w:val="center"/>
        </w:trPr>
        <w:tc>
          <w:tcPr>
            <w:tcW w:w="709" w:type="dxa"/>
            <w:noWrap w:val="0"/>
            <w:vAlign w:val="center"/>
          </w:tcPr>
          <w:p w14:paraId="52C5E840">
            <w:pPr>
              <w:spacing w:line="420" w:lineRule="exact"/>
              <w:jc w:val="center"/>
              <w:rPr>
                <w:rFonts w:ascii="宋体" w:hAnsi="宋体" w:cs="宋体"/>
                <w:b/>
                <w:bCs/>
                <w:szCs w:val="22"/>
              </w:rPr>
            </w:pPr>
            <w:r>
              <w:rPr>
                <w:rFonts w:hint="eastAsia"/>
                <w:b/>
                <w:bCs/>
                <w:szCs w:val="22"/>
              </w:rPr>
              <w:t>6</w:t>
            </w:r>
          </w:p>
        </w:tc>
        <w:tc>
          <w:tcPr>
            <w:tcW w:w="1843" w:type="dxa"/>
            <w:noWrap w:val="0"/>
            <w:vAlign w:val="center"/>
          </w:tcPr>
          <w:p w14:paraId="09509880">
            <w:pPr>
              <w:spacing w:line="420" w:lineRule="exact"/>
              <w:jc w:val="center"/>
              <w:rPr>
                <w:rFonts w:ascii="宋体" w:hAnsi="宋体" w:cs="宋体"/>
                <w:b/>
                <w:bCs/>
                <w:szCs w:val="22"/>
              </w:rPr>
            </w:pPr>
            <w:r>
              <w:rPr>
                <w:rFonts w:hint="eastAsia"/>
                <w:b/>
                <w:bCs/>
                <w:szCs w:val="22"/>
              </w:rPr>
              <w:t>社会保障及公积金（单位缴纳部分）</w:t>
            </w:r>
          </w:p>
        </w:tc>
        <w:tc>
          <w:tcPr>
            <w:tcW w:w="1134" w:type="dxa"/>
            <w:tcBorders>
              <w:right w:val="single" w:color="auto" w:sz="4" w:space="0"/>
            </w:tcBorders>
            <w:noWrap w:val="0"/>
            <w:vAlign w:val="center"/>
          </w:tcPr>
          <w:p w14:paraId="292E8886">
            <w:pPr>
              <w:jc w:val="center"/>
              <w:rPr>
                <w:rFonts w:hint="default" w:ascii="宋体" w:hAnsi="宋体" w:eastAsia="宋体" w:cs="宋体"/>
                <w:b/>
                <w:bCs/>
                <w:szCs w:val="22"/>
                <w:lang w:val="en-US" w:eastAsia="zh-CN"/>
              </w:rPr>
            </w:pPr>
            <w:r>
              <w:rPr>
                <w:rFonts w:hint="eastAsia"/>
                <w:b/>
                <w:bCs/>
                <w:szCs w:val="22"/>
                <w:lang w:val="en-US" w:eastAsia="zh-CN"/>
              </w:rPr>
              <w:t>1129.76</w:t>
            </w:r>
          </w:p>
        </w:tc>
        <w:tc>
          <w:tcPr>
            <w:tcW w:w="709" w:type="dxa"/>
            <w:tcBorders>
              <w:left w:val="single" w:color="auto" w:sz="4" w:space="0"/>
              <w:right w:val="single" w:color="auto" w:sz="4" w:space="0"/>
            </w:tcBorders>
            <w:noWrap w:val="0"/>
            <w:vAlign w:val="center"/>
          </w:tcPr>
          <w:p w14:paraId="00C32A83">
            <w:pPr>
              <w:jc w:val="center"/>
              <w:rPr>
                <w:rFonts w:ascii="宋体" w:hAnsi="宋体" w:cs="宋体"/>
                <w:b/>
                <w:bCs/>
                <w:szCs w:val="22"/>
              </w:rPr>
            </w:pPr>
            <w:r>
              <w:rPr>
                <w:rFonts w:hint="eastAsia"/>
                <w:b/>
                <w:bCs/>
                <w:szCs w:val="22"/>
              </w:rPr>
              <w:t>12</w:t>
            </w:r>
          </w:p>
        </w:tc>
        <w:tc>
          <w:tcPr>
            <w:tcW w:w="709" w:type="dxa"/>
            <w:tcBorders>
              <w:left w:val="single" w:color="auto" w:sz="4" w:space="0"/>
            </w:tcBorders>
            <w:noWrap w:val="0"/>
            <w:vAlign w:val="center"/>
          </w:tcPr>
          <w:p w14:paraId="12D3063D">
            <w:pPr>
              <w:jc w:val="center"/>
              <w:rPr>
                <w:rFonts w:ascii="宋体" w:hAnsi="宋体" w:cs="宋体"/>
                <w:b/>
                <w:bCs/>
                <w:szCs w:val="22"/>
              </w:rPr>
            </w:pPr>
            <w:r>
              <w:rPr>
                <w:rFonts w:hint="eastAsia" w:ascii="宋体" w:hAnsi="宋体" w:cs="宋体"/>
                <w:b/>
                <w:bCs/>
                <w:szCs w:val="22"/>
              </w:rPr>
              <w:t>月</w:t>
            </w:r>
          </w:p>
        </w:tc>
        <w:tc>
          <w:tcPr>
            <w:tcW w:w="1134" w:type="dxa"/>
            <w:noWrap w:val="0"/>
            <w:vAlign w:val="center"/>
          </w:tcPr>
          <w:p w14:paraId="01C0F9A7">
            <w:pPr>
              <w:jc w:val="center"/>
              <w:rPr>
                <w:rFonts w:hint="default" w:ascii="宋体" w:hAnsi="宋体" w:eastAsia="宋体" w:cs="宋体"/>
                <w:b/>
                <w:bCs/>
                <w:szCs w:val="22"/>
                <w:lang w:val="en-US" w:eastAsia="zh-CN"/>
              </w:rPr>
            </w:pPr>
            <w:r>
              <w:rPr>
                <w:rFonts w:hint="eastAsia"/>
                <w:b/>
                <w:bCs/>
                <w:szCs w:val="22"/>
              </w:rPr>
              <w:t>1</w:t>
            </w:r>
            <w:r>
              <w:rPr>
                <w:rFonts w:hint="eastAsia"/>
                <w:b/>
                <w:bCs/>
                <w:szCs w:val="22"/>
                <w:lang w:val="en-US" w:eastAsia="zh-CN"/>
              </w:rPr>
              <w:t>3557.12</w:t>
            </w:r>
          </w:p>
        </w:tc>
        <w:tc>
          <w:tcPr>
            <w:tcW w:w="3969" w:type="dxa"/>
            <w:noWrap w:val="0"/>
            <w:vAlign w:val="center"/>
          </w:tcPr>
          <w:p w14:paraId="6DB46BD3">
            <w:pPr>
              <w:spacing w:before="31" w:beforeLines="10" w:after="31" w:afterLines="10" w:line="340" w:lineRule="exact"/>
              <w:rPr>
                <w:rFonts w:hint="eastAsia" w:ascii="宋体" w:hAnsi="宋体" w:eastAsia="宋体" w:cs="Arial"/>
                <w:kern w:val="0"/>
                <w:sz w:val="20"/>
                <w:lang w:eastAsia="zh-CN"/>
              </w:rPr>
            </w:pPr>
            <w:r>
              <w:rPr>
                <w:rFonts w:hint="eastAsia" w:ascii="宋体" w:hAnsi="宋体" w:cs="Arial"/>
                <w:kern w:val="0"/>
                <w:sz w:val="20"/>
              </w:rPr>
              <w:t>■根据劳动合同法规定，依法签订正式劳动合同，依法缴纳各项社会保障及公积金。</w:t>
            </w:r>
          </w:p>
          <w:p w14:paraId="1F630DD4">
            <w:pPr>
              <w:spacing w:before="31" w:beforeLines="10" w:after="31" w:afterLines="10" w:line="340" w:lineRule="exact"/>
              <w:rPr>
                <w:rFonts w:ascii="宋体" w:hAnsi="宋体" w:cs="Arial"/>
                <w:sz w:val="20"/>
              </w:rPr>
            </w:pPr>
            <w:r>
              <w:rPr>
                <w:rFonts w:hint="eastAsia" w:ascii="宋体" w:hAnsi="宋体" w:cs="Arial"/>
                <w:kern w:val="0"/>
                <w:sz w:val="20"/>
              </w:rPr>
              <w:t>■</w:t>
            </w:r>
            <w:r>
              <w:rPr>
                <w:rFonts w:hint="eastAsia" w:ascii="宋体" w:hAnsi="宋体" w:cs="Arial"/>
                <w:sz w:val="20"/>
              </w:rPr>
              <w:t>参照当地社会保险缴费标准缴纳养老、失业、工伤、生育、医疗保险。</w:t>
            </w:r>
          </w:p>
        </w:tc>
      </w:tr>
      <w:tr w14:paraId="118DF10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09" w:type="dxa"/>
            <w:noWrap w:val="0"/>
            <w:vAlign w:val="center"/>
          </w:tcPr>
          <w:p w14:paraId="57E86C15">
            <w:pPr>
              <w:widowControl/>
              <w:spacing w:line="420" w:lineRule="exact"/>
              <w:jc w:val="center"/>
              <w:rPr>
                <w:rFonts w:hint="eastAsia" w:ascii="Times New Roman" w:hAnsi="Times New Roman" w:eastAsia="宋体" w:cs="Times New Roman"/>
                <w:b/>
                <w:bCs/>
                <w:kern w:val="2"/>
                <w:sz w:val="22"/>
                <w:szCs w:val="22"/>
                <w:lang w:val="en-US" w:eastAsia="zh-CN" w:bidi="ar-SA"/>
              </w:rPr>
            </w:pPr>
            <w:r>
              <w:rPr>
                <w:rFonts w:hint="eastAsia"/>
                <w:b/>
                <w:bCs/>
                <w:szCs w:val="22"/>
              </w:rPr>
              <w:t>7</w:t>
            </w:r>
          </w:p>
        </w:tc>
        <w:tc>
          <w:tcPr>
            <w:tcW w:w="1843" w:type="dxa"/>
            <w:noWrap w:val="0"/>
            <w:vAlign w:val="center"/>
          </w:tcPr>
          <w:p w14:paraId="473D8C00">
            <w:pPr>
              <w:spacing w:line="420" w:lineRule="exact"/>
              <w:jc w:val="center"/>
              <w:rPr>
                <w:rFonts w:ascii="Times New Roman" w:hAnsi="Times New Roman" w:eastAsia="宋体" w:cs="Times New Roman"/>
                <w:b/>
                <w:bCs/>
                <w:kern w:val="2"/>
                <w:sz w:val="22"/>
                <w:szCs w:val="22"/>
                <w:lang w:val="en-US" w:eastAsia="zh-CN" w:bidi="ar-SA"/>
              </w:rPr>
            </w:pPr>
            <w:r>
              <w:rPr>
                <w:b/>
                <w:bCs/>
                <w:szCs w:val="22"/>
              </w:rPr>
              <w:t>人身意外伤害险</w:t>
            </w:r>
          </w:p>
        </w:tc>
        <w:tc>
          <w:tcPr>
            <w:tcW w:w="3686" w:type="dxa"/>
            <w:gridSpan w:val="4"/>
            <w:noWrap w:val="0"/>
            <w:vAlign w:val="center"/>
          </w:tcPr>
          <w:p w14:paraId="210DFC2E">
            <w:pPr>
              <w:widowControl/>
              <w:spacing w:line="420" w:lineRule="exact"/>
              <w:jc w:val="center"/>
              <w:rPr>
                <w:rFonts w:hint="eastAsia" w:ascii="Times New Roman" w:hAnsi="Times New Roman" w:eastAsia="宋体" w:cs="Times New Roman"/>
                <w:b/>
                <w:bCs/>
                <w:kern w:val="2"/>
                <w:sz w:val="22"/>
                <w:szCs w:val="22"/>
                <w:lang w:val="en-US" w:eastAsia="zh-CN" w:bidi="ar-SA"/>
              </w:rPr>
            </w:pPr>
            <w:r>
              <w:rPr>
                <w:rFonts w:hint="eastAsia"/>
                <w:b/>
                <w:bCs/>
                <w:szCs w:val="22"/>
              </w:rPr>
              <w:t>420.00元/人/年</w:t>
            </w:r>
          </w:p>
        </w:tc>
        <w:tc>
          <w:tcPr>
            <w:tcW w:w="3969" w:type="dxa"/>
            <w:noWrap w:val="0"/>
            <w:vAlign w:val="center"/>
          </w:tcPr>
          <w:p w14:paraId="1DCD33FA">
            <w:pPr>
              <w:widowControl/>
              <w:spacing w:before="10" w:after="10" w:line="340" w:lineRule="exact"/>
              <w:jc w:val="left"/>
              <w:rPr>
                <w:rFonts w:ascii="Times New Roman" w:hAnsi="Times New Roman" w:eastAsia="宋体" w:cs="Times New Roman"/>
                <w:b/>
                <w:bCs/>
                <w:kern w:val="2"/>
                <w:sz w:val="22"/>
                <w:szCs w:val="22"/>
                <w:lang w:val="en-US" w:eastAsia="zh-CN" w:bidi="ar-SA"/>
              </w:rPr>
            </w:pPr>
            <w:r>
              <w:rPr>
                <w:b/>
                <w:bCs/>
                <w:szCs w:val="22"/>
              </w:rPr>
              <w:t>保额不低于50万（死亡、残疾）</w:t>
            </w:r>
          </w:p>
        </w:tc>
      </w:tr>
      <w:tr w14:paraId="5A53B9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09" w:type="dxa"/>
            <w:noWrap w:val="0"/>
            <w:vAlign w:val="center"/>
          </w:tcPr>
          <w:p w14:paraId="21C7BB82">
            <w:pPr>
              <w:widowControl/>
              <w:spacing w:line="420" w:lineRule="exact"/>
              <w:jc w:val="center"/>
              <w:rPr>
                <w:rFonts w:hint="eastAsia" w:eastAsia="宋体"/>
                <w:b/>
                <w:bCs/>
                <w:szCs w:val="22"/>
                <w:lang w:eastAsia="zh-CN"/>
              </w:rPr>
            </w:pPr>
            <w:r>
              <w:rPr>
                <w:rFonts w:hint="eastAsia"/>
                <w:b/>
                <w:bCs/>
                <w:szCs w:val="22"/>
                <w:lang w:val="en-US" w:eastAsia="zh-CN"/>
              </w:rPr>
              <w:t>8</w:t>
            </w:r>
          </w:p>
        </w:tc>
        <w:tc>
          <w:tcPr>
            <w:tcW w:w="1843" w:type="dxa"/>
            <w:noWrap w:val="0"/>
            <w:vAlign w:val="center"/>
          </w:tcPr>
          <w:p w14:paraId="60C41BA8">
            <w:pPr>
              <w:spacing w:line="420" w:lineRule="exact"/>
              <w:jc w:val="center"/>
              <w:rPr>
                <w:rFonts w:hint="default" w:eastAsia="宋体"/>
                <w:b/>
                <w:bCs/>
                <w:szCs w:val="22"/>
                <w:lang w:val="en-US" w:eastAsia="zh-CN"/>
              </w:rPr>
            </w:pPr>
            <w:r>
              <w:rPr>
                <w:rFonts w:hint="eastAsia"/>
                <w:b/>
                <w:bCs/>
                <w:szCs w:val="22"/>
                <w:lang w:val="en-US" w:eastAsia="zh-CN"/>
              </w:rPr>
              <w:t>保洁工具费、劳保用品、作业服</w:t>
            </w:r>
          </w:p>
        </w:tc>
        <w:tc>
          <w:tcPr>
            <w:tcW w:w="3686" w:type="dxa"/>
            <w:gridSpan w:val="4"/>
            <w:noWrap w:val="0"/>
            <w:vAlign w:val="center"/>
          </w:tcPr>
          <w:p w14:paraId="6C57B13F">
            <w:pPr>
              <w:widowControl/>
              <w:spacing w:line="420" w:lineRule="exact"/>
              <w:jc w:val="center"/>
              <w:rPr>
                <w:rFonts w:hint="eastAsia" w:eastAsia="宋体"/>
                <w:b/>
                <w:bCs/>
                <w:szCs w:val="22"/>
                <w:lang w:eastAsia="zh-CN"/>
              </w:rPr>
            </w:pPr>
            <w:r>
              <w:rPr>
                <w:rFonts w:hint="eastAsia"/>
                <w:b/>
                <w:bCs/>
                <w:szCs w:val="22"/>
                <w:lang w:val="en-US" w:eastAsia="zh-CN"/>
              </w:rPr>
              <w:t>根据实际报价</w:t>
            </w:r>
          </w:p>
        </w:tc>
        <w:tc>
          <w:tcPr>
            <w:tcW w:w="3969" w:type="dxa"/>
            <w:noWrap w:val="0"/>
            <w:vAlign w:val="center"/>
          </w:tcPr>
          <w:p w14:paraId="58461F15">
            <w:pPr>
              <w:widowControl/>
              <w:spacing w:before="10" w:after="10" w:line="340" w:lineRule="exact"/>
              <w:jc w:val="left"/>
              <w:rPr>
                <w:rFonts w:hint="default" w:eastAsia="宋体"/>
                <w:b/>
                <w:bCs/>
                <w:szCs w:val="22"/>
                <w:lang w:val="en-US" w:eastAsia="zh-CN"/>
              </w:rPr>
            </w:pPr>
            <w:r>
              <w:rPr>
                <w:rFonts w:hint="eastAsia"/>
                <w:sz w:val="20"/>
              </w:rPr>
              <w:t>■</w:t>
            </w:r>
            <w:r>
              <w:rPr>
                <w:rFonts w:hint="eastAsia" w:ascii="宋体" w:hAnsi="宋体" w:cs="Arial"/>
                <w:sz w:val="20"/>
                <w:lang w:val="en-US" w:eastAsia="zh-CN"/>
              </w:rPr>
              <w:t>扫帚、畚斗、毛巾、肥皂、符合环卫安全标准的作业服（春装一套、夏装两套、秋装一套、冬装一套、雨天工作服一套）、反光背心一件、雨鞋一双、帽二顶。</w:t>
            </w:r>
          </w:p>
        </w:tc>
      </w:tr>
      <w:tr w14:paraId="51853F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552" w:type="dxa"/>
            <w:gridSpan w:val="2"/>
            <w:noWrap w:val="0"/>
            <w:vAlign w:val="center"/>
          </w:tcPr>
          <w:p w14:paraId="2825211B">
            <w:pPr>
              <w:spacing w:line="420" w:lineRule="exact"/>
              <w:jc w:val="center"/>
              <w:rPr>
                <w:rFonts w:hint="default"/>
                <w:b/>
                <w:bCs/>
                <w:szCs w:val="22"/>
                <w:lang w:val="en-US" w:eastAsia="zh-CN"/>
              </w:rPr>
            </w:pPr>
            <w:r>
              <w:rPr>
                <w:rFonts w:hint="eastAsia"/>
                <w:b/>
                <w:bCs/>
                <w:szCs w:val="22"/>
                <w:lang w:val="en-US" w:eastAsia="zh-CN"/>
              </w:rPr>
              <w:t>合计（元/人/年）</w:t>
            </w:r>
          </w:p>
        </w:tc>
        <w:tc>
          <w:tcPr>
            <w:tcW w:w="3686" w:type="dxa"/>
            <w:gridSpan w:val="4"/>
            <w:noWrap w:val="0"/>
            <w:vAlign w:val="center"/>
          </w:tcPr>
          <w:p w14:paraId="60DB97EE">
            <w:pPr>
              <w:widowControl/>
              <w:spacing w:line="420" w:lineRule="exact"/>
              <w:jc w:val="center"/>
              <w:rPr>
                <w:rFonts w:hint="default"/>
                <w:b/>
                <w:bCs/>
                <w:szCs w:val="22"/>
                <w:lang w:val="en-US" w:eastAsia="zh-CN"/>
              </w:rPr>
            </w:pPr>
            <w:r>
              <w:rPr>
                <w:rFonts w:hint="eastAsia"/>
                <w:b/>
                <w:bCs/>
                <w:szCs w:val="22"/>
                <w:lang w:val="en-US" w:eastAsia="zh-CN"/>
              </w:rPr>
              <w:t>51405.23</w:t>
            </w:r>
          </w:p>
        </w:tc>
        <w:tc>
          <w:tcPr>
            <w:tcW w:w="3969" w:type="dxa"/>
            <w:noWrap w:val="0"/>
            <w:vAlign w:val="center"/>
          </w:tcPr>
          <w:p w14:paraId="5D575C57">
            <w:pPr>
              <w:widowControl/>
              <w:spacing w:before="10" w:after="10" w:line="340" w:lineRule="exact"/>
              <w:jc w:val="left"/>
              <w:rPr>
                <w:rFonts w:hint="eastAsia"/>
                <w:sz w:val="20"/>
              </w:rPr>
            </w:pPr>
          </w:p>
        </w:tc>
      </w:tr>
      <w:tr w14:paraId="4FA3186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10207" w:type="dxa"/>
            <w:gridSpan w:val="7"/>
            <w:noWrap w:val="0"/>
            <w:vAlign w:val="center"/>
          </w:tcPr>
          <w:p w14:paraId="7D86C131">
            <w:pPr>
              <w:autoSpaceDE w:val="0"/>
              <w:autoSpaceDN w:val="0"/>
              <w:adjustRightInd w:val="0"/>
              <w:spacing w:line="420" w:lineRule="exact"/>
              <w:jc w:val="left"/>
              <w:rPr>
                <w:rFonts w:ascii="宋体" w:hAnsi="宋体" w:cs="宋体"/>
                <w:b/>
                <w:kern w:val="0"/>
                <w:sz w:val="20"/>
              </w:rPr>
            </w:pPr>
            <w:r>
              <w:rPr>
                <w:rFonts w:ascii="宋体" w:hAnsi="宋体"/>
                <w:szCs w:val="22"/>
              </w:rPr>
              <w:t>▲</w:t>
            </w:r>
            <w:r>
              <w:rPr>
                <w:rFonts w:ascii="宋体" w:hAnsi="宋体"/>
                <w:b/>
                <w:szCs w:val="22"/>
              </w:rPr>
              <w:t xml:space="preserve">备注：本表所列的报价为最低标准，为保障人员的合法权益及工作质量，投标供应商在填报人员报价时不得低于上表列明的标准，否则投标无效。 </w:t>
            </w:r>
          </w:p>
        </w:tc>
      </w:tr>
    </w:tbl>
    <w:p w14:paraId="2D9E5396">
      <w:pPr>
        <w:pStyle w:val="52"/>
        <w:spacing w:line="420" w:lineRule="exact"/>
        <w:jc w:val="left"/>
        <w:rPr>
          <w:rFonts w:hint="eastAsia" w:ascii="宋体" w:hAnsi="宋体" w:cs="宋体"/>
          <w:b/>
          <w:kern w:val="0"/>
          <w:sz w:val="24"/>
          <w:lang w:val="en-US" w:eastAsia="zh-CN"/>
        </w:rPr>
      </w:pPr>
    </w:p>
    <w:p w14:paraId="67192419">
      <w:pPr>
        <w:pStyle w:val="52"/>
        <w:spacing w:line="420" w:lineRule="exact"/>
        <w:jc w:val="left"/>
        <w:rPr>
          <w:rFonts w:hint="eastAsia" w:ascii="宋体" w:hAnsi="宋体" w:cs="宋体"/>
          <w:b/>
          <w:kern w:val="0"/>
          <w:sz w:val="24"/>
          <w:lang w:val="en-US" w:eastAsia="zh-CN"/>
        </w:rPr>
      </w:pPr>
    </w:p>
    <w:p w14:paraId="1AB3B54A">
      <w:pPr>
        <w:pStyle w:val="2"/>
        <w:rPr>
          <w:rFonts w:hint="eastAsia"/>
          <w:lang w:val="en-US" w:eastAsia="zh-CN"/>
        </w:rPr>
      </w:pPr>
    </w:p>
    <w:p w14:paraId="51F859E0">
      <w:pPr>
        <w:pStyle w:val="52"/>
        <w:spacing w:line="420" w:lineRule="exact"/>
        <w:jc w:val="left"/>
        <w:rPr>
          <w:rFonts w:hint="eastAsia" w:ascii="宋体" w:hAnsi="宋体" w:eastAsia="宋体" w:cs="宋体"/>
          <w:b/>
          <w:sz w:val="28"/>
          <w:szCs w:val="24"/>
        </w:rPr>
      </w:pPr>
      <w:r>
        <w:rPr>
          <w:rFonts w:hint="eastAsia" w:ascii="宋体" w:hAnsi="宋体" w:cs="宋体"/>
          <w:b/>
          <w:kern w:val="0"/>
          <w:sz w:val="24"/>
          <w:lang w:val="en-US" w:eastAsia="zh-CN"/>
        </w:rPr>
        <w:t>4</w:t>
      </w:r>
      <w:r>
        <w:rPr>
          <w:rFonts w:hint="eastAsia" w:ascii="宋体" w:hAnsi="宋体" w:cs="宋体"/>
          <w:b/>
          <w:kern w:val="0"/>
          <w:sz w:val="28"/>
          <w:szCs w:val="28"/>
        </w:rPr>
        <w:t>、</w:t>
      </w:r>
      <w:r>
        <w:rPr>
          <w:rFonts w:hint="eastAsia" w:ascii="宋体" w:hAnsi="宋体" w:eastAsia="宋体" w:cs="宋体"/>
          <w:b/>
          <w:sz w:val="28"/>
          <w:szCs w:val="24"/>
        </w:rPr>
        <w:t>各类作业车辆、船及设备成本费用</w:t>
      </w:r>
    </w:p>
    <w:p w14:paraId="663C56B6">
      <w:pPr>
        <w:keepNext w:val="0"/>
        <w:keepLines w:val="0"/>
        <w:pageBreakBefore w:val="0"/>
        <w:widowControl w:val="0"/>
        <w:kinsoku/>
        <w:wordWrap/>
        <w:overflowPunct/>
        <w:topLinePunct w:val="0"/>
        <w:autoSpaceDE/>
        <w:autoSpaceDN/>
        <w:bidi w:val="0"/>
        <w:adjustRightInd/>
        <w:snapToGrid/>
        <w:spacing w:line="23" w:lineRule="atLeast"/>
        <w:jc w:val="center"/>
        <w:textAlignment w:val="auto"/>
        <w:rPr>
          <w:rFonts w:hint="eastAsia"/>
        </w:rPr>
      </w:pPr>
      <w:r>
        <w:rPr>
          <w:rFonts w:hint="eastAsia" w:ascii="宋体" w:hAnsi="宋体" w:eastAsia="宋体" w:cs="宋体"/>
          <w:b/>
          <w:sz w:val="28"/>
          <w:szCs w:val="24"/>
        </w:rPr>
        <w:t>各类作业车辆、船及设备成本费用表</w:t>
      </w:r>
    </w:p>
    <w:tbl>
      <w:tblPr>
        <w:tblStyle w:val="32"/>
        <w:tblW w:w="99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57" w:type="dxa"/>
          <w:bottom w:w="57" w:type="dxa"/>
          <w:right w:w="57" w:type="dxa"/>
        </w:tblCellMar>
      </w:tblPr>
      <w:tblGrid>
        <w:gridCol w:w="542"/>
        <w:gridCol w:w="2198"/>
        <w:gridCol w:w="1245"/>
        <w:gridCol w:w="1440"/>
        <w:gridCol w:w="4510"/>
      </w:tblGrid>
      <w:tr w14:paraId="1F11C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525" w:hRule="atLeast"/>
          <w:jc w:val="center"/>
        </w:trPr>
        <w:tc>
          <w:tcPr>
            <w:tcW w:w="542" w:type="dxa"/>
            <w:tcBorders>
              <w:top w:val="double" w:color="auto" w:sz="6" w:space="0"/>
              <w:left w:val="double" w:color="auto" w:sz="6" w:space="0"/>
              <w:bottom w:val="single" w:color="auto" w:sz="4" w:space="0"/>
              <w:right w:val="single" w:color="auto" w:sz="4" w:space="0"/>
            </w:tcBorders>
            <w:shd w:val="clear" w:color="auto" w:fill="B6DDE8"/>
            <w:noWrap w:val="0"/>
            <w:vAlign w:val="bottom"/>
          </w:tcPr>
          <w:p w14:paraId="18D29C8C">
            <w:pPr>
              <w:spacing w:line="250" w:lineRule="exact"/>
              <w:jc w:val="center"/>
              <w:rPr>
                <w:rFonts w:hint="eastAsia" w:ascii="宋体" w:hAnsi="宋体" w:eastAsia="宋体" w:cs="宋体"/>
                <w:b/>
                <w:w w:val="99"/>
                <w:sz w:val="22"/>
                <w:szCs w:val="22"/>
              </w:rPr>
            </w:pPr>
            <w:r>
              <w:rPr>
                <w:rFonts w:hint="eastAsia" w:ascii="宋体" w:hAnsi="宋体" w:eastAsia="宋体" w:cs="宋体"/>
                <w:b/>
                <w:w w:val="99"/>
                <w:sz w:val="22"/>
                <w:szCs w:val="22"/>
              </w:rPr>
              <w:t>序</w:t>
            </w:r>
          </w:p>
          <w:p w14:paraId="7C5A5AC6">
            <w:pPr>
              <w:spacing w:line="250" w:lineRule="exact"/>
              <w:jc w:val="center"/>
              <w:rPr>
                <w:rFonts w:hint="eastAsia" w:ascii="宋体" w:hAnsi="宋体" w:eastAsia="宋体" w:cs="宋体"/>
                <w:b/>
                <w:w w:val="99"/>
                <w:sz w:val="22"/>
                <w:szCs w:val="22"/>
              </w:rPr>
            </w:pPr>
            <w:r>
              <w:rPr>
                <w:rFonts w:hint="eastAsia" w:ascii="宋体" w:hAnsi="宋体" w:eastAsia="宋体" w:cs="宋体"/>
                <w:b/>
                <w:w w:val="99"/>
                <w:sz w:val="22"/>
                <w:szCs w:val="22"/>
              </w:rPr>
              <w:t>号</w:t>
            </w:r>
          </w:p>
        </w:tc>
        <w:tc>
          <w:tcPr>
            <w:tcW w:w="2198" w:type="dxa"/>
            <w:tcBorders>
              <w:top w:val="double" w:color="auto" w:sz="6" w:space="0"/>
              <w:left w:val="single" w:color="auto" w:sz="4" w:space="0"/>
              <w:bottom w:val="single" w:color="auto" w:sz="4" w:space="0"/>
              <w:right w:val="single" w:color="auto" w:sz="4" w:space="0"/>
            </w:tcBorders>
            <w:shd w:val="clear" w:color="auto" w:fill="B6DDE8"/>
            <w:noWrap w:val="0"/>
            <w:vAlign w:val="center"/>
          </w:tcPr>
          <w:p w14:paraId="6BB1AA64">
            <w:pPr>
              <w:spacing w:line="239" w:lineRule="auto"/>
              <w:jc w:val="center"/>
              <w:rPr>
                <w:rFonts w:hint="eastAsia" w:ascii="宋体" w:hAnsi="宋体" w:eastAsia="宋体" w:cs="宋体"/>
                <w:b/>
                <w:bCs w:val="0"/>
                <w:sz w:val="22"/>
                <w:szCs w:val="22"/>
              </w:rPr>
            </w:pPr>
            <w:r>
              <w:rPr>
                <w:rFonts w:hint="eastAsia" w:ascii="宋体" w:hAnsi="宋体" w:eastAsia="宋体" w:cs="宋体"/>
                <w:b/>
                <w:bCs w:val="0"/>
                <w:sz w:val="22"/>
                <w:szCs w:val="22"/>
              </w:rPr>
              <w:t>车辆、船及设备种类</w:t>
            </w:r>
          </w:p>
        </w:tc>
        <w:tc>
          <w:tcPr>
            <w:tcW w:w="2685" w:type="dxa"/>
            <w:gridSpan w:val="2"/>
            <w:tcBorders>
              <w:top w:val="double" w:color="auto" w:sz="6" w:space="0"/>
              <w:left w:val="single" w:color="auto" w:sz="4" w:space="0"/>
              <w:bottom w:val="single" w:color="auto" w:sz="4" w:space="0"/>
              <w:right w:val="single" w:color="auto" w:sz="4" w:space="0"/>
            </w:tcBorders>
            <w:shd w:val="clear" w:color="auto" w:fill="B6DDE8"/>
            <w:noWrap w:val="0"/>
            <w:vAlign w:val="center"/>
          </w:tcPr>
          <w:p w14:paraId="556D4935">
            <w:pPr>
              <w:spacing w:line="239" w:lineRule="auto"/>
              <w:jc w:val="center"/>
              <w:rPr>
                <w:rFonts w:hint="eastAsia" w:ascii="宋体" w:hAnsi="宋体" w:eastAsia="宋体" w:cs="宋体"/>
                <w:b/>
                <w:bCs w:val="0"/>
                <w:sz w:val="22"/>
                <w:szCs w:val="22"/>
              </w:rPr>
            </w:pPr>
            <w:r>
              <w:rPr>
                <w:rFonts w:hint="eastAsia" w:ascii="宋体" w:hAnsi="宋体" w:eastAsia="宋体" w:cs="宋体"/>
                <w:b/>
                <w:bCs w:val="0"/>
                <w:sz w:val="22"/>
                <w:szCs w:val="22"/>
              </w:rPr>
              <w:t>年成本费用</w:t>
            </w:r>
          </w:p>
        </w:tc>
        <w:tc>
          <w:tcPr>
            <w:tcW w:w="4510" w:type="dxa"/>
            <w:tcBorders>
              <w:top w:val="double" w:color="auto" w:sz="6" w:space="0"/>
              <w:left w:val="single" w:color="auto" w:sz="4" w:space="0"/>
              <w:bottom w:val="single" w:color="auto" w:sz="4" w:space="0"/>
              <w:right w:val="double" w:color="auto" w:sz="6" w:space="0"/>
            </w:tcBorders>
            <w:shd w:val="clear" w:color="auto" w:fill="B6DDE8"/>
            <w:noWrap w:val="0"/>
            <w:vAlign w:val="center"/>
          </w:tcPr>
          <w:p w14:paraId="039DB6C9">
            <w:pPr>
              <w:spacing w:line="239" w:lineRule="auto"/>
              <w:ind w:firstLine="442" w:firstLineChars="200"/>
              <w:jc w:val="center"/>
              <w:rPr>
                <w:rFonts w:hint="eastAsia" w:ascii="宋体" w:hAnsi="宋体" w:eastAsia="宋体" w:cs="宋体"/>
                <w:b/>
                <w:bCs w:val="0"/>
                <w:sz w:val="22"/>
                <w:szCs w:val="22"/>
              </w:rPr>
            </w:pPr>
            <w:r>
              <w:rPr>
                <w:rFonts w:hint="eastAsia" w:ascii="宋体" w:hAnsi="宋体" w:eastAsia="宋体" w:cs="宋体"/>
                <w:b/>
                <w:bCs w:val="0"/>
                <w:sz w:val="22"/>
                <w:szCs w:val="22"/>
              </w:rPr>
              <w:t>说明</w:t>
            </w:r>
          </w:p>
        </w:tc>
      </w:tr>
      <w:tr w14:paraId="2EBD4B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40"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2D23BB2A">
            <w:pPr>
              <w:spacing w:line="24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16EFB3AC">
            <w:pPr>
              <w:spacing w:line="240" w:lineRule="auto"/>
              <w:jc w:val="center"/>
              <w:rPr>
                <w:rFonts w:hint="eastAsia" w:ascii="宋体" w:hAnsi="宋体" w:eastAsia="宋体" w:cs="宋体"/>
                <w:b w:val="0"/>
                <w:bCs/>
                <w:sz w:val="22"/>
                <w:szCs w:val="22"/>
              </w:rPr>
            </w:pPr>
            <w:r>
              <w:rPr>
                <w:rFonts w:hint="eastAsia" w:ascii="宋体" w:hAnsi="宋体" w:eastAsia="宋体" w:cs="宋体"/>
                <w:b w:val="0"/>
                <w:bCs/>
                <w:w w:val="90"/>
                <w:sz w:val="22"/>
                <w:szCs w:val="22"/>
              </w:rPr>
              <w:t>三轮垃圾收集车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B7FDFEF">
            <w:pPr>
              <w:spacing w:line="240" w:lineRule="auto"/>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3000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76E861">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元/辆/年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274933F2">
            <w:pPr>
              <w:spacing w:line="240" w:lineRule="auto"/>
              <w:jc w:val="both"/>
              <w:rPr>
                <w:rFonts w:hint="eastAsia" w:ascii="宋体" w:hAnsi="宋体" w:eastAsia="宋体" w:cs="宋体"/>
                <w:bCs/>
                <w:sz w:val="22"/>
                <w:szCs w:val="22"/>
              </w:rPr>
            </w:pPr>
            <w:r>
              <w:rPr>
                <w:rFonts w:hint="eastAsia" w:ascii="宋体" w:hAnsi="宋体" w:eastAsia="宋体" w:cs="宋体"/>
                <w:bCs/>
                <w:sz w:val="22"/>
                <w:szCs w:val="22"/>
              </w:rPr>
              <w:t>由中标（成交）供应商自行配置（含所有费用）；</w:t>
            </w:r>
          </w:p>
        </w:tc>
      </w:tr>
      <w:tr w14:paraId="492B2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40"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7EB27DB5">
            <w:pPr>
              <w:spacing w:line="24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5668D977">
            <w:pPr>
              <w:spacing w:line="240" w:lineRule="auto"/>
              <w:jc w:val="center"/>
              <w:rPr>
                <w:rFonts w:hint="eastAsia" w:ascii="宋体" w:hAnsi="宋体" w:eastAsia="宋体" w:cs="宋体"/>
                <w:b w:val="0"/>
                <w:bCs/>
                <w:w w:val="90"/>
                <w:sz w:val="22"/>
                <w:szCs w:val="22"/>
              </w:rPr>
            </w:pPr>
            <w:r>
              <w:rPr>
                <w:rFonts w:hint="eastAsia" w:ascii="宋体" w:hAnsi="宋体" w:eastAsia="宋体" w:cs="宋体"/>
                <w:b w:val="0"/>
                <w:bCs/>
                <w:w w:val="90"/>
                <w:sz w:val="22"/>
                <w:szCs w:val="22"/>
              </w:rPr>
              <w:t>垃圾压缩式收集车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C92E110">
            <w:pPr>
              <w:spacing w:line="240" w:lineRule="auto"/>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40000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386328F">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元/辆/年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624FE3B1">
            <w:pPr>
              <w:spacing w:line="240" w:lineRule="auto"/>
              <w:jc w:val="both"/>
              <w:rPr>
                <w:rFonts w:hint="eastAsia" w:ascii="宋体" w:hAnsi="宋体" w:eastAsia="宋体" w:cs="宋体"/>
                <w:bCs/>
                <w:sz w:val="22"/>
                <w:szCs w:val="22"/>
              </w:rPr>
            </w:pPr>
            <w:r>
              <w:rPr>
                <w:rFonts w:hint="eastAsia" w:ascii="宋体" w:hAnsi="宋体" w:eastAsia="宋体" w:cs="宋体"/>
                <w:b/>
                <w:bCs/>
                <w:sz w:val="22"/>
                <w:szCs w:val="22"/>
              </w:rPr>
              <w:t>由采购人提供（免租金）</w:t>
            </w:r>
            <w:r>
              <w:rPr>
                <w:rFonts w:hint="eastAsia" w:ascii="宋体" w:hAnsi="宋体" w:eastAsia="宋体" w:cs="宋体"/>
                <w:bCs/>
                <w:sz w:val="22"/>
                <w:szCs w:val="22"/>
              </w:rPr>
              <w:t>（含所有费用）；</w:t>
            </w:r>
          </w:p>
        </w:tc>
      </w:tr>
      <w:tr w14:paraId="5EC401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40"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056BBD02">
            <w:pPr>
              <w:spacing w:line="24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051E2E26">
            <w:pPr>
              <w:spacing w:line="240" w:lineRule="auto"/>
              <w:jc w:val="center"/>
              <w:rPr>
                <w:rFonts w:hint="eastAsia" w:ascii="宋体" w:hAnsi="宋体" w:eastAsia="宋体" w:cs="宋体"/>
                <w:b w:val="0"/>
                <w:bCs/>
                <w:w w:val="90"/>
                <w:sz w:val="22"/>
                <w:szCs w:val="22"/>
              </w:rPr>
            </w:pPr>
            <w:r>
              <w:rPr>
                <w:rFonts w:hint="eastAsia" w:ascii="宋体" w:hAnsi="宋体" w:eastAsia="宋体" w:cs="宋体"/>
                <w:b w:val="0"/>
                <w:bCs/>
                <w:w w:val="90"/>
                <w:sz w:val="22"/>
                <w:szCs w:val="22"/>
              </w:rPr>
              <w:t>垃圾桶清洗车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18831C4">
            <w:pPr>
              <w:spacing w:line="240" w:lineRule="auto"/>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4500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0C213C2">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元/辆/年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6A061615">
            <w:pPr>
              <w:spacing w:line="240" w:lineRule="auto"/>
              <w:jc w:val="both"/>
              <w:rPr>
                <w:rFonts w:hint="eastAsia" w:ascii="宋体" w:hAnsi="宋体" w:eastAsia="宋体" w:cs="宋体"/>
                <w:bCs/>
                <w:sz w:val="22"/>
                <w:szCs w:val="22"/>
              </w:rPr>
            </w:pPr>
            <w:r>
              <w:rPr>
                <w:rFonts w:hint="eastAsia" w:ascii="宋体" w:hAnsi="宋体" w:eastAsia="宋体" w:cs="宋体"/>
                <w:bCs/>
                <w:sz w:val="22"/>
                <w:szCs w:val="22"/>
              </w:rPr>
              <w:t>由中标（成交）供应商自行配置（含所有费用）；</w:t>
            </w:r>
          </w:p>
        </w:tc>
      </w:tr>
      <w:tr w14:paraId="7E58BB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468"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0E085505">
            <w:pPr>
              <w:spacing w:line="24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4753BD0E">
            <w:pPr>
              <w:spacing w:line="240" w:lineRule="auto"/>
              <w:jc w:val="center"/>
              <w:rPr>
                <w:rFonts w:hint="eastAsia" w:ascii="宋体" w:hAnsi="宋体" w:eastAsia="宋体" w:cs="宋体"/>
                <w:b w:val="0"/>
                <w:bCs/>
                <w:w w:val="90"/>
                <w:sz w:val="22"/>
                <w:szCs w:val="22"/>
              </w:rPr>
            </w:pPr>
            <w:r>
              <w:rPr>
                <w:rFonts w:hint="eastAsia" w:ascii="宋体" w:hAnsi="宋体" w:eastAsia="宋体" w:cs="宋体"/>
                <w:b w:val="0"/>
                <w:bCs/>
                <w:w w:val="90"/>
                <w:sz w:val="22"/>
                <w:szCs w:val="22"/>
              </w:rPr>
              <w:t>洒扫车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D77ED90">
            <w:pPr>
              <w:spacing w:line="240" w:lineRule="auto"/>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16000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BAE8B5">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元/辆/年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57CCE283">
            <w:pPr>
              <w:spacing w:line="240" w:lineRule="auto"/>
              <w:jc w:val="both"/>
              <w:rPr>
                <w:rFonts w:hint="eastAsia" w:ascii="宋体" w:hAnsi="宋体" w:eastAsia="宋体" w:cs="宋体"/>
                <w:bCs/>
                <w:sz w:val="22"/>
                <w:szCs w:val="22"/>
              </w:rPr>
            </w:pPr>
            <w:r>
              <w:rPr>
                <w:rFonts w:hint="eastAsia" w:ascii="宋体" w:hAnsi="宋体" w:eastAsia="宋体" w:cs="宋体"/>
                <w:b/>
                <w:bCs/>
                <w:sz w:val="22"/>
                <w:szCs w:val="22"/>
              </w:rPr>
              <w:t>由采购人提供（免租金）</w:t>
            </w:r>
            <w:r>
              <w:rPr>
                <w:rFonts w:hint="eastAsia" w:ascii="宋体" w:hAnsi="宋体" w:eastAsia="宋体" w:cs="宋体"/>
                <w:bCs/>
                <w:sz w:val="22"/>
                <w:szCs w:val="22"/>
              </w:rPr>
              <w:t>（含所有费用）；</w:t>
            </w:r>
          </w:p>
        </w:tc>
      </w:tr>
      <w:tr w14:paraId="6529C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468"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1BB1958A">
            <w:pPr>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523D8B8F">
            <w:pPr>
              <w:spacing w:line="240" w:lineRule="auto"/>
              <w:jc w:val="center"/>
              <w:rPr>
                <w:rFonts w:hint="eastAsia" w:ascii="宋体" w:hAnsi="宋体" w:eastAsia="宋体" w:cs="宋体"/>
                <w:b w:val="0"/>
                <w:bCs/>
                <w:w w:val="90"/>
                <w:sz w:val="22"/>
                <w:szCs w:val="22"/>
              </w:rPr>
            </w:pPr>
            <w:r>
              <w:rPr>
                <w:rFonts w:hint="eastAsia" w:ascii="宋体" w:hAnsi="宋体" w:cs="宋体"/>
                <w:b w:val="0"/>
                <w:bCs/>
                <w:w w:val="90"/>
                <w:sz w:val="22"/>
                <w:szCs w:val="22"/>
                <w:lang w:val="en-US" w:eastAsia="zh-CN"/>
              </w:rPr>
              <w:t>转运车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DE08CE4">
            <w:pPr>
              <w:spacing w:line="240" w:lineRule="auto"/>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50000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6CCB8B">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元/辆/年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34628C99">
            <w:pPr>
              <w:spacing w:line="240" w:lineRule="auto"/>
              <w:jc w:val="both"/>
              <w:rPr>
                <w:rFonts w:hint="eastAsia" w:ascii="宋体" w:hAnsi="宋体" w:eastAsia="宋体" w:cs="宋体"/>
                <w:b/>
                <w:bCs/>
                <w:sz w:val="22"/>
                <w:szCs w:val="22"/>
              </w:rPr>
            </w:pPr>
            <w:r>
              <w:rPr>
                <w:rFonts w:hint="eastAsia" w:ascii="宋体" w:hAnsi="宋体" w:eastAsia="宋体" w:cs="宋体"/>
                <w:b/>
                <w:bCs/>
                <w:sz w:val="22"/>
                <w:szCs w:val="22"/>
              </w:rPr>
              <w:t>由采购人提供（免租金）</w:t>
            </w:r>
            <w:r>
              <w:rPr>
                <w:rFonts w:hint="eastAsia" w:ascii="宋体" w:hAnsi="宋体" w:eastAsia="宋体" w:cs="宋体"/>
                <w:bCs/>
                <w:sz w:val="22"/>
                <w:szCs w:val="22"/>
              </w:rPr>
              <w:t>（含所有费用）；</w:t>
            </w:r>
          </w:p>
        </w:tc>
      </w:tr>
      <w:tr w14:paraId="189CF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468" w:hRule="atLeast"/>
          <w:jc w:val="center"/>
        </w:trPr>
        <w:tc>
          <w:tcPr>
            <w:tcW w:w="542" w:type="dxa"/>
            <w:tcBorders>
              <w:top w:val="single" w:color="auto" w:sz="4" w:space="0"/>
              <w:left w:val="double" w:color="auto" w:sz="6" w:space="0"/>
              <w:bottom w:val="single" w:color="auto" w:sz="4" w:space="0"/>
              <w:right w:val="single" w:color="auto" w:sz="4" w:space="0"/>
            </w:tcBorders>
            <w:noWrap w:val="0"/>
            <w:vAlign w:val="center"/>
          </w:tcPr>
          <w:p w14:paraId="74B66F4F">
            <w:pPr>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198" w:type="dxa"/>
            <w:tcBorders>
              <w:top w:val="single" w:color="auto" w:sz="4" w:space="0"/>
              <w:left w:val="single" w:color="auto" w:sz="4" w:space="0"/>
              <w:bottom w:val="single" w:color="auto" w:sz="4" w:space="0"/>
              <w:right w:val="single" w:color="auto" w:sz="4" w:space="0"/>
            </w:tcBorders>
            <w:noWrap w:val="0"/>
            <w:vAlign w:val="center"/>
          </w:tcPr>
          <w:p w14:paraId="22F3ECC4">
            <w:pPr>
              <w:spacing w:line="240" w:lineRule="auto"/>
              <w:jc w:val="center"/>
              <w:rPr>
                <w:rFonts w:hint="eastAsia" w:ascii="宋体" w:hAnsi="宋体" w:eastAsia="宋体" w:cs="宋体"/>
                <w:b w:val="0"/>
                <w:bCs/>
                <w:w w:val="90"/>
                <w:kern w:val="2"/>
                <w:sz w:val="22"/>
                <w:szCs w:val="22"/>
                <w:lang w:val="en-US" w:eastAsia="zh-CN" w:bidi="ar-SA"/>
              </w:rPr>
            </w:pPr>
            <w:r>
              <w:rPr>
                <w:rFonts w:hint="eastAsia" w:ascii="宋体" w:hAnsi="宋体" w:eastAsia="宋体" w:cs="宋体"/>
                <w:b w:val="0"/>
                <w:bCs/>
                <w:w w:val="90"/>
                <w:sz w:val="22"/>
                <w:szCs w:val="22"/>
              </w:rPr>
              <w:t>河道专用保洁船</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B9349F1">
            <w:pPr>
              <w:spacing w:line="240" w:lineRule="auto"/>
              <w:jc w:val="center"/>
              <w:rPr>
                <w:rFonts w:hint="default" w:ascii="宋体" w:hAnsi="宋体" w:eastAsia="宋体" w:cs="宋体"/>
                <w:bCs/>
                <w:kern w:val="2"/>
                <w:sz w:val="22"/>
                <w:szCs w:val="22"/>
                <w:lang w:val="en-US" w:eastAsia="zh-CN" w:bidi="ar-SA"/>
              </w:rPr>
            </w:pPr>
            <w:r>
              <w:rPr>
                <w:rFonts w:hint="eastAsia" w:ascii="宋体" w:hAnsi="宋体" w:cs="宋体"/>
                <w:bCs/>
                <w:kern w:val="2"/>
                <w:sz w:val="22"/>
                <w:szCs w:val="22"/>
                <w:lang w:val="en-US" w:eastAsia="zh-CN" w:bidi="ar-SA"/>
              </w:rPr>
              <w:t>7000</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62A389A">
            <w:pPr>
              <w:spacing w:line="240" w:lineRule="auto"/>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元/艘/年</w:t>
            </w:r>
          </w:p>
        </w:tc>
        <w:tc>
          <w:tcPr>
            <w:tcW w:w="4510" w:type="dxa"/>
            <w:tcBorders>
              <w:top w:val="single" w:color="auto" w:sz="4" w:space="0"/>
              <w:left w:val="single" w:color="auto" w:sz="4" w:space="0"/>
              <w:bottom w:val="single" w:color="auto" w:sz="4" w:space="0"/>
              <w:right w:val="double" w:color="auto" w:sz="6" w:space="0"/>
            </w:tcBorders>
            <w:noWrap w:val="0"/>
            <w:vAlign w:val="center"/>
          </w:tcPr>
          <w:p w14:paraId="6AE73A36">
            <w:pPr>
              <w:spacing w:line="240" w:lineRule="auto"/>
              <w:jc w:val="both"/>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由中标（成交）供应商自行配置（含所有费用）；</w:t>
            </w:r>
          </w:p>
        </w:tc>
      </w:tr>
      <w:tr w14:paraId="026FE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Ex>
        <w:trPr>
          <w:trHeight w:val="337" w:hRule="atLeast"/>
          <w:jc w:val="center"/>
        </w:trPr>
        <w:tc>
          <w:tcPr>
            <w:tcW w:w="542" w:type="dxa"/>
            <w:tcBorders>
              <w:top w:val="single" w:color="auto" w:sz="4" w:space="0"/>
              <w:left w:val="double" w:color="auto" w:sz="6" w:space="0"/>
              <w:bottom w:val="double" w:color="auto" w:sz="6" w:space="0"/>
              <w:right w:val="single" w:color="auto" w:sz="4" w:space="0"/>
            </w:tcBorders>
            <w:noWrap w:val="0"/>
            <w:vAlign w:val="center"/>
          </w:tcPr>
          <w:p w14:paraId="752A30B6">
            <w:pPr>
              <w:spacing w:line="252" w:lineRule="exact"/>
              <w:jc w:val="center"/>
              <w:rPr>
                <w:rFonts w:hint="eastAsia" w:ascii="宋体" w:hAnsi="宋体" w:eastAsia="宋体" w:cs="宋体"/>
                <w:b/>
                <w:bCs/>
                <w:sz w:val="22"/>
                <w:szCs w:val="22"/>
              </w:rPr>
            </w:pPr>
            <w:r>
              <w:rPr>
                <w:rFonts w:hint="eastAsia" w:ascii="宋体" w:hAnsi="宋体" w:eastAsia="宋体" w:cs="宋体"/>
                <w:b/>
                <w:bCs/>
                <w:sz w:val="22"/>
                <w:szCs w:val="22"/>
              </w:rPr>
              <w:t>备</w:t>
            </w:r>
          </w:p>
          <w:p w14:paraId="242C3B06">
            <w:pPr>
              <w:spacing w:line="252" w:lineRule="exact"/>
              <w:jc w:val="center"/>
              <w:rPr>
                <w:rFonts w:hint="eastAsia" w:ascii="宋体" w:hAnsi="宋体" w:eastAsia="宋体" w:cs="宋体"/>
                <w:b/>
                <w:bCs/>
                <w:sz w:val="22"/>
                <w:szCs w:val="22"/>
              </w:rPr>
            </w:pPr>
            <w:r>
              <w:rPr>
                <w:rFonts w:hint="eastAsia" w:ascii="宋体" w:hAnsi="宋体" w:eastAsia="宋体" w:cs="宋体"/>
                <w:b/>
                <w:bCs/>
                <w:sz w:val="22"/>
                <w:szCs w:val="22"/>
              </w:rPr>
              <w:t>注</w:t>
            </w:r>
          </w:p>
        </w:tc>
        <w:tc>
          <w:tcPr>
            <w:tcW w:w="9393" w:type="dxa"/>
            <w:gridSpan w:val="4"/>
            <w:tcBorders>
              <w:top w:val="single" w:color="auto" w:sz="4" w:space="0"/>
              <w:left w:val="single" w:color="auto" w:sz="4" w:space="0"/>
              <w:bottom w:val="double" w:color="auto" w:sz="6" w:space="0"/>
              <w:right w:val="double" w:color="auto" w:sz="6" w:space="0"/>
            </w:tcBorders>
            <w:noWrap w:val="0"/>
            <w:vAlign w:val="center"/>
          </w:tcPr>
          <w:p w14:paraId="20FDD462">
            <w:pPr>
              <w:spacing w:line="40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sz w:val="22"/>
                <w:szCs w:val="22"/>
              </w:rPr>
              <w:t>1、▲上述各类车辆、船及设备的年运行成本费用是采购人按照对应车辆、船及设备实际运行成本确定的，为保证车辆、船及设备正常运行及垃圾清运的及时性，</w:t>
            </w:r>
            <w:r>
              <w:rPr>
                <w:rFonts w:hint="eastAsia" w:ascii="宋体" w:hAnsi="宋体" w:eastAsia="宋体" w:cs="宋体"/>
                <w:b/>
                <w:bCs/>
                <w:color w:val="auto"/>
                <w:sz w:val="22"/>
                <w:szCs w:val="22"/>
              </w:rPr>
              <w:t>投标供应商在费用报价时不得低于上述标准，否则投标无效。</w:t>
            </w:r>
          </w:p>
          <w:p w14:paraId="264D10A1">
            <w:pPr>
              <w:tabs>
                <w:tab w:val="left" w:pos="660"/>
              </w:tabs>
              <w:spacing w:line="400" w:lineRule="exact"/>
              <w:ind w:right="80" w:firstLine="442" w:firstLineChars="200"/>
              <w:rPr>
                <w:rFonts w:hint="eastAsia" w:ascii="宋体" w:hAnsi="宋体" w:eastAsia="宋体" w:cs="宋体"/>
                <w:b/>
                <w:bCs/>
                <w:sz w:val="22"/>
                <w:szCs w:val="22"/>
              </w:rPr>
            </w:pPr>
            <w:r>
              <w:rPr>
                <w:rFonts w:hint="eastAsia" w:ascii="宋体" w:hAnsi="宋体" w:eastAsia="宋体" w:cs="宋体"/>
                <w:b/>
                <w:bCs/>
                <w:sz w:val="22"/>
                <w:szCs w:val="22"/>
              </w:rPr>
              <w:t>2、上述各类车辆、船及设备的年运行成本费用已包含车辆、船及设备的折旧费（采购人提供的除外）、维修保养费、车辆年审年检费、保险费、燃料费（油、电费）、材料费（水费、电费等）、保管费等所有费用。</w:t>
            </w:r>
          </w:p>
        </w:tc>
      </w:tr>
    </w:tbl>
    <w:p w14:paraId="67D6E7AA">
      <w:pPr>
        <w:pStyle w:val="52"/>
        <w:spacing w:line="276" w:lineRule="auto"/>
        <w:jc w:val="both"/>
        <w:rPr>
          <w:rFonts w:hint="eastAsia" w:ascii="宋体" w:hAnsi="宋体" w:cs="宋体"/>
          <w:b/>
          <w:bCs/>
          <w:szCs w:val="22"/>
        </w:rPr>
      </w:pPr>
    </w:p>
    <w:p w14:paraId="2DCB2A08">
      <w:pPr>
        <w:pStyle w:val="52"/>
        <w:numPr>
          <w:ilvl w:val="0"/>
          <w:numId w:val="6"/>
        </w:numPr>
        <w:spacing w:line="276" w:lineRule="auto"/>
        <w:jc w:val="both"/>
        <w:rPr>
          <w:rFonts w:hint="eastAsia" w:ascii="宋体" w:hAnsi="宋体" w:cs="宋体"/>
          <w:b/>
          <w:bCs/>
          <w:szCs w:val="22"/>
          <w:lang w:val="en-US" w:eastAsia="zh-CN"/>
        </w:rPr>
      </w:pPr>
      <w:r>
        <w:rPr>
          <w:rFonts w:hint="eastAsia" w:ascii="宋体" w:hAnsi="宋体" w:cs="宋体"/>
          <w:b/>
          <w:bCs/>
          <w:szCs w:val="22"/>
          <w:lang w:val="en-US" w:eastAsia="zh-CN"/>
        </w:rPr>
        <w:t>依法缴纳税收相关要求</w:t>
      </w:r>
    </w:p>
    <w:p w14:paraId="336B72EC">
      <w:pPr>
        <w:pStyle w:val="2"/>
        <w:numPr>
          <w:ilvl w:val="0"/>
          <w:numId w:val="0"/>
        </w:numPr>
        <w:ind w:firstLine="440" w:firstLineChars="200"/>
        <w:rPr>
          <w:rFonts w:hint="default"/>
          <w:lang w:val="en-US" w:eastAsia="zh-CN"/>
        </w:rPr>
      </w:pPr>
      <w:r>
        <w:rPr>
          <w:rFonts w:hint="default" w:ascii="宋体" w:hAnsi="宋体"/>
          <w:szCs w:val="22"/>
          <w:lang w:val="en-US" w:eastAsia="zh-CN"/>
        </w:rPr>
        <w:t>▲投标供应商必须严格执行国家税务相关最新规定（营改增等），依法按时缴纳各类税金，所缴纳的税金作为成本之一，包含在投标总价内。投标报价时，投标供应商根据自身企业类型上报缴税比例报价，除税务局出</w:t>
      </w:r>
      <w:r>
        <w:rPr>
          <w:rFonts w:hint="eastAsia" w:ascii="宋体" w:hAnsi="宋体"/>
          <w:szCs w:val="22"/>
          <w:lang w:val="en-US" w:eastAsia="zh-CN"/>
        </w:rPr>
        <w:t>具</w:t>
      </w:r>
      <w:r>
        <w:rPr>
          <w:rFonts w:hint="default" w:ascii="宋体" w:hAnsi="宋体"/>
          <w:szCs w:val="22"/>
          <w:lang w:val="en-US" w:eastAsia="zh-CN"/>
        </w:rPr>
        <w:t>的免税证明外，其余的不得报0%，否则投标无效。</w:t>
      </w:r>
    </w:p>
    <w:p w14:paraId="26C6F5FE">
      <w:pPr>
        <w:pStyle w:val="52"/>
        <w:spacing w:line="276" w:lineRule="auto"/>
        <w:jc w:val="both"/>
        <w:rPr>
          <w:rFonts w:ascii="宋体" w:hAnsi="宋体" w:cs="宋体"/>
          <w:szCs w:val="22"/>
        </w:rPr>
      </w:pPr>
      <w:r>
        <w:rPr>
          <w:rFonts w:hint="eastAsia" w:ascii="宋体" w:hAnsi="宋体" w:cs="宋体"/>
          <w:b/>
          <w:bCs/>
          <w:szCs w:val="22"/>
          <w:lang w:val="en-US" w:eastAsia="zh-CN"/>
        </w:rPr>
        <w:t>十二、</w:t>
      </w:r>
      <w:r>
        <w:rPr>
          <w:rFonts w:hint="eastAsia" w:ascii="宋体" w:hAnsi="宋体" w:cs="宋体"/>
          <w:b/>
          <w:bCs/>
          <w:szCs w:val="22"/>
        </w:rPr>
        <w:t>特别说明和相关处罚规定告知</w:t>
      </w:r>
    </w:p>
    <w:p w14:paraId="3A92E371">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1、中标后，中标（成交）供应商不得将本项目分包、转包，一经查实，视其单方面违约，采购人有权终止合同，并没罚全部履约保证金。 </w:t>
      </w:r>
    </w:p>
    <w:p w14:paraId="2F9381F1">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2、中标（成交）供应商必须按其投标文件承诺的时间内进场并完成项目交接，否则，将视情给予书面警告。 </w:t>
      </w:r>
    </w:p>
    <w:p w14:paraId="2BE1C87B">
      <w:pPr>
        <w:autoSpaceDE w:val="0"/>
        <w:autoSpaceDN w:val="0"/>
        <w:adjustRightInd w:val="0"/>
        <w:spacing w:line="420" w:lineRule="exact"/>
        <w:ind w:firstLine="440" w:firstLineChars="200"/>
        <w:jc w:val="left"/>
        <w:rPr>
          <w:rFonts w:ascii="宋体" w:hAnsi="宋体"/>
          <w:szCs w:val="22"/>
        </w:rPr>
      </w:pPr>
      <w:r>
        <w:rPr>
          <w:rFonts w:ascii="宋体" w:hAnsi="宋体"/>
          <w:szCs w:val="22"/>
        </w:rPr>
        <w:t>3、投标供应商的项目管理团队所有人员在合同期间必须全程在岗，逐日做好签到工作（签到形式须经采购人认可），未经采购人书面同意，任何管理人员不得更换。日常作业考核期间，项目</w:t>
      </w:r>
      <w:r>
        <w:rPr>
          <w:rFonts w:hint="eastAsia" w:ascii="宋体" w:hAnsi="宋体"/>
          <w:szCs w:val="22"/>
        </w:rPr>
        <w:t>管理人员</w:t>
      </w:r>
      <w:r>
        <w:rPr>
          <w:rFonts w:ascii="宋体" w:hAnsi="宋体"/>
          <w:szCs w:val="22"/>
        </w:rPr>
        <w:t>必须全程陪同，如缺席，每次从当月承包款中扣罚5000元。连续缺席3次或累计缺席达5次的，给予书面警告一次。</w:t>
      </w:r>
    </w:p>
    <w:p w14:paraId="5ECB5DA3">
      <w:pPr>
        <w:autoSpaceDE w:val="0"/>
        <w:autoSpaceDN w:val="0"/>
        <w:adjustRightInd w:val="0"/>
        <w:spacing w:line="420" w:lineRule="exact"/>
        <w:ind w:firstLine="442" w:firstLineChars="200"/>
        <w:jc w:val="left"/>
        <w:rPr>
          <w:rFonts w:ascii="宋体" w:hAnsi="宋体"/>
          <w:b/>
          <w:szCs w:val="22"/>
        </w:rPr>
      </w:pPr>
      <w:r>
        <w:rPr>
          <w:rFonts w:ascii="宋体" w:hAnsi="宋体"/>
          <w:b/>
          <w:szCs w:val="22"/>
        </w:rPr>
        <w:t>4、中标（成交）供应商必须加强对所有人员的安全管理和教育，合同期内中标（成交）供应商所属所有人员、设备、车辆如发生纠纷或各种意外事故（包括给第三方造成损害），必须自行依照法律法规妥善处理</w:t>
      </w:r>
      <w:r>
        <w:rPr>
          <w:rFonts w:hint="eastAsia" w:ascii="宋体" w:hAnsi="宋体"/>
          <w:b/>
          <w:szCs w:val="22"/>
        </w:rPr>
        <w:t>，与采购人无涉</w:t>
      </w:r>
      <w:r>
        <w:rPr>
          <w:rFonts w:ascii="宋体" w:hAnsi="宋体"/>
          <w:b/>
          <w:szCs w:val="22"/>
        </w:rPr>
        <w:t>。中标（成交）供应商处理不力影响到保洁服务质量和市容卫生整洁的，给予书面警告一次。</w:t>
      </w:r>
    </w:p>
    <w:p w14:paraId="323F129E">
      <w:pPr>
        <w:autoSpaceDE w:val="0"/>
        <w:autoSpaceDN w:val="0"/>
        <w:adjustRightInd w:val="0"/>
        <w:spacing w:line="420" w:lineRule="exact"/>
        <w:ind w:firstLine="440" w:firstLineChars="200"/>
        <w:jc w:val="left"/>
        <w:rPr>
          <w:rFonts w:ascii="宋体" w:hAnsi="宋体"/>
          <w:szCs w:val="22"/>
        </w:rPr>
      </w:pPr>
      <w:r>
        <w:rPr>
          <w:rFonts w:ascii="宋体" w:hAnsi="宋体"/>
          <w:szCs w:val="22"/>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14:paraId="7A8CEDA0">
      <w:pPr>
        <w:autoSpaceDE w:val="0"/>
        <w:autoSpaceDN w:val="0"/>
        <w:adjustRightInd w:val="0"/>
        <w:spacing w:line="420" w:lineRule="exact"/>
        <w:ind w:firstLine="440" w:firstLineChars="200"/>
        <w:jc w:val="left"/>
        <w:rPr>
          <w:rFonts w:ascii="宋体" w:hAnsi="宋体"/>
          <w:szCs w:val="22"/>
        </w:rPr>
      </w:pPr>
      <w:r>
        <w:rPr>
          <w:rFonts w:ascii="宋体" w:hAnsi="宋体"/>
          <w:szCs w:val="22"/>
        </w:rPr>
        <w:t>6、本项目</w:t>
      </w:r>
      <w:r>
        <w:rPr>
          <w:rFonts w:hint="eastAsia" w:ascii="宋体" w:hAnsi="宋体"/>
          <w:szCs w:val="22"/>
        </w:rPr>
        <w:t>各标项</w:t>
      </w:r>
      <w:r>
        <w:rPr>
          <w:rFonts w:ascii="宋体" w:hAnsi="宋体"/>
          <w:szCs w:val="22"/>
        </w:rPr>
        <w:t xml:space="preserve">采用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 </w:t>
      </w:r>
    </w:p>
    <w:p w14:paraId="44B254BB">
      <w:pPr>
        <w:autoSpaceDE w:val="0"/>
        <w:autoSpaceDN w:val="0"/>
        <w:adjustRightInd w:val="0"/>
        <w:spacing w:line="420" w:lineRule="exact"/>
        <w:ind w:firstLine="440" w:firstLineChars="200"/>
        <w:jc w:val="left"/>
        <w:rPr>
          <w:rFonts w:ascii="宋体" w:hAnsi="宋体"/>
          <w:szCs w:val="22"/>
        </w:rPr>
      </w:pPr>
      <w:r>
        <w:rPr>
          <w:rFonts w:ascii="宋体" w:hAnsi="宋体"/>
          <w:szCs w:val="22"/>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14:paraId="1D584EB1">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8、合同期间，中标（成交）供应商必须无条件配合采购人对其投入的人员、车辆、设备进行检查，如出现人员、车辆等设备未按合同约定到位，采购人将作出扣款处罚，情节严重的，给予书面警告一次。 </w:t>
      </w:r>
    </w:p>
    <w:p w14:paraId="470E353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9、机械化作业车辆在保洁作业中，存在弄虚作假等情况的，一经发现，给以书面警告一次。</w:t>
      </w:r>
    </w:p>
    <w:p w14:paraId="6D10F3A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10</w:t>
      </w:r>
      <w:r>
        <w:rPr>
          <w:rFonts w:ascii="宋体" w:hAnsi="宋体"/>
          <w:szCs w:val="22"/>
        </w:rPr>
        <w:t>、合同履行情况的监管和相应处理规定：</w:t>
      </w:r>
    </w:p>
    <w:p w14:paraId="15FEAC7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10</w:t>
      </w:r>
      <w:r>
        <w:rPr>
          <w:rFonts w:ascii="宋体" w:hAnsi="宋体"/>
          <w:szCs w:val="22"/>
        </w:rPr>
        <w:t>.1采购人将设立</w:t>
      </w:r>
      <w:r>
        <w:rPr>
          <w:rFonts w:hint="eastAsia" w:ascii="宋体" w:hAnsi="宋体"/>
          <w:szCs w:val="22"/>
          <w:lang w:val="en-US" w:eastAsia="zh-CN"/>
        </w:rPr>
        <w:t>藻溪</w:t>
      </w:r>
      <w:r>
        <w:rPr>
          <w:rFonts w:hint="eastAsia" w:ascii="宋体" w:hAnsi="宋体"/>
          <w:szCs w:val="22"/>
        </w:rPr>
        <w:t>镇保洁市场化工作领导小组</w:t>
      </w:r>
      <w:r>
        <w:rPr>
          <w:rFonts w:ascii="宋体" w:hAnsi="宋体"/>
          <w:szCs w:val="22"/>
        </w:rPr>
        <w:t xml:space="preserve">（以下简称“领导小组”），专门负责对承包单位的合同履行情况进行全程监管并作出处理决定，具体职责包括： </w:t>
      </w:r>
    </w:p>
    <w:p w14:paraId="4A7ACF7B">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（1）接收和处理相关重大问题投诉； </w:t>
      </w:r>
    </w:p>
    <w:p w14:paraId="7083DEBB">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（2）对相关事项进行调查核实； </w:t>
      </w:r>
    </w:p>
    <w:p w14:paraId="528C8BA7">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（3）向承包单位下达整改通知； </w:t>
      </w:r>
    </w:p>
    <w:p w14:paraId="42389DA5">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（4）向承包单位发出书面警告； </w:t>
      </w:r>
    </w:p>
    <w:p w14:paraId="166919A4">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（5）对有服务质量考核情况进行督查，并对考核过程中的争议事项作出最终结论； </w:t>
      </w:r>
    </w:p>
    <w:p w14:paraId="50C95AF8">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（6）对承包单位的履约情况作出最终评价； </w:t>
      </w:r>
    </w:p>
    <w:p w14:paraId="427D920A">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（7）对承包单位作出终止合同或续签合同决定； </w:t>
      </w:r>
    </w:p>
    <w:p w14:paraId="0E42CE82">
      <w:pPr>
        <w:autoSpaceDE w:val="0"/>
        <w:autoSpaceDN w:val="0"/>
        <w:adjustRightInd w:val="0"/>
        <w:spacing w:line="420" w:lineRule="exact"/>
        <w:ind w:firstLine="440" w:firstLineChars="200"/>
        <w:jc w:val="left"/>
        <w:rPr>
          <w:rFonts w:ascii="宋体" w:hAnsi="宋体"/>
          <w:szCs w:val="22"/>
        </w:rPr>
      </w:pPr>
      <w:r>
        <w:rPr>
          <w:rFonts w:ascii="宋体" w:hAnsi="宋体"/>
          <w:szCs w:val="22"/>
        </w:rPr>
        <w:t>（8）苍南县</w:t>
      </w:r>
      <w:r>
        <w:rPr>
          <w:rFonts w:hint="eastAsia" w:ascii="宋体" w:hAnsi="宋体"/>
          <w:szCs w:val="22"/>
          <w:lang w:val="en-US" w:eastAsia="zh-CN"/>
        </w:rPr>
        <w:t>藻溪</w:t>
      </w:r>
      <w:r>
        <w:rPr>
          <w:rFonts w:ascii="宋体" w:hAnsi="宋体"/>
          <w:szCs w:val="22"/>
        </w:rPr>
        <w:t xml:space="preserve">镇人民政府授权的其他职责。 </w:t>
      </w:r>
    </w:p>
    <w:p w14:paraId="7516B21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10</w:t>
      </w:r>
      <w:r>
        <w:rPr>
          <w:rFonts w:ascii="宋体" w:hAnsi="宋体"/>
          <w:szCs w:val="22"/>
        </w:rPr>
        <w:t>.2合同期内，承包单位出现以下情况，经领导小组调查核实，可以视</w:t>
      </w:r>
      <w:r>
        <w:rPr>
          <w:rFonts w:hint="eastAsia" w:ascii="宋体" w:hAnsi="宋体"/>
          <w:szCs w:val="22"/>
        </w:rPr>
        <w:t>情况</w:t>
      </w:r>
      <w:r>
        <w:rPr>
          <w:rFonts w:ascii="宋体" w:hAnsi="宋体"/>
          <w:szCs w:val="22"/>
        </w:rPr>
        <w:t>依据此项规定，作出终止合同、没罚履约保证金等处理决定，由此造成的一切后果由承包单位自行承担，采购人不承担</w:t>
      </w:r>
      <w:r>
        <w:rPr>
          <w:rFonts w:hint="eastAsia" w:ascii="宋体" w:hAnsi="宋体"/>
          <w:szCs w:val="22"/>
        </w:rPr>
        <w:t>任何</w:t>
      </w:r>
      <w:r>
        <w:rPr>
          <w:rFonts w:ascii="宋体" w:hAnsi="宋体"/>
          <w:szCs w:val="22"/>
        </w:rPr>
        <w:t xml:space="preserve">责任： </w:t>
      </w:r>
    </w:p>
    <w:p w14:paraId="77A41ED5">
      <w:pPr>
        <w:autoSpaceDE w:val="0"/>
        <w:autoSpaceDN w:val="0"/>
        <w:adjustRightInd w:val="0"/>
        <w:spacing w:line="420" w:lineRule="exact"/>
        <w:ind w:firstLine="440" w:firstLineChars="200"/>
        <w:jc w:val="left"/>
        <w:rPr>
          <w:rFonts w:ascii="宋体" w:hAnsi="宋体"/>
          <w:szCs w:val="22"/>
        </w:rPr>
      </w:pPr>
      <w:r>
        <w:rPr>
          <w:rFonts w:ascii="宋体" w:hAnsi="宋体"/>
          <w:szCs w:val="22"/>
        </w:rPr>
        <w:t>（1）承包单位在一个合同期（一年）内被书面警告超过</w:t>
      </w:r>
      <w:r>
        <w:rPr>
          <w:rFonts w:hint="eastAsia" w:ascii="宋体" w:hAnsi="宋体"/>
          <w:szCs w:val="22"/>
        </w:rPr>
        <w:t>三</w:t>
      </w:r>
      <w:r>
        <w:rPr>
          <w:rFonts w:ascii="宋体" w:hAnsi="宋体"/>
          <w:szCs w:val="22"/>
        </w:rPr>
        <w:t>次的；</w:t>
      </w:r>
    </w:p>
    <w:p w14:paraId="04DE130A">
      <w:pPr>
        <w:autoSpaceDE w:val="0"/>
        <w:autoSpaceDN w:val="0"/>
        <w:adjustRightInd w:val="0"/>
        <w:spacing w:line="420" w:lineRule="exact"/>
        <w:ind w:firstLine="440" w:firstLineChars="200"/>
        <w:jc w:val="left"/>
        <w:rPr>
          <w:rFonts w:ascii="宋体" w:hAnsi="宋体"/>
          <w:szCs w:val="22"/>
        </w:rPr>
      </w:pPr>
      <w:r>
        <w:rPr>
          <w:rFonts w:ascii="宋体" w:hAnsi="宋体"/>
          <w:szCs w:val="22"/>
        </w:rPr>
        <w:t>（2）承包单位在一个合同期（一年）内，服务质量月考核</w:t>
      </w:r>
      <w:r>
        <w:rPr>
          <w:rFonts w:ascii="宋体" w:hAnsi="宋体"/>
          <w:b/>
          <w:szCs w:val="22"/>
        </w:rPr>
        <w:t>连续</w:t>
      </w:r>
      <w:r>
        <w:rPr>
          <w:rFonts w:hint="eastAsia" w:ascii="宋体" w:hAnsi="宋体"/>
          <w:b/>
          <w:szCs w:val="22"/>
        </w:rPr>
        <w:t>三</w:t>
      </w:r>
      <w:r>
        <w:rPr>
          <w:rFonts w:ascii="宋体" w:hAnsi="宋体"/>
          <w:b/>
          <w:szCs w:val="22"/>
        </w:rPr>
        <w:t>次</w:t>
      </w:r>
      <w:r>
        <w:rPr>
          <w:rFonts w:ascii="宋体" w:hAnsi="宋体"/>
          <w:szCs w:val="22"/>
        </w:rPr>
        <w:t>或</w:t>
      </w:r>
      <w:r>
        <w:rPr>
          <w:rFonts w:ascii="宋体" w:hAnsi="宋体"/>
          <w:b/>
          <w:szCs w:val="22"/>
        </w:rPr>
        <w:t>累计</w:t>
      </w:r>
      <w:r>
        <w:rPr>
          <w:rFonts w:hint="eastAsia" w:ascii="宋体" w:hAnsi="宋体"/>
          <w:b/>
          <w:szCs w:val="22"/>
        </w:rPr>
        <w:t>六</w:t>
      </w:r>
      <w:r>
        <w:rPr>
          <w:rFonts w:ascii="宋体" w:hAnsi="宋体"/>
          <w:b/>
          <w:szCs w:val="22"/>
        </w:rPr>
        <w:t>次</w:t>
      </w:r>
      <w:r>
        <w:rPr>
          <w:rFonts w:hint="eastAsia" w:ascii="宋体" w:hAnsi="宋体"/>
          <w:szCs w:val="22"/>
        </w:rPr>
        <w:t>低于</w:t>
      </w:r>
      <w:r>
        <w:rPr>
          <w:rFonts w:hint="eastAsia" w:ascii="宋体" w:hAnsi="宋体"/>
          <w:szCs w:val="22"/>
          <w:lang w:val="en-US" w:eastAsia="zh-CN"/>
        </w:rPr>
        <w:t>8</w:t>
      </w:r>
      <w:r>
        <w:rPr>
          <w:rFonts w:hint="eastAsia" w:ascii="宋体" w:hAnsi="宋体"/>
          <w:szCs w:val="22"/>
        </w:rPr>
        <w:t>0分</w:t>
      </w:r>
      <w:r>
        <w:rPr>
          <w:rFonts w:ascii="宋体" w:hAnsi="宋体"/>
          <w:szCs w:val="22"/>
        </w:rPr>
        <w:t xml:space="preserve">； </w:t>
      </w:r>
    </w:p>
    <w:p w14:paraId="2B2231A9">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（3）承包单位存在分包、转包行为的； </w:t>
      </w:r>
    </w:p>
    <w:p w14:paraId="0439D2E2">
      <w:pPr>
        <w:autoSpaceDE w:val="0"/>
        <w:autoSpaceDN w:val="0"/>
        <w:adjustRightInd w:val="0"/>
        <w:spacing w:line="420" w:lineRule="exact"/>
        <w:ind w:firstLine="440" w:firstLineChars="200"/>
        <w:jc w:val="left"/>
        <w:rPr>
          <w:rFonts w:ascii="宋体" w:hAnsi="宋体"/>
          <w:szCs w:val="22"/>
        </w:rPr>
      </w:pPr>
      <w:r>
        <w:rPr>
          <w:rFonts w:ascii="宋体" w:hAnsi="宋体"/>
          <w:szCs w:val="22"/>
        </w:rPr>
        <w:t>（4）承包单位存在其他违反合同约定行为且情节严重的；</w:t>
      </w:r>
    </w:p>
    <w:p w14:paraId="350C043C">
      <w:pPr>
        <w:autoSpaceDE w:val="0"/>
        <w:autoSpaceDN w:val="0"/>
        <w:adjustRightInd w:val="0"/>
        <w:spacing w:line="420" w:lineRule="exact"/>
        <w:ind w:firstLine="440" w:firstLineChars="200"/>
        <w:jc w:val="left"/>
        <w:rPr>
          <w:rFonts w:ascii="宋体" w:hAnsi="宋体"/>
          <w:szCs w:val="22"/>
        </w:rPr>
      </w:pPr>
      <w:r>
        <w:rPr>
          <w:rFonts w:ascii="宋体" w:hAnsi="宋体"/>
          <w:szCs w:val="22"/>
        </w:rPr>
        <w:t xml:space="preserve">（5）承包单位存在其他违反法律法规、部门规章及管理规定且情节严重的。 </w:t>
      </w:r>
    </w:p>
    <w:p w14:paraId="6689CDB5">
      <w:pPr>
        <w:spacing w:line="420" w:lineRule="exact"/>
        <w:ind w:firstLine="441"/>
        <w:rPr>
          <w:rFonts w:ascii="宋体" w:hAnsi="宋体"/>
          <w:szCs w:val="22"/>
        </w:rPr>
      </w:pPr>
      <w:r>
        <w:rPr>
          <w:rFonts w:ascii="宋体" w:hAnsi="宋体"/>
          <w:szCs w:val="22"/>
        </w:rPr>
        <w:t>1</w:t>
      </w:r>
      <w:r>
        <w:rPr>
          <w:rFonts w:hint="eastAsia" w:ascii="宋体" w:hAnsi="宋体"/>
          <w:szCs w:val="22"/>
        </w:rPr>
        <w:t>1</w:t>
      </w:r>
      <w:r>
        <w:rPr>
          <w:rFonts w:ascii="宋体" w:hAnsi="宋体"/>
          <w:szCs w:val="22"/>
        </w:rPr>
        <w:t>、中标（成交）供应商在合同期间违反本文件规定而被采购人终止合同的，如采购人需要，必须无条件承担过渡时间的保洁工作，直至新的承包公司完成交接后方可离场。过渡期内，</w:t>
      </w:r>
      <w:r>
        <w:rPr>
          <w:rFonts w:hint="eastAsia" w:ascii="宋体" w:hAnsi="宋体"/>
          <w:szCs w:val="22"/>
        </w:rPr>
        <w:t>双方签订临时合同，</w:t>
      </w:r>
      <w:r>
        <w:rPr>
          <w:rFonts w:ascii="宋体" w:hAnsi="宋体"/>
          <w:szCs w:val="22"/>
        </w:rPr>
        <w:t>月承包款按考核后实际应得的金额的90%发放。</w:t>
      </w:r>
    </w:p>
    <w:p w14:paraId="636CED53">
      <w:pPr>
        <w:pStyle w:val="31"/>
        <w:jc w:val="both"/>
        <w:rPr>
          <w:rFonts w:hint="eastAsia"/>
          <w:lang w:val="en-US" w:eastAsia="zh-CN"/>
        </w:rPr>
      </w:pPr>
      <w:r>
        <w:rPr>
          <w:rFonts w:hint="eastAsia"/>
          <w:lang w:val="en-US" w:eastAsia="zh-CN"/>
        </w:rPr>
        <w:t>绿化养护部分:</w:t>
      </w:r>
    </w:p>
    <w:p w14:paraId="178D4DB9">
      <w:pPr>
        <w:keepNext/>
        <w:keepLines/>
        <w:widowControl/>
        <w:spacing w:before="0" w:after="0" w:line="360" w:lineRule="auto"/>
        <w:jc w:val="left"/>
        <w:outlineLvl w:val="1"/>
        <w:rPr>
          <w:rFonts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二、具体养护范围与数据</w:t>
      </w:r>
    </w:p>
    <w:p w14:paraId="22921746">
      <w:pPr>
        <w:snapToGrid w:val="0"/>
        <w:spacing w:line="360" w:lineRule="auto"/>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▲1、本</w:t>
      </w:r>
      <w:r>
        <w:rPr>
          <w:rFonts w:hint="eastAsia" w:ascii="宋体" w:hAnsi="宋体" w:eastAsia="宋体" w:cs="宋体"/>
          <w:b/>
          <w:bCs/>
          <w:color w:val="auto"/>
          <w:kern w:val="2"/>
          <w:sz w:val="21"/>
          <w:szCs w:val="21"/>
          <w:highlight w:val="none"/>
          <w:lang w:val="en-US" w:eastAsia="zh-CN"/>
        </w:rPr>
        <w:t>项目</w:t>
      </w:r>
      <w:r>
        <w:rPr>
          <w:rFonts w:hint="eastAsia" w:ascii="宋体" w:hAnsi="宋体" w:eastAsia="宋体" w:cs="宋体"/>
          <w:b/>
          <w:bCs/>
          <w:color w:val="auto"/>
          <w:kern w:val="2"/>
          <w:sz w:val="21"/>
          <w:szCs w:val="21"/>
          <w:highlight w:val="none"/>
        </w:rPr>
        <w:t>养护绿化范围为</w:t>
      </w: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全镇范围内的绿化养护及</w:t>
      </w:r>
      <w:r>
        <w:rPr>
          <w:rFonts w:hint="eastAsia" w:ascii="宋体" w:hAnsi="宋体" w:eastAsia="宋体" w:cs="宋体"/>
          <w:b/>
          <w:bCs/>
          <w:color w:val="auto"/>
          <w:kern w:val="2"/>
          <w:sz w:val="21"/>
          <w:szCs w:val="21"/>
          <w:highlight w:val="none"/>
          <w:lang w:val="en-US" w:eastAsia="zh-CN"/>
        </w:rPr>
        <w:t>本招标文件中《</w:t>
      </w:r>
      <w:r>
        <w:rPr>
          <w:rFonts w:hint="eastAsia" w:ascii="宋体" w:hAnsi="宋体" w:eastAsia="宋体" w:cs="宋体"/>
          <w:b/>
          <w:bCs/>
          <w:color w:val="auto"/>
          <w:kern w:val="0"/>
          <w:sz w:val="21"/>
          <w:szCs w:val="21"/>
          <w:highlight w:val="none"/>
          <w:lang w:val="en-US" w:eastAsia="zh-CN"/>
        </w:rPr>
        <w:t>藻溪</w:t>
      </w:r>
      <w:r>
        <w:rPr>
          <w:rFonts w:hint="eastAsia" w:ascii="宋体" w:hAnsi="宋体" w:eastAsia="宋体" w:cs="宋体"/>
          <w:b/>
          <w:bCs/>
          <w:color w:val="auto"/>
          <w:kern w:val="0"/>
          <w:sz w:val="21"/>
          <w:szCs w:val="21"/>
          <w:highlight w:val="none"/>
        </w:rPr>
        <w:t>镇</w:t>
      </w:r>
      <w:r>
        <w:rPr>
          <w:rFonts w:hint="eastAsia" w:ascii="宋体" w:hAnsi="宋体" w:eastAsia="宋体" w:cs="宋体"/>
          <w:b/>
          <w:bCs/>
          <w:color w:val="auto"/>
          <w:kern w:val="0"/>
          <w:sz w:val="21"/>
          <w:szCs w:val="21"/>
          <w:highlight w:val="none"/>
          <w:lang w:val="en-US" w:eastAsia="zh-CN"/>
        </w:rPr>
        <w:t>2025</w:t>
      </w:r>
      <w:r>
        <w:rPr>
          <w:rFonts w:hint="eastAsia" w:ascii="宋体" w:hAnsi="宋体" w:eastAsia="宋体" w:cs="宋体"/>
          <w:b/>
          <w:bCs/>
          <w:color w:val="auto"/>
          <w:kern w:val="0"/>
          <w:sz w:val="21"/>
          <w:szCs w:val="21"/>
          <w:highlight w:val="none"/>
        </w:rPr>
        <w:t>年绿化养护数据</w:t>
      </w:r>
      <w:r>
        <w:rPr>
          <w:rFonts w:hint="eastAsia" w:ascii="宋体" w:hAnsi="宋体" w:eastAsia="宋体" w:cs="宋体"/>
          <w:b/>
          <w:bCs/>
          <w:color w:val="auto"/>
          <w:kern w:val="2"/>
          <w:sz w:val="21"/>
          <w:szCs w:val="21"/>
          <w:highlight w:val="none"/>
          <w:lang w:val="en-US" w:eastAsia="zh-CN"/>
        </w:rPr>
        <w:t>》及龙沙公路两侧杂草清理面积约63000m2，《藻溪镇202</w:t>
      </w:r>
      <w:r>
        <w:rPr>
          <w:rFonts w:hint="eastAsia" w:ascii="宋体" w:hAnsi="宋体" w:cs="宋体"/>
          <w:b/>
          <w:bCs/>
          <w:color w:val="auto"/>
          <w:kern w:val="2"/>
          <w:sz w:val="21"/>
          <w:szCs w:val="21"/>
          <w:highlight w:val="none"/>
          <w:lang w:val="en-US" w:eastAsia="zh-CN"/>
        </w:rPr>
        <w:t>5</w:t>
      </w:r>
      <w:r>
        <w:rPr>
          <w:rFonts w:hint="eastAsia" w:ascii="宋体" w:hAnsi="宋体" w:eastAsia="宋体" w:cs="宋体"/>
          <w:b/>
          <w:bCs/>
          <w:color w:val="auto"/>
          <w:kern w:val="2"/>
          <w:sz w:val="21"/>
          <w:szCs w:val="21"/>
          <w:highlight w:val="none"/>
          <w:lang w:val="en-US" w:eastAsia="zh-CN"/>
        </w:rPr>
        <w:t>年绿化养护数据》中的养护数据可能存在偏差，最终养护数据以中标后采购人确定为准，其中存在的风险有投标供应商自行承担，采购人不予调整，投标报价时请自行考虑</w:t>
      </w:r>
      <w:r>
        <w:rPr>
          <w:rFonts w:hint="eastAsia" w:ascii="宋体" w:hAnsi="宋体" w:eastAsia="宋体" w:cs="宋体"/>
          <w:b/>
          <w:bCs/>
          <w:color w:val="auto"/>
          <w:kern w:val="2"/>
          <w:sz w:val="21"/>
          <w:szCs w:val="21"/>
          <w:highlight w:val="none"/>
        </w:rPr>
        <w:t>。</w:t>
      </w:r>
    </w:p>
    <w:p w14:paraId="32EBCE5C">
      <w:pPr>
        <w:snapToGrid w:val="0"/>
        <w:spacing w:line="360" w:lineRule="auto"/>
        <w:ind w:firstLine="420" w:firstLineChars="200"/>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2、以下数量为养护范围内的苗木数量，同时已含周边零星、延伸部分的绿化养护。</w:t>
      </w:r>
    </w:p>
    <w:p w14:paraId="06DC431C">
      <w:pPr>
        <w:snapToGrid w:val="0"/>
        <w:spacing w:line="360" w:lineRule="auto"/>
        <w:ind w:firstLine="420" w:firstLineChars="200"/>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rPr>
        <w:t>3</w:t>
      </w:r>
      <w:r>
        <w:rPr>
          <w:rFonts w:hint="eastAsia" w:ascii="宋体" w:hAnsi="宋体" w:eastAsia="宋体" w:cs="宋体"/>
          <w:b w:val="0"/>
          <w:color w:val="auto"/>
          <w:kern w:val="2"/>
          <w:sz w:val="21"/>
          <w:szCs w:val="21"/>
          <w:highlight w:val="none"/>
        </w:rPr>
        <w:t>、行道树下的杂草一年</w:t>
      </w:r>
      <w:r>
        <w:rPr>
          <w:rFonts w:hint="eastAsia" w:ascii="宋体" w:hAnsi="宋体" w:eastAsia="宋体" w:cs="宋体"/>
          <w:b w:val="0"/>
          <w:color w:val="auto"/>
          <w:kern w:val="2"/>
          <w:sz w:val="21"/>
          <w:szCs w:val="21"/>
          <w:highlight w:val="none"/>
          <w:lang w:eastAsia="zh-CN"/>
        </w:rPr>
        <w:t>至少</w:t>
      </w:r>
      <w:r>
        <w:rPr>
          <w:rFonts w:hint="eastAsia" w:ascii="宋体" w:hAnsi="宋体" w:eastAsia="宋体" w:cs="宋体"/>
          <w:b w:val="0"/>
          <w:color w:val="auto"/>
          <w:kern w:val="2"/>
          <w:sz w:val="21"/>
          <w:szCs w:val="21"/>
          <w:highlight w:val="none"/>
        </w:rPr>
        <w:t>需处理两次（范围为：行道树轴线向外扩1.5米）。</w:t>
      </w:r>
    </w:p>
    <w:p w14:paraId="295F62C2">
      <w:pPr>
        <w:pStyle w:val="2"/>
        <w:ind w:firstLine="422" w:firstLineChars="200"/>
        <w:rPr>
          <w:rFonts w:hint="eastAsia" w:eastAsia="宋体"/>
          <w:b/>
          <w:bCs/>
          <w:lang w:val="en-US" w:eastAsia="zh-CN"/>
        </w:rPr>
      </w:pPr>
      <w:r>
        <w:rPr>
          <w:rFonts w:hint="eastAsia" w:ascii="宋体" w:hAnsi="宋体" w:cs="宋体"/>
          <w:b/>
          <w:bCs/>
          <w:color w:val="auto"/>
          <w:kern w:val="2"/>
          <w:sz w:val="21"/>
          <w:szCs w:val="21"/>
          <w:highlight w:val="none"/>
          <w:lang w:val="en-US" w:eastAsia="zh-CN"/>
        </w:rPr>
        <w:t>4、</w:t>
      </w:r>
      <w:r>
        <w:rPr>
          <w:rFonts w:hint="eastAsia"/>
          <w:b/>
          <w:bCs/>
          <w:lang w:val="en-US" w:eastAsia="zh-CN"/>
        </w:rPr>
        <w:t>龙沙公路（K3+400-K10+000）道路两侧杂草清理，面积约63000m2。</w:t>
      </w:r>
    </w:p>
    <w:p w14:paraId="100DE6A6">
      <w:pPr>
        <w:widowControl w:val="0"/>
        <w:spacing w:after="120" w:line="360" w:lineRule="auto"/>
        <w:ind w:firstLine="420" w:firstLineChars="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5、《藻溪镇202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年绿化养护数据》表格内数量作为投标的依据，表格数量与实际数量可能存在不符，各投标单位自行考虑风险。</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b/>
          <w:bCs/>
          <w:color w:val="auto"/>
          <w:kern w:val="2"/>
          <w:sz w:val="21"/>
          <w:szCs w:val="21"/>
          <w:highlight w:val="none"/>
          <w:u w:val="single"/>
          <w:lang w:val="en-US" w:eastAsia="zh-CN" w:bidi="ar-SA"/>
        </w:rPr>
        <w:t>若中标后有些地点实际工程量超过《藻溪镇202</w:t>
      </w:r>
      <w:r>
        <w:rPr>
          <w:rFonts w:hint="eastAsia" w:ascii="宋体" w:hAnsi="宋体" w:cs="宋体"/>
          <w:b/>
          <w:bCs/>
          <w:color w:val="auto"/>
          <w:kern w:val="2"/>
          <w:sz w:val="21"/>
          <w:szCs w:val="21"/>
          <w:highlight w:val="none"/>
          <w:u w:val="single"/>
          <w:lang w:val="en-US" w:eastAsia="zh-CN" w:bidi="ar-SA"/>
        </w:rPr>
        <w:t>5</w:t>
      </w:r>
      <w:r>
        <w:rPr>
          <w:rFonts w:hint="eastAsia" w:ascii="宋体" w:hAnsi="宋体" w:eastAsia="宋体" w:cs="宋体"/>
          <w:b/>
          <w:bCs/>
          <w:color w:val="auto"/>
          <w:kern w:val="2"/>
          <w:sz w:val="21"/>
          <w:szCs w:val="21"/>
          <w:highlight w:val="none"/>
          <w:u w:val="single"/>
          <w:lang w:val="en-US" w:eastAsia="zh-CN" w:bidi="ar-SA"/>
        </w:rPr>
        <w:t>年绿化养护数据》数量的，按实际数量进行养护，养护费用不予增加。若中标后有些地点实际工程量低于《藻溪镇202</w:t>
      </w:r>
      <w:r>
        <w:rPr>
          <w:rFonts w:hint="eastAsia" w:ascii="宋体" w:hAnsi="宋体" w:cs="宋体"/>
          <w:b/>
          <w:bCs/>
          <w:color w:val="auto"/>
          <w:kern w:val="2"/>
          <w:sz w:val="21"/>
          <w:szCs w:val="21"/>
          <w:highlight w:val="none"/>
          <w:u w:val="single"/>
          <w:lang w:val="en-US" w:eastAsia="zh-CN" w:bidi="ar-SA"/>
        </w:rPr>
        <w:t>5</w:t>
      </w:r>
      <w:r>
        <w:rPr>
          <w:rFonts w:hint="eastAsia" w:ascii="宋体" w:hAnsi="宋体" w:eastAsia="宋体" w:cs="宋体"/>
          <w:b/>
          <w:bCs/>
          <w:color w:val="auto"/>
          <w:kern w:val="2"/>
          <w:sz w:val="21"/>
          <w:szCs w:val="21"/>
          <w:highlight w:val="none"/>
          <w:u w:val="single"/>
          <w:lang w:val="en-US" w:eastAsia="zh-CN" w:bidi="ar-SA"/>
        </w:rPr>
        <w:t>年绿化养护数据》数量的，按实际数量结算养护费用。</w:t>
      </w:r>
    </w:p>
    <w:p w14:paraId="0BD4942C">
      <w:pPr>
        <w:snapToGrid w:val="0"/>
        <w:spacing w:line="500" w:lineRule="exact"/>
        <w:jc w:val="center"/>
        <w:rPr>
          <w:rFonts w:hint="eastAsia" w:ascii="宋体" w:hAnsi="宋体" w:eastAsia="宋体" w:cs="华文中宋"/>
          <w:b/>
          <w:bCs/>
          <w:color w:val="auto"/>
          <w:sz w:val="24"/>
          <w:szCs w:val="22"/>
          <w:lang w:val="en-US" w:eastAsia="zh-CN"/>
        </w:rPr>
      </w:pPr>
      <w:r>
        <w:rPr>
          <w:rFonts w:hint="eastAsia" w:ascii="宋体" w:hAnsi="宋体" w:eastAsia="宋体" w:cs="宋体"/>
          <w:color w:val="auto"/>
          <w:kern w:val="2"/>
          <w:sz w:val="21"/>
          <w:szCs w:val="21"/>
          <w:highlight w:val="none"/>
          <w:lang w:val="en-US" w:eastAsia="zh-CN" w:bidi="ar-SA"/>
        </w:rPr>
        <w:br w:type="page"/>
      </w:r>
      <w:r>
        <w:rPr>
          <w:rFonts w:hint="eastAsia" w:ascii="宋体" w:hAnsi="宋体" w:eastAsia="宋体" w:cs="宋体"/>
          <w:color w:val="auto"/>
          <w:kern w:val="2"/>
          <w:sz w:val="21"/>
          <w:szCs w:val="21"/>
          <w:highlight w:val="none"/>
          <w:lang w:val="en-US" w:eastAsia="zh-CN" w:bidi="ar-SA"/>
        </w:rPr>
        <w:t>藻溪镇2025年绿化养护数据</w:t>
      </w:r>
    </w:p>
    <w:tbl>
      <w:tblPr>
        <w:tblStyle w:val="32"/>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9"/>
        <w:gridCol w:w="2221"/>
        <w:gridCol w:w="1438"/>
        <w:gridCol w:w="2025"/>
        <w:gridCol w:w="2520"/>
      </w:tblGrid>
      <w:tr w14:paraId="3AD2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629" w:type="dxa"/>
            <w:vMerge w:val="restart"/>
            <w:noWrap w:val="0"/>
            <w:vAlign w:val="center"/>
          </w:tcPr>
          <w:p w14:paraId="71BA962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序号</w:t>
            </w:r>
          </w:p>
        </w:tc>
        <w:tc>
          <w:tcPr>
            <w:tcW w:w="2221" w:type="dxa"/>
            <w:vMerge w:val="restart"/>
            <w:noWrap w:val="0"/>
            <w:vAlign w:val="center"/>
          </w:tcPr>
          <w:p w14:paraId="7FF8B1D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地点</w:t>
            </w:r>
          </w:p>
        </w:tc>
        <w:tc>
          <w:tcPr>
            <w:tcW w:w="5983" w:type="dxa"/>
            <w:gridSpan w:val="3"/>
            <w:noWrap w:val="0"/>
            <w:vAlign w:val="center"/>
          </w:tcPr>
          <w:p w14:paraId="793389B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种类</w:t>
            </w:r>
          </w:p>
        </w:tc>
      </w:tr>
      <w:tr w14:paraId="6E04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1" w:hRule="atLeast"/>
        </w:trPr>
        <w:tc>
          <w:tcPr>
            <w:tcW w:w="629" w:type="dxa"/>
            <w:vMerge w:val="continue"/>
            <w:noWrap w:val="0"/>
            <w:vAlign w:val="center"/>
          </w:tcPr>
          <w:p w14:paraId="64428F3E">
            <w:pPr>
              <w:jc w:val="center"/>
              <w:rPr>
                <w:rFonts w:hint="eastAsia" w:ascii="宋体" w:hAnsi="宋体" w:eastAsia="宋体" w:cs="宋体"/>
                <w:b w:val="0"/>
                <w:bCs w:val="0"/>
                <w:color w:val="auto"/>
                <w:sz w:val="21"/>
                <w:szCs w:val="21"/>
                <w:highlight w:val="none"/>
                <w:lang w:val="en-US" w:eastAsia="zh-CN"/>
              </w:rPr>
            </w:pPr>
          </w:p>
        </w:tc>
        <w:tc>
          <w:tcPr>
            <w:tcW w:w="2221" w:type="dxa"/>
            <w:vMerge w:val="continue"/>
            <w:noWrap w:val="0"/>
            <w:vAlign w:val="center"/>
          </w:tcPr>
          <w:p w14:paraId="7898D4A7">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highlight w:val="none"/>
                <w:u w:val="none"/>
                <w:lang w:val="en-US" w:eastAsia="zh-CN" w:bidi="ar"/>
              </w:rPr>
            </w:pPr>
          </w:p>
        </w:tc>
        <w:tc>
          <w:tcPr>
            <w:tcW w:w="1438" w:type="dxa"/>
            <w:noWrap w:val="0"/>
            <w:vAlign w:val="center"/>
          </w:tcPr>
          <w:p w14:paraId="07278C1E">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乔木（株）</w:t>
            </w:r>
          </w:p>
        </w:tc>
        <w:tc>
          <w:tcPr>
            <w:tcW w:w="2025" w:type="dxa"/>
            <w:noWrap w:val="0"/>
            <w:vAlign w:val="center"/>
          </w:tcPr>
          <w:p w14:paraId="2440DEB5">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草坪</w:t>
            </w:r>
            <w:r>
              <w:rPr>
                <w:rFonts w:hint="eastAsia" w:ascii="宋体" w:hAnsi="宋体" w:eastAsia="宋体" w:cs="宋体"/>
                <w:b w:val="0"/>
                <w:bCs w:val="0"/>
                <w:color w:val="auto"/>
                <w:kern w:val="0"/>
                <w:sz w:val="21"/>
                <w:szCs w:val="21"/>
                <w:highlight w:val="none"/>
                <w:lang w:val="en-US" w:eastAsia="zh-CN"/>
              </w:rPr>
              <w:t>面积</w:t>
            </w:r>
            <w:r>
              <w:rPr>
                <w:rFonts w:hint="eastAsia" w:ascii="宋体" w:hAnsi="宋体" w:eastAsia="宋体" w:cs="宋体"/>
                <w:b w:val="0"/>
                <w:bCs w:val="0"/>
                <w:color w:val="auto"/>
                <w:kern w:val="0"/>
                <w:sz w:val="21"/>
                <w:szCs w:val="21"/>
                <w:highlight w:val="none"/>
              </w:rPr>
              <w:t>（m2)</w:t>
            </w:r>
          </w:p>
        </w:tc>
        <w:tc>
          <w:tcPr>
            <w:tcW w:w="2520" w:type="dxa"/>
            <w:noWrap w:val="0"/>
            <w:vAlign w:val="center"/>
          </w:tcPr>
          <w:p w14:paraId="737365BA">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灌木面积（</w:t>
            </w:r>
            <w:r>
              <w:rPr>
                <w:rFonts w:hint="eastAsia" w:ascii="宋体" w:hAnsi="宋体" w:eastAsia="宋体" w:cs="宋体"/>
                <w:b w:val="0"/>
                <w:bCs w:val="0"/>
                <w:color w:val="auto"/>
                <w:kern w:val="0"/>
                <w:sz w:val="21"/>
                <w:szCs w:val="21"/>
                <w:highlight w:val="none"/>
              </w:rPr>
              <w:t>m2</w:t>
            </w:r>
            <w:r>
              <w:rPr>
                <w:rFonts w:hint="eastAsia" w:ascii="宋体" w:hAnsi="宋体" w:eastAsia="宋体" w:cs="宋体"/>
                <w:b w:val="0"/>
                <w:bCs w:val="0"/>
                <w:color w:val="auto"/>
                <w:kern w:val="0"/>
                <w:sz w:val="21"/>
                <w:szCs w:val="21"/>
                <w:highlight w:val="none"/>
                <w:lang w:val="en-US" w:eastAsia="zh-CN"/>
              </w:rPr>
              <w:t>)</w:t>
            </w:r>
          </w:p>
        </w:tc>
      </w:tr>
      <w:tr w14:paraId="2ED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629" w:type="dxa"/>
            <w:vMerge w:val="restart"/>
            <w:noWrap w:val="0"/>
            <w:vAlign w:val="center"/>
          </w:tcPr>
          <w:p w14:paraId="1941056C">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221" w:type="dxa"/>
            <w:vMerge w:val="restart"/>
            <w:noWrap w:val="0"/>
            <w:vAlign w:val="center"/>
          </w:tcPr>
          <w:p w14:paraId="693C838E">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i w:val="0"/>
                <w:color w:val="000000"/>
                <w:kern w:val="0"/>
                <w:sz w:val="21"/>
                <w:szCs w:val="21"/>
                <w:highlight w:val="none"/>
                <w:u w:val="none"/>
                <w:lang w:val="en-US" w:eastAsia="zh-CN" w:bidi="ar"/>
              </w:rPr>
              <w:t>灵沙公路</w:t>
            </w:r>
          </w:p>
        </w:tc>
        <w:tc>
          <w:tcPr>
            <w:tcW w:w="1438" w:type="dxa"/>
            <w:vMerge w:val="restart"/>
            <w:noWrap w:val="0"/>
            <w:vAlign w:val="center"/>
          </w:tcPr>
          <w:p w14:paraId="4573AC9E">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color w:val="000000"/>
                <w:kern w:val="0"/>
                <w:sz w:val="21"/>
                <w:szCs w:val="21"/>
                <w:highlight w:val="none"/>
                <w:u w:val="none"/>
                <w:lang w:val="en-US" w:eastAsia="zh-CN" w:bidi="ar"/>
              </w:rPr>
              <w:t>17100</w:t>
            </w:r>
          </w:p>
        </w:tc>
        <w:tc>
          <w:tcPr>
            <w:tcW w:w="2025" w:type="dxa"/>
            <w:vMerge w:val="restart"/>
            <w:noWrap w:val="0"/>
            <w:vAlign w:val="center"/>
          </w:tcPr>
          <w:p w14:paraId="0C86B538">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color w:val="000000"/>
                <w:kern w:val="0"/>
                <w:sz w:val="21"/>
                <w:szCs w:val="21"/>
                <w:highlight w:val="none"/>
                <w:u w:val="none"/>
                <w:lang w:val="en-US" w:eastAsia="zh-CN" w:bidi="ar"/>
              </w:rPr>
              <w:t>5277.70</w:t>
            </w:r>
          </w:p>
        </w:tc>
        <w:tc>
          <w:tcPr>
            <w:tcW w:w="2520" w:type="dxa"/>
            <w:vMerge w:val="restart"/>
            <w:noWrap w:val="0"/>
            <w:vAlign w:val="center"/>
          </w:tcPr>
          <w:p w14:paraId="336DCC68">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i w:val="0"/>
                <w:color w:val="auto"/>
                <w:kern w:val="0"/>
                <w:sz w:val="21"/>
                <w:szCs w:val="21"/>
                <w:highlight w:val="none"/>
                <w:u w:val="none"/>
                <w:lang w:val="en-US" w:eastAsia="zh-CN" w:bidi="ar"/>
              </w:rPr>
              <w:t>73229.3</w:t>
            </w:r>
          </w:p>
        </w:tc>
      </w:tr>
      <w:tr w14:paraId="0FC6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629" w:type="dxa"/>
            <w:vMerge w:val="continue"/>
            <w:noWrap w:val="0"/>
            <w:vAlign w:val="center"/>
          </w:tcPr>
          <w:p w14:paraId="43155FEF">
            <w:pPr>
              <w:jc w:val="center"/>
              <w:rPr>
                <w:rFonts w:hint="eastAsia" w:ascii="宋体" w:hAnsi="宋体" w:eastAsia="宋体" w:cs="宋体"/>
                <w:b w:val="0"/>
                <w:bCs w:val="0"/>
                <w:color w:val="auto"/>
                <w:sz w:val="21"/>
                <w:szCs w:val="21"/>
                <w:highlight w:val="none"/>
              </w:rPr>
            </w:pPr>
          </w:p>
        </w:tc>
        <w:tc>
          <w:tcPr>
            <w:tcW w:w="2221" w:type="dxa"/>
            <w:vMerge w:val="continue"/>
            <w:noWrap w:val="0"/>
            <w:vAlign w:val="center"/>
          </w:tcPr>
          <w:p w14:paraId="4C67B706">
            <w:pPr>
              <w:jc w:val="center"/>
              <w:rPr>
                <w:rFonts w:hint="eastAsia" w:ascii="宋体" w:hAnsi="宋体" w:eastAsia="宋体" w:cs="宋体"/>
                <w:b w:val="0"/>
                <w:bCs w:val="0"/>
                <w:color w:val="auto"/>
                <w:sz w:val="21"/>
                <w:szCs w:val="21"/>
                <w:highlight w:val="none"/>
              </w:rPr>
            </w:pPr>
          </w:p>
        </w:tc>
        <w:tc>
          <w:tcPr>
            <w:tcW w:w="1438" w:type="dxa"/>
            <w:vMerge w:val="continue"/>
            <w:noWrap w:val="0"/>
            <w:vAlign w:val="center"/>
          </w:tcPr>
          <w:p w14:paraId="5FAAAF80">
            <w:pPr>
              <w:widowControl/>
              <w:jc w:val="center"/>
              <w:textAlignment w:val="center"/>
              <w:rPr>
                <w:rFonts w:hint="eastAsia" w:ascii="宋体" w:hAnsi="宋体" w:eastAsia="宋体" w:cs="宋体"/>
                <w:b w:val="0"/>
                <w:bCs w:val="0"/>
                <w:color w:val="auto"/>
                <w:kern w:val="0"/>
                <w:sz w:val="21"/>
                <w:szCs w:val="21"/>
                <w:highlight w:val="none"/>
              </w:rPr>
            </w:pPr>
          </w:p>
        </w:tc>
        <w:tc>
          <w:tcPr>
            <w:tcW w:w="2025" w:type="dxa"/>
            <w:vMerge w:val="continue"/>
            <w:noWrap w:val="0"/>
            <w:vAlign w:val="center"/>
          </w:tcPr>
          <w:p w14:paraId="35273FDE">
            <w:pPr>
              <w:widowControl/>
              <w:jc w:val="center"/>
              <w:textAlignment w:val="center"/>
              <w:rPr>
                <w:rFonts w:hint="eastAsia" w:ascii="宋体" w:hAnsi="宋体" w:eastAsia="宋体" w:cs="宋体"/>
                <w:b w:val="0"/>
                <w:bCs w:val="0"/>
                <w:color w:val="auto"/>
                <w:kern w:val="0"/>
                <w:sz w:val="21"/>
                <w:szCs w:val="21"/>
                <w:highlight w:val="none"/>
              </w:rPr>
            </w:pPr>
          </w:p>
        </w:tc>
        <w:tc>
          <w:tcPr>
            <w:tcW w:w="2520" w:type="dxa"/>
            <w:vMerge w:val="continue"/>
            <w:noWrap w:val="0"/>
            <w:vAlign w:val="center"/>
          </w:tcPr>
          <w:p w14:paraId="64B9307D">
            <w:pPr>
              <w:widowControl/>
              <w:jc w:val="center"/>
              <w:textAlignment w:val="center"/>
              <w:rPr>
                <w:rFonts w:hint="eastAsia" w:ascii="宋体" w:hAnsi="宋体" w:eastAsia="宋体" w:cs="宋体"/>
                <w:b w:val="0"/>
                <w:bCs w:val="0"/>
                <w:color w:val="auto"/>
                <w:sz w:val="21"/>
                <w:szCs w:val="21"/>
                <w:highlight w:val="none"/>
              </w:rPr>
            </w:pPr>
          </w:p>
        </w:tc>
      </w:tr>
      <w:tr w14:paraId="1424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trPr>
        <w:tc>
          <w:tcPr>
            <w:tcW w:w="629" w:type="dxa"/>
            <w:noWrap w:val="0"/>
            <w:vAlign w:val="center"/>
          </w:tcPr>
          <w:p w14:paraId="4B726EB9">
            <w:pPr>
              <w:widowControl/>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2221" w:type="dxa"/>
            <w:noWrap w:val="0"/>
            <w:vAlign w:val="center"/>
          </w:tcPr>
          <w:p w14:paraId="07C62438">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color w:val="000000"/>
                <w:kern w:val="0"/>
                <w:sz w:val="21"/>
                <w:szCs w:val="21"/>
                <w:highlight w:val="none"/>
                <w:u w:val="none"/>
                <w:lang w:val="en-US" w:eastAsia="zh-CN" w:bidi="ar"/>
              </w:rPr>
              <w:t>藻溪连接线</w:t>
            </w:r>
          </w:p>
        </w:tc>
        <w:tc>
          <w:tcPr>
            <w:tcW w:w="1438" w:type="dxa"/>
            <w:noWrap w:val="0"/>
            <w:vAlign w:val="center"/>
          </w:tcPr>
          <w:p w14:paraId="331B8F19">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color w:val="000000"/>
                <w:kern w:val="0"/>
                <w:sz w:val="21"/>
                <w:szCs w:val="21"/>
                <w:highlight w:val="none"/>
                <w:u w:val="none"/>
                <w:lang w:val="en-US" w:eastAsia="zh-CN" w:bidi="ar"/>
              </w:rPr>
              <w:t>1859</w:t>
            </w:r>
          </w:p>
        </w:tc>
        <w:tc>
          <w:tcPr>
            <w:tcW w:w="2025" w:type="dxa"/>
            <w:noWrap w:val="0"/>
            <w:vAlign w:val="center"/>
          </w:tcPr>
          <w:p w14:paraId="2FF16E09">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487.60</w:t>
            </w:r>
          </w:p>
        </w:tc>
        <w:tc>
          <w:tcPr>
            <w:tcW w:w="2520" w:type="dxa"/>
            <w:noWrap w:val="0"/>
            <w:vAlign w:val="center"/>
          </w:tcPr>
          <w:p w14:paraId="177D7586">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rPr>
            </w:pPr>
            <w:r>
              <w:rPr>
                <w:rFonts w:hint="eastAsia" w:ascii="宋体" w:hAnsi="宋体" w:cs="宋体"/>
                <w:b w:val="0"/>
                <w:bCs w:val="0"/>
                <w:i w:val="0"/>
                <w:color w:val="auto"/>
                <w:kern w:val="0"/>
                <w:sz w:val="21"/>
                <w:szCs w:val="21"/>
                <w:highlight w:val="none"/>
                <w:u w:val="none"/>
                <w:lang w:val="en-US" w:eastAsia="zh-CN" w:bidi="ar"/>
              </w:rPr>
              <w:t>6282.5</w:t>
            </w:r>
          </w:p>
        </w:tc>
      </w:tr>
      <w:tr w14:paraId="110C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trPr>
        <w:tc>
          <w:tcPr>
            <w:tcW w:w="629" w:type="dxa"/>
            <w:noWrap w:val="0"/>
            <w:vAlign w:val="center"/>
          </w:tcPr>
          <w:p w14:paraId="7FAC421C">
            <w:pPr>
              <w:widowControl/>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p>
        </w:tc>
        <w:tc>
          <w:tcPr>
            <w:tcW w:w="2221" w:type="dxa"/>
            <w:noWrap w:val="0"/>
            <w:vAlign w:val="center"/>
          </w:tcPr>
          <w:p w14:paraId="1A2C50A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灵炎线、兴洲街、文兰街</w:t>
            </w:r>
          </w:p>
        </w:tc>
        <w:tc>
          <w:tcPr>
            <w:tcW w:w="1438" w:type="dxa"/>
            <w:noWrap w:val="0"/>
            <w:vAlign w:val="center"/>
          </w:tcPr>
          <w:p w14:paraId="055E42CB">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446</w:t>
            </w:r>
          </w:p>
        </w:tc>
        <w:tc>
          <w:tcPr>
            <w:tcW w:w="2025" w:type="dxa"/>
            <w:noWrap w:val="0"/>
            <w:vAlign w:val="center"/>
          </w:tcPr>
          <w:p w14:paraId="76522698">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p>
        </w:tc>
        <w:tc>
          <w:tcPr>
            <w:tcW w:w="2520" w:type="dxa"/>
            <w:noWrap w:val="0"/>
            <w:vAlign w:val="center"/>
          </w:tcPr>
          <w:p w14:paraId="60B19B86">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3727.49</w:t>
            </w:r>
          </w:p>
        </w:tc>
      </w:tr>
      <w:tr w14:paraId="2194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atLeast"/>
        </w:trPr>
        <w:tc>
          <w:tcPr>
            <w:tcW w:w="629" w:type="dxa"/>
            <w:noWrap w:val="0"/>
            <w:vAlign w:val="center"/>
          </w:tcPr>
          <w:p w14:paraId="72CD8004">
            <w:pPr>
              <w:widowControl/>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2221" w:type="dxa"/>
            <w:noWrap w:val="0"/>
            <w:vAlign w:val="center"/>
          </w:tcPr>
          <w:p w14:paraId="31718DB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公园路</w:t>
            </w:r>
          </w:p>
        </w:tc>
        <w:tc>
          <w:tcPr>
            <w:tcW w:w="1438" w:type="dxa"/>
            <w:noWrap w:val="0"/>
            <w:vAlign w:val="center"/>
          </w:tcPr>
          <w:p w14:paraId="7BCBADCB">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62</w:t>
            </w:r>
          </w:p>
        </w:tc>
        <w:tc>
          <w:tcPr>
            <w:tcW w:w="2025" w:type="dxa"/>
            <w:noWrap w:val="0"/>
            <w:vAlign w:val="center"/>
          </w:tcPr>
          <w:p w14:paraId="7E95495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688FC4F3">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412.67</w:t>
            </w:r>
          </w:p>
        </w:tc>
      </w:tr>
      <w:tr w14:paraId="7BAB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atLeast"/>
        </w:trPr>
        <w:tc>
          <w:tcPr>
            <w:tcW w:w="629" w:type="dxa"/>
            <w:noWrap w:val="0"/>
            <w:vAlign w:val="center"/>
          </w:tcPr>
          <w:p w14:paraId="4621777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2221" w:type="dxa"/>
            <w:noWrap w:val="0"/>
            <w:vAlign w:val="center"/>
          </w:tcPr>
          <w:p w14:paraId="7EFA10C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公园一街、公园路二街</w:t>
            </w:r>
          </w:p>
        </w:tc>
        <w:tc>
          <w:tcPr>
            <w:tcW w:w="1438" w:type="dxa"/>
            <w:noWrap w:val="0"/>
            <w:vAlign w:val="center"/>
          </w:tcPr>
          <w:p w14:paraId="7C709712">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p>
        </w:tc>
        <w:tc>
          <w:tcPr>
            <w:tcW w:w="2025" w:type="dxa"/>
            <w:noWrap w:val="0"/>
            <w:vAlign w:val="center"/>
          </w:tcPr>
          <w:p w14:paraId="74F6E33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508FA1F9">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631.65</w:t>
            </w:r>
          </w:p>
        </w:tc>
      </w:tr>
      <w:tr w14:paraId="193E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629" w:type="dxa"/>
            <w:noWrap w:val="0"/>
            <w:vAlign w:val="center"/>
          </w:tcPr>
          <w:p w14:paraId="033B81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2221" w:type="dxa"/>
            <w:noWrap w:val="0"/>
            <w:vAlign w:val="center"/>
          </w:tcPr>
          <w:p w14:paraId="420CB34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中兴路</w:t>
            </w:r>
          </w:p>
        </w:tc>
        <w:tc>
          <w:tcPr>
            <w:tcW w:w="1438" w:type="dxa"/>
            <w:noWrap w:val="0"/>
            <w:vAlign w:val="center"/>
          </w:tcPr>
          <w:p w14:paraId="392070D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49</w:t>
            </w:r>
          </w:p>
        </w:tc>
        <w:tc>
          <w:tcPr>
            <w:tcW w:w="2025" w:type="dxa"/>
            <w:noWrap w:val="0"/>
            <w:vAlign w:val="center"/>
          </w:tcPr>
          <w:p w14:paraId="567ABF6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652DD316">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2730.56</w:t>
            </w:r>
          </w:p>
        </w:tc>
      </w:tr>
      <w:tr w14:paraId="37BE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629" w:type="dxa"/>
            <w:noWrap w:val="0"/>
            <w:vAlign w:val="center"/>
          </w:tcPr>
          <w:p w14:paraId="081223D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2221" w:type="dxa"/>
            <w:noWrap w:val="0"/>
            <w:vAlign w:val="center"/>
          </w:tcPr>
          <w:p w14:paraId="0E855D0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涌泉街</w:t>
            </w:r>
          </w:p>
        </w:tc>
        <w:tc>
          <w:tcPr>
            <w:tcW w:w="1438" w:type="dxa"/>
            <w:noWrap w:val="0"/>
            <w:vAlign w:val="center"/>
          </w:tcPr>
          <w:p w14:paraId="2214F7A1">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80</w:t>
            </w:r>
          </w:p>
        </w:tc>
        <w:tc>
          <w:tcPr>
            <w:tcW w:w="2025" w:type="dxa"/>
            <w:noWrap w:val="0"/>
            <w:vAlign w:val="center"/>
          </w:tcPr>
          <w:p w14:paraId="4E59BF51">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7169573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p>
        </w:tc>
      </w:tr>
      <w:tr w14:paraId="7F1C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24CC414D">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2221" w:type="dxa"/>
            <w:noWrap w:val="0"/>
            <w:vAlign w:val="center"/>
          </w:tcPr>
          <w:p w14:paraId="100B753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溪星岛上下</w:t>
            </w:r>
          </w:p>
        </w:tc>
        <w:tc>
          <w:tcPr>
            <w:tcW w:w="1438" w:type="dxa"/>
            <w:noWrap w:val="0"/>
            <w:vAlign w:val="center"/>
          </w:tcPr>
          <w:p w14:paraId="37759660">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185</w:t>
            </w:r>
          </w:p>
        </w:tc>
        <w:tc>
          <w:tcPr>
            <w:tcW w:w="2025" w:type="dxa"/>
            <w:noWrap w:val="0"/>
            <w:vAlign w:val="center"/>
          </w:tcPr>
          <w:p w14:paraId="5E06447B">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35D57D50">
            <w:pPr>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11806.50</w:t>
            </w:r>
          </w:p>
        </w:tc>
      </w:tr>
      <w:tr w14:paraId="34EB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1618953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2221" w:type="dxa"/>
            <w:noWrap w:val="0"/>
            <w:vAlign w:val="center"/>
          </w:tcPr>
          <w:p w14:paraId="71825AB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水上篮球场　</w:t>
            </w:r>
          </w:p>
        </w:tc>
        <w:tc>
          <w:tcPr>
            <w:tcW w:w="1438" w:type="dxa"/>
            <w:noWrap w:val="0"/>
            <w:vAlign w:val="center"/>
          </w:tcPr>
          <w:p w14:paraId="352D6154">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28</w:t>
            </w:r>
          </w:p>
        </w:tc>
        <w:tc>
          <w:tcPr>
            <w:tcW w:w="2025" w:type="dxa"/>
            <w:noWrap w:val="0"/>
            <w:vAlign w:val="center"/>
          </w:tcPr>
          <w:p w14:paraId="69B92D46">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1F8847A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900.61</w:t>
            </w:r>
          </w:p>
        </w:tc>
      </w:tr>
      <w:tr w14:paraId="580F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4E43498D">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2221" w:type="dxa"/>
            <w:noWrap w:val="0"/>
            <w:vAlign w:val="center"/>
          </w:tcPr>
          <w:p w14:paraId="740A506A">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藻流溪周边（将军大桥-欣华桥）</w:t>
            </w:r>
          </w:p>
        </w:tc>
        <w:tc>
          <w:tcPr>
            <w:tcW w:w="1438" w:type="dxa"/>
            <w:noWrap w:val="0"/>
            <w:vAlign w:val="center"/>
          </w:tcPr>
          <w:p w14:paraId="4ACDCCBA">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44</w:t>
            </w:r>
          </w:p>
        </w:tc>
        <w:tc>
          <w:tcPr>
            <w:tcW w:w="2025" w:type="dxa"/>
            <w:noWrap w:val="0"/>
            <w:vAlign w:val="center"/>
          </w:tcPr>
          <w:p w14:paraId="4423FC59">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671B275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13758.20</w:t>
            </w:r>
          </w:p>
        </w:tc>
      </w:tr>
      <w:tr w14:paraId="7BF7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231B70F0">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p>
        </w:tc>
        <w:tc>
          <w:tcPr>
            <w:tcW w:w="2221" w:type="dxa"/>
            <w:noWrap w:val="0"/>
            <w:vAlign w:val="center"/>
          </w:tcPr>
          <w:p w14:paraId="7DDD31A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丁埠头村</w:t>
            </w:r>
          </w:p>
        </w:tc>
        <w:tc>
          <w:tcPr>
            <w:tcW w:w="1438" w:type="dxa"/>
            <w:noWrap w:val="0"/>
            <w:vAlign w:val="center"/>
          </w:tcPr>
          <w:p w14:paraId="76FECB32">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244</w:t>
            </w:r>
          </w:p>
        </w:tc>
        <w:tc>
          <w:tcPr>
            <w:tcW w:w="2025" w:type="dxa"/>
            <w:noWrap w:val="0"/>
            <w:vAlign w:val="center"/>
          </w:tcPr>
          <w:p w14:paraId="1046DBDB">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11FBD1E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6614.59</w:t>
            </w:r>
          </w:p>
        </w:tc>
      </w:tr>
      <w:tr w14:paraId="4E30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4AFC6CB2">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2221" w:type="dxa"/>
            <w:noWrap w:val="0"/>
            <w:vAlign w:val="center"/>
          </w:tcPr>
          <w:p w14:paraId="6CCB10F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鲤鱼山公园前溪边岸线</w:t>
            </w:r>
          </w:p>
        </w:tc>
        <w:tc>
          <w:tcPr>
            <w:tcW w:w="1438" w:type="dxa"/>
            <w:noWrap w:val="0"/>
            <w:vAlign w:val="center"/>
          </w:tcPr>
          <w:p w14:paraId="2E3C3F01">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35</w:t>
            </w:r>
          </w:p>
        </w:tc>
        <w:tc>
          <w:tcPr>
            <w:tcW w:w="2025" w:type="dxa"/>
            <w:noWrap w:val="0"/>
            <w:vAlign w:val="center"/>
          </w:tcPr>
          <w:p w14:paraId="54A5506E">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61EC2DE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255.90</w:t>
            </w:r>
          </w:p>
        </w:tc>
      </w:tr>
      <w:tr w14:paraId="0AA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51C63896">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p>
        </w:tc>
        <w:tc>
          <w:tcPr>
            <w:tcW w:w="2221" w:type="dxa"/>
            <w:noWrap w:val="0"/>
            <w:vAlign w:val="center"/>
          </w:tcPr>
          <w:p w14:paraId="3935523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鲤鱼山公园桥头</w:t>
            </w:r>
          </w:p>
        </w:tc>
        <w:tc>
          <w:tcPr>
            <w:tcW w:w="1438" w:type="dxa"/>
            <w:noWrap w:val="0"/>
            <w:vAlign w:val="center"/>
          </w:tcPr>
          <w:p w14:paraId="4090124B">
            <w:pPr>
              <w:keepNext w:val="0"/>
              <w:keepLines w:val="0"/>
              <w:widowControl/>
              <w:suppressLineNumbers w:val="0"/>
              <w:jc w:val="center"/>
              <w:textAlignment w:val="center"/>
              <w:rPr>
                <w:rFonts w:hint="default"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15</w:t>
            </w:r>
          </w:p>
        </w:tc>
        <w:tc>
          <w:tcPr>
            <w:tcW w:w="2025" w:type="dxa"/>
            <w:noWrap w:val="0"/>
            <w:vAlign w:val="center"/>
          </w:tcPr>
          <w:p w14:paraId="741D9E4F">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7CD4673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p>
        </w:tc>
      </w:tr>
      <w:tr w14:paraId="0C4F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0E6BDE2C">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w:t>
            </w:r>
          </w:p>
        </w:tc>
        <w:tc>
          <w:tcPr>
            <w:tcW w:w="2221" w:type="dxa"/>
            <w:noWrap w:val="0"/>
            <w:vAlign w:val="center"/>
          </w:tcPr>
          <w:p w14:paraId="021857F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rPr>
              <w:t>鲤鱼山公园斜坡</w:t>
            </w:r>
          </w:p>
        </w:tc>
        <w:tc>
          <w:tcPr>
            <w:tcW w:w="1438" w:type="dxa"/>
            <w:noWrap w:val="0"/>
            <w:vAlign w:val="center"/>
          </w:tcPr>
          <w:p w14:paraId="3825353D">
            <w:pPr>
              <w:keepNext w:val="0"/>
              <w:keepLines w:val="0"/>
              <w:widowControl/>
              <w:suppressLineNumbers w:val="0"/>
              <w:jc w:val="center"/>
              <w:textAlignment w:val="center"/>
              <w:rPr>
                <w:rFonts w:hint="default"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120</w:t>
            </w:r>
          </w:p>
        </w:tc>
        <w:tc>
          <w:tcPr>
            <w:tcW w:w="2025" w:type="dxa"/>
            <w:noWrap w:val="0"/>
            <w:vAlign w:val="center"/>
          </w:tcPr>
          <w:p w14:paraId="0B83D75A">
            <w:pPr>
              <w:jc w:val="center"/>
              <w:rPr>
                <w:rFonts w:hint="eastAsia" w:ascii="宋体" w:hAnsi="宋体" w:eastAsia="宋体" w:cs="宋体"/>
                <w:b w:val="0"/>
                <w:bCs w:val="0"/>
                <w:color w:val="auto"/>
                <w:sz w:val="21"/>
                <w:szCs w:val="21"/>
                <w:highlight w:val="none"/>
                <w:lang w:val="en-US" w:eastAsia="zh-CN" w:bidi="ar-SA"/>
              </w:rPr>
            </w:pPr>
          </w:p>
        </w:tc>
        <w:tc>
          <w:tcPr>
            <w:tcW w:w="2520" w:type="dxa"/>
            <w:noWrap w:val="0"/>
            <w:vAlign w:val="center"/>
          </w:tcPr>
          <w:p w14:paraId="0C3EB70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78</w:t>
            </w:r>
          </w:p>
        </w:tc>
      </w:tr>
      <w:tr w14:paraId="6F70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142C3CBE">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p>
        </w:tc>
        <w:tc>
          <w:tcPr>
            <w:tcW w:w="2221" w:type="dxa"/>
            <w:noWrap w:val="0"/>
            <w:vAlign w:val="center"/>
          </w:tcPr>
          <w:p w14:paraId="7BB3E623">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eastAsia="zh-CN"/>
              </w:rPr>
              <w:t>藻溪小学、藻溪中学、藻溪镇*</w:t>
            </w:r>
          </w:p>
        </w:tc>
        <w:tc>
          <w:tcPr>
            <w:tcW w:w="1438" w:type="dxa"/>
            <w:noWrap w:val="0"/>
            <w:vAlign w:val="center"/>
          </w:tcPr>
          <w:p w14:paraId="2E55571B">
            <w:pPr>
              <w:keepNext w:val="0"/>
              <w:keepLines w:val="0"/>
              <w:widowControl/>
              <w:suppressLineNumbers w:val="0"/>
              <w:jc w:val="center"/>
              <w:textAlignment w:val="center"/>
              <w:rPr>
                <w:rFonts w:hint="default"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735</w:t>
            </w:r>
          </w:p>
        </w:tc>
        <w:tc>
          <w:tcPr>
            <w:tcW w:w="2025" w:type="dxa"/>
            <w:noWrap w:val="0"/>
            <w:vAlign w:val="center"/>
          </w:tcPr>
          <w:p w14:paraId="3C3807C3">
            <w:pPr>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2570</w:t>
            </w:r>
          </w:p>
        </w:tc>
        <w:tc>
          <w:tcPr>
            <w:tcW w:w="2520" w:type="dxa"/>
            <w:noWrap w:val="0"/>
            <w:vAlign w:val="center"/>
          </w:tcPr>
          <w:p w14:paraId="06DEA372">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rPr>
              <w:t>1650</w:t>
            </w:r>
          </w:p>
        </w:tc>
      </w:tr>
      <w:tr w14:paraId="6301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293AD466">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w:t>
            </w:r>
          </w:p>
        </w:tc>
        <w:tc>
          <w:tcPr>
            <w:tcW w:w="2221" w:type="dxa"/>
            <w:noWrap w:val="0"/>
            <w:vAlign w:val="center"/>
          </w:tcPr>
          <w:p w14:paraId="7A10704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eastAsia="zh-CN"/>
              </w:rPr>
              <w:t>镇政府、镇政府后足球场、篮球场、羽毛球场周边绿化</w:t>
            </w:r>
          </w:p>
        </w:tc>
        <w:tc>
          <w:tcPr>
            <w:tcW w:w="1438" w:type="dxa"/>
            <w:noWrap w:val="0"/>
            <w:vAlign w:val="center"/>
          </w:tcPr>
          <w:p w14:paraId="5FB150C7">
            <w:pPr>
              <w:keepNext w:val="0"/>
              <w:keepLines w:val="0"/>
              <w:widowControl/>
              <w:suppressLineNumbers w:val="0"/>
              <w:jc w:val="center"/>
              <w:textAlignment w:val="center"/>
              <w:rPr>
                <w:rFonts w:hint="default"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225</w:t>
            </w:r>
          </w:p>
        </w:tc>
        <w:tc>
          <w:tcPr>
            <w:tcW w:w="2025" w:type="dxa"/>
            <w:noWrap w:val="0"/>
            <w:vAlign w:val="center"/>
          </w:tcPr>
          <w:p w14:paraId="471893F5">
            <w:pPr>
              <w:keepNext w:val="0"/>
              <w:keepLines w:val="0"/>
              <w:widowControl/>
              <w:suppressLineNumbers w:val="0"/>
              <w:jc w:val="center"/>
              <w:textAlignment w:val="center"/>
              <w:rPr>
                <w:rFonts w:hint="default"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4522</w:t>
            </w:r>
          </w:p>
        </w:tc>
        <w:tc>
          <w:tcPr>
            <w:tcW w:w="2520" w:type="dxa"/>
            <w:noWrap w:val="0"/>
            <w:vAlign w:val="center"/>
          </w:tcPr>
          <w:p w14:paraId="5DB71405">
            <w:pPr>
              <w:keepNext w:val="0"/>
              <w:keepLines w:val="0"/>
              <w:widowControl/>
              <w:suppressLineNumbers w:val="0"/>
              <w:jc w:val="center"/>
              <w:textAlignment w:val="center"/>
              <w:rPr>
                <w:rFonts w:hint="default" w:ascii="宋体" w:hAnsi="宋体" w:eastAsia="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1436</w:t>
            </w:r>
          </w:p>
        </w:tc>
      </w:tr>
      <w:tr w14:paraId="660C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56B16FC7">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17</w:t>
            </w:r>
          </w:p>
        </w:tc>
        <w:tc>
          <w:tcPr>
            <w:tcW w:w="2221" w:type="dxa"/>
            <w:noWrap w:val="0"/>
            <w:vAlign w:val="center"/>
          </w:tcPr>
          <w:p w14:paraId="5CCEEA05">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eastAsia="zh-CN"/>
              </w:rPr>
              <w:t>奇石馆沿线</w:t>
            </w:r>
          </w:p>
        </w:tc>
        <w:tc>
          <w:tcPr>
            <w:tcW w:w="1438" w:type="dxa"/>
            <w:noWrap w:val="0"/>
            <w:vAlign w:val="center"/>
          </w:tcPr>
          <w:p w14:paraId="3B49F4AA">
            <w:pPr>
              <w:keepNext w:val="0"/>
              <w:keepLines w:val="0"/>
              <w:widowControl/>
              <w:suppressLineNumbers w:val="0"/>
              <w:jc w:val="center"/>
              <w:textAlignment w:val="center"/>
              <w:rPr>
                <w:rFonts w:hint="default" w:ascii="宋体" w:hAnsi="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36</w:t>
            </w:r>
          </w:p>
        </w:tc>
        <w:tc>
          <w:tcPr>
            <w:tcW w:w="2025" w:type="dxa"/>
            <w:noWrap w:val="0"/>
            <w:vAlign w:val="center"/>
          </w:tcPr>
          <w:p w14:paraId="72F5B79A">
            <w:pPr>
              <w:keepNext w:val="0"/>
              <w:keepLines w:val="0"/>
              <w:widowControl/>
              <w:suppressLineNumbers w:val="0"/>
              <w:jc w:val="center"/>
              <w:textAlignment w:val="center"/>
              <w:rPr>
                <w:rFonts w:hint="default" w:ascii="宋体" w:hAnsi="宋体" w:cs="宋体"/>
                <w:b w:val="0"/>
                <w:bCs/>
                <w:i w:val="0"/>
                <w:iCs w:val="0"/>
                <w:color w:val="000000"/>
                <w:kern w:val="2"/>
                <w:sz w:val="22"/>
                <w:szCs w:val="22"/>
                <w:u w:val="none"/>
                <w:lang w:val="en-US" w:eastAsia="zh-CN" w:bidi="ar-SA"/>
              </w:rPr>
            </w:pPr>
          </w:p>
        </w:tc>
        <w:tc>
          <w:tcPr>
            <w:tcW w:w="2520" w:type="dxa"/>
            <w:noWrap w:val="0"/>
            <w:vAlign w:val="center"/>
          </w:tcPr>
          <w:p w14:paraId="3D532E99">
            <w:pPr>
              <w:keepNext w:val="0"/>
              <w:keepLines w:val="0"/>
              <w:widowControl/>
              <w:suppressLineNumbers w:val="0"/>
              <w:jc w:val="center"/>
              <w:textAlignment w:val="center"/>
              <w:rPr>
                <w:rFonts w:hint="default" w:ascii="宋体" w:hAnsi="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2095</w:t>
            </w:r>
          </w:p>
        </w:tc>
      </w:tr>
      <w:tr w14:paraId="0734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629" w:type="dxa"/>
            <w:noWrap w:val="0"/>
            <w:vAlign w:val="center"/>
          </w:tcPr>
          <w:p w14:paraId="3FA605C9">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18</w:t>
            </w:r>
          </w:p>
        </w:tc>
        <w:tc>
          <w:tcPr>
            <w:tcW w:w="2221" w:type="dxa"/>
            <w:noWrap w:val="0"/>
            <w:vAlign w:val="center"/>
          </w:tcPr>
          <w:p w14:paraId="773CE5B2">
            <w:pPr>
              <w:keepNext w:val="0"/>
              <w:keepLines w:val="0"/>
              <w:widowControl/>
              <w:suppressLineNumbers w:val="0"/>
              <w:jc w:val="center"/>
              <w:textAlignment w:val="center"/>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eastAsia="zh-CN"/>
              </w:rPr>
              <w:t>雁过藻溪文化客厅</w:t>
            </w:r>
          </w:p>
        </w:tc>
        <w:tc>
          <w:tcPr>
            <w:tcW w:w="1438" w:type="dxa"/>
            <w:noWrap w:val="0"/>
            <w:vAlign w:val="center"/>
          </w:tcPr>
          <w:p w14:paraId="36A476BA">
            <w:pPr>
              <w:keepNext w:val="0"/>
              <w:keepLines w:val="0"/>
              <w:widowControl/>
              <w:suppressLineNumbers w:val="0"/>
              <w:jc w:val="center"/>
              <w:textAlignment w:val="center"/>
              <w:rPr>
                <w:rFonts w:hint="default" w:ascii="宋体" w:hAnsi="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32</w:t>
            </w:r>
          </w:p>
        </w:tc>
        <w:tc>
          <w:tcPr>
            <w:tcW w:w="2025" w:type="dxa"/>
            <w:noWrap w:val="0"/>
            <w:vAlign w:val="center"/>
          </w:tcPr>
          <w:p w14:paraId="0B1E2BB4">
            <w:pPr>
              <w:keepNext w:val="0"/>
              <w:keepLines w:val="0"/>
              <w:widowControl/>
              <w:suppressLineNumbers w:val="0"/>
              <w:jc w:val="center"/>
              <w:textAlignment w:val="center"/>
              <w:rPr>
                <w:rFonts w:hint="eastAsia" w:ascii="宋体" w:hAnsi="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43.5</w:t>
            </w:r>
          </w:p>
        </w:tc>
        <w:tc>
          <w:tcPr>
            <w:tcW w:w="2520" w:type="dxa"/>
            <w:noWrap w:val="0"/>
            <w:vAlign w:val="center"/>
          </w:tcPr>
          <w:p w14:paraId="3B93C7F5">
            <w:pPr>
              <w:keepNext w:val="0"/>
              <w:keepLines w:val="0"/>
              <w:widowControl/>
              <w:suppressLineNumbers w:val="0"/>
              <w:jc w:val="center"/>
              <w:textAlignment w:val="center"/>
              <w:rPr>
                <w:rFonts w:hint="default" w:ascii="宋体" w:hAnsi="宋体" w:cs="宋体"/>
                <w:b w:val="0"/>
                <w:bCs/>
                <w:i w:val="0"/>
                <w:iCs w:val="0"/>
                <w:color w:val="000000"/>
                <w:kern w:val="2"/>
                <w:sz w:val="22"/>
                <w:szCs w:val="22"/>
                <w:u w:val="none"/>
                <w:lang w:val="en-US" w:eastAsia="zh-CN" w:bidi="ar-SA"/>
              </w:rPr>
            </w:pPr>
            <w:r>
              <w:rPr>
                <w:rFonts w:hint="eastAsia" w:ascii="宋体" w:hAnsi="宋体" w:cs="宋体"/>
                <w:b w:val="0"/>
                <w:bCs/>
                <w:i w:val="0"/>
                <w:iCs w:val="0"/>
                <w:color w:val="000000"/>
                <w:kern w:val="2"/>
                <w:sz w:val="22"/>
                <w:szCs w:val="22"/>
                <w:u w:val="none"/>
                <w:lang w:val="en-US" w:eastAsia="zh-CN" w:bidi="ar-SA"/>
              </w:rPr>
              <w:t>136.6</w:t>
            </w:r>
          </w:p>
        </w:tc>
      </w:tr>
    </w:tbl>
    <w:p w14:paraId="3901A3A4">
      <w:pPr>
        <w:numPr>
          <w:ilvl w:val="0"/>
          <w:numId w:val="7"/>
        </w:numPr>
        <w:autoSpaceDE w:val="0"/>
        <w:autoSpaceDN w:val="0"/>
        <w:adjustRightInd w:val="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br w:type="page"/>
      </w:r>
      <w:r>
        <w:rPr>
          <w:rFonts w:hint="eastAsia" w:ascii="宋体" w:hAnsi="宋体" w:eastAsia="宋体" w:cs="宋体"/>
          <w:b/>
          <w:bCs/>
          <w:color w:val="auto"/>
          <w:kern w:val="2"/>
          <w:sz w:val="21"/>
          <w:szCs w:val="21"/>
          <w:highlight w:val="none"/>
          <w:lang w:val="en-US" w:eastAsia="zh-CN"/>
        </w:rPr>
        <w:t>工作内容</w:t>
      </w:r>
    </w:p>
    <w:p w14:paraId="0FAD4DF7">
      <w:pPr>
        <w:numPr>
          <w:ilvl w:val="0"/>
          <w:numId w:val="0"/>
        </w:numPr>
        <w:autoSpaceDE w:val="0"/>
        <w:autoSpaceDN w:val="0"/>
        <w:adjustRightInd w:val="0"/>
        <w:spacing w:line="360" w:lineRule="auto"/>
        <w:rPr>
          <w:rFonts w:ascii="Arial" w:hAnsi="Arial" w:eastAsia="宋体" w:cs="Arial"/>
          <w:b/>
          <w:color w:val="FF0000"/>
          <w:kern w:val="2"/>
          <w:position w:val="6"/>
          <w:szCs w:val="21"/>
          <w:highlight w:val="none"/>
          <w:u w:val="single"/>
        </w:rPr>
      </w:pPr>
      <w:r>
        <w:rPr>
          <w:rFonts w:hint="eastAsia" w:ascii="Times New Roman" w:hAnsi="Times New Roman" w:eastAsia="宋体" w:cs="Times New Roman"/>
          <w:b/>
          <w:bCs/>
          <w:kern w:val="2"/>
          <w:sz w:val="24"/>
          <w:szCs w:val="24"/>
          <w:highlight w:val="none"/>
          <w:lang w:eastAsia="zh-CN"/>
        </w:rPr>
        <w:t>（</w:t>
      </w:r>
      <w:r>
        <w:rPr>
          <w:rFonts w:hint="eastAsia" w:ascii="Times New Roman" w:hAnsi="Times New Roman" w:eastAsia="宋体" w:cs="Times New Roman"/>
          <w:b/>
          <w:bCs/>
          <w:kern w:val="2"/>
          <w:sz w:val="24"/>
          <w:szCs w:val="24"/>
          <w:highlight w:val="none"/>
          <w:lang w:val="en-US" w:eastAsia="zh-CN"/>
        </w:rPr>
        <w:t>一</w:t>
      </w:r>
      <w:r>
        <w:rPr>
          <w:rFonts w:hint="eastAsia" w:ascii="Times New Roman" w:hAnsi="Times New Roman" w:eastAsia="宋体" w:cs="Times New Roman"/>
          <w:b/>
          <w:bCs/>
          <w:kern w:val="2"/>
          <w:sz w:val="24"/>
          <w:szCs w:val="24"/>
          <w:highlight w:val="none"/>
          <w:lang w:eastAsia="zh-CN"/>
        </w:rPr>
        <w:t>）</w:t>
      </w:r>
      <w:r>
        <w:rPr>
          <w:rFonts w:ascii="Times New Roman" w:hAnsi="Times New Roman" w:eastAsia="宋体" w:cs="Times New Roman"/>
          <w:b/>
          <w:bCs/>
          <w:kern w:val="2"/>
          <w:sz w:val="24"/>
          <w:szCs w:val="24"/>
          <w:highlight w:val="none"/>
        </w:rPr>
        <w:t>养护内容：</w:t>
      </w:r>
    </w:p>
    <w:p w14:paraId="16F3282C">
      <w:pPr>
        <w:spacing w:line="360" w:lineRule="auto"/>
        <w:ind w:firstLine="420"/>
        <w:rPr>
          <w:rFonts w:hint="eastAsia" w:ascii="Arial" w:hAnsi="Arial" w:eastAsia="宋体" w:cs="Arial"/>
          <w:b w:val="0"/>
          <w:bCs w:val="0"/>
          <w:color w:val="000000"/>
          <w:kern w:val="2"/>
          <w:position w:val="6"/>
          <w:szCs w:val="21"/>
          <w:highlight w:val="none"/>
        </w:rPr>
      </w:pPr>
      <w:r>
        <w:rPr>
          <w:rFonts w:hint="eastAsia" w:ascii="Arial" w:hAnsi="Arial" w:eastAsia="宋体" w:cs="Arial"/>
          <w:b w:val="0"/>
          <w:bCs w:val="0"/>
          <w:color w:val="000000"/>
          <w:kern w:val="2"/>
          <w:position w:val="6"/>
          <w:szCs w:val="21"/>
          <w:highlight w:val="none"/>
          <w:lang w:val="en-US" w:eastAsia="zh-CN"/>
        </w:rPr>
        <w:t>本次招标</w:t>
      </w:r>
      <w:r>
        <w:rPr>
          <w:rFonts w:hint="eastAsia" w:ascii="Arial" w:hAnsi="Arial" w:cs="Arial"/>
          <w:b/>
          <w:bCs/>
          <w:color w:val="000000"/>
          <w:kern w:val="2"/>
          <w:position w:val="6"/>
          <w:szCs w:val="21"/>
          <w:highlight w:val="none"/>
          <w:lang w:val="en-US" w:eastAsia="zh-CN"/>
        </w:rPr>
        <w:t>藻溪镇全镇</w:t>
      </w:r>
      <w:r>
        <w:rPr>
          <w:rFonts w:ascii="Arial" w:hAnsi="Arial" w:eastAsia="宋体" w:cs="Arial"/>
          <w:b/>
          <w:bCs/>
          <w:color w:val="000000"/>
          <w:kern w:val="2"/>
          <w:position w:val="6"/>
          <w:szCs w:val="21"/>
          <w:highlight w:val="none"/>
        </w:rPr>
        <w:t>范围内</w:t>
      </w:r>
      <w:r>
        <w:rPr>
          <w:rFonts w:hint="eastAsia" w:ascii="Arial" w:hAnsi="Arial" w:eastAsia="宋体" w:cs="Arial"/>
          <w:b w:val="0"/>
          <w:bCs w:val="0"/>
          <w:color w:val="000000"/>
          <w:kern w:val="2"/>
          <w:position w:val="6"/>
          <w:szCs w:val="21"/>
          <w:highlight w:val="none"/>
        </w:rPr>
        <w:t>绿地和</w:t>
      </w:r>
      <w:r>
        <w:rPr>
          <w:rFonts w:ascii="Arial" w:hAnsi="Arial" w:eastAsia="宋体" w:cs="Arial"/>
          <w:b w:val="0"/>
          <w:bCs w:val="0"/>
          <w:color w:val="000000"/>
          <w:kern w:val="2"/>
          <w:position w:val="6"/>
          <w:szCs w:val="21"/>
          <w:highlight w:val="none"/>
        </w:rPr>
        <w:t>园林绿化设施</w:t>
      </w:r>
      <w:r>
        <w:rPr>
          <w:rFonts w:hint="eastAsia" w:ascii="Arial" w:hAnsi="Arial" w:eastAsia="宋体" w:cs="Arial"/>
          <w:b w:val="0"/>
          <w:bCs w:val="0"/>
          <w:color w:val="000000"/>
          <w:kern w:val="2"/>
          <w:position w:val="6"/>
          <w:szCs w:val="21"/>
          <w:highlight w:val="none"/>
        </w:rPr>
        <w:t>养护</w:t>
      </w:r>
      <w:r>
        <w:rPr>
          <w:rFonts w:ascii="Arial" w:hAnsi="Arial" w:eastAsia="宋体" w:cs="Arial"/>
          <w:b w:val="0"/>
          <w:bCs w:val="0"/>
          <w:color w:val="000000"/>
          <w:kern w:val="2"/>
          <w:position w:val="6"/>
          <w:szCs w:val="21"/>
          <w:highlight w:val="none"/>
        </w:rPr>
        <w:t>等作为本次采购的内容</w:t>
      </w:r>
      <w:r>
        <w:rPr>
          <w:rFonts w:hint="eastAsia" w:ascii="Arial" w:hAnsi="Arial" w:eastAsia="宋体" w:cs="Arial"/>
          <w:b w:val="0"/>
          <w:bCs w:val="0"/>
          <w:color w:val="000000"/>
          <w:kern w:val="2"/>
          <w:position w:val="6"/>
          <w:szCs w:val="21"/>
          <w:highlight w:val="none"/>
          <w:lang w:eastAsia="zh-CN"/>
        </w:rPr>
        <w:t>，</w:t>
      </w:r>
      <w:r>
        <w:rPr>
          <w:rFonts w:ascii="宋体" w:hAnsi="宋体" w:eastAsia="宋体" w:cs="Arial"/>
          <w:b w:val="0"/>
          <w:bCs w:val="0"/>
          <w:kern w:val="2"/>
          <w:position w:val="6"/>
          <w:szCs w:val="20"/>
          <w:highlight w:val="none"/>
        </w:rPr>
        <w:t>其主要内容包括除草、整枝修剪、病虫防治、苗木浇水、</w:t>
      </w:r>
      <w:r>
        <w:rPr>
          <w:rFonts w:hint="eastAsia" w:ascii="宋体" w:hAnsi="宋体" w:eastAsia="宋体" w:cs="Arial"/>
          <w:b w:val="0"/>
          <w:bCs w:val="0"/>
          <w:kern w:val="2"/>
          <w:position w:val="6"/>
          <w:szCs w:val="20"/>
          <w:highlight w:val="none"/>
        </w:rPr>
        <w:t>冷季草籽播种、数字城管（园林案件处理）、</w:t>
      </w:r>
      <w:r>
        <w:rPr>
          <w:rFonts w:hint="eastAsia" w:ascii="Arial" w:hAnsi="Arial" w:eastAsia="宋体" w:cs="Arial"/>
          <w:b w:val="0"/>
          <w:bCs w:val="0"/>
          <w:kern w:val="2"/>
          <w:position w:val="6"/>
          <w:szCs w:val="20"/>
          <w:highlight w:val="none"/>
        </w:rPr>
        <w:t>pvc</w:t>
      </w:r>
      <w:r>
        <w:rPr>
          <w:rFonts w:hint="eastAsia" w:ascii="宋体" w:hAnsi="宋体" w:eastAsia="宋体" w:cs="Arial"/>
          <w:b w:val="0"/>
          <w:bCs w:val="0"/>
          <w:kern w:val="2"/>
          <w:position w:val="6"/>
          <w:szCs w:val="20"/>
          <w:highlight w:val="none"/>
        </w:rPr>
        <w:t>护栏、绿化带护栏维修、树池修理</w:t>
      </w:r>
      <w:r>
        <w:rPr>
          <w:rFonts w:hint="eastAsia" w:ascii="宋体" w:hAnsi="宋体" w:eastAsia="宋体" w:cs="Arial"/>
          <w:b w:val="0"/>
          <w:bCs w:val="0"/>
          <w:kern w:val="2"/>
          <w:position w:val="6"/>
          <w:szCs w:val="20"/>
          <w:highlight w:val="none"/>
          <w:lang w:eastAsia="zh-CN"/>
        </w:rPr>
        <w:t>、</w:t>
      </w:r>
      <w:r>
        <w:rPr>
          <w:rFonts w:hint="eastAsia" w:ascii="宋体" w:hAnsi="宋体" w:eastAsia="宋体" w:cs="Arial"/>
          <w:b w:val="0"/>
          <w:bCs w:val="0"/>
          <w:kern w:val="2"/>
          <w:position w:val="6"/>
          <w:szCs w:val="20"/>
          <w:highlight w:val="none"/>
        </w:rPr>
        <w:t>行道树树枝清运、</w:t>
      </w:r>
      <w:r>
        <w:rPr>
          <w:rFonts w:ascii="宋体" w:hAnsi="宋体" w:eastAsia="宋体" w:cs="Arial"/>
          <w:b w:val="0"/>
          <w:bCs w:val="0"/>
          <w:kern w:val="2"/>
          <w:position w:val="6"/>
          <w:szCs w:val="20"/>
          <w:highlight w:val="none"/>
        </w:rPr>
        <w:t>肥培管理及突击管理等。</w:t>
      </w:r>
      <w:r>
        <w:rPr>
          <w:rFonts w:hint="eastAsia" w:ascii="Arial" w:hAnsi="Arial" w:eastAsia="宋体" w:cs="Arial"/>
          <w:b w:val="0"/>
          <w:bCs w:val="0"/>
          <w:color w:val="000000"/>
          <w:kern w:val="2"/>
          <w:position w:val="6"/>
          <w:szCs w:val="21"/>
          <w:highlight w:val="none"/>
        </w:rPr>
        <w:t>绿地养护以及园路、</w:t>
      </w:r>
      <w:r>
        <w:rPr>
          <w:rFonts w:hint="eastAsia" w:ascii="宋体" w:hAnsi="宋体" w:eastAsia="宋体" w:cs="Arial"/>
          <w:b w:val="0"/>
          <w:bCs w:val="0"/>
          <w:kern w:val="2"/>
          <w:position w:val="6"/>
          <w:szCs w:val="20"/>
          <w:highlight w:val="none"/>
          <w:lang w:eastAsia="zh-CN"/>
        </w:rPr>
        <w:t>公园小品</w:t>
      </w:r>
      <w:r>
        <w:rPr>
          <w:rFonts w:hint="eastAsia" w:ascii="Arial" w:hAnsi="Arial" w:eastAsia="宋体" w:cs="Arial"/>
          <w:b w:val="0"/>
          <w:bCs w:val="0"/>
          <w:color w:val="000000"/>
          <w:kern w:val="2"/>
          <w:position w:val="6"/>
          <w:szCs w:val="21"/>
          <w:highlight w:val="none"/>
        </w:rPr>
        <w:t>等附属设施日常保养、维护和应急处理、机井安全。对接管绿地及其设施，应在采购人要求的时间内完成，由此产生的费用已经实施包干。</w:t>
      </w:r>
    </w:p>
    <w:p w14:paraId="35B7666D">
      <w:pPr>
        <w:numPr>
          <w:ilvl w:val="0"/>
          <w:numId w:val="8"/>
        </w:numPr>
        <w:autoSpaceDE w:val="0"/>
        <w:autoSpaceDN w:val="0"/>
        <w:adjustRightInd w:val="0"/>
        <w:spacing w:line="360" w:lineRule="auto"/>
        <w:rPr>
          <w:rFonts w:hint="eastAsia" w:ascii="Times New Roman" w:hAnsi="Times New Roman" w:eastAsia="宋体" w:cs="Times New Roman"/>
          <w:b/>
          <w:bCs/>
          <w:kern w:val="2"/>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rPr>
        <w:t>灵沙公路沿线两侧杂草清理：</w:t>
      </w:r>
    </w:p>
    <w:p w14:paraId="75D507BB">
      <w:pPr>
        <w:pStyle w:val="2"/>
        <w:numPr>
          <w:ilvl w:val="0"/>
          <w:numId w:val="0"/>
        </w:numPr>
        <w:spacing w:line="360" w:lineRule="auto"/>
        <w:rPr>
          <w:rFonts w:hint="default"/>
          <w:lang w:val="en-US" w:eastAsia="zh-CN"/>
        </w:rPr>
      </w:pPr>
      <w:r>
        <w:rPr>
          <w:rFonts w:hint="eastAsia"/>
          <w:lang w:val="en-US" w:eastAsia="zh-CN"/>
        </w:rPr>
        <w:t xml:space="preserve">    灵沙公路（K3+400-K10+000）两侧杂草清理，面积约63000m2。</w:t>
      </w:r>
    </w:p>
    <w:p w14:paraId="0885E35A">
      <w:pPr>
        <w:spacing w:line="400" w:lineRule="atLeast"/>
        <w:ind w:left="142" w:hanging="142"/>
        <w:rPr>
          <w:rFonts w:ascii="Times New Roman" w:hAnsi="Times New Roman" w:eastAsia="宋体" w:cs="Times New Roman"/>
          <w:b/>
          <w:kern w:val="2"/>
          <w:sz w:val="24"/>
          <w:szCs w:val="24"/>
          <w:highlight w:val="none"/>
        </w:rPr>
      </w:pPr>
      <w:r>
        <w:rPr>
          <w:rFonts w:hint="eastAsia" w:ascii="Times New Roman" w:hAnsi="Times New Roman" w:eastAsia="宋体" w:cs="Times New Roman"/>
          <w:b/>
          <w:kern w:val="2"/>
          <w:sz w:val="24"/>
          <w:szCs w:val="24"/>
          <w:highlight w:val="none"/>
          <w:lang w:val="en-US" w:eastAsia="zh-CN"/>
        </w:rPr>
        <w:t>三</w:t>
      </w:r>
      <w:r>
        <w:rPr>
          <w:rFonts w:hint="eastAsia" w:ascii="Times New Roman" w:hAnsi="Times New Roman" w:eastAsia="宋体" w:cs="Times New Roman"/>
          <w:b/>
          <w:kern w:val="2"/>
          <w:sz w:val="24"/>
          <w:szCs w:val="24"/>
          <w:highlight w:val="none"/>
        </w:rPr>
        <w:t>、</w:t>
      </w:r>
      <w:r>
        <w:rPr>
          <w:rFonts w:ascii="Times New Roman" w:hAnsi="Times New Roman" w:eastAsia="宋体" w:cs="Times New Roman"/>
          <w:b/>
          <w:kern w:val="2"/>
          <w:sz w:val="24"/>
          <w:szCs w:val="24"/>
          <w:highlight w:val="none"/>
        </w:rPr>
        <w:t>养护要求：</w:t>
      </w:r>
    </w:p>
    <w:p w14:paraId="5B0890D7">
      <w:pPr>
        <w:numPr>
          <w:ilvl w:val="4"/>
          <w:numId w:val="9"/>
        </w:numPr>
        <w:spacing w:line="400" w:lineRule="atLeast"/>
        <w:rPr>
          <w:rFonts w:ascii="Arial" w:hAnsi="Arial" w:eastAsia="宋体" w:cs="Arial"/>
          <w:b w:val="0"/>
          <w:kern w:val="2"/>
          <w:position w:val="6"/>
          <w:szCs w:val="21"/>
        </w:rPr>
      </w:pPr>
      <w:r>
        <w:rPr>
          <w:rFonts w:ascii="Arial" w:hAnsi="Arial" w:eastAsia="宋体" w:cs="Arial"/>
          <w:b w:val="0"/>
          <w:kern w:val="2"/>
          <w:position w:val="6"/>
          <w:szCs w:val="21"/>
        </w:rPr>
        <w:t>供应商应根据</w:t>
      </w:r>
      <w:r>
        <w:rPr>
          <w:rFonts w:hint="eastAsia" w:ascii="Arial" w:hAnsi="Arial" w:eastAsia="宋体" w:cs="Arial"/>
          <w:b w:val="0"/>
          <w:kern w:val="2"/>
          <w:position w:val="6"/>
          <w:szCs w:val="21"/>
        </w:rPr>
        <w:t>《园林绿化养护标准 CJJ/T287-2018》</w:t>
      </w:r>
      <w:r>
        <w:rPr>
          <w:rFonts w:hint="eastAsia" w:ascii="Arial" w:hAnsi="Arial" w:eastAsia="宋体" w:cs="Arial"/>
          <w:b w:val="0"/>
          <w:kern w:val="2"/>
          <w:position w:val="6"/>
          <w:szCs w:val="21"/>
          <w:lang w:eastAsia="zh-CN"/>
        </w:rPr>
        <w:t>、</w:t>
      </w:r>
      <w:r>
        <w:rPr>
          <w:rFonts w:ascii="Arial" w:hAnsi="Arial" w:eastAsia="宋体" w:cs="Arial"/>
          <w:b w:val="0"/>
          <w:kern w:val="2"/>
          <w:position w:val="6"/>
          <w:szCs w:val="21"/>
        </w:rPr>
        <w:t>《温州市园林植物养护技术规程》</w:t>
      </w:r>
      <w:r>
        <w:rPr>
          <w:rFonts w:hint="eastAsia" w:ascii="Arial" w:hAnsi="Arial" w:eastAsia="宋体" w:cs="Arial"/>
          <w:b w:val="0"/>
          <w:kern w:val="2"/>
          <w:position w:val="6"/>
          <w:szCs w:val="21"/>
          <w:lang w:eastAsia="zh-CN"/>
        </w:rPr>
        <w:t>及采购人养护</w:t>
      </w:r>
      <w:r>
        <w:rPr>
          <w:rFonts w:ascii="Arial" w:hAnsi="Arial" w:eastAsia="宋体" w:cs="Arial"/>
          <w:b w:val="0"/>
          <w:kern w:val="2"/>
          <w:position w:val="6"/>
          <w:szCs w:val="21"/>
        </w:rPr>
        <w:t>要求，合理组织、精心养</w:t>
      </w:r>
      <w:r>
        <w:rPr>
          <w:rFonts w:ascii="Arial" w:hAnsi="Arial" w:eastAsia="宋体" w:cs="Arial"/>
          <w:b w:val="0"/>
          <w:kern w:val="2"/>
          <w:position w:val="6"/>
          <w:szCs w:val="21"/>
          <w:u w:val="none"/>
        </w:rPr>
        <w:t>护，派出</w:t>
      </w:r>
      <w:r>
        <w:rPr>
          <w:rFonts w:ascii="Arial" w:hAnsi="Arial" w:eastAsia="宋体" w:cs="Arial"/>
          <w:b w:val="0"/>
          <w:kern w:val="2"/>
          <w:position w:val="6"/>
          <w:szCs w:val="21"/>
        </w:rPr>
        <w:t>专业人员组织指导安排绿化管理养护工作，并根据各个季节天气及植物生长情况灵活派出经验丰富的工人，保质保量完成养护管理任务，并做好工作台账，每月上报。</w:t>
      </w:r>
    </w:p>
    <w:p w14:paraId="1DFB6BDD">
      <w:pPr>
        <w:numPr>
          <w:ilvl w:val="4"/>
          <w:numId w:val="9"/>
        </w:numPr>
        <w:spacing w:line="400" w:lineRule="atLeast"/>
        <w:rPr>
          <w:rFonts w:ascii="Arial" w:hAnsi="Arial" w:eastAsia="宋体" w:cs="Arial"/>
          <w:b w:val="0"/>
          <w:bCs w:val="0"/>
          <w:kern w:val="2"/>
          <w:position w:val="6"/>
          <w:szCs w:val="21"/>
          <w:highlight w:val="none"/>
          <w:u w:val="single"/>
        </w:rPr>
      </w:pPr>
      <w:r>
        <w:rPr>
          <w:rFonts w:ascii="Arial" w:hAnsi="Arial" w:eastAsia="宋体" w:cs="Arial"/>
          <w:b w:val="0"/>
          <w:bCs w:val="0"/>
          <w:kern w:val="2"/>
          <w:position w:val="6"/>
          <w:szCs w:val="21"/>
          <w:u w:val="single"/>
        </w:rPr>
        <w:t>供应商在养护期间需要自备养护工具。主要工具有爬梯、大花剪、干剪、高枝剪、</w:t>
      </w:r>
      <w:r>
        <w:rPr>
          <w:rFonts w:hint="eastAsia" w:ascii="Arial" w:hAnsi="Arial" w:eastAsia="宋体" w:cs="Arial"/>
          <w:b w:val="0"/>
          <w:bCs w:val="0"/>
          <w:kern w:val="2"/>
          <w:position w:val="6"/>
          <w:szCs w:val="21"/>
          <w:u w:val="single"/>
          <w:lang w:eastAsia="zh-CN"/>
        </w:rPr>
        <w:t>高树修剪机、</w:t>
      </w:r>
      <w:r>
        <w:rPr>
          <w:rFonts w:ascii="Arial" w:hAnsi="Arial" w:eastAsia="宋体" w:cs="Arial"/>
          <w:b w:val="0"/>
          <w:bCs w:val="0"/>
          <w:kern w:val="2"/>
          <w:position w:val="6"/>
          <w:szCs w:val="21"/>
          <w:u w:val="single"/>
        </w:rPr>
        <w:t>草坪机、绿篱机、</w:t>
      </w:r>
      <w:r>
        <w:rPr>
          <w:rFonts w:hint="eastAsia" w:ascii="Arial" w:hAnsi="Arial" w:eastAsia="宋体" w:cs="Arial"/>
          <w:b w:val="0"/>
          <w:bCs w:val="0"/>
          <w:kern w:val="2"/>
          <w:position w:val="6"/>
          <w:szCs w:val="21"/>
          <w:u w:val="single"/>
          <w:lang w:eastAsia="zh-CN"/>
        </w:rPr>
        <w:t>草坪梳草机、打孔机、</w:t>
      </w:r>
      <w:r>
        <w:rPr>
          <w:rFonts w:ascii="Arial" w:hAnsi="Arial" w:eastAsia="宋体" w:cs="Arial"/>
          <w:b w:val="0"/>
          <w:bCs w:val="0"/>
          <w:kern w:val="2"/>
          <w:position w:val="6"/>
          <w:szCs w:val="21"/>
          <w:u w:val="single"/>
        </w:rPr>
        <w:t>打药机、水泵、落叶吹风机、</w:t>
      </w:r>
      <w:r>
        <w:rPr>
          <w:rFonts w:hint="eastAsia" w:ascii="Arial" w:hAnsi="Arial" w:eastAsia="宋体" w:cs="Arial"/>
          <w:b w:val="0"/>
          <w:bCs w:val="0"/>
          <w:kern w:val="2"/>
          <w:position w:val="6"/>
          <w:szCs w:val="21"/>
          <w:u w:val="single"/>
          <w:lang w:eastAsia="zh-CN"/>
        </w:rPr>
        <w:t>储水桶、垃圾手推车、三轮车等</w:t>
      </w:r>
      <w:r>
        <w:rPr>
          <w:rFonts w:ascii="Arial" w:hAnsi="Arial" w:eastAsia="宋体" w:cs="Arial"/>
          <w:b w:val="0"/>
          <w:bCs w:val="0"/>
          <w:kern w:val="2"/>
          <w:position w:val="6"/>
          <w:szCs w:val="21"/>
          <w:highlight w:val="none"/>
          <w:u w:val="single"/>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783"/>
      </w:tblGrid>
      <w:tr w14:paraId="2F0F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bottom"/>
          </w:tcPr>
          <w:p w14:paraId="66735BB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月份</w:t>
            </w:r>
          </w:p>
        </w:tc>
        <w:tc>
          <w:tcPr>
            <w:tcW w:w="8783" w:type="dxa"/>
            <w:tcBorders>
              <w:top w:val="single" w:color="auto" w:sz="4" w:space="0"/>
              <w:left w:val="single" w:color="auto" w:sz="4" w:space="0"/>
              <w:bottom w:val="single" w:color="auto" w:sz="4" w:space="0"/>
              <w:right w:val="single" w:color="auto" w:sz="4" w:space="0"/>
            </w:tcBorders>
            <w:noWrap w:val="0"/>
            <w:vAlign w:val="bottom"/>
          </w:tcPr>
          <w:p w14:paraId="0530DE5C">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绿化养护工作内容及要求</w:t>
            </w:r>
          </w:p>
        </w:tc>
      </w:tr>
      <w:tr w14:paraId="3B7E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623FE3E1">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全年</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77536CB6">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常规例行工作，周年定期进行。</w:t>
            </w:r>
          </w:p>
          <w:p w14:paraId="7854A45A">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1、常规修剪：及时去除枯枝、死枝、萌蘖枝、下垂枝、过密枝、病虫枝、迎风枝等。</w:t>
            </w:r>
          </w:p>
          <w:p w14:paraId="68AE03DA">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2、中耕除草：结合松土除草，春季频次增加。</w:t>
            </w:r>
          </w:p>
          <w:p w14:paraId="4C869451">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3、巡查工作：巡查病虫害、冻害、水涝、干旱、日灼、物理损伤、防护设施、园林设备等情况。一经发现，启动应对措施。</w:t>
            </w:r>
          </w:p>
          <w:p w14:paraId="3BBE895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4、绿地保洁：清除枯枝败叶及飘散垃圾。</w:t>
            </w:r>
          </w:p>
          <w:p w14:paraId="6DD7D8C6">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5、例行浇水：夏季上午7点半前，下午5点半后；冬季上午9点后，下午3点前；春秋放宽。遇雨停浇。</w:t>
            </w:r>
          </w:p>
          <w:p w14:paraId="1BE8F3FE">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、色块养护：新稍高于绿篱色块平面5cm就应及时修剪。色块交接界限清晰。</w:t>
            </w:r>
          </w:p>
          <w:p w14:paraId="0A95065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、草坪管理：覆盖度大于95%；绿期大于220天。</w:t>
            </w:r>
          </w:p>
          <w:p w14:paraId="4D736D80">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、追播草花管理：全年观赏期不少于330天。替换草花不少于</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次；枯残率小于10%。</w:t>
            </w:r>
          </w:p>
          <w:p w14:paraId="3D0ACC20">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、管理日志：重大事件、特殊情况要详细记载，月月归档、按季小结，年终总结。</w:t>
            </w:r>
          </w:p>
        </w:tc>
      </w:tr>
      <w:tr w14:paraId="7A3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48A0938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一月份</w:t>
            </w:r>
          </w:p>
          <w:p w14:paraId="53668606">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324A67A0">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1、冬眠修剪：主要针对落叶树，整形修剪、避让修剪等。农历年前完成。</w:t>
            </w:r>
          </w:p>
          <w:p w14:paraId="66EE2E5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2、病虫防治：涂白剂（石灰）涂抹树干，喷洒石硫合剂，做好综合防治。</w:t>
            </w:r>
          </w:p>
          <w:p w14:paraId="26CFC41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3、节庆布置：春节前绿化装饰、花坛花境布置工作。</w:t>
            </w:r>
          </w:p>
        </w:tc>
      </w:tr>
      <w:tr w14:paraId="0EAA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6971712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223B409D">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1、萌春修剪：主要针对常绿树，整形修剪，避让修剪等。除早春花木外，需芽前修剪。</w:t>
            </w:r>
          </w:p>
          <w:p w14:paraId="1DE9A65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2、病虫防治：草履蚧始发。</w:t>
            </w:r>
          </w:p>
        </w:tc>
      </w:tr>
      <w:tr w14:paraId="3461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3AAFF5F9">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四月份</w:t>
            </w:r>
          </w:p>
          <w:p w14:paraId="2A326C01">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4C11E2C3">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1、春季修剪：早春花木花后修剪。</w:t>
            </w:r>
          </w:p>
          <w:p w14:paraId="57BECC24">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2、萌春肥：对发芽展叶的植物施用萌春肥。</w:t>
            </w:r>
          </w:p>
          <w:p w14:paraId="48EC46AD">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3、病虫防治：蚜虫多发。</w:t>
            </w:r>
          </w:p>
          <w:p w14:paraId="7FDEFB0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4、节庆布置：迎五一，花坛花境布置工作。</w:t>
            </w:r>
          </w:p>
          <w:p w14:paraId="755E82D9">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5、养护维修：做好设施养护，油漆、清洗、替换等工作。</w:t>
            </w:r>
          </w:p>
          <w:p w14:paraId="38E0202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6、梅前修剪：清除残花、花后枝、过密枝、过密叶丛等。预防梅雨季节溃烂。</w:t>
            </w:r>
          </w:p>
        </w:tc>
      </w:tr>
      <w:tr w14:paraId="55D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71E4D99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5A9DF8B6">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1、排水防涝：确保忌涝植物根部的透气性，开挖排水沟，降低水位，防</w:t>
            </w:r>
            <w:r>
              <w:rPr>
                <w:rFonts w:hint="eastAsia" w:ascii="宋体" w:hAnsi="宋体" w:eastAsia="宋体" w:cs="宋体"/>
                <w:color w:val="auto"/>
                <w:sz w:val="21"/>
                <w:szCs w:val="21"/>
                <w:highlight w:val="none"/>
              </w:rPr>
              <w:t>涝防沤。</w:t>
            </w:r>
          </w:p>
          <w:p w14:paraId="72BCD206">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、病虫防治：袋蛾、刺蛾、螟蛾、木虱、叶斑病、白粉病、腐烂病多发。</w:t>
            </w:r>
          </w:p>
          <w:p w14:paraId="21B221F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、特殊修剪：抓紧晴日实施必要的操作。阴雨天不修剪。</w:t>
            </w:r>
          </w:p>
        </w:tc>
      </w:tr>
      <w:tr w14:paraId="23A9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7ED392A3">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七月份</w:t>
            </w:r>
          </w:p>
          <w:p w14:paraId="2B7B3045">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5757C66F">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1、浇水抗旱：晨水尽早、夜水尽晚，喷施，降温补水。</w:t>
            </w:r>
          </w:p>
          <w:p w14:paraId="03831604">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2、抗洪排涝：及时排水。</w:t>
            </w:r>
          </w:p>
          <w:p w14:paraId="7203D18D">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3、病虫防治：蓟马、介壳虫、叶螨、袋蛾、刺蛾、螟蛾、木虱多发。</w:t>
            </w:r>
          </w:p>
          <w:p w14:paraId="287B20A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4、防台工作：事先做好防台修剪。事后做好灾后救治，如扶正、替换、清洁、喷药等工作。</w:t>
            </w:r>
          </w:p>
        </w:tc>
      </w:tr>
      <w:tr w14:paraId="39C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3B12E48F">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九月份</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3D079F24">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1、秋稍肥：对发秋稍的植物施用秋稍肥。</w:t>
            </w:r>
          </w:p>
          <w:p w14:paraId="25948A13">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、其他养护参考七八月份。</w:t>
            </w:r>
          </w:p>
        </w:tc>
      </w:tr>
      <w:tr w14:paraId="0DD0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03C5948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十月份</w:t>
            </w:r>
          </w:p>
          <w:p w14:paraId="0BDADFF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十一月</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4EBF952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1、浇水抗旱：喷施补水，应对秋旱。</w:t>
            </w:r>
          </w:p>
          <w:p w14:paraId="619AAE4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2、病虫防治：袋蛾、刺蛾、螟蛾、木虱、叶斑病多发。</w:t>
            </w:r>
          </w:p>
          <w:p w14:paraId="32FEFFAC">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3、节庆布置：迎国庆，花坛花境布置工作。</w:t>
            </w:r>
          </w:p>
          <w:p w14:paraId="2790228B">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4、养护维修：做好设施养护，油漆，清洗，替换等工作。</w:t>
            </w:r>
          </w:p>
        </w:tc>
      </w:tr>
      <w:tr w14:paraId="5208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064D64B2">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十二月</w:t>
            </w:r>
          </w:p>
        </w:tc>
        <w:tc>
          <w:tcPr>
            <w:tcW w:w="8783" w:type="dxa"/>
            <w:tcBorders>
              <w:top w:val="single" w:color="auto" w:sz="4" w:space="0"/>
              <w:left w:val="single" w:color="auto" w:sz="4" w:space="0"/>
              <w:bottom w:val="single" w:color="auto" w:sz="4" w:space="0"/>
              <w:right w:val="single" w:color="auto" w:sz="4" w:space="0"/>
            </w:tcBorders>
            <w:noWrap w:val="0"/>
            <w:vAlign w:val="center"/>
          </w:tcPr>
          <w:p w14:paraId="68AC3C49">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1、病虫防治：做好石灰涂干，喷洒石硫合剂，综合防治。</w:t>
            </w:r>
          </w:p>
          <w:p w14:paraId="7E8E9424">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2、防冻保护：对不耐寒的植物进行御寒保温防护，元旦前务必完成。</w:t>
            </w:r>
          </w:p>
          <w:p w14:paraId="3EC8D9A7">
            <w:pPr>
              <w:pStyle w:val="1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3、抗冻修剪：去除徒长枝、嫩枝。</w:t>
            </w:r>
          </w:p>
        </w:tc>
      </w:tr>
    </w:tbl>
    <w:p w14:paraId="74F4F9C2">
      <w:pPr>
        <w:numPr>
          <w:ilvl w:val="4"/>
          <w:numId w:val="10"/>
        </w:numPr>
        <w:spacing w:line="400" w:lineRule="atLeast"/>
        <w:rPr>
          <w:rFonts w:hint="eastAsia" w:ascii="Arial" w:hAnsi="Arial" w:eastAsia="宋体" w:cs="Arial"/>
          <w:b/>
          <w:color w:val="auto"/>
          <w:kern w:val="2"/>
          <w:position w:val="6"/>
          <w:szCs w:val="21"/>
          <w:highlight w:val="none"/>
          <w:u w:val="single"/>
          <w:lang w:val="en-US" w:eastAsia="zh-CN"/>
        </w:rPr>
      </w:pPr>
      <w:r>
        <w:rPr>
          <w:rFonts w:hint="eastAsia" w:ascii="宋体" w:hAnsi="宋体" w:eastAsia="宋体" w:cs="宋体"/>
          <w:b/>
          <w:color w:val="auto"/>
          <w:kern w:val="2"/>
          <w:position w:val="6"/>
          <w:szCs w:val="21"/>
          <w:highlight w:val="none"/>
          <w:u w:val="single"/>
          <w:lang w:val="en-US" w:eastAsia="zh-CN"/>
        </w:rPr>
        <w:t>▲</w:t>
      </w:r>
      <w:r>
        <w:rPr>
          <w:rFonts w:hint="eastAsia" w:ascii="Arial" w:hAnsi="Arial" w:eastAsia="宋体" w:cs="Arial"/>
          <w:b/>
          <w:color w:val="auto"/>
          <w:kern w:val="2"/>
          <w:position w:val="6"/>
          <w:szCs w:val="21"/>
          <w:highlight w:val="none"/>
          <w:u w:val="single"/>
          <w:lang w:val="en-US" w:eastAsia="zh-CN"/>
        </w:rPr>
        <w:t>小型设备配备要求：须在项目所在地至少配备1台水泵，2台高压喷药机，3台剪草机，4台绿篱机。</w:t>
      </w:r>
      <w:r>
        <w:rPr>
          <w:rFonts w:hint="eastAsia" w:ascii="Arial" w:hAnsi="Arial" w:cs="Arial"/>
          <w:b/>
          <w:color w:val="auto"/>
          <w:kern w:val="2"/>
          <w:position w:val="6"/>
          <w:szCs w:val="21"/>
          <w:highlight w:val="none"/>
          <w:u w:val="single"/>
          <w:lang w:val="en-US" w:eastAsia="zh-CN"/>
        </w:rPr>
        <w:t>中标后入场前，中标供应商需提供以上设备清单</w:t>
      </w:r>
      <w:r>
        <w:rPr>
          <w:rFonts w:hint="eastAsia" w:ascii="Arial" w:hAnsi="Arial" w:eastAsia="宋体" w:cs="Arial"/>
          <w:b/>
          <w:color w:val="auto"/>
          <w:kern w:val="2"/>
          <w:position w:val="6"/>
          <w:szCs w:val="21"/>
          <w:highlight w:val="none"/>
          <w:u w:val="single"/>
          <w:lang w:val="en-US" w:eastAsia="zh-CN"/>
        </w:rPr>
        <w:t>（需提供设备</w:t>
      </w:r>
      <w:r>
        <w:rPr>
          <w:rFonts w:hint="eastAsia" w:ascii="Arial" w:hAnsi="Arial" w:cs="Arial"/>
          <w:b/>
          <w:color w:val="auto"/>
          <w:kern w:val="2"/>
          <w:position w:val="6"/>
          <w:szCs w:val="21"/>
          <w:highlight w:val="none"/>
          <w:u w:val="single"/>
          <w:lang w:val="en-US" w:eastAsia="zh-CN"/>
        </w:rPr>
        <w:t>实物</w:t>
      </w:r>
      <w:r>
        <w:rPr>
          <w:rFonts w:hint="eastAsia" w:ascii="Arial" w:hAnsi="Arial" w:eastAsia="宋体" w:cs="Arial"/>
          <w:b/>
          <w:color w:val="auto"/>
          <w:kern w:val="2"/>
          <w:position w:val="6"/>
          <w:szCs w:val="21"/>
          <w:highlight w:val="none"/>
          <w:u w:val="single"/>
          <w:lang w:val="en-US" w:eastAsia="zh-CN"/>
        </w:rPr>
        <w:t>、发票</w:t>
      </w:r>
      <w:r>
        <w:rPr>
          <w:rFonts w:hint="eastAsia" w:ascii="Arial" w:hAnsi="Arial" w:cs="Arial"/>
          <w:b/>
          <w:color w:val="auto"/>
          <w:kern w:val="2"/>
          <w:position w:val="6"/>
          <w:szCs w:val="21"/>
          <w:highlight w:val="none"/>
          <w:u w:val="single"/>
          <w:lang w:val="en-US" w:eastAsia="zh-CN"/>
        </w:rPr>
        <w:t>或租赁合同</w:t>
      </w:r>
      <w:r>
        <w:rPr>
          <w:rFonts w:hint="eastAsia" w:ascii="Arial" w:hAnsi="Arial" w:eastAsia="宋体" w:cs="Arial"/>
          <w:b/>
          <w:color w:val="auto"/>
          <w:kern w:val="2"/>
          <w:position w:val="6"/>
          <w:szCs w:val="21"/>
          <w:highlight w:val="none"/>
          <w:u w:val="single"/>
          <w:lang w:val="en-US" w:eastAsia="zh-CN"/>
        </w:rPr>
        <w:t>）</w:t>
      </w:r>
      <w:r>
        <w:rPr>
          <w:rFonts w:hint="eastAsia" w:ascii="Arial" w:hAnsi="Arial" w:cs="Arial"/>
          <w:b/>
          <w:color w:val="auto"/>
          <w:kern w:val="2"/>
          <w:position w:val="6"/>
          <w:szCs w:val="21"/>
          <w:highlight w:val="none"/>
          <w:u w:val="single"/>
          <w:lang w:val="en-US" w:eastAsia="zh-CN"/>
        </w:rPr>
        <w:t>给采购人，否则采购人有权解除合同，造成后果由中标人承担。</w:t>
      </w:r>
    </w:p>
    <w:p w14:paraId="237B76C6">
      <w:pPr>
        <w:numPr>
          <w:ilvl w:val="4"/>
          <w:numId w:val="9"/>
        </w:numPr>
        <w:spacing w:line="400" w:lineRule="atLeast"/>
        <w:rPr>
          <w:rFonts w:ascii="Arial" w:hAnsi="Arial" w:eastAsia="宋体" w:cs="Arial"/>
          <w:b w:val="0"/>
          <w:kern w:val="2"/>
          <w:position w:val="6"/>
          <w:szCs w:val="21"/>
        </w:rPr>
      </w:pPr>
      <w:r>
        <w:rPr>
          <w:rFonts w:ascii="Arial" w:hAnsi="Arial" w:eastAsia="宋体" w:cs="Arial"/>
          <w:b/>
          <w:color w:val="auto"/>
          <w:kern w:val="2"/>
          <w:position w:val="6"/>
          <w:szCs w:val="21"/>
          <w:highlight w:val="none"/>
          <w:u w:val="single"/>
        </w:rPr>
        <w:t>人员配备要求</w:t>
      </w:r>
      <w:r>
        <w:rPr>
          <w:rFonts w:hint="eastAsia" w:ascii="Arial" w:hAnsi="Arial" w:cs="Arial"/>
          <w:b/>
          <w:color w:val="auto"/>
          <w:kern w:val="2"/>
          <w:position w:val="6"/>
          <w:szCs w:val="21"/>
          <w:highlight w:val="none"/>
          <w:u w:val="single"/>
          <w:lang w:eastAsia="zh-CN"/>
        </w:rPr>
        <w:t>：</w:t>
      </w:r>
      <w:r>
        <w:rPr>
          <w:rFonts w:ascii="Arial" w:hAnsi="Arial" w:eastAsia="宋体" w:cs="Arial"/>
          <w:b/>
          <w:bCs/>
          <w:color w:val="auto"/>
          <w:kern w:val="2"/>
          <w:position w:val="6"/>
          <w:szCs w:val="21"/>
          <w:highlight w:val="none"/>
          <w:u w:val="single"/>
        </w:rPr>
        <w:t>项目负责人需具有具备</w:t>
      </w:r>
      <w:r>
        <w:rPr>
          <w:rFonts w:hint="eastAsia" w:ascii="Arial" w:hAnsi="Arial" w:eastAsia="宋体" w:cs="Arial"/>
          <w:b/>
          <w:bCs/>
          <w:color w:val="auto"/>
          <w:kern w:val="2"/>
          <w:position w:val="6"/>
          <w:szCs w:val="21"/>
          <w:highlight w:val="none"/>
          <w:u w:val="single"/>
          <w:lang w:val="en-US" w:eastAsia="zh-CN"/>
        </w:rPr>
        <w:t>相关</w:t>
      </w:r>
      <w:r>
        <w:rPr>
          <w:rFonts w:ascii="Arial" w:hAnsi="Arial" w:eastAsia="宋体" w:cs="Arial"/>
          <w:b/>
          <w:bCs/>
          <w:color w:val="auto"/>
          <w:kern w:val="2"/>
          <w:position w:val="6"/>
          <w:szCs w:val="21"/>
          <w:highlight w:val="none"/>
          <w:u w:val="single"/>
        </w:rPr>
        <w:t>园林工作经验</w:t>
      </w:r>
      <w:r>
        <w:rPr>
          <w:rFonts w:hint="eastAsia" w:ascii="Arial" w:hAnsi="Arial" w:cs="Arial"/>
          <w:b/>
          <w:bCs/>
          <w:color w:val="auto"/>
          <w:kern w:val="2"/>
          <w:position w:val="6"/>
          <w:szCs w:val="21"/>
          <w:highlight w:val="none"/>
          <w:u w:val="single"/>
          <w:lang w:eastAsia="zh-CN"/>
        </w:rPr>
        <w:t>。</w:t>
      </w:r>
      <w:r>
        <w:rPr>
          <w:rFonts w:hint="eastAsia" w:ascii="Arial" w:hAnsi="Arial" w:cs="Arial"/>
          <w:b/>
          <w:bCs/>
          <w:color w:val="auto"/>
          <w:kern w:val="2"/>
          <w:position w:val="6"/>
          <w:szCs w:val="21"/>
          <w:highlight w:val="none"/>
          <w:u w:val="single"/>
          <w:lang w:val="en-US" w:eastAsia="zh-CN"/>
        </w:rPr>
        <w:t>其他人员详见评分标准（如有），</w:t>
      </w:r>
      <w:r>
        <w:rPr>
          <w:rFonts w:hint="eastAsia" w:ascii="Arial" w:hAnsi="Arial" w:eastAsia="宋体" w:cs="Arial"/>
          <w:b w:val="0"/>
          <w:kern w:val="2"/>
          <w:position w:val="6"/>
          <w:szCs w:val="21"/>
          <w:u w:val="single"/>
          <w:lang w:val="en-US" w:eastAsia="zh-CN"/>
        </w:rPr>
        <w:t xml:space="preserve"> </w:t>
      </w:r>
      <w:r>
        <w:rPr>
          <w:rFonts w:hint="eastAsia" w:ascii="Arial" w:hAnsi="Arial" w:eastAsia="宋体" w:cs="Arial"/>
          <w:b w:val="0"/>
          <w:kern w:val="2"/>
          <w:position w:val="6"/>
          <w:szCs w:val="21"/>
          <w:u w:val="single"/>
        </w:rPr>
        <w:t>进场养护前中标供应商需提供</w:t>
      </w:r>
      <w:r>
        <w:rPr>
          <w:rFonts w:hint="eastAsia" w:ascii="Arial" w:hAnsi="Arial" w:eastAsia="宋体" w:cs="Arial"/>
          <w:b w:val="0"/>
          <w:kern w:val="2"/>
          <w:position w:val="6"/>
          <w:szCs w:val="21"/>
          <w:u w:val="single"/>
          <w:lang w:val="en-US" w:eastAsia="zh-CN"/>
        </w:rPr>
        <w:t>项目负责人、管理人员</w:t>
      </w:r>
      <w:r>
        <w:rPr>
          <w:rFonts w:hint="eastAsia" w:ascii="Arial" w:hAnsi="Arial" w:eastAsia="宋体" w:cs="Arial"/>
          <w:b w:val="0"/>
          <w:kern w:val="2"/>
          <w:position w:val="6"/>
          <w:szCs w:val="21"/>
          <w:u w:val="single"/>
        </w:rPr>
        <w:t>的详细名单、身份证及联系电话；</w:t>
      </w:r>
      <w:r>
        <w:rPr>
          <w:rFonts w:hint="eastAsia" w:ascii="Arial" w:hAnsi="Arial" w:eastAsia="宋体" w:cs="Arial"/>
          <w:b w:val="0"/>
          <w:kern w:val="2"/>
          <w:position w:val="6"/>
          <w:szCs w:val="21"/>
          <w:u w:val="single"/>
          <w:lang w:eastAsia="zh-CN"/>
        </w:rPr>
        <w:t>人员</w:t>
      </w:r>
      <w:r>
        <w:rPr>
          <w:rFonts w:hint="eastAsia" w:ascii="Arial" w:hAnsi="Arial" w:eastAsia="宋体" w:cs="Arial"/>
          <w:b w:val="0"/>
          <w:kern w:val="2"/>
          <w:position w:val="6"/>
          <w:szCs w:val="21"/>
          <w:u w:val="single"/>
        </w:rPr>
        <w:t>名单应与投标文件中的名单一致。</w:t>
      </w:r>
    </w:p>
    <w:p w14:paraId="15B37A01">
      <w:pPr>
        <w:numPr>
          <w:ilvl w:val="4"/>
          <w:numId w:val="9"/>
        </w:numPr>
        <w:spacing w:line="400" w:lineRule="atLeast"/>
        <w:rPr>
          <w:rFonts w:ascii="Arial" w:hAnsi="Arial" w:eastAsia="宋体" w:cs="Arial"/>
          <w:b w:val="0"/>
          <w:color w:val="auto"/>
          <w:kern w:val="2"/>
          <w:position w:val="6"/>
          <w:szCs w:val="21"/>
        </w:rPr>
      </w:pPr>
      <w:r>
        <w:rPr>
          <w:rFonts w:ascii="Arial" w:hAnsi="Arial" w:eastAsia="宋体" w:cs="Arial"/>
          <w:b w:val="0"/>
          <w:kern w:val="2"/>
          <w:position w:val="6"/>
          <w:szCs w:val="21"/>
        </w:rPr>
        <w:t>管理人员需每日定期对绿地进行巡查，并且做好相关记录工作，需每日向</w:t>
      </w:r>
      <w:r>
        <w:rPr>
          <w:rFonts w:hint="eastAsia" w:ascii="Arial" w:hAnsi="Arial" w:cs="Arial"/>
          <w:b w:val="0"/>
          <w:kern w:val="2"/>
          <w:position w:val="6"/>
          <w:szCs w:val="21"/>
          <w:lang w:eastAsia="zh-CN"/>
        </w:rPr>
        <w:t>采购人</w:t>
      </w:r>
      <w:r>
        <w:rPr>
          <w:rFonts w:ascii="Arial" w:hAnsi="Arial" w:eastAsia="宋体" w:cs="Arial"/>
          <w:b w:val="0"/>
          <w:kern w:val="2"/>
          <w:position w:val="6"/>
          <w:szCs w:val="21"/>
        </w:rPr>
        <w:t>报告巡查线路及巡查中发现的问题；每年至少安排员工学习培训2次；绿地养护人员需每两个月开会一次，开会时需邀请</w:t>
      </w:r>
      <w:r>
        <w:rPr>
          <w:rFonts w:hint="eastAsia" w:ascii="Arial" w:hAnsi="Arial" w:cs="Arial"/>
          <w:b w:val="0"/>
          <w:kern w:val="2"/>
          <w:position w:val="6"/>
          <w:szCs w:val="21"/>
          <w:lang w:eastAsia="zh-CN"/>
        </w:rPr>
        <w:t>采购人</w:t>
      </w:r>
      <w:r>
        <w:rPr>
          <w:rFonts w:ascii="Arial" w:hAnsi="Arial" w:eastAsia="宋体" w:cs="Arial"/>
          <w:b w:val="0"/>
          <w:kern w:val="2"/>
          <w:position w:val="6"/>
          <w:szCs w:val="21"/>
        </w:rPr>
        <w:t>参与</w:t>
      </w:r>
      <w:r>
        <w:rPr>
          <w:rFonts w:ascii="Arial" w:hAnsi="Arial" w:eastAsia="宋体" w:cs="Arial"/>
          <w:b w:val="0"/>
          <w:kern w:val="2"/>
          <w:position w:val="6"/>
          <w:szCs w:val="21"/>
          <w:u w:val="none"/>
        </w:rPr>
        <w:t>；每月在</w:t>
      </w:r>
      <w:r>
        <w:rPr>
          <w:rFonts w:hint="eastAsia" w:ascii="Arial" w:hAnsi="Arial" w:eastAsia="宋体" w:cs="Arial"/>
          <w:b w:val="0"/>
          <w:kern w:val="2"/>
          <w:position w:val="6"/>
          <w:szCs w:val="21"/>
          <w:highlight w:val="none"/>
          <w:u w:val="none"/>
          <w:lang w:val="en-US" w:eastAsia="zh-CN"/>
        </w:rPr>
        <w:t>藻溪镇人民政府</w:t>
      </w:r>
      <w:r>
        <w:rPr>
          <w:rFonts w:ascii="Arial" w:hAnsi="Arial" w:eastAsia="宋体" w:cs="Arial"/>
          <w:b w:val="0"/>
          <w:kern w:val="2"/>
          <w:position w:val="6"/>
          <w:szCs w:val="21"/>
          <w:u w:val="none"/>
        </w:rPr>
        <w:t>指定地点召开月例会并提交月</w:t>
      </w:r>
      <w:r>
        <w:rPr>
          <w:rFonts w:ascii="Arial" w:hAnsi="Arial" w:eastAsia="宋体" w:cs="Arial"/>
          <w:b w:val="0"/>
          <w:color w:val="auto"/>
          <w:kern w:val="2"/>
          <w:position w:val="6"/>
          <w:szCs w:val="21"/>
          <w:u w:val="none"/>
        </w:rPr>
        <w:t>养护计划</w:t>
      </w:r>
      <w:r>
        <w:rPr>
          <w:rFonts w:hint="eastAsia" w:ascii="Arial" w:hAnsi="Arial" w:eastAsia="宋体" w:cs="Arial"/>
          <w:b w:val="0"/>
          <w:color w:val="auto"/>
          <w:kern w:val="2"/>
          <w:position w:val="6"/>
          <w:szCs w:val="21"/>
          <w:u w:val="none"/>
        </w:rPr>
        <w:t>（或两个星期一次会议）</w:t>
      </w:r>
      <w:r>
        <w:rPr>
          <w:rFonts w:ascii="Arial" w:hAnsi="Arial" w:eastAsia="宋体" w:cs="Arial"/>
          <w:b w:val="0"/>
          <w:color w:val="auto"/>
          <w:kern w:val="2"/>
          <w:position w:val="6"/>
          <w:szCs w:val="21"/>
          <w:u w:val="none"/>
        </w:rPr>
        <w:t>， 项目负责人和现场主要管理人员需到场参加，3次无故不参加的，按供应商违约处理，</w:t>
      </w:r>
      <w:r>
        <w:rPr>
          <w:rFonts w:hint="eastAsia" w:ascii="Arial" w:hAnsi="Arial" w:cs="Arial"/>
          <w:b w:val="0"/>
          <w:color w:val="auto"/>
          <w:kern w:val="2"/>
          <w:position w:val="6"/>
          <w:szCs w:val="21"/>
          <w:u w:val="none"/>
          <w:lang w:eastAsia="zh-CN"/>
        </w:rPr>
        <w:t>采购人</w:t>
      </w:r>
      <w:r>
        <w:rPr>
          <w:rFonts w:ascii="Arial" w:hAnsi="Arial" w:eastAsia="宋体" w:cs="Arial"/>
          <w:b w:val="0"/>
          <w:color w:val="auto"/>
          <w:kern w:val="2"/>
          <w:position w:val="6"/>
          <w:szCs w:val="21"/>
          <w:u w:val="none"/>
        </w:rPr>
        <w:t>有权终止合同。养护人员辞职或被辞退，需上报</w:t>
      </w:r>
      <w:r>
        <w:rPr>
          <w:rFonts w:hint="eastAsia" w:ascii="Arial" w:hAnsi="Arial" w:cs="Arial"/>
          <w:b w:val="0"/>
          <w:color w:val="auto"/>
          <w:kern w:val="2"/>
          <w:position w:val="6"/>
          <w:szCs w:val="21"/>
          <w:u w:val="none"/>
          <w:lang w:eastAsia="zh-CN"/>
        </w:rPr>
        <w:t>采购人</w:t>
      </w:r>
      <w:r>
        <w:rPr>
          <w:rFonts w:ascii="Arial" w:hAnsi="Arial" w:eastAsia="宋体" w:cs="Arial"/>
          <w:b w:val="0"/>
          <w:color w:val="auto"/>
          <w:kern w:val="2"/>
          <w:position w:val="6"/>
          <w:szCs w:val="21"/>
          <w:u w:val="none"/>
        </w:rPr>
        <w:t>备案</w:t>
      </w:r>
      <w:r>
        <w:rPr>
          <w:rFonts w:ascii="Arial" w:hAnsi="Arial" w:eastAsia="宋体" w:cs="Arial"/>
          <w:b w:val="0"/>
          <w:bCs/>
          <w:color w:val="auto"/>
          <w:kern w:val="2"/>
          <w:position w:val="6"/>
          <w:szCs w:val="21"/>
        </w:rPr>
        <w:t>。</w:t>
      </w:r>
    </w:p>
    <w:p w14:paraId="70688A54">
      <w:pPr>
        <w:spacing w:line="450" w:lineRule="exact"/>
        <w:ind w:firstLine="440" w:firstLineChars="200"/>
        <w:rPr>
          <w:rFonts w:hint="eastAsia" w:ascii="宋体" w:hAnsi="宋体" w:eastAsia="宋体" w:cs="宋体"/>
          <w:b/>
          <w:bCs/>
          <w:kern w:val="2"/>
          <w:szCs w:val="21"/>
          <w:lang w:val="en-US" w:eastAsia="zh-CN"/>
        </w:rPr>
      </w:pPr>
      <w:r>
        <w:rPr>
          <w:rFonts w:hint="eastAsia" w:ascii="宋体" w:hAnsi="宋体" w:eastAsia="宋体" w:cs="宋体"/>
          <w:b w:val="0"/>
          <w:kern w:val="2"/>
          <w:szCs w:val="21"/>
        </w:rPr>
        <w:t>中标供应商应按</w:t>
      </w:r>
      <w:r>
        <w:rPr>
          <w:rFonts w:hint="eastAsia" w:ascii="宋体" w:hAnsi="宋体" w:cs="宋体"/>
          <w:b w:val="0"/>
          <w:kern w:val="2"/>
          <w:szCs w:val="21"/>
          <w:lang w:eastAsia="zh-CN"/>
        </w:rPr>
        <w:t>采购人</w:t>
      </w:r>
      <w:r>
        <w:rPr>
          <w:rFonts w:hint="eastAsia" w:ascii="宋体" w:hAnsi="宋体" w:eastAsia="宋体" w:cs="宋体"/>
          <w:b w:val="0"/>
          <w:kern w:val="2"/>
          <w:szCs w:val="21"/>
        </w:rPr>
        <w:t>要求，为上岗工人购买统一的工作服（包括冬、夏装工作服各2套等）。</w:t>
      </w:r>
    </w:p>
    <w:p w14:paraId="24850E3C">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社区或市民要求帮助时，经</w:t>
      </w:r>
      <w:r>
        <w:rPr>
          <w:rFonts w:hint="eastAsia" w:ascii="宋体" w:hAnsi="宋体" w:cs="宋体"/>
          <w:b w:val="0"/>
          <w:kern w:val="2"/>
          <w:szCs w:val="21"/>
          <w:lang w:eastAsia="zh-CN"/>
        </w:rPr>
        <w:t>采购人</w:t>
      </w:r>
      <w:r>
        <w:rPr>
          <w:rFonts w:hint="eastAsia" w:ascii="宋体" w:hAnsi="宋体" w:eastAsia="宋体" w:cs="宋体"/>
          <w:b w:val="0"/>
          <w:kern w:val="2"/>
          <w:szCs w:val="21"/>
        </w:rPr>
        <w:t>核定后，中标供应商应无偿提供人工服务。</w:t>
      </w:r>
    </w:p>
    <w:p w14:paraId="1C9F3383">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因工程施工、店面装修等任何原因造成树池或路沿石损坏的应及时上报</w:t>
      </w:r>
      <w:r>
        <w:rPr>
          <w:rFonts w:hint="eastAsia" w:ascii="宋体" w:hAnsi="宋体" w:cs="宋体"/>
          <w:b w:val="0"/>
          <w:kern w:val="2"/>
          <w:szCs w:val="21"/>
          <w:lang w:eastAsia="zh-CN"/>
        </w:rPr>
        <w:t>采购人</w:t>
      </w:r>
      <w:r>
        <w:rPr>
          <w:rFonts w:hint="eastAsia" w:ascii="宋体" w:hAnsi="宋体" w:eastAsia="宋体" w:cs="宋体"/>
          <w:b w:val="0"/>
          <w:kern w:val="2"/>
          <w:szCs w:val="21"/>
        </w:rPr>
        <w:t>，并在</w:t>
      </w:r>
      <w:r>
        <w:rPr>
          <w:rFonts w:hint="eastAsia" w:ascii="宋体" w:hAnsi="宋体" w:cs="宋体"/>
          <w:b w:val="0"/>
          <w:kern w:val="2"/>
          <w:szCs w:val="21"/>
          <w:lang w:eastAsia="zh-CN"/>
        </w:rPr>
        <w:t>采购人</w:t>
      </w:r>
      <w:r>
        <w:rPr>
          <w:rFonts w:hint="eastAsia" w:ascii="宋体" w:hAnsi="宋体" w:eastAsia="宋体" w:cs="宋体"/>
          <w:b w:val="0"/>
          <w:kern w:val="2"/>
          <w:szCs w:val="21"/>
        </w:rPr>
        <w:t>规定的时间内修复，修复后的树池与路沿石应与周边的一致。维修时</w:t>
      </w:r>
      <w:r>
        <w:rPr>
          <w:rFonts w:hint="eastAsia" w:ascii="宋体" w:hAnsi="宋体" w:cs="宋体"/>
          <w:b w:val="0"/>
          <w:kern w:val="2"/>
          <w:szCs w:val="21"/>
          <w:lang w:eastAsia="zh-CN"/>
        </w:rPr>
        <w:t>采购人</w:t>
      </w:r>
      <w:r>
        <w:rPr>
          <w:rFonts w:hint="eastAsia" w:ascii="宋体" w:hAnsi="宋体" w:eastAsia="宋体" w:cs="宋体"/>
          <w:b w:val="0"/>
          <w:kern w:val="2"/>
          <w:szCs w:val="21"/>
        </w:rPr>
        <w:t>提供材料，安装及其他相关费用由供应商负责。若未及时上报或修复的，一次扣</w:t>
      </w:r>
      <w:r>
        <w:rPr>
          <w:rFonts w:hint="eastAsia" w:ascii="宋体" w:hAnsi="宋体" w:eastAsia="宋体" w:cs="宋体"/>
          <w:b w:val="0"/>
          <w:kern w:val="2"/>
          <w:szCs w:val="21"/>
          <w:lang w:val="en-US" w:eastAsia="zh-CN"/>
        </w:rPr>
        <w:t>1</w:t>
      </w:r>
      <w:r>
        <w:rPr>
          <w:rFonts w:hint="eastAsia" w:ascii="宋体" w:hAnsi="宋体" w:eastAsia="宋体" w:cs="宋体"/>
          <w:b w:val="0"/>
          <w:kern w:val="2"/>
          <w:szCs w:val="21"/>
        </w:rPr>
        <w:t>000元，第二次扣</w:t>
      </w:r>
      <w:r>
        <w:rPr>
          <w:rFonts w:hint="eastAsia" w:ascii="宋体" w:hAnsi="宋体" w:eastAsia="宋体" w:cs="宋体"/>
          <w:b w:val="0"/>
          <w:kern w:val="2"/>
          <w:szCs w:val="21"/>
          <w:lang w:val="en-US" w:eastAsia="zh-CN"/>
        </w:rPr>
        <w:t>2</w:t>
      </w:r>
      <w:r>
        <w:rPr>
          <w:rFonts w:hint="eastAsia" w:ascii="宋体" w:hAnsi="宋体" w:eastAsia="宋体" w:cs="宋体"/>
          <w:b w:val="0"/>
          <w:kern w:val="2"/>
          <w:szCs w:val="21"/>
        </w:rPr>
        <w:t>000元，以此类推，翻倍递增。</w:t>
      </w:r>
    </w:p>
    <w:p w14:paraId="6147CF50">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若发现PVC护栏破坏时，供应商应及时上报并维修。维修时</w:t>
      </w:r>
      <w:r>
        <w:rPr>
          <w:rFonts w:hint="eastAsia" w:ascii="宋体" w:hAnsi="宋体" w:cs="宋体"/>
          <w:b w:val="0"/>
          <w:kern w:val="2"/>
          <w:szCs w:val="21"/>
          <w:lang w:eastAsia="zh-CN"/>
        </w:rPr>
        <w:t>采购人</w:t>
      </w:r>
      <w:r>
        <w:rPr>
          <w:rFonts w:hint="eastAsia" w:ascii="宋体" w:hAnsi="宋体" w:eastAsia="宋体" w:cs="宋体"/>
          <w:b w:val="0"/>
          <w:kern w:val="2"/>
          <w:szCs w:val="21"/>
        </w:rPr>
        <w:t>提供材料，安装及其他相关费用由供应商负责。若未及时维修，发现一次扣</w:t>
      </w:r>
      <w:r>
        <w:rPr>
          <w:rFonts w:hint="eastAsia" w:ascii="宋体" w:hAnsi="宋体" w:eastAsia="宋体" w:cs="宋体"/>
          <w:b w:val="0"/>
          <w:kern w:val="2"/>
          <w:szCs w:val="21"/>
          <w:lang w:val="en-US" w:eastAsia="zh-CN"/>
        </w:rPr>
        <w:t>1</w:t>
      </w:r>
      <w:r>
        <w:rPr>
          <w:rFonts w:hint="eastAsia" w:ascii="宋体" w:hAnsi="宋体" w:eastAsia="宋体" w:cs="宋体"/>
          <w:b w:val="0"/>
          <w:kern w:val="2"/>
          <w:szCs w:val="21"/>
        </w:rPr>
        <w:t>000元，第二次扣</w:t>
      </w:r>
      <w:r>
        <w:rPr>
          <w:rFonts w:hint="eastAsia" w:ascii="宋体" w:hAnsi="宋体" w:eastAsia="宋体" w:cs="宋体"/>
          <w:b w:val="0"/>
          <w:kern w:val="2"/>
          <w:szCs w:val="21"/>
          <w:lang w:val="en-US" w:eastAsia="zh-CN"/>
        </w:rPr>
        <w:t>2</w:t>
      </w:r>
      <w:r>
        <w:rPr>
          <w:rFonts w:hint="eastAsia" w:ascii="宋体" w:hAnsi="宋体" w:eastAsia="宋体" w:cs="宋体"/>
          <w:b w:val="0"/>
          <w:kern w:val="2"/>
          <w:szCs w:val="21"/>
        </w:rPr>
        <w:t>000元，以此类推，依次翻倍递增。</w:t>
      </w:r>
    </w:p>
    <w:p w14:paraId="528C6A46">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若发现绿化带护栏破坏时，中标供应商应及时上报并维修，</w:t>
      </w:r>
      <w:r>
        <w:rPr>
          <w:rFonts w:hint="eastAsia" w:ascii="宋体" w:hAnsi="宋体" w:cs="宋体"/>
          <w:b w:val="0"/>
          <w:kern w:val="2"/>
          <w:szCs w:val="21"/>
          <w:lang w:eastAsia="zh-CN"/>
        </w:rPr>
        <w:t>采购人</w:t>
      </w:r>
      <w:r>
        <w:rPr>
          <w:rFonts w:hint="eastAsia" w:ascii="宋体" w:hAnsi="宋体" w:eastAsia="宋体" w:cs="宋体"/>
          <w:b w:val="0"/>
          <w:kern w:val="2"/>
          <w:szCs w:val="21"/>
        </w:rPr>
        <w:t>提供材料。若未及时维修，发现一次扣</w:t>
      </w:r>
      <w:r>
        <w:rPr>
          <w:rFonts w:hint="eastAsia" w:ascii="宋体" w:hAnsi="宋体" w:eastAsia="宋体" w:cs="宋体"/>
          <w:b w:val="0"/>
          <w:kern w:val="2"/>
          <w:szCs w:val="21"/>
          <w:lang w:val="en-US" w:eastAsia="zh-CN"/>
        </w:rPr>
        <w:t>1</w:t>
      </w:r>
      <w:r>
        <w:rPr>
          <w:rFonts w:hint="eastAsia" w:ascii="宋体" w:hAnsi="宋体" w:eastAsia="宋体" w:cs="宋体"/>
          <w:b w:val="0"/>
          <w:kern w:val="2"/>
          <w:szCs w:val="21"/>
        </w:rPr>
        <w:t>000元，第二次扣</w:t>
      </w:r>
      <w:r>
        <w:rPr>
          <w:rFonts w:hint="eastAsia" w:ascii="宋体" w:hAnsi="宋体" w:eastAsia="宋体" w:cs="宋体"/>
          <w:b w:val="0"/>
          <w:kern w:val="2"/>
          <w:szCs w:val="21"/>
          <w:lang w:val="en-US" w:eastAsia="zh-CN"/>
        </w:rPr>
        <w:t>2</w:t>
      </w:r>
      <w:r>
        <w:rPr>
          <w:rFonts w:hint="eastAsia" w:ascii="宋体" w:hAnsi="宋体" w:eastAsia="宋体" w:cs="宋体"/>
          <w:b w:val="0"/>
          <w:kern w:val="2"/>
          <w:szCs w:val="21"/>
        </w:rPr>
        <w:t>000元，以此类推，依次翻倍递增。</w:t>
      </w:r>
    </w:p>
    <w:p w14:paraId="62C88AB4">
      <w:pPr>
        <w:spacing w:line="450" w:lineRule="exact"/>
        <w:ind w:firstLine="442" w:firstLineChars="200"/>
        <w:rPr>
          <w:rFonts w:hint="eastAsia" w:ascii="宋体" w:hAnsi="宋体" w:eastAsia="宋体" w:cs="宋体"/>
          <w:b w:val="0"/>
          <w:kern w:val="2"/>
          <w:szCs w:val="21"/>
        </w:rPr>
      </w:pPr>
      <w:r>
        <w:rPr>
          <w:rFonts w:hint="eastAsia" w:ascii="宋体" w:hAnsi="宋体" w:eastAsia="宋体" w:cs="宋体"/>
          <w:b/>
          <w:bCs/>
          <w:kern w:val="2"/>
          <w:szCs w:val="21"/>
        </w:rPr>
        <w:t>浇水：每年6月至11月除下雨天外全部绿地每天浇水一次，其他月份每</w:t>
      </w:r>
      <w:r>
        <w:rPr>
          <w:rFonts w:hint="eastAsia" w:ascii="宋体" w:hAnsi="宋体" w:eastAsia="宋体" w:cs="宋体"/>
          <w:b/>
          <w:bCs/>
          <w:kern w:val="2"/>
          <w:szCs w:val="21"/>
          <w:lang w:val="en-US" w:eastAsia="zh-CN"/>
        </w:rPr>
        <w:t>3</w:t>
      </w:r>
      <w:r>
        <w:rPr>
          <w:rFonts w:hint="eastAsia" w:ascii="宋体" w:hAnsi="宋体" w:eastAsia="宋体" w:cs="宋体"/>
          <w:b/>
          <w:bCs/>
          <w:kern w:val="2"/>
          <w:szCs w:val="21"/>
        </w:rPr>
        <w:t>天浇水一次保持苗木水分充足叶片干净，确保绿地草木正常生长</w:t>
      </w:r>
      <w:r>
        <w:rPr>
          <w:rFonts w:hint="eastAsia" w:ascii="宋体" w:hAnsi="宋体" w:eastAsia="宋体" w:cs="宋体"/>
          <w:b w:val="0"/>
          <w:kern w:val="2"/>
          <w:szCs w:val="21"/>
        </w:rPr>
        <w:t>。如未按</w:t>
      </w:r>
      <w:r>
        <w:rPr>
          <w:rFonts w:hint="eastAsia" w:ascii="宋体" w:hAnsi="宋体" w:cs="宋体"/>
          <w:b w:val="0"/>
          <w:kern w:val="2"/>
          <w:szCs w:val="21"/>
          <w:lang w:eastAsia="zh-CN"/>
        </w:rPr>
        <w:t>采购人</w:t>
      </w:r>
      <w:r>
        <w:rPr>
          <w:rFonts w:hint="eastAsia" w:ascii="宋体" w:hAnsi="宋体" w:eastAsia="宋体" w:cs="宋体"/>
          <w:b w:val="0"/>
          <w:kern w:val="2"/>
          <w:szCs w:val="21"/>
        </w:rPr>
        <w:t>要求及时浇水，发现一次扣当月养护费的10%。中标供应商应每天在</w:t>
      </w:r>
      <w:r>
        <w:rPr>
          <w:rFonts w:hint="eastAsia" w:ascii="宋体" w:hAnsi="宋体" w:cs="宋体"/>
          <w:b w:val="0"/>
          <w:kern w:val="2"/>
          <w:szCs w:val="21"/>
          <w:lang w:eastAsia="zh-CN"/>
        </w:rPr>
        <w:t>采购人</w:t>
      </w:r>
      <w:r>
        <w:rPr>
          <w:rFonts w:hint="eastAsia" w:ascii="宋体" w:hAnsi="宋体" w:eastAsia="宋体" w:cs="宋体"/>
          <w:b w:val="0"/>
          <w:kern w:val="2"/>
          <w:szCs w:val="21"/>
        </w:rPr>
        <w:t>指定系统上传车辆工作照片、公里数及水表吨数。若未按要求及时上传资料的，视为未按要求及时浇水，扣除当月养护费的10%。</w:t>
      </w:r>
    </w:p>
    <w:p w14:paraId="75D8272C">
      <w:pPr>
        <w:spacing w:line="450" w:lineRule="exact"/>
        <w:ind w:firstLine="442" w:firstLineChars="200"/>
        <w:rPr>
          <w:rFonts w:hint="eastAsia" w:ascii="宋体" w:hAnsi="宋体" w:eastAsia="宋体" w:cs="宋体"/>
          <w:b w:val="0"/>
          <w:kern w:val="2"/>
          <w:szCs w:val="21"/>
        </w:rPr>
      </w:pPr>
      <w:r>
        <w:rPr>
          <w:rFonts w:hint="eastAsia" w:ascii="宋体" w:hAnsi="宋体" w:eastAsia="宋体" w:cs="宋体"/>
          <w:b/>
          <w:bCs/>
          <w:kern w:val="2"/>
          <w:szCs w:val="21"/>
        </w:rPr>
        <w:t>行道树</w:t>
      </w:r>
      <w:r>
        <w:rPr>
          <w:rFonts w:hint="eastAsia" w:ascii="宋体" w:hAnsi="宋体" w:eastAsia="宋体" w:cs="宋体"/>
          <w:b/>
          <w:bCs/>
          <w:kern w:val="2"/>
          <w:szCs w:val="21"/>
          <w:lang w:eastAsia="zh-CN"/>
        </w:rPr>
        <w:t>一年不少于两次</w:t>
      </w:r>
      <w:r>
        <w:rPr>
          <w:rFonts w:hint="eastAsia" w:ascii="宋体" w:hAnsi="宋体" w:eastAsia="宋体" w:cs="宋体"/>
          <w:b/>
          <w:bCs/>
          <w:kern w:val="2"/>
          <w:szCs w:val="21"/>
        </w:rPr>
        <w:t>修剪</w:t>
      </w:r>
      <w:r>
        <w:rPr>
          <w:rFonts w:hint="eastAsia" w:ascii="宋体" w:hAnsi="宋体" w:eastAsia="宋体" w:cs="宋体"/>
          <w:b/>
          <w:bCs/>
          <w:kern w:val="2"/>
          <w:szCs w:val="21"/>
          <w:lang w:eastAsia="zh-CN"/>
        </w:rPr>
        <w:t>，</w:t>
      </w:r>
      <w:r>
        <w:rPr>
          <w:rFonts w:hint="eastAsia" w:ascii="宋体" w:hAnsi="宋体" w:eastAsia="宋体" w:cs="宋体"/>
          <w:b/>
          <w:bCs/>
          <w:kern w:val="2"/>
          <w:szCs w:val="21"/>
        </w:rPr>
        <w:t>应在每年夏季、冬季各修剪一次，且在每次台风来临前对易倒树进行疏枝、支撑保护达到防台抗台要求</w:t>
      </w:r>
      <w:r>
        <w:rPr>
          <w:rFonts w:hint="eastAsia" w:ascii="宋体" w:hAnsi="宋体" w:eastAsia="宋体" w:cs="宋体"/>
          <w:b w:val="0"/>
          <w:kern w:val="2"/>
          <w:szCs w:val="21"/>
        </w:rPr>
        <w:t>。另根据行道树实际情况及时修剪。若因行道树修剪不及时的，扣除当月养护费10%。</w:t>
      </w:r>
    </w:p>
    <w:p w14:paraId="7FD61BC7">
      <w:pPr>
        <w:spacing w:line="450" w:lineRule="exact"/>
        <w:ind w:firstLine="440" w:firstLineChars="200"/>
        <w:rPr>
          <w:rFonts w:hint="eastAsia" w:ascii="宋体" w:hAnsi="宋体" w:eastAsia="宋体" w:cs="宋体"/>
          <w:b w:val="0"/>
          <w:kern w:val="2"/>
          <w:szCs w:val="21"/>
          <w:highlight w:val="none"/>
        </w:rPr>
      </w:pPr>
      <w:r>
        <w:rPr>
          <w:rFonts w:hint="eastAsia" w:ascii="宋体" w:hAnsi="宋体" w:eastAsia="宋体" w:cs="宋体"/>
          <w:b w:val="0"/>
          <w:kern w:val="2"/>
          <w:szCs w:val="21"/>
        </w:rPr>
        <w:t>乔木须于每年十一月份初进行一次树干刷白,刷白高度为1.2米。刷白应均匀细致, 树皮的裂隙</w:t>
      </w:r>
      <w:r>
        <w:rPr>
          <w:rFonts w:hint="eastAsia" w:ascii="宋体" w:hAnsi="宋体" w:eastAsia="宋体" w:cs="宋体"/>
          <w:b w:val="0"/>
          <w:kern w:val="2"/>
          <w:szCs w:val="21"/>
          <w:highlight w:val="none"/>
        </w:rPr>
        <w:t>应全部粉刷, 粉刷材料不得滴溅到路面或树穴内地被植物。</w:t>
      </w:r>
    </w:p>
    <w:p w14:paraId="0D83C180">
      <w:pPr>
        <w:spacing w:line="450" w:lineRule="exact"/>
        <w:ind w:firstLine="442" w:firstLineChars="200"/>
        <w:rPr>
          <w:rFonts w:hint="eastAsia" w:ascii="宋体" w:hAnsi="宋体" w:eastAsia="宋体" w:cs="宋体"/>
          <w:b/>
          <w:bCs/>
          <w:kern w:val="2"/>
          <w:szCs w:val="21"/>
          <w:highlight w:val="none"/>
        </w:rPr>
      </w:pPr>
      <w:r>
        <w:rPr>
          <w:rFonts w:hint="eastAsia" w:ascii="宋体" w:hAnsi="宋体" w:eastAsia="宋体" w:cs="宋体"/>
          <w:b/>
          <w:bCs/>
          <w:kern w:val="2"/>
          <w:szCs w:val="21"/>
          <w:highlight w:val="none"/>
        </w:rPr>
        <w:t>在养护期间，产生杂草、杂物、垃圾、枯枝等</w:t>
      </w:r>
      <w:r>
        <w:rPr>
          <w:rFonts w:hint="eastAsia" w:ascii="宋体" w:hAnsi="宋体" w:eastAsia="宋体" w:cs="宋体"/>
          <w:b/>
          <w:bCs/>
          <w:kern w:val="2"/>
          <w:szCs w:val="21"/>
          <w:highlight w:val="none"/>
          <w:lang w:eastAsia="zh-CN"/>
        </w:rPr>
        <w:t>由</w:t>
      </w:r>
      <w:r>
        <w:rPr>
          <w:rFonts w:hint="eastAsia" w:ascii="宋体" w:hAnsi="宋体" w:eastAsia="宋体" w:cs="宋体"/>
          <w:b/>
          <w:bCs/>
          <w:kern w:val="2"/>
          <w:szCs w:val="21"/>
          <w:highlight w:val="none"/>
        </w:rPr>
        <w:t>中标单位自行处理， 严禁乱倒及城区内焚烧。</w:t>
      </w:r>
    </w:p>
    <w:p w14:paraId="6F45FBD5">
      <w:pPr>
        <w:spacing w:line="450" w:lineRule="exact"/>
        <w:ind w:firstLine="442" w:firstLineChars="200"/>
        <w:rPr>
          <w:rFonts w:hint="eastAsia" w:ascii="宋体" w:hAnsi="宋体" w:eastAsia="宋体" w:cs="宋体"/>
          <w:b/>
          <w:bCs/>
          <w:kern w:val="2"/>
          <w:szCs w:val="21"/>
          <w:highlight w:val="none"/>
          <w:lang w:eastAsia="zh-CN"/>
        </w:rPr>
      </w:pPr>
      <w:r>
        <w:rPr>
          <w:rFonts w:hint="eastAsia" w:ascii="宋体" w:hAnsi="宋体" w:eastAsia="宋体" w:cs="宋体"/>
          <w:b/>
          <w:bCs/>
          <w:kern w:val="2"/>
          <w:szCs w:val="21"/>
          <w:highlight w:val="none"/>
          <w:lang w:eastAsia="zh-CN"/>
        </w:rPr>
        <w:t>养护垃圾自行处理，自行配备养护垃圾堆放点，且不得违反环境保护有关规定及相关法律法规。</w:t>
      </w:r>
    </w:p>
    <w:p w14:paraId="57239AA9">
      <w:pPr>
        <w:spacing w:line="450" w:lineRule="exact"/>
        <w:ind w:firstLine="442" w:firstLineChars="200"/>
        <w:rPr>
          <w:rFonts w:hint="eastAsia" w:ascii="宋体" w:hAnsi="宋体" w:eastAsia="宋体" w:cs="宋体"/>
          <w:b/>
          <w:bCs/>
          <w:kern w:val="2"/>
          <w:szCs w:val="21"/>
          <w:highlight w:val="none"/>
          <w:lang w:eastAsia="zh-CN"/>
        </w:rPr>
      </w:pPr>
      <w:r>
        <w:rPr>
          <w:rFonts w:hint="eastAsia" w:ascii="宋体" w:hAnsi="宋体" w:eastAsia="宋体" w:cs="宋体"/>
          <w:b/>
          <w:bCs/>
          <w:kern w:val="2"/>
          <w:szCs w:val="21"/>
          <w:highlight w:val="none"/>
        </w:rPr>
        <w:t>中标人在绿化养护进场前、需统计现场死株、死苗数据（包括对死株、死苗清理）并上报业主单位,否则业主单位将视为中标人养护不力而造成死株、死苗，后果由中标人承担</w:t>
      </w:r>
      <w:r>
        <w:rPr>
          <w:rFonts w:hint="eastAsia" w:ascii="宋体" w:hAnsi="宋体" w:eastAsia="宋体" w:cs="宋体"/>
          <w:b/>
          <w:bCs/>
          <w:kern w:val="2"/>
          <w:szCs w:val="21"/>
          <w:highlight w:val="none"/>
          <w:lang w:eastAsia="zh-CN"/>
        </w:rPr>
        <w:t>。</w:t>
      </w:r>
    </w:p>
    <w:p w14:paraId="04073CC8">
      <w:pPr>
        <w:spacing w:line="450" w:lineRule="exact"/>
        <w:ind w:firstLine="440" w:firstLineChars="200"/>
        <w:rPr>
          <w:rFonts w:hint="eastAsia" w:ascii="宋体" w:hAnsi="宋体" w:eastAsia="宋体" w:cs="Times New Roman"/>
          <w:b w:val="0"/>
          <w:kern w:val="2"/>
          <w:szCs w:val="21"/>
          <w:highlight w:val="none"/>
        </w:rPr>
      </w:pPr>
      <w:r>
        <w:rPr>
          <w:rFonts w:hint="eastAsia" w:ascii="宋体" w:hAnsi="宋体" w:eastAsia="宋体" w:cs="Times New Roman"/>
          <w:b w:val="0"/>
          <w:kern w:val="2"/>
          <w:szCs w:val="21"/>
          <w:highlight w:val="none"/>
        </w:rPr>
        <w:t>因</w:t>
      </w:r>
      <w:r>
        <w:rPr>
          <w:rFonts w:hint="eastAsia" w:ascii="宋体" w:hAnsi="宋体" w:eastAsia="宋体" w:cs="宋体"/>
          <w:b w:val="0"/>
          <w:kern w:val="2"/>
          <w:szCs w:val="21"/>
          <w:highlight w:val="none"/>
        </w:rPr>
        <w:t>中标人</w:t>
      </w:r>
      <w:r>
        <w:rPr>
          <w:rFonts w:hint="eastAsia" w:ascii="宋体" w:hAnsi="宋体" w:eastAsia="宋体" w:cs="Times New Roman"/>
          <w:b w:val="0"/>
          <w:kern w:val="2"/>
          <w:szCs w:val="21"/>
          <w:highlight w:val="none"/>
        </w:rPr>
        <w:t>绿地养护工作不到位而接到各类投诉或被曝光，情况属实的，甲方将根据考核细则扣除乙方考核分，且乙方必须在规定时间内整改到位。</w:t>
      </w:r>
    </w:p>
    <w:p w14:paraId="3DCFF8B0">
      <w:pPr>
        <w:spacing w:line="490" w:lineRule="exact"/>
        <w:ind w:firstLine="442" w:firstLineChars="200"/>
        <w:rPr>
          <w:rFonts w:hint="eastAsia" w:ascii="宋体" w:hAnsi="宋体" w:eastAsia="宋体" w:cs="Times New Roman"/>
          <w:b/>
          <w:bCs/>
          <w:kern w:val="2"/>
          <w:szCs w:val="21"/>
          <w:highlight w:val="none"/>
          <w:u w:val="single"/>
        </w:rPr>
      </w:pPr>
      <w:r>
        <w:rPr>
          <w:rFonts w:hint="eastAsia" w:ascii="宋体" w:hAnsi="宋体" w:eastAsia="宋体" w:cs="宋体"/>
          <w:b/>
          <w:bCs/>
          <w:kern w:val="2"/>
          <w:szCs w:val="21"/>
          <w:highlight w:val="none"/>
          <w:u w:val="single"/>
        </w:rPr>
        <w:t>▲</w:t>
      </w:r>
      <w:r>
        <w:rPr>
          <w:rFonts w:hint="eastAsia" w:ascii="宋体" w:hAnsi="宋体" w:eastAsia="宋体" w:cs="Times New Roman"/>
          <w:b/>
          <w:bCs/>
          <w:kern w:val="2"/>
          <w:szCs w:val="21"/>
          <w:highlight w:val="none"/>
          <w:u w:val="single"/>
        </w:rPr>
        <w:t>在各种检查、创建等活动期间，甲方需要增加乙方工作量时，乙方不得拒绝。</w:t>
      </w:r>
    </w:p>
    <w:p w14:paraId="2A2D942F">
      <w:pPr>
        <w:spacing w:line="450" w:lineRule="exact"/>
        <w:ind w:firstLine="440" w:firstLineChars="200"/>
        <w:rPr>
          <w:rFonts w:hint="eastAsia" w:ascii="宋体" w:hAnsi="宋体" w:eastAsia="宋体" w:cs="宋体"/>
          <w:b w:val="0"/>
          <w:kern w:val="2"/>
          <w:szCs w:val="21"/>
          <w:highlight w:val="none"/>
        </w:rPr>
      </w:pPr>
      <w:r>
        <w:rPr>
          <w:rFonts w:hint="eastAsia" w:ascii="宋体" w:hAnsi="宋体" w:eastAsia="宋体" w:cs="宋体"/>
          <w:b w:val="0"/>
          <w:kern w:val="2"/>
          <w:szCs w:val="21"/>
          <w:highlight w:val="none"/>
        </w:rPr>
        <w:t>如服务期限内养护绿地范围增加，乙方不得拒绝，其增加的绿地养护费用由甲方承担，费用按中标价格换算。</w:t>
      </w:r>
    </w:p>
    <w:p w14:paraId="11B420FF">
      <w:pPr>
        <w:spacing w:line="450" w:lineRule="exact"/>
        <w:ind w:firstLine="442" w:firstLineChars="200"/>
        <w:rPr>
          <w:rFonts w:hint="eastAsia" w:ascii="宋体" w:hAnsi="宋体" w:eastAsia="宋体" w:cs="宋体"/>
          <w:b w:val="0"/>
          <w:kern w:val="2"/>
          <w:szCs w:val="21"/>
        </w:rPr>
      </w:pPr>
      <w:r>
        <w:rPr>
          <w:rFonts w:hint="eastAsia" w:ascii="宋体" w:hAnsi="宋体" w:eastAsia="宋体" w:cs="宋体"/>
          <w:b/>
          <w:bCs/>
          <w:kern w:val="2"/>
          <w:szCs w:val="21"/>
        </w:rPr>
        <w:t>养护用水由</w:t>
      </w:r>
      <w:r>
        <w:rPr>
          <w:rFonts w:hint="eastAsia" w:ascii="宋体" w:hAnsi="宋体" w:eastAsia="宋体" w:cs="宋体"/>
          <w:b/>
          <w:bCs/>
          <w:kern w:val="2"/>
          <w:szCs w:val="21"/>
          <w:lang w:eastAsia="zh-CN"/>
        </w:rPr>
        <w:t>中标供应商自行提供，</w:t>
      </w:r>
      <w:r>
        <w:rPr>
          <w:rFonts w:hint="eastAsia" w:ascii="宋体" w:hAnsi="宋体" w:eastAsia="宋体" w:cs="宋体"/>
          <w:b/>
          <w:bCs/>
          <w:kern w:val="2"/>
          <w:szCs w:val="21"/>
        </w:rPr>
        <w:t>所产生费用由供应商</w:t>
      </w:r>
      <w:r>
        <w:rPr>
          <w:rFonts w:hint="eastAsia" w:ascii="宋体" w:hAnsi="宋体" w:eastAsia="宋体" w:cs="宋体"/>
          <w:b/>
          <w:bCs/>
          <w:kern w:val="2"/>
          <w:szCs w:val="21"/>
          <w:lang w:eastAsia="zh-CN"/>
        </w:rPr>
        <w:t>自行</w:t>
      </w:r>
      <w:r>
        <w:rPr>
          <w:rFonts w:hint="eastAsia" w:ascii="宋体" w:hAnsi="宋体" w:eastAsia="宋体" w:cs="宋体"/>
          <w:b/>
          <w:bCs/>
          <w:kern w:val="2"/>
          <w:szCs w:val="21"/>
        </w:rPr>
        <w:t>承担。</w:t>
      </w:r>
    </w:p>
    <w:p w14:paraId="418635F9">
      <w:pPr>
        <w:spacing w:line="450" w:lineRule="exact"/>
        <w:ind w:firstLine="442" w:firstLineChars="200"/>
        <w:rPr>
          <w:rFonts w:hint="eastAsia" w:ascii="宋体" w:hAnsi="宋体" w:eastAsia="宋体" w:cs="宋体"/>
          <w:b w:val="0"/>
          <w:kern w:val="2"/>
          <w:szCs w:val="21"/>
          <w:lang w:val="en-US" w:eastAsia="zh-CN"/>
        </w:rPr>
      </w:pPr>
      <w:r>
        <w:rPr>
          <w:rFonts w:hint="eastAsia" w:ascii="宋体" w:hAnsi="宋体" w:eastAsia="宋体" w:cs="宋体"/>
          <w:b/>
          <w:bCs/>
          <w:kern w:val="2"/>
          <w:szCs w:val="21"/>
          <w:highlight w:val="none"/>
        </w:rPr>
        <w:t>绿化养护未经业主同意擅自使用除草剂发现一次处罚3万～5万，无条件没收施工机械设备</w:t>
      </w:r>
      <w:r>
        <w:rPr>
          <w:rFonts w:hint="eastAsia" w:ascii="宋体" w:hAnsi="宋体" w:eastAsia="宋体" w:cs="宋体"/>
          <w:b/>
          <w:bCs/>
          <w:kern w:val="2"/>
          <w:szCs w:val="21"/>
          <w:highlight w:val="none"/>
          <w:lang w:val="en-US" w:eastAsia="zh-CN"/>
        </w:rPr>
        <w:t>。</w:t>
      </w:r>
    </w:p>
    <w:p w14:paraId="50553DE5">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投标单位中标后，与</w:t>
      </w:r>
      <w:r>
        <w:rPr>
          <w:rFonts w:hint="eastAsia" w:ascii="宋体" w:hAnsi="宋体" w:eastAsia="宋体" w:cs="宋体"/>
          <w:b w:val="0"/>
          <w:kern w:val="2"/>
          <w:szCs w:val="21"/>
          <w:lang w:eastAsia="zh-CN"/>
        </w:rPr>
        <w:t>藻溪镇</w:t>
      </w:r>
      <w:r>
        <w:rPr>
          <w:rFonts w:hint="eastAsia" w:ascii="宋体" w:hAnsi="宋体" w:eastAsia="宋体" w:cs="宋体"/>
          <w:b w:val="0"/>
          <w:kern w:val="2"/>
          <w:szCs w:val="21"/>
        </w:rPr>
        <w:t>人民政府签订机井安全管理责任书，保证绿化带内原有水井完好、安全。</w:t>
      </w:r>
    </w:p>
    <w:p w14:paraId="58C17A2E">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本次所有草坪冷季草（黑麦草）播种工作由中标供应商负责，其相关费用包含于投标总价中。</w:t>
      </w:r>
    </w:p>
    <w:p w14:paraId="4EDE0004">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施肥时供应商应通知</w:t>
      </w:r>
      <w:r>
        <w:rPr>
          <w:rFonts w:hint="eastAsia" w:ascii="宋体" w:hAnsi="宋体" w:cs="宋体"/>
          <w:b w:val="0"/>
          <w:kern w:val="2"/>
          <w:szCs w:val="21"/>
          <w:lang w:eastAsia="zh-CN"/>
        </w:rPr>
        <w:t>采购人</w:t>
      </w:r>
      <w:r>
        <w:rPr>
          <w:rFonts w:hint="eastAsia" w:ascii="宋体" w:hAnsi="宋体" w:eastAsia="宋体" w:cs="宋体"/>
          <w:b w:val="0"/>
          <w:kern w:val="2"/>
          <w:szCs w:val="21"/>
        </w:rPr>
        <w:t>到场签字确定肥料数量及种类。</w:t>
      </w:r>
    </w:p>
    <w:p w14:paraId="4F90E8C2">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增加或减少养护绿地面积或行道树，按投标单价进行增减。</w:t>
      </w:r>
    </w:p>
    <w:p w14:paraId="210BFA09">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台风季节上报抗台预案，做好树木加固并安排人员值班，随时处理道路上的倒伏倾斜危险树，并在三天内及时完成扶正种植。若倒伏树因延迟种植造成死亡，按2倍的市场价予以处罚；种植后因养护造成死亡的，按1.5倍的市场价予以处罚。并且</w:t>
      </w:r>
      <w:r>
        <w:rPr>
          <w:rFonts w:hint="eastAsia" w:ascii="宋体" w:hAnsi="宋体" w:cs="宋体"/>
          <w:b w:val="0"/>
          <w:kern w:val="2"/>
          <w:szCs w:val="21"/>
          <w:lang w:eastAsia="zh-CN"/>
        </w:rPr>
        <w:t>采购人</w:t>
      </w:r>
      <w:r>
        <w:rPr>
          <w:rFonts w:hint="eastAsia" w:ascii="宋体" w:hAnsi="宋体" w:eastAsia="宋体" w:cs="宋体"/>
          <w:b w:val="0"/>
          <w:kern w:val="2"/>
          <w:szCs w:val="21"/>
        </w:rPr>
        <w:t>可从每月养护费用中直接扣除该项罚款。</w:t>
      </w:r>
    </w:p>
    <w:p w14:paraId="3896E22E">
      <w:pPr>
        <w:spacing w:line="450" w:lineRule="exact"/>
        <w:ind w:firstLine="440" w:firstLineChars="200"/>
        <w:rPr>
          <w:rFonts w:hint="eastAsia" w:ascii="宋体" w:hAnsi="宋体" w:eastAsia="宋体" w:cs="宋体"/>
          <w:b/>
          <w:bCs/>
          <w:kern w:val="2"/>
          <w:szCs w:val="21"/>
        </w:rPr>
      </w:pPr>
      <w:r>
        <w:rPr>
          <w:rFonts w:hint="eastAsia" w:ascii="宋体" w:hAnsi="宋体" w:eastAsia="宋体" w:cs="宋体"/>
          <w:b w:val="0"/>
          <w:kern w:val="2"/>
          <w:szCs w:val="21"/>
        </w:rPr>
        <w:t>中标供应商在接到数字城管或相关投诉后应及时处理，根据以人为本的态度在时效内作出相关答复意见和处理结果。若出现延误、缓办或退回的，第一次扣</w:t>
      </w:r>
      <w:r>
        <w:rPr>
          <w:rFonts w:hint="eastAsia" w:ascii="宋体" w:hAnsi="宋体" w:eastAsia="宋体" w:cs="宋体"/>
          <w:b w:val="0"/>
          <w:kern w:val="2"/>
          <w:szCs w:val="21"/>
          <w:lang w:val="en-US" w:eastAsia="zh-CN"/>
        </w:rPr>
        <w:t>5</w:t>
      </w:r>
      <w:r>
        <w:rPr>
          <w:rFonts w:hint="eastAsia" w:ascii="宋体" w:hAnsi="宋体" w:eastAsia="宋体" w:cs="宋体"/>
          <w:b w:val="0"/>
          <w:kern w:val="2"/>
          <w:szCs w:val="21"/>
        </w:rPr>
        <w:t>00元，第二次扣</w:t>
      </w:r>
      <w:r>
        <w:rPr>
          <w:rFonts w:hint="eastAsia" w:ascii="宋体" w:hAnsi="宋体" w:eastAsia="宋体" w:cs="宋体"/>
          <w:b w:val="0"/>
          <w:kern w:val="2"/>
          <w:szCs w:val="21"/>
          <w:lang w:val="en-US" w:eastAsia="zh-CN"/>
        </w:rPr>
        <w:t>1</w:t>
      </w:r>
      <w:r>
        <w:rPr>
          <w:rFonts w:hint="eastAsia" w:ascii="宋体" w:hAnsi="宋体" w:eastAsia="宋体" w:cs="宋体"/>
          <w:b w:val="0"/>
          <w:kern w:val="2"/>
          <w:szCs w:val="21"/>
        </w:rPr>
        <w:t>000元，以此类推，</w:t>
      </w:r>
      <w:r>
        <w:rPr>
          <w:rFonts w:hint="eastAsia" w:ascii="宋体" w:hAnsi="宋体" w:eastAsia="宋体" w:cs="宋体"/>
          <w:b w:val="0"/>
          <w:bCs w:val="0"/>
          <w:kern w:val="2"/>
          <w:szCs w:val="21"/>
        </w:rPr>
        <w:t>依次翻倍递增。</w:t>
      </w:r>
    </w:p>
    <w:p w14:paraId="52A39DC7">
      <w:pPr>
        <w:spacing w:line="450" w:lineRule="exact"/>
        <w:ind w:firstLine="442" w:firstLineChars="200"/>
        <w:rPr>
          <w:rFonts w:hint="eastAsia" w:ascii="宋体" w:hAnsi="宋体" w:eastAsia="宋体" w:cs="宋体"/>
          <w:b/>
          <w:bCs/>
          <w:kern w:val="2"/>
          <w:szCs w:val="21"/>
        </w:rPr>
      </w:pPr>
      <w:r>
        <w:rPr>
          <w:rFonts w:hint="eastAsia" w:ascii="宋体" w:hAnsi="宋体" w:eastAsia="宋体" w:cs="宋体"/>
          <w:b/>
          <w:bCs/>
          <w:kern w:val="2"/>
          <w:szCs w:val="21"/>
        </w:rPr>
        <w:t>▲工作人员在养护期间出现安全伤亡事故（如在树上摔下、失足落水、中毒、与第三方发生纠纷等），由中标供应商自行负责，</w:t>
      </w:r>
      <w:r>
        <w:rPr>
          <w:rFonts w:hint="eastAsia" w:ascii="宋体" w:hAnsi="宋体" w:cs="宋体"/>
          <w:b/>
          <w:bCs/>
          <w:kern w:val="2"/>
          <w:szCs w:val="21"/>
          <w:lang w:eastAsia="zh-CN"/>
        </w:rPr>
        <w:t>采购人</w:t>
      </w:r>
      <w:r>
        <w:rPr>
          <w:rFonts w:hint="eastAsia" w:ascii="宋体" w:hAnsi="宋体" w:eastAsia="宋体" w:cs="宋体"/>
          <w:b/>
          <w:bCs/>
          <w:kern w:val="2"/>
          <w:szCs w:val="21"/>
        </w:rPr>
        <w:t>不承担任何责任。</w:t>
      </w:r>
    </w:p>
    <w:p w14:paraId="4B38B6D6">
      <w:pPr>
        <w:spacing w:line="450" w:lineRule="exact"/>
        <w:ind w:firstLine="440" w:firstLineChars="200"/>
        <w:rPr>
          <w:rFonts w:hint="eastAsia" w:ascii="宋体" w:hAnsi="宋体" w:eastAsia="宋体" w:cs="宋体"/>
          <w:b w:val="0"/>
          <w:kern w:val="2"/>
          <w:szCs w:val="21"/>
        </w:rPr>
      </w:pPr>
      <w:r>
        <w:rPr>
          <w:rFonts w:hint="eastAsia" w:ascii="宋体" w:hAnsi="宋体" w:eastAsia="宋体" w:cs="宋体"/>
          <w:b w:val="0"/>
          <w:kern w:val="2"/>
          <w:szCs w:val="21"/>
        </w:rPr>
        <w:t>严禁将承包绿化养护管理</w:t>
      </w:r>
      <w:r>
        <w:rPr>
          <w:rFonts w:hint="eastAsia" w:ascii="宋体" w:hAnsi="宋体" w:eastAsia="宋体" w:cs="宋体"/>
          <w:b w:val="0"/>
          <w:kern w:val="2"/>
          <w:szCs w:val="21"/>
          <w:lang w:val="en-US" w:eastAsia="zh-CN"/>
        </w:rPr>
        <w:t>工作</w:t>
      </w:r>
      <w:r>
        <w:rPr>
          <w:rFonts w:hint="eastAsia" w:ascii="宋体" w:hAnsi="宋体" w:eastAsia="宋体" w:cs="宋体"/>
          <w:b w:val="0"/>
          <w:kern w:val="2"/>
          <w:szCs w:val="21"/>
        </w:rPr>
        <w:t>转包他人，一旦发现</w:t>
      </w:r>
      <w:r>
        <w:rPr>
          <w:rFonts w:hint="eastAsia" w:ascii="宋体" w:hAnsi="宋体" w:cs="宋体"/>
          <w:b w:val="0"/>
          <w:kern w:val="2"/>
          <w:szCs w:val="21"/>
          <w:lang w:eastAsia="zh-CN"/>
        </w:rPr>
        <w:t>采购人</w:t>
      </w:r>
      <w:r>
        <w:rPr>
          <w:rFonts w:hint="eastAsia" w:ascii="宋体" w:hAnsi="宋体" w:eastAsia="宋体" w:cs="宋体"/>
          <w:b w:val="0"/>
          <w:kern w:val="2"/>
          <w:szCs w:val="21"/>
        </w:rPr>
        <w:t>有权终止合同、并没收履约保证金。</w:t>
      </w:r>
    </w:p>
    <w:p w14:paraId="265334A1">
      <w:pPr>
        <w:widowControl w:val="0"/>
        <w:snapToGrid w:val="0"/>
        <w:spacing w:line="440" w:lineRule="atLeast"/>
        <w:jc w:val="both"/>
        <w:rPr>
          <w:rFonts w:hint="eastAsia" w:ascii="Times New Roman" w:hAnsi="Times New Roman" w:eastAsia="宋体" w:cs="Times New Roman"/>
          <w:b/>
          <w:bCs/>
          <w:color w:val="000000"/>
          <w:kern w:val="0"/>
          <w:sz w:val="24"/>
          <w:szCs w:val="24"/>
          <w:highlight w:val="none"/>
          <w:lang w:val="en-US" w:eastAsia="zh-CN" w:bidi="ar-SA"/>
        </w:rPr>
      </w:pPr>
      <w:r>
        <w:rPr>
          <w:rFonts w:hint="eastAsia" w:ascii="Times New Roman" w:hAnsi="Times New Roman" w:eastAsia="宋体" w:cs="Times New Roman"/>
          <w:b/>
          <w:bCs/>
          <w:color w:val="000000"/>
          <w:kern w:val="0"/>
          <w:sz w:val="24"/>
          <w:szCs w:val="24"/>
          <w:highlight w:val="none"/>
          <w:lang w:val="en-US" w:eastAsia="zh-CN" w:bidi="ar-SA"/>
        </w:rPr>
        <w:t>四、考评办法</w:t>
      </w:r>
    </w:p>
    <w:p w14:paraId="64772991">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一）中标供应商应严格按照采购人具体要求及《采购文件》的规定，对承包的面积范围的进行绿化养护。同时，还要接受按《温州市市区公共绿地养护管理办法》、《藻溪镇园林绿地养护考核办法》等规定进行质量检查考评。</w:t>
      </w:r>
    </w:p>
    <w:p w14:paraId="3377EC22">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（二）考核及处罚标准</w:t>
      </w:r>
    </w:p>
    <w:p w14:paraId="639D2826">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1、考核标准</w:t>
      </w:r>
    </w:p>
    <w:p w14:paraId="5D0DB33C">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（1）依照《温州市市区公共绿地养护管理办法》、《藻溪镇园林绿地养护考核办法》考核评分细则进行综合计算考评。</w:t>
      </w:r>
    </w:p>
    <w:p w14:paraId="0AB0C892">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（2）考核小组将负责对城区道路绿化养护质量进行检查考评，检查将采取明检、暗检相结合的方式，以暗检为主，每月综合考评一次。如需承包公司配合的将提前一小时通知该单位派员参加。</w:t>
      </w:r>
    </w:p>
    <w:p w14:paraId="080D5F13">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（3）绿化养护考核，起评满分为100分；每月平均评分被扣减的，将按照处罚标准进行相应的处罚。</w:t>
      </w:r>
    </w:p>
    <w:p w14:paraId="0FDF4F0A">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4、处罚标准</w:t>
      </w:r>
    </w:p>
    <w:p w14:paraId="7455AC96">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（1）罚款按照每月从每月承包经费中扣除。</w:t>
      </w:r>
    </w:p>
    <w:p w14:paraId="76DA3FB1">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2）该绿化养护管理考核在95分以上的为良好，按养护费标准核拨；考核分为94分的，扣除0.25%的养护费，93分扣0.5%月养护费月，92分扣0.75%，91分扣1%，到90分（含）以下的，每少1分扣除2%的养护费。若全年月考核得分连续两次低于80分的或一年内月考核3次低于80分的，采购人有权无责任终止采购合同，并没收其全部履约保证金。</w:t>
      </w:r>
    </w:p>
    <w:p w14:paraId="5C81CE46">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（3）有市民投诉、媒体曝光的影响环境卫生事件,经核实是由承包单位或作业人员责任引起的将予以处罚,处罚额度为每发现一次并核实扣季度规定支付总额的2%。</w:t>
      </w:r>
    </w:p>
    <w:p w14:paraId="19B05B00">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（4）当月考核分数&lt;70分，采购人有权对合同进行终止处理，并没收履约保证金，对供应商带来的损失，均由供应商自行处理。</w:t>
      </w:r>
    </w:p>
    <w:p w14:paraId="42C856E2">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6）接到智慧城管派单或应急件后，中标供应商应及时处理，如因中标供应商延误处理时间造成超期的，一次处以罚金500元整，如因中标供应商处理不到位造成返工的，一次处以罚金1000元整,如因中标供应商推诿造成超期的，一次处以罚金1000元整。</w:t>
      </w:r>
    </w:p>
    <w:p w14:paraId="5BD1A160">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（7）设施维护：除</w:t>
      </w:r>
      <w:r>
        <w:rPr>
          <w:rFonts w:hint="eastAsia" w:ascii="Arial" w:hAnsi="Arial" w:eastAsia="宋体" w:cs="Arial"/>
          <w:b w:val="0"/>
          <w:kern w:val="2"/>
          <w:position w:val="6"/>
          <w:szCs w:val="21"/>
          <w:highlight w:val="none"/>
          <w:lang w:eastAsia="zh-CN"/>
        </w:rPr>
        <w:t>智慧城管</w:t>
      </w:r>
      <w:r>
        <w:rPr>
          <w:rFonts w:hint="eastAsia" w:ascii="Arial" w:hAnsi="Arial" w:eastAsia="宋体" w:cs="Arial"/>
          <w:b w:val="0"/>
          <w:kern w:val="2"/>
          <w:position w:val="6"/>
          <w:szCs w:val="21"/>
          <w:highlight w:val="none"/>
          <w:lang w:val="en-US" w:eastAsia="zh-CN"/>
        </w:rPr>
        <w:t>案件或投诉件规定完工时限外，其他一般件在35个小时内处理完毕，特殊件在70小时内处理完毕，如因中标供应商延误造成处理时间超期的，一次处以月度服务款的0.1%作为违约金，如因中标供应商处理不到位造成返工的，一次处以月度服务款的0.2%作为违约金。</w:t>
      </w:r>
    </w:p>
    <w:p w14:paraId="0CA7470D">
      <w:pPr>
        <w:tabs>
          <w:tab w:val="left" w:pos="0"/>
          <w:tab w:val="left" w:pos="284"/>
        </w:tabs>
        <w:spacing w:line="400" w:lineRule="atLeast"/>
        <w:ind w:firstLine="550" w:firstLineChars="250"/>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(8) 垃圾乱倒：在养护过程中产生的养护垃圾，必须按规定处理，不得胡乱倾倒、现场焚烧等，发现一次处以罚金1000元，一个月累计发现3次以上，直接处以月度服务款2%的罚金。</w:t>
      </w:r>
    </w:p>
    <w:p w14:paraId="101E5461">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（9）对于上级考核中因中标供应商养护不到位造成扣分的，则双倍扣除该季度养护考核款；对于局领导督办需要整改的却未按规定时间和要求整改到位的，则一次处以罚金2000元。</w:t>
      </w:r>
    </w:p>
    <w:p w14:paraId="2C9B5587">
      <w:pPr>
        <w:tabs>
          <w:tab w:val="left" w:pos="0"/>
          <w:tab w:val="left" w:pos="284"/>
        </w:tabs>
        <w:spacing w:line="400" w:lineRule="atLeast"/>
        <w:ind w:firstLine="316"/>
        <w:rPr>
          <w:rFonts w:hint="eastAsia" w:ascii="Arial" w:hAnsi="Arial" w:eastAsia="宋体" w:cs="Arial"/>
          <w:b w:val="0"/>
          <w:kern w:val="2"/>
          <w:position w:val="6"/>
          <w:szCs w:val="21"/>
          <w:highlight w:val="none"/>
          <w:lang w:val="en-US" w:eastAsia="zh-CN"/>
        </w:rPr>
      </w:pPr>
      <w:r>
        <w:rPr>
          <w:rFonts w:hint="eastAsia" w:ascii="Arial" w:hAnsi="Arial" w:eastAsia="宋体" w:cs="Arial"/>
          <w:b w:val="0"/>
          <w:kern w:val="2"/>
          <w:position w:val="6"/>
          <w:szCs w:val="21"/>
          <w:highlight w:val="none"/>
          <w:lang w:val="en-US" w:eastAsia="zh-CN"/>
        </w:rPr>
        <w:t>（10）草花至少一年5次更换，若发现未按招标文件约定进行时令草花更换，采购人每发现一次，按每次每平120元从每月应付中标供应商绿化养护服务费中扣除；超过两次则视为违约，采购人有权终止合同。</w:t>
      </w:r>
    </w:p>
    <w:p w14:paraId="56074992">
      <w:pPr>
        <w:rPr>
          <w:rFonts w:hint="eastAsia"/>
          <w:lang w:val="en-US" w:eastAsia="zh-CN"/>
        </w:rPr>
      </w:pPr>
    </w:p>
    <w:p w14:paraId="04DA16E7">
      <w:pPr>
        <w:rPr>
          <w:rFonts w:hint="default"/>
          <w:lang w:val="en-US" w:eastAsia="zh-CN"/>
        </w:rPr>
      </w:pPr>
    </w:p>
    <w:p w14:paraId="33278964">
      <w:pPr>
        <w:spacing w:line="420" w:lineRule="exact"/>
        <w:rPr>
          <w:rFonts w:ascii="宋体" w:hAnsi="宋体"/>
          <w:b/>
          <w:szCs w:val="22"/>
        </w:rPr>
      </w:pPr>
      <w:r>
        <w:rPr>
          <w:rFonts w:hint="eastAsia" w:ascii="宋体" w:hAnsi="宋体" w:cs="宋体"/>
          <w:b/>
          <w:bCs/>
          <w:szCs w:val="22"/>
        </w:rPr>
        <w:t>十</w:t>
      </w:r>
      <w:r>
        <w:rPr>
          <w:rFonts w:hint="eastAsia" w:ascii="宋体" w:hAnsi="宋体" w:cs="宋体"/>
          <w:b/>
          <w:bCs/>
          <w:szCs w:val="22"/>
          <w:lang w:val="en-US" w:eastAsia="zh-CN"/>
        </w:rPr>
        <w:t>三</w:t>
      </w:r>
      <w:r>
        <w:rPr>
          <w:rFonts w:hint="eastAsia" w:ascii="宋体" w:hAnsi="宋体" w:cs="宋体"/>
          <w:b/>
          <w:bCs/>
          <w:szCs w:val="22"/>
        </w:rPr>
        <w:t>、商务条款</w:t>
      </w:r>
    </w:p>
    <w:p w14:paraId="3B2A48D4">
      <w:pPr>
        <w:spacing w:line="420" w:lineRule="exact"/>
        <w:ind w:firstLine="442" w:firstLineChars="200"/>
        <w:rPr>
          <w:rFonts w:ascii="宋体" w:hAnsi="宋体"/>
          <w:b/>
          <w:szCs w:val="22"/>
        </w:rPr>
      </w:pPr>
      <w:r>
        <w:rPr>
          <w:rFonts w:hint="eastAsia" w:ascii="宋体" w:hAnsi="宋体"/>
          <w:b/>
          <w:szCs w:val="22"/>
        </w:rPr>
        <w:t>（一）</w:t>
      </w:r>
      <w:r>
        <w:rPr>
          <w:rFonts w:hint="eastAsia" w:ascii="宋体" w:hAnsi="宋体"/>
          <w:b/>
          <w:spacing w:val="2"/>
          <w:kern w:val="0"/>
          <w:szCs w:val="22"/>
        </w:rPr>
        <w:t>服务期</w:t>
      </w:r>
    </w:p>
    <w:p w14:paraId="55B4E15F">
      <w:pPr>
        <w:widowControl/>
        <w:spacing w:line="420" w:lineRule="exact"/>
        <w:rPr>
          <w:rFonts w:ascii="宋体" w:hAnsi="宋体" w:cs="宋体"/>
          <w:szCs w:val="22"/>
          <w:u w:val="single"/>
        </w:rPr>
      </w:pPr>
      <w:r>
        <w:rPr>
          <w:rFonts w:hint="eastAsia" w:ascii="宋体" w:hAnsi="宋体"/>
          <w:b/>
          <w:bCs/>
          <w:kern w:val="0"/>
          <w:szCs w:val="22"/>
        </w:rPr>
        <w:t xml:space="preserve">  </w:t>
      </w:r>
      <w:r>
        <w:rPr>
          <w:rFonts w:hint="eastAsia" w:ascii="宋体" w:hAnsi="宋体"/>
          <w:bCs/>
          <w:kern w:val="0"/>
          <w:szCs w:val="22"/>
        </w:rPr>
        <w:t xml:space="preserve">  1、</w:t>
      </w:r>
      <w:r>
        <w:rPr>
          <w:rFonts w:hint="eastAsia" w:ascii="宋体" w:hAnsi="宋体" w:cs="宋体"/>
          <w:b/>
          <w:bCs/>
          <w:szCs w:val="22"/>
        </w:rPr>
        <w:t>▲</w:t>
      </w:r>
      <w:r>
        <w:rPr>
          <w:rFonts w:hint="eastAsia" w:ascii="宋体" w:hAnsi="宋体" w:cs="宋体"/>
          <w:b/>
          <w:szCs w:val="22"/>
        </w:rPr>
        <w:t>服务期：本项目各标项服务期限均为合同生效后1年；</w:t>
      </w:r>
    </w:p>
    <w:p w14:paraId="33134374">
      <w:pPr>
        <w:widowControl/>
        <w:spacing w:line="420" w:lineRule="exact"/>
        <w:rPr>
          <w:rFonts w:ascii="宋体" w:hAnsi="宋体"/>
          <w:bCs/>
          <w:kern w:val="0"/>
          <w:szCs w:val="22"/>
        </w:rPr>
      </w:pPr>
      <w:r>
        <w:rPr>
          <w:rFonts w:hint="eastAsia" w:ascii="宋体" w:hAnsi="宋体"/>
          <w:bCs/>
          <w:kern w:val="0"/>
          <w:szCs w:val="22"/>
        </w:rPr>
        <w:t xml:space="preserve">    2、合同续签条款</w:t>
      </w:r>
      <w:r>
        <w:rPr>
          <w:rFonts w:ascii="宋体" w:hAnsi="宋体"/>
          <w:bCs/>
          <w:kern w:val="0"/>
          <w:szCs w:val="22"/>
        </w:rPr>
        <w:t>：如</w:t>
      </w:r>
      <w:r>
        <w:rPr>
          <w:rFonts w:hint="eastAsia" w:ascii="宋体" w:hAnsi="宋体"/>
          <w:bCs/>
          <w:kern w:val="0"/>
          <w:szCs w:val="22"/>
        </w:rPr>
        <w:t>中标（成交）供应商</w:t>
      </w:r>
      <w:r>
        <w:rPr>
          <w:rFonts w:ascii="宋体" w:hAnsi="宋体"/>
          <w:bCs/>
          <w:kern w:val="0"/>
          <w:szCs w:val="22"/>
        </w:rPr>
        <w:t>的服务及</w:t>
      </w:r>
      <w:r>
        <w:rPr>
          <w:rFonts w:hint="eastAsia" w:ascii="宋体" w:hAnsi="宋体"/>
          <w:bCs/>
          <w:kern w:val="0"/>
          <w:szCs w:val="22"/>
        </w:rPr>
        <w:t>考核结果</w:t>
      </w:r>
      <w:r>
        <w:rPr>
          <w:rFonts w:ascii="宋体" w:hAnsi="宋体"/>
          <w:bCs/>
          <w:kern w:val="0"/>
          <w:szCs w:val="22"/>
        </w:rPr>
        <w:t>达到采购人要求</w:t>
      </w:r>
      <w:r>
        <w:rPr>
          <w:rFonts w:hint="eastAsia" w:ascii="宋体" w:hAnsi="宋体"/>
          <w:bCs/>
          <w:kern w:val="0"/>
          <w:szCs w:val="22"/>
        </w:rPr>
        <w:t>（合格或以上）</w:t>
      </w:r>
      <w:r>
        <w:rPr>
          <w:rFonts w:ascii="宋体" w:hAnsi="宋体"/>
          <w:bCs/>
          <w:kern w:val="0"/>
          <w:szCs w:val="22"/>
        </w:rPr>
        <w:t>，经</w:t>
      </w:r>
      <w:r>
        <w:rPr>
          <w:rFonts w:hint="eastAsia" w:ascii="宋体" w:hAnsi="宋体"/>
          <w:bCs/>
          <w:kern w:val="0"/>
          <w:szCs w:val="22"/>
        </w:rPr>
        <w:t>采购人申请，相关部门</w:t>
      </w:r>
      <w:r>
        <w:rPr>
          <w:rFonts w:ascii="宋体" w:hAnsi="宋体"/>
          <w:bCs/>
          <w:kern w:val="0"/>
          <w:szCs w:val="22"/>
        </w:rPr>
        <w:t>批准</w:t>
      </w:r>
      <w:r>
        <w:rPr>
          <w:rFonts w:hint="eastAsia" w:ascii="宋体" w:hAnsi="宋体"/>
          <w:bCs/>
          <w:kern w:val="0"/>
          <w:szCs w:val="22"/>
        </w:rPr>
        <w:t>后</w:t>
      </w:r>
      <w:r>
        <w:rPr>
          <w:rFonts w:ascii="宋体" w:hAnsi="宋体"/>
          <w:bCs/>
          <w:kern w:val="0"/>
          <w:szCs w:val="22"/>
        </w:rPr>
        <w:t>，可以参照相关规定按原采购合同的约定续签合同</w:t>
      </w:r>
      <w:r>
        <w:rPr>
          <w:rFonts w:hint="eastAsia" w:ascii="宋体" w:hAnsi="宋体"/>
          <w:bCs/>
          <w:kern w:val="0"/>
          <w:szCs w:val="22"/>
        </w:rPr>
        <w:t>。</w:t>
      </w:r>
    </w:p>
    <w:p w14:paraId="6058EB42">
      <w:pPr>
        <w:widowControl/>
        <w:spacing w:line="420" w:lineRule="exact"/>
        <w:rPr>
          <w:rFonts w:ascii="宋体" w:hAnsi="宋体"/>
          <w:bCs/>
          <w:kern w:val="0"/>
          <w:szCs w:val="22"/>
        </w:rPr>
      </w:pPr>
      <w:r>
        <w:rPr>
          <w:rFonts w:hint="eastAsia" w:ascii="宋体" w:hAnsi="宋体"/>
          <w:bCs/>
          <w:kern w:val="0"/>
          <w:szCs w:val="22"/>
        </w:rPr>
        <w:t xml:space="preserve">    3、熔断机制</w:t>
      </w:r>
    </w:p>
    <w:p w14:paraId="05798A00">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若中标供应商连续三个月的月考核分数得分低于</w:t>
      </w:r>
      <w:r>
        <w:rPr>
          <w:rFonts w:hint="eastAsia" w:ascii="宋体" w:hAnsi="宋体"/>
          <w:bCs/>
          <w:kern w:val="0"/>
          <w:szCs w:val="22"/>
          <w:lang w:val="en-US" w:eastAsia="zh-CN"/>
        </w:rPr>
        <w:t>8</w:t>
      </w:r>
      <w:r>
        <w:rPr>
          <w:rFonts w:hint="eastAsia" w:ascii="宋体" w:hAnsi="宋体"/>
          <w:bCs/>
          <w:kern w:val="0"/>
          <w:szCs w:val="22"/>
        </w:rPr>
        <w:t>0分，采购人可按照合同约定解除合同关系；</w:t>
      </w:r>
    </w:p>
    <w:p w14:paraId="5FD23E8B">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若中标供应商月考核分数得分低于</w:t>
      </w:r>
      <w:r>
        <w:rPr>
          <w:rFonts w:hint="eastAsia" w:ascii="宋体" w:hAnsi="宋体"/>
          <w:bCs/>
          <w:kern w:val="0"/>
          <w:szCs w:val="22"/>
          <w:lang w:val="en-US" w:eastAsia="zh-CN"/>
        </w:rPr>
        <w:t>8</w:t>
      </w:r>
      <w:r>
        <w:rPr>
          <w:rFonts w:hint="eastAsia" w:ascii="宋体" w:hAnsi="宋体"/>
          <w:bCs/>
          <w:kern w:val="0"/>
          <w:szCs w:val="22"/>
        </w:rPr>
        <w:t>0分的月数累计超过6个月（含6个月），采购人可按照合同约定解除合同关系；</w:t>
      </w:r>
    </w:p>
    <w:p w14:paraId="05346A7C">
      <w:pPr>
        <w:widowControl/>
        <w:spacing w:line="420" w:lineRule="exact"/>
        <w:ind w:firstLine="330" w:firstLineChars="150"/>
        <w:rPr>
          <w:rFonts w:ascii="宋体" w:hAnsi="宋体"/>
          <w:bCs/>
          <w:kern w:val="0"/>
          <w:szCs w:val="22"/>
        </w:rPr>
      </w:pPr>
      <w:r>
        <w:rPr>
          <w:rFonts w:hint="eastAsia" w:ascii="宋体" w:hAnsi="宋体"/>
          <w:bCs/>
          <w:kern w:val="0"/>
          <w:szCs w:val="22"/>
        </w:rPr>
        <w:t xml:space="preserve"> 本项目禁止转包，若发现中标供应商存在转包现象，一经核实采购人可按照合同约定解除合同关系，扣除全部的履约保证金，并上报相关部门。</w:t>
      </w:r>
    </w:p>
    <w:p w14:paraId="38E9A4D2">
      <w:pPr>
        <w:spacing w:line="420" w:lineRule="exact"/>
        <w:ind w:firstLine="450"/>
      </w:pPr>
      <w:r>
        <w:rPr>
          <w:rFonts w:hint="eastAsia" w:ascii="宋体" w:hAnsi="宋体"/>
          <w:bCs/>
          <w:kern w:val="0"/>
          <w:szCs w:val="22"/>
        </w:rPr>
        <w:t>解除合同关系后中标供应商须继续履行保洁</w:t>
      </w:r>
      <w:r>
        <w:rPr>
          <w:rFonts w:hint="eastAsia" w:ascii="宋体" w:hAnsi="宋体"/>
          <w:bCs/>
          <w:kern w:val="0"/>
          <w:szCs w:val="22"/>
          <w:lang w:val="en-US" w:eastAsia="zh-CN"/>
        </w:rPr>
        <w:t>绿化养护</w:t>
      </w:r>
      <w:r>
        <w:rPr>
          <w:rFonts w:hint="eastAsia" w:ascii="宋体" w:hAnsi="宋体"/>
          <w:bCs/>
          <w:kern w:val="0"/>
          <w:szCs w:val="22"/>
        </w:rPr>
        <w:t>服务至采购人重新招投标确定新的中标供应商。顺利交接之后方可退还全部履约保证金；若原中标供应商在此期间恶意阻挠交接的，将扣除履约保证金。</w:t>
      </w:r>
    </w:p>
    <w:p w14:paraId="270278B2">
      <w:pPr>
        <w:widowControl/>
        <w:spacing w:line="420" w:lineRule="exact"/>
        <w:ind w:firstLine="440"/>
        <w:rPr>
          <w:rFonts w:ascii="宋体" w:hAnsi="宋体"/>
          <w:b/>
          <w:szCs w:val="22"/>
          <w:highlight w:val="none"/>
        </w:rPr>
      </w:pPr>
      <w:r>
        <w:rPr>
          <w:rFonts w:hint="eastAsia" w:ascii="宋体" w:hAnsi="宋体"/>
          <w:b/>
          <w:szCs w:val="22"/>
          <w:highlight w:val="none"/>
        </w:rPr>
        <w:t>（</w:t>
      </w:r>
      <w:r>
        <w:rPr>
          <w:rFonts w:hint="eastAsia" w:ascii="宋体" w:hAnsi="宋体"/>
          <w:b/>
          <w:szCs w:val="22"/>
          <w:highlight w:val="none"/>
          <w:lang w:val="en-US" w:eastAsia="zh-CN"/>
        </w:rPr>
        <w:t>二</w:t>
      </w:r>
      <w:r>
        <w:rPr>
          <w:rFonts w:hint="eastAsia" w:ascii="宋体" w:hAnsi="宋体"/>
          <w:b/>
          <w:szCs w:val="22"/>
          <w:highlight w:val="none"/>
        </w:rPr>
        <w:t>）</w:t>
      </w:r>
      <w:r>
        <w:rPr>
          <w:rFonts w:hint="eastAsia" w:ascii="宋体" w:hAnsi="宋体"/>
          <w:b/>
          <w:kern w:val="0"/>
          <w:szCs w:val="22"/>
          <w:highlight w:val="none"/>
        </w:rPr>
        <w:t>付款方式</w:t>
      </w:r>
    </w:p>
    <w:p w14:paraId="6C82EC99">
      <w:pPr>
        <w:widowControl/>
        <w:spacing w:line="420" w:lineRule="exact"/>
        <w:rPr>
          <w:rFonts w:ascii="宋体" w:hAnsi="宋体"/>
          <w:b/>
          <w:bCs/>
          <w:kern w:val="0"/>
          <w:szCs w:val="22"/>
          <w:highlight w:val="none"/>
        </w:rPr>
      </w:pPr>
      <w:r>
        <w:rPr>
          <w:rFonts w:hint="eastAsia" w:ascii="宋体" w:hAnsi="宋体"/>
          <w:b/>
          <w:bCs/>
          <w:kern w:val="0"/>
          <w:szCs w:val="22"/>
          <w:highlight w:val="none"/>
        </w:rPr>
        <w:t xml:space="preserve"> </w:t>
      </w:r>
      <w:r>
        <w:rPr>
          <w:rFonts w:hint="eastAsia" w:ascii="宋体" w:hAnsi="宋体"/>
          <w:bCs/>
          <w:kern w:val="0"/>
          <w:szCs w:val="22"/>
          <w:highlight w:val="none"/>
        </w:rPr>
        <w:t xml:space="preserve">   </w:t>
      </w:r>
      <w:r>
        <w:rPr>
          <w:rFonts w:hint="eastAsia" w:ascii="宋体" w:hAnsi="宋体"/>
          <w:b/>
          <w:bCs/>
          <w:kern w:val="0"/>
          <w:szCs w:val="22"/>
          <w:highlight w:val="none"/>
          <w:lang w:val="en-US" w:eastAsia="zh-CN"/>
        </w:rPr>
        <w:t>1、</w:t>
      </w:r>
      <w:r>
        <w:rPr>
          <w:rFonts w:hint="eastAsia" w:ascii="宋体" w:hAnsi="宋体"/>
          <w:b/>
          <w:bCs/>
          <w:kern w:val="0"/>
          <w:szCs w:val="22"/>
          <w:highlight w:val="none"/>
        </w:rPr>
        <w:t>付款方式为先保洁</w:t>
      </w:r>
      <w:r>
        <w:rPr>
          <w:rFonts w:hint="eastAsia" w:ascii="宋体" w:hAnsi="宋体"/>
          <w:b/>
          <w:bCs/>
          <w:kern w:val="0"/>
          <w:szCs w:val="22"/>
          <w:highlight w:val="none"/>
          <w:lang w:val="en-US" w:eastAsia="zh-CN"/>
        </w:rPr>
        <w:t>及绿化养护</w:t>
      </w:r>
      <w:r>
        <w:rPr>
          <w:rFonts w:hint="eastAsia" w:ascii="宋体" w:hAnsi="宋体"/>
          <w:b/>
          <w:bCs/>
          <w:kern w:val="0"/>
          <w:szCs w:val="22"/>
          <w:highlight w:val="none"/>
        </w:rPr>
        <w:t>后支付,由采购人根据前一个月的考核结果，每月底结前一个月的服务款（遇节假日顺延）。</w:t>
      </w:r>
    </w:p>
    <w:p w14:paraId="1381C33F">
      <w:pPr>
        <w:widowControl/>
        <w:spacing w:line="420" w:lineRule="exact"/>
        <w:rPr>
          <w:rFonts w:ascii="宋体" w:hAnsi="宋体"/>
          <w:b/>
          <w:bCs/>
          <w:kern w:val="0"/>
          <w:szCs w:val="22"/>
          <w:highlight w:val="none"/>
        </w:rPr>
      </w:pPr>
      <w:r>
        <w:rPr>
          <w:rFonts w:hint="eastAsia" w:ascii="宋体" w:hAnsi="宋体"/>
          <w:b/>
          <w:bCs/>
          <w:kern w:val="0"/>
          <w:szCs w:val="22"/>
          <w:highlight w:val="none"/>
        </w:rPr>
        <w:t xml:space="preserve">    </w:t>
      </w:r>
      <w:r>
        <w:rPr>
          <w:rFonts w:hint="eastAsia" w:ascii="宋体" w:hAnsi="宋体"/>
          <w:b/>
          <w:bCs/>
          <w:kern w:val="0"/>
          <w:szCs w:val="22"/>
          <w:highlight w:val="none"/>
          <w:lang w:val="en-US" w:eastAsia="zh-CN"/>
        </w:rPr>
        <w:t>2、</w:t>
      </w:r>
      <w:r>
        <w:rPr>
          <w:rFonts w:hint="eastAsia" w:ascii="宋体" w:hAnsi="宋体"/>
          <w:b/>
          <w:bCs/>
          <w:kern w:val="0"/>
          <w:szCs w:val="22"/>
          <w:highlight w:val="none"/>
        </w:rPr>
        <w:t>中标供应商按每月的考核结果向采购人结算，采购人凭中标供应商开具的正式发票及一线现场服务人员工资册进行支付。</w:t>
      </w:r>
    </w:p>
    <w:p w14:paraId="1C67C383">
      <w:pPr>
        <w:widowControl/>
        <w:spacing w:line="420" w:lineRule="exact"/>
        <w:rPr>
          <w:rFonts w:ascii="宋体" w:hAnsi="宋体"/>
          <w:b/>
          <w:bCs/>
          <w:kern w:val="0"/>
          <w:szCs w:val="22"/>
          <w:highlight w:val="none"/>
        </w:rPr>
      </w:pPr>
      <w:r>
        <w:rPr>
          <w:rFonts w:hint="eastAsia" w:ascii="宋体" w:hAnsi="宋体"/>
          <w:b/>
          <w:bCs/>
          <w:kern w:val="0"/>
          <w:szCs w:val="22"/>
          <w:highlight w:val="none"/>
        </w:rPr>
        <w:t xml:space="preserve">    </w:t>
      </w:r>
      <w:r>
        <w:rPr>
          <w:rFonts w:hint="eastAsia" w:ascii="宋体" w:hAnsi="宋体"/>
          <w:b/>
          <w:bCs/>
          <w:kern w:val="0"/>
          <w:szCs w:val="22"/>
          <w:highlight w:val="none"/>
          <w:lang w:val="en-US" w:eastAsia="zh-CN"/>
        </w:rPr>
        <w:t>3、</w:t>
      </w:r>
      <w:r>
        <w:rPr>
          <w:rFonts w:hint="eastAsia" w:ascii="宋体" w:hAnsi="宋体"/>
          <w:b/>
          <w:bCs/>
          <w:kern w:val="0"/>
          <w:szCs w:val="22"/>
          <w:highlight w:val="none"/>
        </w:rPr>
        <w:t>环境卫生质量</w:t>
      </w:r>
      <w:r>
        <w:rPr>
          <w:rFonts w:hint="eastAsia" w:ascii="宋体" w:hAnsi="宋体"/>
          <w:b/>
          <w:bCs/>
          <w:kern w:val="0"/>
          <w:szCs w:val="22"/>
          <w:highlight w:val="none"/>
          <w:lang w:val="en-US" w:eastAsia="zh-CN"/>
        </w:rPr>
        <w:t>及绿化养护</w:t>
      </w:r>
      <w:r>
        <w:rPr>
          <w:rFonts w:hint="eastAsia" w:ascii="宋体" w:hAnsi="宋体"/>
          <w:b/>
          <w:bCs/>
          <w:kern w:val="0"/>
          <w:szCs w:val="22"/>
          <w:highlight w:val="none"/>
        </w:rPr>
        <w:t>考核遵照发布的现行考核办法（详见附件）执行，如采购人有统一对考核内容作出调整的，供应商要无条件予以接受并遵守。</w:t>
      </w:r>
    </w:p>
    <w:p w14:paraId="73C3B515">
      <w:pPr>
        <w:widowControl/>
        <w:spacing w:line="420" w:lineRule="exact"/>
        <w:rPr>
          <w:rFonts w:ascii="宋体" w:hAnsi="宋体"/>
          <w:b/>
          <w:bCs/>
          <w:kern w:val="0"/>
          <w:szCs w:val="22"/>
          <w:highlight w:val="none"/>
        </w:rPr>
      </w:pPr>
      <w:r>
        <w:rPr>
          <w:rFonts w:hint="eastAsia" w:ascii="宋体" w:hAnsi="宋体"/>
          <w:b/>
          <w:bCs/>
          <w:kern w:val="0"/>
          <w:szCs w:val="22"/>
          <w:highlight w:val="none"/>
        </w:rPr>
        <w:t xml:space="preserve">    </w:t>
      </w:r>
      <w:r>
        <w:rPr>
          <w:rFonts w:hint="eastAsia" w:ascii="宋体" w:hAnsi="宋体"/>
          <w:b/>
          <w:bCs/>
          <w:kern w:val="0"/>
          <w:szCs w:val="22"/>
          <w:highlight w:val="none"/>
          <w:lang w:val="en-US" w:eastAsia="zh-CN"/>
        </w:rPr>
        <w:t>4、</w:t>
      </w:r>
      <w:r>
        <w:rPr>
          <w:rFonts w:hint="eastAsia" w:ascii="宋体" w:hAnsi="宋体"/>
          <w:b/>
          <w:bCs/>
          <w:kern w:val="0"/>
          <w:szCs w:val="22"/>
          <w:highlight w:val="none"/>
        </w:rPr>
        <w:t>采购人每月作出的考核结果，汇总考核结算清单，并告知中标供应商。违约金额按月直接在付款额中扣除。承包到期后根据考核结果将余款一次付清。</w:t>
      </w:r>
    </w:p>
    <w:p w14:paraId="602CEEB7">
      <w:pPr>
        <w:widowControl/>
        <w:spacing w:line="420" w:lineRule="exact"/>
        <w:rPr>
          <w:highlight w:val="none"/>
        </w:rPr>
      </w:pPr>
      <w:r>
        <w:rPr>
          <w:rFonts w:hint="eastAsia" w:ascii="宋体" w:hAnsi="宋体"/>
          <w:b/>
          <w:bCs/>
          <w:kern w:val="0"/>
          <w:szCs w:val="22"/>
          <w:highlight w:val="none"/>
        </w:rPr>
        <w:t xml:space="preserve">    </w:t>
      </w:r>
      <w:r>
        <w:rPr>
          <w:rFonts w:hint="eastAsia" w:ascii="宋体" w:hAnsi="宋体"/>
          <w:b/>
          <w:szCs w:val="21"/>
          <w:highlight w:val="none"/>
          <w:lang w:val="en-US" w:eastAsia="zh-CN"/>
        </w:rPr>
        <w:t>5、</w:t>
      </w:r>
      <w:r>
        <w:rPr>
          <w:rFonts w:hint="eastAsia" w:ascii="宋体" w:hAnsi="宋体"/>
          <w:b/>
          <w:szCs w:val="21"/>
          <w:highlight w:val="none"/>
        </w:rPr>
        <w:t>由于本采购项目实施以人工投入为主，在每年度合同签订且具备实施条件后15日历天内采购人向中标供应商支付合同总额的</w:t>
      </w:r>
      <w:r>
        <w:rPr>
          <w:rFonts w:hint="eastAsia" w:ascii="宋体" w:hAnsi="宋体"/>
          <w:b/>
          <w:szCs w:val="21"/>
          <w:highlight w:val="none"/>
          <w:lang w:val="en-US" w:eastAsia="zh-CN"/>
        </w:rPr>
        <w:t>20</w:t>
      </w:r>
      <w:r>
        <w:rPr>
          <w:rFonts w:hint="eastAsia" w:ascii="宋体" w:hAnsi="宋体"/>
          <w:b/>
          <w:szCs w:val="21"/>
          <w:highlight w:val="none"/>
        </w:rPr>
        <w:t>%作为预付款，在签订合同时，供应商明确表示无需预付款或者主动要求降低预付款比例的，采购人可不适用前述规定。预付款（如有）在前5期服务款中按每期20%扣回。</w:t>
      </w:r>
    </w:p>
    <w:p w14:paraId="64AF37B8">
      <w:pPr>
        <w:spacing w:line="420" w:lineRule="exact"/>
        <w:rPr>
          <w:rFonts w:hint="eastAsia" w:ascii="宋体" w:hAnsi="宋体" w:cs="宋体"/>
          <w:b/>
          <w:bCs/>
          <w:szCs w:val="22"/>
          <w:highlight w:val="none"/>
        </w:rPr>
      </w:pPr>
    </w:p>
    <w:p w14:paraId="2300913B">
      <w:pPr>
        <w:spacing w:line="420" w:lineRule="exact"/>
        <w:rPr>
          <w:rFonts w:hint="eastAsia" w:ascii="宋体" w:hAnsi="宋体" w:cs="宋体"/>
          <w:b/>
          <w:bCs/>
          <w:szCs w:val="22"/>
          <w:highlight w:val="none"/>
        </w:rPr>
      </w:pPr>
      <w:r>
        <w:rPr>
          <w:rFonts w:hint="eastAsia" w:ascii="宋体" w:hAnsi="宋体" w:cs="宋体"/>
          <w:b/>
          <w:bCs/>
          <w:szCs w:val="22"/>
          <w:highlight w:val="none"/>
        </w:rPr>
        <w:t>十</w:t>
      </w:r>
      <w:r>
        <w:rPr>
          <w:rFonts w:hint="eastAsia" w:ascii="宋体" w:hAnsi="宋体" w:cs="宋体"/>
          <w:b/>
          <w:bCs/>
          <w:szCs w:val="22"/>
          <w:highlight w:val="none"/>
          <w:lang w:val="en-US" w:eastAsia="zh-CN"/>
        </w:rPr>
        <w:t>四</w:t>
      </w:r>
      <w:r>
        <w:rPr>
          <w:rFonts w:hint="eastAsia" w:ascii="宋体" w:hAnsi="宋体" w:cs="宋体"/>
          <w:b/>
          <w:bCs/>
          <w:szCs w:val="22"/>
          <w:highlight w:val="none"/>
        </w:rPr>
        <w:t>、其他说明</w:t>
      </w:r>
    </w:p>
    <w:p w14:paraId="53CBB6EE">
      <w:pPr>
        <w:spacing w:line="420" w:lineRule="exact"/>
        <w:ind w:firstLine="442" w:firstLineChars="200"/>
        <w:rPr>
          <w:rFonts w:hint="eastAsia" w:ascii="宋体" w:hAnsi="宋体"/>
          <w:bCs/>
          <w:kern w:val="0"/>
          <w:szCs w:val="22"/>
        </w:rPr>
      </w:pPr>
      <w:r>
        <w:rPr>
          <w:rFonts w:hint="eastAsia" w:ascii="宋体" w:hAnsi="宋体"/>
          <w:b/>
          <w:szCs w:val="22"/>
        </w:rPr>
        <w:t>（一）</w:t>
      </w:r>
      <w:r>
        <w:rPr>
          <w:rFonts w:hint="eastAsia" w:ascii="宋体" w:hAnsi="宋体"/>
          <w:b/>
          <w:szCs w:val="22"/>
          <w:lang w:val="en-US" w:eastAsia="zh-CN"/>
        </w:rPr>
        <w:t>投标报价</w:t>
      </w:r>
      <w:r>
        <w:rPr>
          <w:rFonts w:hint="eastAsia" w:ascii="宋体" w:hAnsi="宋体"/>
          <w:bCs/>
          <w:kern w:val="0"/>
          <w:szCs w:val="22"/>
        </w:rPr>
        <w:t xml:space="preserve"> </w:t>
      </w:r>
    </w:p>
    <w:p w14:paraId="7230D31C">
      <w:pPr>
        <w:spacing w:line="420" w:lineRule="exact"/>
        <w:ind w:firstLine="663" w:firstLineChars="300"/>
        <w:rPr>
          <w:rFonts w:hint="eastAsia" w:ascii="宋体" w:hAnsi="宋体"/>
          <w:b/>
          <w:bCs/>
          <w:kern w:val="0"/>
          <w:szCs w:val="22"/>
        </w:rPr>
      </w:pPr>
      <w:r>
        <w:rPr>
          <w:rFonts w:hint="eastAsia" w:ascii="宋体" w:hAnsi="宋体"/>
          <w:b/>
          <w:bCs/>
          <w:kern w:val="0"/>
          <w:szCs w:val="22"/>
          <w:lang w:val="en-US" w:eastAsia="zh-CN"/>
        </w:rPr>
        <w:t>1</w:t>
      </w:r>
      <w:r>
        <w:rPr>
          <w:rFonts w:hint="eastAsia" w:ascii="宋体" w:hAnsi="宋体"/>
          <w:b/>
          <w:bCs/>
          <w:kern w:val="0"/>
          <w:szCs w:val="22"/>
        </w:rPr>
        <w:t>、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14:paraId="07DC3759">
      <w:pPr>
        <w:spacing w:line="420" w:lineRule="exact"/>
        <w:ind w:firstLine="442" w:firstLineChars="200"/>
        <w:rPr>
          <w:rFonts w:hint="eastAsia" w:ascii="宋体" w:hAnsi="宋体"/>
          <w:b/>
          <w:bCs/>
          <w:kern w:val="0"/>
          <w:szCs w:val="22"/>
        </w:rPr>
      </w:pPr>
      <w:r>
        <w:rPr>
          <w:rFonts w:hint="eastAsia" w:ascii="宋体" w:hAnsi="宋体"/>
          <w:b/>
          <w:bCs/>
          <w:kern w:val="0"/>
          <w:szCs w:val="22"/>
          <w:lang w:val="en-US" w:eastAsia="zh-CN"/>
        </w:rPr>
        <w:t>2、</w:t>
      </w:r>
      <w:r>
        <w:rPr>
          <w:rFonts w:hint="eastAsia" w:ascii="宋体" w:hAnsi="宋体"/>
          <w:b/>
          <w:bCs/>
          <w:kern w:val="0"/>
          <w:szCs w:val="22"/>
        </w:rPr>
        <w:t>本项目投标报价采用固定总价承包，并对合同内容的费用、质量、安全、文明服务等实行全面承包。投标总价必须包括在承包区域内提供服务所需的人工费（包括工人工资、奖金、劳保福利、社保、公积金、意外保险、工伤费、教育培训费、暂住费及处理一切伤亡事故等费用）、机械台班费、水电费、工具材料费、保洁低值易耗品、垃圾清运费（含垃圾处置）、机械、车辆的折旧（或租金）、保险（交强险、商业险，包括小型电动车、人力车意外险）、维护保养、修理费、油费、电费和水费、停车场地（租金）费用</w:t>
      </w:r>
      <w:r>
        <w:rPr>
          <w:rFonts w:hint="eastAsia" w:ascii="宋体" w:hAnsi="宋体"/>
          <w:b/>
          <w:bCs/>
          <w:kern w:val="0"/>
          <w:szCs w:val="22"/>
          <w:lang w:eastAsia="zh-CN"/>
        </w:rPr>
        <w:t>、</w:t>
      </w:r>
      <w:r>
        <w:rPr>
          <w:rFonts w:hint="eastAsia" w:ascii="宋体" w:hAnsi="宋体"/>
          <w:b/>
          <w:bCs/>
          <w:kern w:val="0"/>
          <w:szCs w:val="22"/>
        </w:rPr>
        <w:t>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14:paraId="0D41164B">
      <w:pPr>
        <w:spacing w:line="420" w:lineRule="exact"/>
        <w:ind w:firstLine="442" w:firstLineChars="200"/>
        <w:rPr>
          <w:rFonts w:hint="eastAsia" w:ascii="宋体" w:hAnsi="宋体"/>
          <w:b/>
          <w:bCs/>
          <w:kern w:val="0"/>
          <w:szCs w:val="22"/>
        </w:rPr>
      </w:pPr>
      <w:r>
        <w:rPr>
          <w:rFonts w:hint="eastAsia" w:ascii="宋体" w:hAnsi="宋体" w:eastAsia="宋体" w:cs="宋体"/>
          <w:b/>
          <w:bCs/>
          <w:kern w:val="0"/>
          <w:szCs w:val="22"/>
          <w:lang w:val="en-US" w:eastAsia="zh-CN"/>
        </w:rPr>
        <w:t>▲</w:t>
      </w:r>
      <w:r>
        <w:rPr>
          <w:rFonts w:hint="eastAsia" w:ascii="宋体" w:hAnsi="宋体"/>
          <w:b/>
          <w:bCs/>
          <w:kern w:val="0"/>
          <w:szCs w:val="22"/>
          <w:lang w:val="en-US" w:eastAsia="zh-CN"/>
        </w:rPr>
        <w:t>3</w:t>
      </w:r>
      <w:r>
        <w:rPr>
          <w:rFonts w:hint="eastAsia" w:ascii="宋体" w:hAnsi="宋体"/>
          <w:b/>
          <w:bCs/>
          <w:kern w:val="0"/>
          <w:szCs w:val="22"/>
        </w:rPr>
        <w:t>、本次报价</w:t>
      </w:r>
      <w:r>
        <w:rPr>
          <w:rFonts w:hint="eastAsia" w:ascii="宋体" w:hAnsi="宋体"/>
          <w:b/>
          <w:bCs/>
          <w:kern w:val="0"/>
          <w:szCs w:val="22"/>
          <w:highlight w:val="none"/>
        </w:rPr>
        <w:t>含</w:t>
      </w:r>
      <w:r>
        <w:rPr>
          <w:rFonts w:hint="eastAsia" w:ascii="宋体" w:hAnsi="宋体"/>
          <w:b/>
          <w:bCs/>
          <w:kern w:val="0"/>
          <w:szCs w:val="22"/>
          <w:highlight w:val="none"/>
          <w:lang w:val="en-US" w:eastAsia="zh-CN"/>
        </w:rPr>
        <w:t>全镇</w:t>
      </w:r>
      <w:r>
        <w:rPr>
          <w:rFonts w:hint="eastAsia" w:ascii="宋体" w:hAnsi="宋体"/>
          <w:b/>
          <w:bCs/>
          <w:kern w:val="0"/>
          <w:szCs w:val="22"/>
          <w:highlight w:val="none"/>
        </w:rPr>
        <w:t>范围内</w:t>
      </w:r>
      <w:r>
        <w:rPr>
          <w:rFonts w:hint="eastAsia" w:ascii="宋体" w:hAnsi="宋体"/>
          <w:b/>
          <w:bCs/>
          <w:kern w:val="0"/>
          <w:szCs w:val="22"/>
        </w:rPr>
        <w:t>所有垃圾清运（包括但不限于生活垃圾、绿化垃圾等），中标供应商须将垃圾运至合规垃圾场处置及消纳。</w:t>
      </w:r>
    </w:p>
    <w:p w14:paraId="37E60363">
      <w:pPr>
        <w:spacing w:line="420" w:lineRule="exact"/>
        <w:ind w:firstLine="442" w:firstLineChars="200"/>
        <w:rPr>
          <w:rFonts w:ascii="宋体" w:hAnsi="宋体"/>
          <w:b/>
          <w:szCs w:val="22"/>
        </w:rPr>
      </w:pPr>
      <w:r>
        <w:rPr>
          <w:rFonts w:hint="eastAsia" w:ascii="宋体" w:hAnsi="宋体"/>
          <w:b/>
          <w:bCs/>
          <w:kern w:val="0"/>
          <w:szCs w:val="22"/>
          <w:lang w:val="en-US" w:eastAsia="zh-CN"/>
        </w:rPr>
        <w:t>4</w:t>
      </w:r>
      <w:r>
        <w:rPr>
          <w:rFonts w:hint="eastAsia" w:ascii="宋体" w:hAnsi="宋体"/>
          <w:b/>
          <w:bCs/>
          <w:kern w:val="0"/>
          <w:szCs w:val="22"/>
        </w:rPr>
        <w:t>、</w:t>
      </w:r>
      <w:r>
        <w:rPr>
          <w:rFonts w:hint="eastAsia" w:ascii="宋体" w:hAnsi="宋体"/>
          <w:b/>
          <w:bCs/>
          <w:kern w:val="0"/>
          <w:szCs w:val="22"/>
          <w:lang w:val="en-US" w:eastAsia="zh-CN"/>
        </w:rPr>
        <w:t>在</w:t>
      </w:r>
      <w:r>
        <w:rPr>
          <w:rFonts w:hint="eastAsia" w:ascii="宋体" w:hAnsi="宋体"/>
          <w:b/>
          <w:bCs/>
          <w:kern w:val="0"/>
          <w:szCs w:val="22"/>
        </w:rPr>
        <w:t>本次采购</w:t>
      </w:r>
      <w:r>
        <w:rPr>
          <w:rFonts w:hint="eastAsia" w:ascii="宋体" w:hAnsi="宋体"/>
          <w:b/>
          <w:bCs/>
          <w:kern w:val="0"/>
          <w:szCs w:val="22"/>
          <w:lang w:val="en-US" w:eastAsia="zh-CN"/>
        </w:rPr>
        <w:t>项目</w:t>
      </w:r>
      <w:r>
        <w:rPr>
          <w:rFonts w:hint="eastAsia" w:ascii="宋体" w:hAnsi="宋体"/>
          <w:b/>
          <w:bCs/>
          <w:kern w:val="0"/>
          <w:szCs w:val="22"/>
        </w:rPr>
        <w:t>服务期内如因政策性因素调整导致相关人员的工资、社保、节假日、高温补贴出现变化的，该部分费用由中标供应商自行承担，采购人不予以调整该部分费用，各供应商在报价时须综合考虑风险。</w:t>
      </w:r>
    </w:p>
    <w:p w14:paraId="4B2A7D3B">
      <w:pPr>
        <w:spacing w:line="420" w:lineRule="exact"/>
        <w:ind w:firstLine="442" w:firstLineChars="200"/>
        <w:rPr>
          <w:rFonts w:ascii="宋体" w:hAnsi="宋体"/>
          <w:b/>
          <w:szCs w:val="22"/>
        </w:rPr>
      </w:pPr>
      <w:r>
        <w:rPr>
          <w:rFonts w:hint="eastAsia" w:ascii="宋体"/>
          <w:b/>
          <w:szCs w:val="21"/>
          <w:lang w:eastAsia="zh-CN"/>
        </w:rPr>
        <w:t>（</w:t>
      </w:r>
      <w:r>
        <w:rPr>
          <w:rFonts w:hint="eastAsia" w:ascii="宋体"/>
          <w:b/>
          <w:szCs w:val="21"/>
          <w:lang w:val="en-US" w:eastAsia="zh-CN"/>
        </w:rPr>
        <w:t>二</w:t>
      </w:r>
      <w:r>
        <w:rPr>
          <w:rFonts w:hint="eastAsia" w:ascii="宋体"/>
          <w:b/>
          <w:szCs w:val="21"/>
          <w:lang w:eastAsia="zh-CN"/>
        </w:rPr>
        <w:t>）</w:t>
      </w:r>
      <w:r>
        <w:rPr>
          <w:rFonts w:hint="eastAsia" w:ascii="宋体"/>
          <w:b/>
          <w:szCs w:val="21"/>
        </w:rPr>
        <w:t>项目负责人要求</w:t>
      </w:r>
    </w:p>
    <w:p w14:paraId="26298D65">
      <w:pPr>
        <w:widowControl/>
        <w:spacing w:line="420" w:lineRule="exact"/>
        <w:jc w:val="left"/>
        <w:rPr>
          <w:rFonts w:ascii="宋体" w:hAnsi="宋体"/>
          <w:b/>
          <w:bCs/>
          <w:kern w:val="0"/>
          <w:szCs w:val="22"/>
        </w:rPr>
      </w:pPr>
      <w:r>
        <w:rPr>
          <w:rFonts w:hint="eastAsia" w:ascii="宋体" w:hAnsi="宋体"/>
          <w:b/>
          <w:bCs/>
          <w:kern w:val="0"/>
          <w:szCs w:val="22"/>
        </w:rPr>
        <w:t xml:space="preserve"> </w:t>
      </w:r>
      <w:r>
        <w:rPr>
          <w:rFonts w:hint="eastAsia" w:ascii="宋体" w:hAnsi="宋体"/>
          <w:b/>
          <w:bCs/>
          <w:kern w:val="0"/>
          <w:szCs w:val="22"/>
          <w:lang w:val="en-US" w:eastAsia="zh-CN"/>
        </w:rPr>
        <w:t xml:space="preserve"> </w:t>
      </w:r>
      <w:r>
        <w:rPr>
          <w:rFonts w:hint="eastAsia" w:ascii="宋体" w:hAnsi="宋体"/>
          <w:b/>
          <w:bCs/>
          <w:kern w:val="0"/>
          <w:szCs w:val="22"/>
        </w:rPr>
        <w:t xml:space="preserve"> </w:t>
      </w:r>
      <w:r>
        <w:rPr>
          <w:rFonts w:hint="eastAsia" w:ascii="宋体" w:hAnsi="宋体"/>
          <w:bCs/>
          <w:kern w:val="0"/>
          <w:szCs w:val="22"/>
        </w:rPr>
        <w:t xml:space="preserve"> 1、投标供应商的项目负责人应具有道路保洁实际工作经验，</w:t>
      </w:r>
      <w:r>
        <w:rPr>
          <w:rFonts w:hint="eastAsia" w:ascii="宋体" w:hAnsi="宋体"/>
          <w:b/>
          <w:bCs/>
          <w:kern w:val="0"/>
          <w:szCs w:val="22"/>
          <w:u w:val="single"/>
        </w:rPr>
        <w:t>在本项目中担任项目负责人的，须专职，不得在其它项目中担任项目负责人，本项目中标供应商项目负责人不得擅自变更，经采购人同意，变更项目负责人的，处以</w:t>
      </w:r>
      <w:r>
        <w:rPr>
          <w:rFonts w:ascii="宋体" w:hAnsi="宋体"/>
          <w:b/>
          <w:bCs/>
          <w:kern w:val="0"/>
          <w:szCs w:val="22"/>
          <w:u w:val="single"/>
        </w:rPr>
        <w:t>15</w:t>
      </w:r>
      <w:r>
        <w:rPr>
          <w:rFonts w:hint="eastAsia" w:ascii="宋体" w:hAnsi="宋体"/>
          <w:b/>
          <w:bCs/>
          <w:kern w:val="0"/>
          <w:szCs w:val="22"/>
          <w:u w:val="single"/>
        </w:rPr>
        <w:t>万元违约金，（发包人在月服务款中直接扣除）</w:t>
      </w:r>
      <w:r>
        <w:rPr>
          <w:rFonts w:hint="eastAsia" w:ascii="宋体" w:hAnsi="宋体"/>
          <w:b/>
          <w:bCs/>
          <w:kern w:val="0"/>
          <w:szCs w:val="22"/>
        </w:rPr>
        <w:t>。</w:t>
      </w:r>
    </w:p>
    <w:p w14:paraId="7ADA3445">
      <w:pPr>
        <w:widowControl/>
        <w:spacing w:line="420" w:lineRule="exact"/>
        <w:ind w:firstLine="442" w:firstLineChars="200"/>
        <w:jc w:val="left"/>
        <w:rPr>
          <w:rFonts w:ascii="宋体" w:hAnsi="宋体"/>
          <w:b/>
          <w:bCs/>
          <w:kern w:val="0"/>
          <w:szCs w:val="22"/>
        </w:rPr>
      </w:pPr>
      <w:r>
        <w:rPr>
          <w:rFonts w:hint="eastAsia" w:ascii="宋体" w:hAnsi="宋体"/>
          <w:b/>
          <w:bCs/>
          <w:kern w:val="0"/>
          <w:szCs w:val="22"/>
        </w:rPr>
        <w:t>2、项目负责人须在项目所在地服务天数达到每年300天及以上，因特殊原因需离开苍南县范围的须经采购人同意。</w:t>
      </w:r>
    </w:p>
    <w:p w14:paraId="536566F2">
      <w:pPr>
        <w:widowControl/>
        <w:spacing w:line="420" w:lineRule="exact"/>
        <w:ind w:firstLine="442" w:firstLineChars="200"/>
        <w:jc w:val="left"/>
        <w:rPr>
          <w:rFonts w:ascii="宋体" w:hAnsi="宋体"/>
          <w:b/>
          <w:bCs/>
          <w:kern w:val="0"/>
          <w:szCs w:val="22"/>
        </w:rPr>
      </w:pPr>
      <w:r>
        <w:rPr>
          <w:rFonts w:hint="eastAsia" w:ascii="宋体" w:hAnsi="宋体"/>
          <w:b/>
          <w:bCs/>
          <w:kern w:val="0"/>
          <w:szCs w:val="22"/>
        </w:rPr>
        <w:t>3、遇有重大活动或突发事件时，项目负责人须到场指挥，并服从采购人的统一工作安排。</w:t>
      </w:r>
    </w:p>
    <w:p w14:paraId="021C811B">
      <w:pPr>
        <w:widowControl/>
        <w:spacing w:line="420" w:lineRule="exact"/>
        <w:ind w:firstLine="442" w:firstLineChars="200"/>
        <w:jc w:val="left"/>
      </w:pPr>
      <w:r>
        <w:rPr>
          <w:rFonts w:hint="eastAsia" w:ascii="宋体" w:hAnsi="宋体"/>
          <w:b/>
          <w:bCs/>
          <w:kern w:val="0"/>
          <w:szCs w:val="22"/>
        </w:rPr>
        <w:t>4、若项目负责人擅自离开苍南或一年到位未达到300天的，每天处以</w:t>
      </w:r>
      <w:r>
        <w:rPr>
          <w:rFonts w:ascii="宋体" w:hAnsi="宋体"/>
          <w:b/>
          <w:bCs/>
          <w:kern w:val="0"/>
          <w:szCs w:val="22"/>
        </w:rPr>
        <w:t>3</w:t>
      </w:r>
      <w:r>
        <w:rPr>
          <w:rFonts w:hint="eastAsia" w:ascii="宋体" w:hAnsi="宋体"/>
          <w:b/>
          <w:bCs/>
          <w:kern w:val="0"/>
          <w:szCs w:val="22"/>
        </w:rPr>
        <w:t>000元违约金，在月服务款中直接扣除。</w:t>
      </w:r>
    </w:p>
    <w:p w14:paraId="05D6C7C3">
      <w:pPr>
        <w:spacing w:line="420" w:lineRule="exact"/>
        <w:ind w:firstLine="442" w:firstLineChars="200"/>
        <w:rPr>
          <w:rFonts w:ascii="宋体" w:hAnsi="宋体"/>
          <w:b/>
          <w:szCs w:val="22"/>
        </w:rPr>
      </w:pPr>
      <w:r>
        <w:rPr>
          <w:rFonts w:hint="eastAsia" w:ascii="宋体" w:hAnsi="宋体"/>
          <w:b/>
          <w:szCs w:val="22"/>
        </w:rPr>
        <w:t>（</w:t>
      </w:r>
      <w:r>
        <w:rPr>
          <w:rFonts w:hint="eastAsia" w:ascii="宋体" w:hAnsi="宋体"/>
          <w:b/>
          <w:szCs w:val="22"/>
          <w:lang w:val="en-US" w:eastAsia="zh-CN"/>
        </w:rPr>
        <w:t>三</w:t>
      </w:r>
      <w:r>
        <w:rPr>
          <w:rFonts w:hint="eastAsia" w:ascii="宋体" w:hAnsi="宋体"/>
          <w:b/>
          <w:szCs w:val="22"/>
        </w:rPr>
        <w:t>）</w:t>
      </w:r>
      <w:r>
        <w:rPr>
          <w:rFonts w:hint="eastAsia" w:ascii="宋体"/>
          <w:b/>
          <w:szCs w:val="21"/>
        </w:rPr>
        <w:t>质量要求</w:t>
      </w:r>
    </w:p>
    <w:p w14:paraId="62F6F570">
      <w:pPr>
        <w:spacing w:line="420" w:lineRule="exact"/>
        <w:rPr>
          <w:rFonts w:ascii="宋体" w:hAnsi="宋体"/>
          <w:b/>
          <w:bCs/>
          <w:kern w:val="0"/>
          <w:szCs w:val="22"/>
        </w:rPr>
      </w:pPr>
      <w:r>
        <w:rPr>
          <w:rFonts w:hint="eastAsia" w:ascii="宋体" w:hAnsi="宋体"/>
          <w:b/>
          <w:bCs/>
          <w:kern w:val="0"/>
          <w:szCs w:val="22"/>
        </w:rPr>
        <w:t xml:space="preserve">  </w:t>
      </w:r>
      <w:r>
        <w:rPr>
          <w:rFonts w:hint="eastAsia" w:ascii="宋体" w:hAnsi="宋体"/>
          <w:b/>
          <w:bCs/>
          <w:kern w:val="0"/>
          <w:szCs w:val="22"/>
          <w:lang w:val="en-US" w:eastAsia="zh-CN"/>
        </w:rPr>
        <w:t xml:space="preserve">  </w:t>
      </w:r>
      <w:r>
        <w:rPr>
          <w:rFonts w:hint="eastAsia" w:ascii="宋体" w:hAnsi="宋体"/>
          <w:bCs/>
          <w:kern w:val="0"/>
          <w:szCs w:val="22"/>
        </w:rPr>
        <w:t xml:space="preserve"> </w:t>
      </w:r>
      <w:r>
        <w:rPr>
          <w:rFonts w:hint="eastAsia" w:ascii="宋体" w:hAnsi="宋体"/>
          <w:b/>
          <w:bCs/>
          <w:kern w:val="0"/>
          <w:szCs w:val="22"/>
        </w:rPr>
        <w:t>符合采购文件要求及相关文件规定。</w:t>
      </w:r>
    </w:p>
    <w:p w14:paraId="1EC7DE48">
      <w:pPr>
        <w:autoSpaceDE w:val="0"/>
        <w:autoSpaceDN w:val="0"/>
        <w:adjustRightInd w:val="0"/>
        <w:spacing w:line="420" w:lineRule="exact"/>
        <w:ind w:firstLine="442" w:firstLineChars="200"/>
        <w:jc w:val="left"/>
        <w:rPr>
          <w:rFonts w:ascii="宋体" w:hAnsi="宋体"/>
          <w:b/>
          <w:bCs/>
          <w:szCs w:val="22"/>
        </w:rPr>
      </w:pPr>
      <w:r>
        <w:rPr>
          <w:rFonts w:hint="eastAsia" w:ascii="宋体" w:hAnsi="宋体"/>
          <w:b/>
          <w:bCs/>
          <w:szCs w:val="22"/>
        </w:rPr>
        <w:t>（</w:t>
      </w:r>
      <w:r>
        <w:rPr>
          <w:rFonts w:hint="eastAsia" w:ascii="宋体" w:hAnsi="宋体"/>
          <w:b/>
          <w:bCs/>
          <w:szCs w:val="22"/>
          <w:lang w:val="en-US" w:eastAsia="zh-CN"/>
        </w:rPr>
        <w:t>四</w:t>
      </w:r>
      <w:r>
        <w:rPr>
          <w:rFonts w:hint="eastAsia" w:ascii="宋体" w:hAnsi="宋体"/>
          <w:b/>
          <w:bCs/>
          <w:szCs w:val="22"/>
        </w:rPr>
        <w:t>）现场勘踏要求</w:t>
      </w:r>
    </w:p>
    <w:p w14:paraId="387CDB87">
      <w:pPr>
        <w:autoSpaceDE w:val="0"/>
        <w:autoSpaceDN w:val="0"/>
        <w:adjustRightInd w:val="0"/>
        <w:spacing w:line="420" w:lineRule="exact"/>
        <w:ind w:firstLine="440" w:firstLineChars="200"/>
        <w:jc w:val="left"/>
        <w:rPr>
          <w:rFonts w:ascii="宋体" w:hAnsi="宋体"/>
          <w:szCs w:val="22"/>
        </w:rPr>
      </w:pPr>
      <w:r>
        <w:rPr>
          <w:rFonts w:hint="eastAsia" w:ascii="宋体" w:hAnsi="宋体"/>
          <w:bCs/>
          <w:szCs w:val="22"/>
        </w:rPr>
        <w:t>1、作业范围以实际为准，由投标人自行对项目现场及周围环境进行踏勘，以便投标人获取有关编制投标文件和签署合同所需的所有材料。投标人应充分了解本项目的位置、道路等级、保洁面积、路面情况、公厕情况等以及其它影响报价的情况，由投标人自己承担。</w:t>
      </w:r>
    </w:p>
    <w:p w14:paraId="78B7AD96">
      <w:pPr>
        <w:autoSpaceDE w:val="0"/>
        <w:autoSpaceDN w:val="0"/>
        <w:adjustRightInd w:val="0"/>
        <w:spacing w:line="420" w:lineRule="exact"/>
        <w:ind w:firstLine="440" w:firstLineChars="200"/>
        <w:jc w:val="left"/>
        <w:rPr>
          <w:rFonts w:ascii="宋体" w:hAnsi="宋体"/>
          <w:bCs/>
          <w:szCs w:val="22"/>
        </w:rPr>
      </w:pPr>
      <w:r>
        <w:rPr>
          <w:rFonts w:hint="eastAsia" w:ascii="宋体" w:hAnsi="宋体"/>
          <w:bCs/>
          <w:szCs w:val="22"/>
        </w:rPr>
        <w:t>2、投标人及其人员，可为踏勘目的进入</w:t>
      </w:r>
      <w:r>
        <w:rPr>
          <w:rFonts w:hint="eastAsia" w:ascii="宋体" w:hAnsi="宋体"/>
          <w:bCs/>
          <w:szCs w:val="22"/>
          <w:lang w:eastAsia="zh-CN"/>
        </w:rPr>
        <w:t>采购人</w:t>
      </w:r>
      <w:r>
        <w:rPr>
          <w:rFonts w:hint="eastAsia" w:ascii="宋体" w:hAnsi="宋体"/>
          <w:bCs/>
          <w:szCs w:val="22"/>
        </w:rPr>
        <w:t>的项目现场，但投标人及其人员不得因此使</w:t>
      </w:r>
      <w:r>
        <w:rPr>
          <w:rFonts w:hint="eastAsia" w:ascii="宋体" w:hAnsi="宋体"/>
          <w:bCs/>
          <w:szCs w:val="22"/>
          <w:lang w:eastAsia="zh-CN"/>
        </w:rPr>
        <w:t>采购人</w:t>
      </w:r>
      <w:r>
        <w:rPr>
          <w:rFonts w:hint="eastAsia" w:ascii="宋体" w:hAnsi="宋体"/>
          <w:bCs/>
          <w:szCs w:val="22"/>
        </w:rPr>
        <w:t>及其人员承担有关的责任和蒙受损失。投标人并应对由此次踏勘现场而造成的死亡、人身伤害、财产损失、损害以及任何其他损失、损害和引起的费用和开支承担责任。</w:t>
      </w:r>
    </w:p>
    <w:p w14:paraId="02A376A3">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w:t>
      </w:r>
      <w:r>
        <w:rPr>
          <w:rFonts w:hint="eastAsia" w:ascii="宋体" w:hAnsi="宋体"/>
          <w:b/>
          <w:szCs w:val="22"/>
          <w:lang w:val="en-US" w:eastAsia="zh-CN"/>
        </w:rPr>
        <w:t>五</w:t>
      </w:r>
      <w:r>
        <w:rPr>
          <w:rFonts w:hint="eastAsia" w:ascii="宋体" w:hAnsi="宋体"/>
          <w:b/>
          <w:szCs w:val="22"/>
        </w:rPr>
        <w:t>）</w:t>
      </w:r>
      <w:r>
        <w:rPr>
          <w:rFonts w:ascii="宋体" w:hAnsi="宋体"/>
          <w:b/>
          <w:szCs w:val="22"/>
        </w:rPr>
        <w:t xml:space="preserve">其他配合工作 </w:t>
      </w:r>
    </w:p>
    <w:p w14:paraId="3766BBC3">
      <w:pPr>
        <w:spacing w:line="420" w:lineRule="exact"/>
        <w:rPr>
          <w:rFonts w:ascii="宋体" w:hAnsi="宋体"/>
          <w:b/>
          <w:bCs/>
          <w:kern w:val="0"/>
          <w:szCs w:val="22"/>
          <w:u w:val="single"/>
        </w:rPr>
      </w:pPr>
      <w:r>
        <w:rPr>
          <w:rFonts w:hint="eastAsia" w:ascii="宋体" w:hAnsi="宋体"/>
          <w:szCs w:val="22"/>
        </w:rPr>
        <w:t xml:space="preserve">    无条件执行和配合</w:t>
      </w:r>
      <w:r>
        <w:rPr>
          <w:rFonts w:ascii="宋体" w:hAnsi="宋体"/>
          <w:szCs w:val="22"/>
        </w:rPr>
        <w:t>采购人下达的其他保洁与垃圾清运</w:t>
      </w:r>
      <w:r>
        <w:rPr>
          <w:rFonts w:hint="eastAsia" w:ascii="宋体" w:hAnsi="宋体"/>
          <w:szCs w:val="22"/>
          <w:lang w:eastAsia="zh-CN"/>
        </w:rPr>
        <w:t>、</w:t>
      </w:r>
      <w:r>
        <w:rPr>
          <w:rFonts w:hint="eastAsia" w:ascii="宋体" w:hAnsi="宋体"/>
          <w:szCs w:val="22"/>
          <w:lang w:val="en-US" w:eastAsia="zh-CN"/>
        </w:rPr>
        <w:t>绿化养护</w:t>
      </w:r>
      <w:r>
        <w:rPr>
          <w:rFonts w:hint="eastAsia" w:ascii="宋体" w:hAnsi="宋体"/>
          <w:szCs w:val="22"/>
        </w:rPr>
        <w:t>等</w:t>
      </w:r>
      <w:r>
        <w:rPr>
          <w:rFonts w:ascii="宋体" w:hAnsi="宋体"/>
          <w:szCs w:val="22"/>
        </w:rPr>
        <w:t>相关工作。</w:t>
      </w:r>
    </w:p>
    <w:p w14:paraId="09AAEC8C">
      <w:pPr>
        <w:spacing w:line="420" w:lineRule="exact"/>
        <w:rPr>
          <w:rFonts w:ascii="宋体" w:hAnsi="宋体"/>
          <w:b/>
          <w:bCs/>
          <w:kern w:val="0"/>
          <w:szCs w:val="22"/>
          <w:u w:val="single"/>
        </w:rPr>
      </w:pPr>
      <w:r>
        <w:rPr>
          <w:rFonts w:hint="eastAsia" w:ascii="宋体" w:hAnsi="宋体"/>
          <w:b/>
          <w:bCs/>
          <w:kern w:val="0"/>
          <w:szCs w:val="22"/>
        </w:rPr>
        <w:t xml:space="preserve">    </w:t>
      </w:r>
      <w:r>
        <w:rPr>
          <w:rFonts w:hint="eastAsia" w:ascii="宋体" w:hAnsi="宋体" w:cs="宋体"/>
          <w:b/>
          <w:bCs/>
          <w:szCs w:val="22"/>
        </w:rPr>
        <w:t>中标供应商需无条件在保洁区域范围配合业主对突发事件和突击检查的应急响应。</w:t>
      </w:r>
    </w:p>
    <w:p w14:paraId="0A124AB3">
      <w:pPr>
        <w:numPr>
          <w:ilvl w:val="0"/>
          <w:numId w:val="0"/>
        </w:numPr>
      </w:pPr>
    </w:p>
    <w:bookmarkEnd w:id="8"/>
    <w:p w14:paraId="0ACB4106">
      <w:pPr>
        <w:pStyle w:val="5"/>
        <w:spacing w:line="420" w:lineRule="exact"/>
      </w:pPr>
      <w:r>
        <w:rPr>
          <w:rFonts w:hint="eastAsia"/>
        </w:rPr>
        <w:t>第三部分</w:t>
      </w:r>
      <w:r>
        <w:t xml:space="preserve">  </w:t>
      </w:r>
      <w:r>
        <w:rPr>
          <w:rFonts w:hint="eastAsia"/>
        </w:rPr>
        <w:t>供应商须知</w:t>
      </w:r>
    </w:p>
    <w:p w14:paraId="328A3C93">
      <w:pPr>
        <w:pStyle w:val="7"/>
        <w:spacing w:line="420" w:lineRule="exact"/>
      </w:pPr>
      <w:r>
        <w:rPr>
          <w:rFonts w:hint="eastAsia"/>
        </w:rPr>
        <w:t>一、说明</w:t>
      </w:r>
    </w:p>
    <w:p w14:paraId="7C42B27C">
      <w:pPr>
        <w:autoSpaceDE w:val="0"/>
        <w:autoSpaceDN w:val="0"/>
        <w:adjustRightInd w:val="0"/>
        <w:snapToGrid w:val="0"/>
        <w:spacing w:line="420" w:lineRule="exact"/>
        <w:ind w:firstLine="431" w:firstLineChars="196"/>
        <w:textAlignment w:val="bottom"/>
        <w:rPr>
          <w:rFonts w:ascii="宋体"/>
          <w:bCs/>
          <w:szCs w:val="22"/>
        </w:rPr>
      </w:pPr>
      <w:r>
        <w:rPr>
          <w:rFonts w:hint="eastAsia" w:ascii="宋体" w:hAnsi="宋体"/>
          <w:bCs/>
          <w:szCs w:val="22"/>
        </w:rPr>
        <w:t>1、</w:t>
      </w:r>
      <w:r>
        <w:rPr>
          <w:rFonts w:hint="eastAsia" w:ascii="宋体"/>
          <w:bCs/>
          <w:szCs w:val="22"/>
        </w:rPr>
        <w:t>本次采购工作是按照</w:t>
      </w:r>
      <w:r>
        <w:rPr>
          <w:rFonts w:ascii="宋体" w:cs="Arial"/>
          <w:bCs/>
          <w:szCs w:val="22"/>
        </w:rPr>
        <w:t>《中华人民共和国政府采购法》</w:t>
      </w:r>
      <w:r>
        <w:rPr>
          <w:rFonts w:hint="eastAsia" w:ascii="宋体" w:cs="Arial"/>
          <w:bCs/>
          <w:szCs w:val="22"/>
        </w:rPr>
        <w:t>、《中华人民共和国政府采购法实施条例》、</w:t>
      </w:r>
      <w:r>
        <w:rPr>
          <w:rFonts w:ascii="宋体" w:cs="Arial"/>
          <w:bCs/>
          <w:szCs w:val="22"/>
        </w:rPr>
        <w:t>《政府采购货物和服务招标投标管理办法》和《关于进一步规范政府采购活动的若干意见》</w:t>
      </w:r>
      <w:r>
        <w:rPr>
          <w:rFonts w:hint="eastAsia" w:ascii="宋体"/>
          <w:bCs/>
          <w:szCs w:val="22"/>
        </w:rPr>
        <w:t>及相关法律规章组织和实施。</w:t>
      </w:r>
    </w:p>
    <w:p w14:paraId="25C62C25">
      <w:pPr>
        <w:adjustRightInd w:val="0"/>
        <w:spacing w:line="420" w:lineRule="exact"/>
        <w:ind w:firstLine="433" w:firstLineChars="196"/>
        <w:rPr>
          <w:rFonts w:ascii="宋体"/>
          <w:b/>
          <w:szCs w:val="22"/>
          <w:u w:val="single"/>
        </w:rPr>
      </w:pPr>
      <w:r>
        <w:rPr>
          <w:rFonts w:hint="eastAsia" w:ascii="宋体"/>
          <w:b/>
          <w:szCs w:val="22"/>
          <w:u w:val="single"/>
        </w:rPr>
        <w:t>2、本采购项目为</w:t>
      </w:r>
      <w:r>
        <w:rPr>
          <w:rFonts w:hint="eastAsia" w:ascii="宋体"/>
          <w:b/>
          <w:szCs w:val="22"/>
          <w:u w:val="single"/>
          <w:lang w:eastAsia="zh-CN"/>
        </w:rPr>
        <w:t>2025年度苍南县藻溪镇保洁及绿化养护服务项目</w:t>
      </w:r>
      <w:r>
        <w:rPr>
          <w:rFonts w:hint="eastAsia" w:ascii="宋体"/>
          <w:b/>
          <w:szCs w:val="22"/>
          <w:u w:val="single"/>
        </w:rPr>
        <w:t>。供应商必须根据自己的技术和商务优势对此项目的全部内容进行投标，不得只投其中一部分内容，只对部分内容进行报价的供应商将按无效投标处理。</w:t>
      </w:r>
    </w:p>
    <w:p w14:paraId="3E984CE6">
      <w:pPr>
        <w:adjustRightInd w:val="0"/>
        <w:spacing w:line="420" w:lineRule="exact"/>
        <w:ind w:firstLine="431" w:firstLineChars="196"/>
        <w:rPr>
          <w:rFonts w:ascii="宋体"/>
          <w:bCs/>
          <w:szCs w:val="22"/>
        </w:rPr>
      </w:pPr>
      <w:r>
        <w:rPr>
          <w:rFonts w:hint="eastAsia" w:ascii="宋体"/>
          <w:bCs/>
          <w:szCs w:val="22"/>
        </w:rPr>
        <w:t>3、无论投标过程中的作法和结果如何，供应商自行承担投标活动中所发生的全部费用，采购人有权选择中标供应商的供货及服务范围。</w:t>
      </w:r>
    </w:p>
    <w:p w14:paraId="73CAFC00">
      <w:pPr>
        <w:adjustRightInd w:val="0"/>
        <w:spacing w:line="420" w:lineRule="exact"/>
        <w:ind w:firstLine="431" w:firstLineChars="196"/>
        <w:rPr>
          <w:rFonts w:ascii="宋体"/>
          <w:b/>
          <w:szCs w:val="22"/>
        </w:rPr>
      </w:pPr>
      <w:r>
        <w:rPr>
          <w:rFonts w:hint="eastAsia" w:ascii="宋体"/>
          <w:bCs/>
          <w:szCs w:val="22"/>
        </w:rPr>
        <w:t>4、本次采购采用资格响应文件、商务技术文件和报价文件分别评审。</w:t>
      </w:r>
      <w:r>
        <w:rPr>
          <w:rFonts w:hint="eastAsia" w:ascii="宋体" w:hAnsi="宋体" w:cs="宋体"/>
          <w:szCs w:val="22"/>
        </w:rPr>
        <w:t>代理机构首先对资格响应文件进行审查，投标供应商资格审查合格后，</w:t>
      </w:r>
      <w:r>
        <w:rPr>
          <w:rFonts w:hint="eastAsia" w:ascii="宋体" w:hAnsi="宋体" w:cs="宋体"/>
          <w:b/>
          <w:bCs/>
          <w:szCs w:val="22"/>
        </w:rPr>
        <w:t>由</w:t>
      </w:r>
      <w:r>
        <w:rPr>
          <w:rFonts w:hint="eastAsia" w:ascii="宋体" w:hAnsi="宋体" w:cs="宋体"/>
          <w:b/>
          <w:bCs/>
          <w:szCs w:val="22"/>
          <w:u w:val="single"/>
        </w:rPr>
        <w:t>评标委员会评审供应商的商务技术文件，商务技术文件无效的供应商不进入报价文件评审。</w:t>
      </w:r>
      <w:r>
        <w:rPr>
          <w:rFonts w:hint="eastAsia" w:ascii="宋体"/>
          <w:b/>
          <w:szCs w:val="22"/>
          <w:u w:val="single"/>
        </w:rPr>
        <w:t>要求供应商商务技术文件（</w:t>
      </w:r>
      <w:r>
        <w:rPr>
          <w:rFonts w:hint="eastAsia" w:ascii="宋体"/>
          <w:b/>
          <w:bCs/>
          <w:szCs w:val="22"/>
          <w:u w:val="single"/>
        </w:rPr>
        <w:t>资格响应文件</w:t>
      </w:r>
      <w:r>
        <w:rPr>
          <w:rFonts w:hint="eastAsia" w:ascii="宋体"/>
          <w:b/>
          <w:szCs w:val="22"/>
          <w:u w:val="single"/>
        </w:rPr>
        <w:t>）中不得含产品报价，否则做无效投标处理。</w:t>
      </w:r>
    </w:p>
    <w:p w14:paraId="4D329425">
      <w:pPr>
        <w:autoSpaceDE w:val="0"/>
        <w:autoSpaceDN w:val="0"/>
        <w:adjustRightInd w:val="0"/>
        <w:snapToGrid w:val="0"/>
        <w:spacing w:line="420" w:lineRule="exact"/>
        <w:ind w:firstLine="431" w:firstLineChars="196"/>
        <w:textAlignment w:val="bottom"/>
        <w:rPr>
          <w:rFonts w:ascii="宋体" w:hAnsi="宋体"/>
          <w:bCs/>
          <w:szCs w:val="22"/>
          <w:lang w:val="zh-CN"/>
        </w:rPr>
      </w:pPr>
      <w:r>
        <w:rPr>
          <w:rFonts w:hint="eastAsia" w:ascii="宋体" w:hAnsi="宋体"/>
          <w:bCs/>
          <w:szCs w:val="22"/>
        </w:rPr>
        <w:t>5、供应商须自费到采购人处现场踏勘，以了解采购人需求，取得准确的报价依据。</w:t>
      </w:r>
    </w:p>
    <w:p w14:paraId="286A2AEE">
      <w:pPr>
        <w:autoSpaceDE w:val="0"/>
        <w:autoSpaceDN w:val="0"/>
        <w:adjustRightInd w:val="0"/>
        <w:snapToGrid w:val="0"/>
        <w:spacing w:line="420" w:lineRule="exact"/>
        <w:ind w:firstLine="433" w:firstLineChars="196"/>
        <w:textAlignment w:val="bottom"/>
        <w:rPr>
          <w:rFonts w:ascii="宋体" w:hAnsi="宋体"/>
          <w:b/>
          <w:szCs w:val="22"/>
          <w:u w:val="single"/>
        </w:rPr>
      </w:pPr>
      <w:r>
        <w:rPr>
          <w:rFonts w:hint="eastAsia" w:ascii="宋体" w:hAnsi="宋体"/>
          <w:b/>
          <w:szCs w:val="22"/>
          <w:u w:val="single"/>
        </w:rPr>
        <w:t>6、本项目最高限价见招标公告，某些（个）供应商投标报价超出最高限价的，则拒绝接受其该投标报价，该供应商投标按无效投标处理。</w:t>
      </w:r>
    </w:p>
    <w:p w14:paraId="0BFDBDFD">
      <w:pPr>
        <w:pStyle w:val="52"/>
        <w:spacing w:line="420" w:lineRule="exact"/>
        <w:ind w:firstLine="440" w:firstLineChars="200"/>
        <w:rPr>
          <w:rFonts w:ascii="宋体" w:hAnsi="宋体"/>
          <w:bCs/>
          <w:szCs w:val="22"/>
        </w:rPr>
      </w:pPr>
      <w:r>
        <w:rPr>
          <w:rFonts w:hint="eastAsia" w:ascii="宋体" w:hAnsi="宋体"/>
          <w:bCs/>
          <w:szCs w:val="22"/>
        </w:rPr>
        <w:t>7、供应商所投主要技术参数、措施、配置等应在投标文件中明确，对采购文件的技术条款及要求应予以实质性响应，如有偏离应在偏离表中注明。</w:t>
      </w:r>
    </w:p>
    <w:p w14:paraId="206E3800">
      <w:pPr>
        <w:pStyle w:val="2"/>
        <w:spacing w:line="420" w:lineRule="exact"/>
        <w:ind w:firstLine="440" w:firstLineChars="200"/>
      </w:pPr>
      <w:r>
        <w:rPr>
          <w:rFonts w:hint="eastAsia" w:ascii="宋体" w:hAnsi="宋体"/>
          <w:bCs/>
          <w:szCs w:val="22"/>
        </w:rPr>
        <w:t>8、已成功报名的投标供应商如若不参加本项目的投标，应至少提前两个工作日（投标截止时间往前推）以书面的形式（格式自拟）告知我公司，书面文件扫描件发至我公司邮箱（</w:t>
      </w:r>
      <w:r>
        <w:rPr>
          <w:rFonts w:hint="eastAsia" w:ascii="宋体" w:hAnsi="宋体"/>
          <w:bCs/>
          <w:szCs w:val="22"/>
          <w:lang w:val="en-US" w:eastAsia="zh-CN"/>
        </w:rPr>
        <w:t>517105534</w:t>
      </w:r>
      <w:r>
        <w:rPr>
          <w:rFonts w:hint="eastAsia" w:ascii="宋体" w:hAnsi="宋体"/>
          <w:bCs/>
          <w:szCs w:val="22"/>
          <w:lang w:eastAsia="zh-CN"/>
        </w:rPr>
        <w:t>@qq.com</w:t>
      </w:r>
      <w:r>
        <w:rPr>
          <w:rFonts w:hint="eastAsia" w:ascii="宋体" w:hAnsi="宋体"/>
          <w:bCs/>
          <w:szCs w:val="22"/>
        </w:rPr>
        <w:t>）。</w:t>
      </w:r>
    </w:p>
    <w:p w14:paraId="3F672E78">
      <w:pPr>
        <w:adjustRightInd w:val="0"/>
        <w:spacing w:line="420" w:lineRule="exact"/>
        <w:ind w:firstLine="433" w:firstLineChars="196"/>
        <w:rPr>
          <w:rFonts w:ascii="宋体"/>
          <w:b/>
          <w:szCs w:val="22"/>
        </w:rPr>
      </w:pPr>
      <w:r>
        <w:rPr>
          <w:rFonts w:hint="eastAsia" w:ascii="宋体"/>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746E7C98">
      <w:pPr>
        <w:pStyle w:val="52"/>
        <w:spacing w:line="420" w:lineRule="exact"/>
        <w:ind w:firstLine="440" w:firstLineChars="200"/>
        <w:rPr>
          <w:szCs w:val="22"/>
        </w:rPr>
      </w:pPr>
      <w:r>
        <w:rPr>
          <w:rFonts w:hint="eastAsia"/>
          <w:szCs w:val="22"/>
        </w:rPr>
        <w:t>10、本项目在报价评审时对已注册正式进入浙江省政府采购供应商库且符合中小企业划型标准规定（工信部联企业[2011]300号）的小型和微型企业给予价格优惠扶持，用扣除后的报价参与报价分评审，详细规定见“投标通知(邀请)书”。</w:t>
      </w:r>
    </w:p>
    <w:p w14:paraId="4DAECC9A">
      <w:pPr>
        <w:autoSpaceDE w:val="0"/>
        <w:autoSpaceDN w:val="0"/>
        <w:adjustRightInd w:val="0"/>
        <w:snapToGrid w:val="0"/>
        <w:spacing w:before="156" w:beforeLines="50" w:line="420" w:lineRule="exact"/>
        <w:ind w:firstLine="431" w:firstLineChars="196"/>
        <w:textAlignment w:val="bottom"/>
        <w:rPr>
          <w:rFonts w:ascii="宋体" w:hAnsi="宋体" w:cs="宋体"/>
          <w:szCs w:val="22"/>
        </w:rPr>
      </w:pPr>
      <w:r>
        <w:rPr>
          <w:rFonts w:hint="eastAsia" w:ascii="宋体" w:hAnsi="宋体" w:cs="宋体"/>
          <w:szCs w:val="22"/>
        </w:rPr>
        <w:t>11、供应商资格的审查和认定</w:t>
      </w:r>
    </w:p>
    <w:p w14:paraId="45EC13AD">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BBA4A0">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A73A43">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11.3非单一产品采购项目中，作为关键核心部分的单一产品品牌、型号均相同且报价占项目总报价 50%以上（含本数，下同）的，视为提供的是同品牌同型号的产品；多家供应商中，有一家供应商的报价达到 50%以上，提供同品牌同型号产品的供应商均按一家供应商认定。多家投标人提供的核心产品品牌相同的，按前两款规定处理。</w:t>
      </w:r>
    </w:p>
    <w:p w14:paraId="4B72CF4A">
      <w:pPr>
        <w:autoSpaceDE w:val="0"/>
        <w:autoSpaceDN w:val="0"/>
        <w:adjustRightInd w:val="0"/>
        <w:snapToGrid w:val="0"/>
        <w:spacing w:line="420" w:lineRule="exact"/>
        <w:ind w:firstLine="431" w:firstLineChars="196"/>
        <w:textAlignment w:val="bottom"/>
        <w:rPr>
          <w:rFonts w:ascii="宋体" w:hAnsi="宋体" w:cs="宋体"/>
          <w:szCs w:val="22"/>
        </w:rPr>
      </w:pPr>
      <w:r>
        <w:rPr>
          <w:rFonts w:hint="eastAsia" w:ascii="宋体" w:hAnsi="宋体" w:cs="宋体"/>
          <w:szCs w:val="22"/>
        </w:rPr>
        <w:t>11.4本次项目为服务类项目，</w:t>
      </w:r>
      <w:r>
        <w:rPr>
          <w:rFonts w:hint="eastAsia" w:ascii="宋体" w:hAnsi="宋体" w:cs="宋体"/>
          <w:b/>
          <w:szCs w:val="22"/>
        </w:rPr>
        <w:t>无核心产品</w:t>
      </w:r>
      <w:r>
        <w:rPr>
          <w:rFonts w:hint="eastAsia" w:ascii="宋体" w:hAnsi="宋体" w:cs="宋体"/>
          <w:szCs w:val="22"/>
        </w:rPr>
        <w:t>。</w:t>
      </w:r>
    </w:p>
    <w:p w14:paraId="0E873782">
      <w:pPr>
        <w:pStyle w:val="2"/>
        <w:spacing w:line="420" w:lineRule="exact"/>
        <w:ind w:firstLine="440" w:firstLineChars="200"/>
        <w:rPr>
          <w:rFonts w:ascii="宋体" w:hAnsi="宋体" w:cs="宋体"/>
          <w:szCs w:val="22"/>
        </w:rPr>
      </w:pPr>
      <w:r>
        <w:rPr>
          <w:rFonts w:hint="eastAsia" w:ascii="宋体" w:hAnsi="宋体" w:cs="宋体"/>
          <w:szCs w:val="22"/>
        </w:rPr>
        <w:t>12、本项目招标文件如有补充、更正均见浙江政府采购网（http://www.zjzfcg.gov.cn/）。供应商须在投标截止前自行查看是否有补充、更正文件，并按补充、更正文件要求投标，否则责任自负。</w:t>
      </w:r>
    </w:p>
    <w:p w14:paraId="74691FBC">
      <w:pPr>
        <w:pStyle w:val="3"/>
        <w:spacing w:after="0" w:line="420" w:lineRule="exact"/>
        <w:ind w:firstLine="220"/>
        <w:rPr>
          <w:rFonts w:ascii="宋体"/>
          <w:szCs w:val="22"/>
        </w:rPr>
      </w:pPr>
      <w:r>
        <w:rPr>
          <w:rFonts w:hint="eastAsia" w:ascii="宋体"/>
          <w:szCs w:val="22"/>
        </w:rPr>
        <w:t xml:space="preserve">  13.定义</w:t>
      </w:r>
    </w:p>
    <w:p w14:paraId="7FF36142">
      <w:pPr>
        <w:pStyle w:val="3"/>
        <w:spacing w:after="0" w:line="420" w:lineRule="exact"/>
        <w:ind w:firstLine="220"/>
        <w:rPr>
          <w:rFonts w:ascii="宋体"/>
          <w:szCs w:val="22"/>
        </w:rPr>
      </w:pPr>
      <w:r>
        <w:rPr>
          <w:rFonts w:hint="eastAsia" w:ascii="宋体"/>
          <w:szCs w:val="22"/>
        </w:rPr>
        <w:t xml:space="preserve">  13.1“采购人” 系指对本招标文件中所列服务有需求的</w:t>
      </w:r>
      <w:r>
        <w:rPr>
          <w:rFonts w:hint="eastAsia" w:ascii="宋体"/>
          <w:szCs w:val="22"/>
          <w:lang w:eastAsia="zh-CN"/>
        </w:rPr>
        <w:t>苍南县藻溪镇人民政府</w:t>
      </w:r>
      <w:r>
        <w:rPr>
          <w:rFonts w:hint="eastAsia" w:ascii="宋体"/>
          <w:szCs w:val="22"/>
        </w:rPr>
        <w:t>。</w:t>
      </w:r>
    </w:p>
    <w:p w14:paraId="36E72BD2">
      <w:pPr>
        <w:pStyle w:val="3"/>
        <w:spacing w:after="0" w:line="420" w:lineRule="exact"/>
        <w:ind w:firstLine="220"/>
        <w:rPr>
          <w:rFonts w:ascii="宋体"/>
          <w:szCs w:val="22"/>
        </w:rPr>
      </w:pPr>
      <w:r>
        <w:rPr>
          <w:rFonts w:hint="eastAsia" w:ascii="宋体"/>
          <w:szCs w:val="22"/>
        </w:rPr>
        <w:t>“供应商”系指符合招标文件要求并且通过资格审查进入评审程序的供应商。</w:t>
      </w:r>
    </w:p>
    <w:p w14:paraId="5D88E118">
      <w:pPr>
        <w:pStyle w:val="3"/>
        <w:spacing w:after="0" w:line="420" w:lineRule="exact"/>
        <w:ind w:firstLine="220"/>
        <w:rPr>
          <w:rFonts w:ascii="宋体"/>
          <w:szCs w:val="22"/>
        </w:rPr>
      </w:pPr>
      <w:r>
        <w:rPr>
          <w:rFonts w:hint="eastAsia" w:ascii="宋体"/>
          <w:szCs w:val="22"/>
        </w:rPr>
        <w:t>“采购代理机构”系指</w:t>
      </w:r>
      <w:r>
        <w:rPr>
          <w:rFonts w:hint="eastAsia" w:ascii="宋体"/>
          <w:szCs w:val="22"/>
          <w:lang w:eastAsia="zh-CN"/>
        </w:rPr>
        <w:t>浙江中驰工程项目管理有限公司</w:t>
      </w:r>
      <w:r>
        <w:rPr>
          <w:rFonts w:hint="eastAsia" w:ascii="宋体"/>
          <w:szCs w:val="22"/>
        </w:rPr>
        <w:t>；</w:t>
      </w:r>
    </w:p>
    <w:p w14:paraId="67302C55">
      <w:pPr>
        <w:pStyle w:val="3"/>
        <w:spacing w:after="0" w:line="420" w:lineRule="exact"/>
        <w:ind w:firstLine="220"/>
        <w:rPr>
          <w:rFonts w:ascii="宋体"/>
          <w:szCs w:val="22"/>
        </w:rPr>
      </w:pPr>
      <w:r>
        <w:rPr>
          <w:rFonts w:hint="eastAsia" w:ascii="宋体"/>
          <w:szCs w:val="22"/>
        </w:rPr>
        <w:t>“响应文件”系指供应商为响应招标文件而编制、递交的投标文件。</w:t>
      </w:r>
    </w:p>
    <w:p w14:paraId="3E21B82F">
      <w:pPr>
        <w:pStyle w:val="3"/>
        <w:spacing w:after="0" w:line="420" w:lineRule="exact"/>
        <w:ind w:firstLine="220"/>
        <w:rPr>
          <w:rFonts w:ascii="宋体"/>
          <w:szCs w:val="22"/>
        </w:rPr>
      </w:pPr>
      <w:r>
        <w:rPr>
          <w:rFonts w:hint="eastAsia" w:ascii="宋体"/>
          <w:szCs w:val="22"/>
        </w:rPr>
        <w:t xml:space="preserve">  13.2“买方” 系指</w:t>
      </w:r>
      <w:r>
        <w:rPr>
          <w:rFonts w:hint="eastAsia" w:ascii="宋体"/>
          <w:szCs w:val="22"/>
          <w:lang w:eastAsia="zh-CN"/>
        </w:rPr>
        <w:t>苍南县藻溪镇人民政府</w:t>
      </w:r>
      <w:r>
        <w:rPr>
          <w:rFonts w:hint="eastAsia" w:ascii="宋体"/>
          <w:szCs w:val="22"/>
        </w:rPr>
        <w:t>，“卖方” 系指中标供应商。</w:t>
      </w:r>
    </w:p>
    <w:p w14:paraId="2EA3ADDB">
      <w:pPr>
        <w:pStyle w:val="3"/>
        <w:spacing w:after="0" w:line="420" w:lineRule="exact"/>
        <w:ind w:firstLine="220"/>
        <w:rPr>
          <w:rFonts w:ascii="宋体"/>
          <w:szCs w:val="22"/>
        </w:rPr>
      </w:pPr>
      <w:r>
        <w:rPr>
          <w:rFonts w:hint="eastAsia" w:ascii="宋体"/>
          <w:szCs w:val="22"/>
        </w:rPr>
        <w:t xml:space="preserve">  13.3“合同”系指买卖双方签署规定买卖双方权利与义务的协议，以及所有的附件、附录和响应文件所提到的构成合同的所有文件。</w:t>
      </w:r>
    </w:p>
    <w:p w14:paraId="585168AC">
      <w:pPr>
        <w:pStyle w:val="3"/>
        <w:spacing w:after="0" w:line="420" w:lineRule="exact"/>
        <w:ind w:firstLine="220"/>
        <w:rPr>
          <w:rFonts w:ascii="宋体"/>
          <w:szCs w:val="22"/>
        </w:rPr>
      </w:pPr>
      <w:r>
        <w:rPr>
          <w:rFonts w:hint="eastAsia" w:ascii="宋体"/>
          <w:szCs w:val="22"/>
        </w:rPr>
        <w:t xml:space="preserve">  13.4 “货物”系指卖方按招标文件规定须向买方提供的一切设备、软件系统、手册及其它有关说明资料和材料（有购买货物的项目适用本条款）。</w:t>
      </w:r>
    </w:p>
    <w:p w14:paraId="46297E94">
      <w:pPr>
        <w:pStyle w:val="3"/>
        <w:spacing w:after="0" w:line="420" w:lineRule="exact"/>
        <w:ind w:firstLine="220"/>
        <w:rPr>
          <w:rFonts w:ascii="宋体"/>
          <w:szCs w:val="22"/>
        </w:rPr>
      </w:pPr>
      <w:r>
        <w:rPr>
          <w:rFonts w:hint="eastAsia" w:ascii="宋体"/>
          <w:szCs w:val="22"/>
        </w:rPr>
        <w:t xml:space="preserve">  13.5 “服务”系指服务类项目购买的服务或货物类项目根据本合同规定卖方必须承担的安装、调试、技术协助、技术培训以及其他类似的附随义务。</w:t>
      </w:r>
    </w:p>
    <w:p w14:paraId="40E9C36A">
      <w:pPr>
        <w:pStyle w:val="3"/>
        <w:spacing w:after="0" w:line="420" w:lineRule="exact"/>
        <w:ind w:firstLine="220"/>
        <w:rPr>
          <w:rFonts w:ascii="宋体"/>
          <w:szCs w:val="22"/>
        </w:rPr>
      </w:pPr>
      <w:r>
        <w:rPr>
          <w:rFonts w:hint="eastAsia" w:ascii="宋体"/>
          <w:szCs w:val="22"/>
        </w:rPr>
        <w:t xml:space="preserve">  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14:paraId="62FA9691">
      <w:pPr>
        <w:pStyle w:val="3"/>
        <w:spacing w:after="0" w:line="420" w:lineRule="exact"/>
        <w:ind w:firstLine="220"/>
        <w:rPr>
          <w:rFonts w:ascii="宋体"/>
          <w:szCs w:val="22"/>
        </w:rPr>
      </w:pPr>
      <w:r>
        <w:rPr>
          <w:rFonts w:hint="eastAsia" w:ascii="宋体"/>
          <w:szCs w:val="22"/>
        </w:rPr>
        <w:t xml:space="preserve">  14.本《招标文件》所称“关联企业”，是指存在关联关系的企业；“关联关系”的界定适用《中华人民共和国公司法》216条之规定。</w:t>
      </w:r>
    </w:p>
    <w:p w14:paraId="426F2971">
      <w:pPr>
        <w:pStyle w:val="3"/>
        <w:spacing w:after="0" w:line="420" w:lineRule="exact"/>
        <w:ind w:firstLine="220"/>
        <w:rPr>
          <w:rFonts w:ascii="宋体"/>
          <w:b/>
          <w:szCs w:val="22"/>
        </w:rPr>
      </w:pPr>
      <w:r>
        <w:rPr>
          <w:rFonts w:hint="eastAsia" w:ascii="宋体"/>
          <w:szCs w:val="22"/>
        </w:rPr>
        <w:t xml:space="preserve">  14.1</w:t>
      </w:r>
      <w:r>
        <w:rPr>
          <w:rFonts w:hint="eastAsia" w:ascii="宋体"/>
          <w:b/>
          <w:szCs w:val="22"/>
        </w:rPr>
        <w:t xml:space="preserve">单位负责人为同一人或者存在直接控股、管理关系的不同供应商参加同一合同项下的政府采购活动的，相关投标均作无效标处理。 </w:t>
      </w:r>
    </w:p>
    <w:p w14:paraId="3D95BC0D">
      <w:pPr>
        <w:pStyle w:val="3"/>
        <w:spacing w:after="0" w:line="420" w:lineRule="exact"/>
        <w:ind w:firstLine="220"/>
        <w:rPr>
          <w:rFonts w:ascii="宋体"/>
          <w:b/>
          <w:szCs w:val="22"/>
        </w:rPr>
      </w:pPr>
      <w:r>
        <w:rPr>
          <w:rFonts w:hint="eastAsia" w:ascii="宋体"/>
          <w:szCs w:val="22"/>
        </w:rPr>
        <w:t xml:space="preserve">  14.2</w:t>
      </w:r>
      <w:r>
        <w:rPr>
          <w:rFonts w:hint="eastAsia" w:ascii="宋体"/>
          <w:b/>
          <w:szCs w:val="22"/>
        </w:rPr>
        <w:t>不同供应商之间存在以下利害关系并且存在影响政府采购公平竞争行为的，不得参加同一合同项下的政府采购活动，相关投标均作无效标处理：</w:t>
      </w:r>
    </w:p>
    <w:p w14:paraId="345C1D0F">
      <w:pPr>
        <w:pStyle w:val="3"/>
        <w:spacing w:after="0" w:line="420" w:lineRule="exact"/>
        <w:ind w:firstLine="220"/>
        <w:rPr>
          <w:rFonts w:ascii="宋体"/>
          <w:szCs w:val="22"/>
        </w:rPr>
      </w:pPr>
      <w:r>
        <w:rPr>
          <w:rFonts w:hint="eastAsia" w:ascii="宋体"/>
          <w:szCs w:val="22"/>
        </w:rPr>
        <w:t>（1）法定代表人或负责人或实际控制人是夫妻关系；</w:t>
      </w:r>
    </w:p>
    <w:p w14:paraId="4CD39639">
      <w:pPr>
        <w:pStyle w:val="3"/>
        <w:spacing w:after="0" w:line="420" w:lineRule="exact"/>
        <w:ind w:firstLine="220"/>
        <w:rPr>
          <w:rFonts w:ascii="宋体"/>
          <w:szCs w:val="22"/>
        </w:rPr>
      </w:pPr>
      <w:r>
        <w:rPr>
          <w:rFonts w:hint="eastAsia" w:ascii="宋体"/>
          <w:szCs w:val="22"/>
        </w:rPr>
        <w:t>（2）法定代表人或负责人或实际控制人是直系血亲关系；</w:t>
      </w:r>
    </w:p>
    <w:p w14:paraId="6C36F760">
      <w:pPr>
        <w:pStyle w:val="3"/>
        <w:spacing w:after="0" w:line="420" w:lineRule="exact"/>
        <w:ind w:firstLine="220"/>
        <w:rPr>
          <w:rFonts w:ascii="宋体"/>
          <w:szCs w:val="22"/>
        </w:rPr>
      </w:pPr>
      <w:r>
        <w:rPr>
          <w:rFonts w:hint="eastAsia" w:ascii="宋体"/>
          <w:szCs w:val="22"/>
        </w:rPr>
        <w:t>（3）法定代表人或负责人或实际控制人存在三代以内旁系血亲关系；</w:t>
      </w:r>
    </w:p>
    <w:p w14:paraId="13BD0295">
      <w:pPr>
        <w:pStyle w:val="3"/>
        <w:spacing w:after="0" w:line="420" w:lineRule="exact"/>
        <w:ind w:firstLine="220"/>
        <w:rPr>
          <w:rFonts w:ascii="宋体"/>
          <w:szCs w:val="22"/>
        </w:rPr>
      </w:pPr>
      <w:r>
        <w:rPr>
          <w:rFonts w:hint="eastAsia" w:ascii="宋体"/>
          <w:szCs w:val="22"/>
        </w:rPr>
        <w:t>（4）法定代表人或负责人或实际控制人存在近姻亲关系；</w:t>
      </w:r>
    </w:p>
    <w:p w14:paraId="5518C666">
      <w:pPr>
        <w:pStyle w:val="3"/>
        <w:spacing w:after="0" w:line="420" w:lineRule="exact"/>
        <w:ind w:firstLine="220"/>
        <w:rPr>
          <w:rFonts w:ascii="宋体"/>
          <w:szCs w:val="22"/>
        </w:rPr>
      </w:pPr>
      <w:r>
        <w:rPr>
          <w:rFonts w:hint="eastAsia" w:ascii="宋体"/>
          <w:szCs w:val="22"/>
        </w:rPr>
        <w:t>（5）法定代表人或负责人或实际控制人存在股份控制或实际控制关系；</w:t>
      </w:r>
    </w:p>
    <w:p w14:paraId="328020B4">
      <w:pPr>
        <w:pStyle w:val="3"/>
        <w:spacing w:after="0" w:line="420" w:lineRule="exact"/>
        <w:ind w:firstLine="220"/>
        <w:rPr>
          <w:rFonts w:ascii="宋体"/>
          <w:szCs w:val="22"/>
        </w:rPr>
      </w:pPr>
      <w:r>
        <w:rPr>
          <w:rFonts w:hint="eastAsia" w:ascii="宋体"/>
          <w:szCs w:val="22"/>
        </w:rPr>
        <w:t>（6）存在共同直接或间接投资设立子公司、联营企业和合营企业情况；</w:t>
      </w:r>
    </w:p>
    <w:p w14:paraId="78737793">
      <w:pPr>
        <w:pStyle w:val="3"/>
        <w:spacing w:after="0" w:line="420" w:lineRule="exact"/>
        <w:ind w:firstLine="220"/>
        <w:rPr>
          <w:rFonts w:ascii="宋体"/>
          <w:szCs w:val="22"/>
        </w:rPr>
      </w:pPr>
      <w:r>
        <w:rPr>
          <w:rFonts w:hint="eastAsia" w:ascii="宋体"/>
          <w:szCs w:val="22"/>
        </w:rPr>
        <w:t>（7）存在分级代理或代销关系、同一生产制造商关系、管理关系、重要业务（占主营业务收入 50%以上）或重要财务往来关系（如融资）等其他实质性控制关系。</w:t>
      </w:r>
    </w:p>
    <w:p w14:paraId="00BF289C">
      <w:pPr>
        <w:pStyle w:val="3"/>
        <w:spacing w:after="0" w:line="420" w:lineRule="exact"/>
        <w:ind w:firstLine="220"/>
        <w:rPr>
          <w:rFonts w:ascii="宋体"/>
          <w:szCs w:val="22"/>
        </w:rPr>
      </w:pPr>
      <w:r>
        <w:rPr>
          <w:rFonts w:hint="eastAsia" w:ascii="宋体"/>
          <w:szCs w:val="22"/>
        </w:rPr>
        <w:t xml:space="preserve">  15、如供应商为通讯行业的全国性企业所设立的区域性分支机构的，单位负责人等同于法定代表人（招标文件以下同）【有涉及到通讯行业投标的项目适用本条款】。</w:t>
      </w:r>
    </w:p>
    <w:p w14:paraId="408592DB">
      <w:pPr>
        <w:pStyle w:val="7"/>
        <w:spacing w:line="420" w:lineRule="exact"/>
      </w:pPr>
      <w:r>
        <w:rPr>
          <w:rFonts w:hint="eastAsia"/>
        </w:rPr>
        <w:t>二、供应商资格要求</w:t>
      </w:r>
    </w:p>
    <w:p w14:paraId="5F5FBF83">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按招标公告要求</w:t>
      </w:r>
    </w:p>
    <w:p w14:paraId="7742F5BA">
      <w:pPr>
        <w:pStyle w:val="7"/>
        <w:spacing w:line="420" w:lineRule="exact"/>
      </w:pPr>
      <w:r>
        <w:rPr>
          <w:rFonts w:hint="eastAsia"/>
        </w:rPr>
        <w:t>三、招标文件</w:t>
      </w:r>
    </w:p>
    <w:p w14:paraId="5ED9EB69">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1、招标文件</w:t>
      </w:r>
    </w:p>
    <w:p w14:paraId="69290B4F">
      <w:pPr>
        <w:autoSpaceDE w:val="0"/>
        <w:autoSpaceDN w:val="0"/>
        <w:adjustRightInd w:val="0"/>
        <w:snapToGrid w:val="0"/>
        <w:spacing w:line="420" w:lineRule="exact"/>
        <w:ind w:firstLine="440" w:firstLineChars="200"/>
        <w:rPr>
          <w:rFonts w:ascii="宋体" w:hAnsi="宋体"/>
          <w:szCs w:val="22"/>
        </w:rPr>
      </w:pPr>
      <w:r>
        <w:rPr>
          <w:rFonts w:hint="eastAsia" w:ascii="宋体" w:hAnsi="宋体"/>
          <w:szCs w:val="22"/>
        </w:rPr>
        <w:t>1.1招标文件发放</w:t>
      </w:r>
    </w:p>
    <w:p w14:paraId="66A3D2AD">
      <w:pPr>
        <w:autoSpaceDE w:val="0"/>
        <w:autoSpaceDN w:val="0"/>
        <w:adjustRightInd w:val="0"/>
        <w:snapToGrid w:val="0"/>
        <w:spacing w:line="420" w:lineRule="exact"/>
        <w:ind w:firstLine="440" w:firstLineChars="200"/>
        <w:rPr>
          <w:rFonts w:ascii="宋体"/>
          <w:szCs w:val="22"/>
        </w:rPr>
      </w:pPr>
      <w:r>
        <w:rPr>
          <w:rFonts w:hint="eastAsia" w:ascii="宋体"/>
          <w:szCs w:val="22"/>
        </w:rPr>
        <w:t>1.1.1、本项目招标文件实行“政府采购云平台”在线获取，不提供招标文件纸质版。供应商获取招标文件前应先完成“政府采购云平台”的账号注册；</w:t>
      </w:r>
    </w:p>
    <w:p w14:paraId="35D63627">
      <w:pPr>
        <w:autoSpaceDE w:val="0"/>
        <w:autoSpaceDN w:val="0"/>
        <w:adjustRightInd w:val="0"/>
        <w:snapToGrid w:val="0"/>
        <w:spacing w:line="420" w:lineRule="exact"/>
        <w:ind w:firstLine="440" w:firstLineChars="200"/>
        <w:rPr>
          <w:rFonts w:ascii="宋体"/>
          <w:szCs w:val="22"/>
        </w:rPr>
      </w:pPr>
      <w:r>
        <w:rPr>
          <w:rFonts w:hint="eastAsia" w:ascii="宋体"/>
          <w:szCs w:val="22"/>
        </w:rPr>
        <w:t>1.1.2、获取地点：政采云平台</w:t>
      </w:r>
      <w:r>
        <w:rPr>
          <w:rFonts w:ascii="宋体"/>
          <w:szCs w:val="22"/>
        </w:rPr>
        <w:t>（https://www.zcygov.cn/）</w:t>
      </w:r>
      <w:r>
        <w:rPr>
          <w:rFonts w:hint="eastAsia" w:ascii="宋体"/>
          <w:szCs w:val="22"/>
        </w:rPr>
        <w:t>；</w:t>
      </w:r>
    </w:p>
    <w:p w14:paraId="75E840F2">
      <w:pPr>
        <w:autoSpaceDE w:val="0"/>
        <w:autoSpaceDN w:val="0"/>
        <w:adjustRightInd w:val="0"/>
        <w:snapToGrid w:val="0"/>
        <w:spacing w:line="420" w:lineRule="exact"/>
        <w:ind w:firstLine="440" w:firstLineChars="200"/>
        <w:rPr>
          <w:rFonts w:ascii="宋体"/>
          <w:szCs w:val="22"/>
        </w:rPr>
      </w:pPr>
      <w:r>
        <w:rPr>
          <w:rFonts w:hint="eastAsia" w:ascii="宋体"/>
          <w:szCs w:val="22"/>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6A106864">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szCs w:val="22"/>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281B480">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1.2招标文件约束力</w:t>
      </w:r>
    </w:p>
    <w:p w14:paraId="14F642C2">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u w:val="single"/>
        </w:rPr>
        <w:t>▲供应商一旦获取了本招标文件并参加投标，即被认为接受了本招标文件中所有条款和规定。</w:t>
      </w:r>
    </w:p>
    <w:p w14:paraId="466BBF0E">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1.3招标文件的组成</w:t>
      </w:r>
    </w:p>
    <w:p w14:paraId="2E8D46DE">
      <w:pPr>
        <w:autoSpaceDE w:val="0"/>
        <w:autoSpaceDN w:val="0"/>
        <w:adjustRightInd w:val="0"/>
        <w:snapToGrid w:val="0"/>
        <w:spacing w:line="420" w:lineRule="exact"/>
        <w:ind w:firstLine="431" w:firstLineChars="196"/>
        <w:textAlignment w:val="bottom"/>
        <w:rPr>
          <w:rFonts w:ascii="宋体"/>
          <w:szCs w:val="22"/>
        </w:rPr>
      </w:pPr>
      <w:r>
        <w:rPr>
          <w:rFonts w:hint="eastAsia" w:ascii="宋体"/>
          <w:szCs w:val="22"/>
        </w:rPr>
        <w:t>招标文件由招标文件总目录所列内容及补充资料等组成。</w:t>
      </w:r>
    </w:p>
    <w:p w14:paraId="7CE470C3">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2、招标文件的澄清或者修改</w:t>
      </w:r>
    </w:p>
    <w:p w14:paraId="62C6D8EE">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2.1、已获取招标文件的潜在投标人，若有问题需要澄清，应在投标通知(邀请)书规定时间之前，以纸质形式送达采购代理机构，采购代理机构与采购人研究后，对认为有必要回答的问题，将以公告形式发出。</w:t>
      </w:r>
    </w:p>
    <w:p w14:paraId="017D187A">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2.2、投标人一旦参与本次采购活动，即被视为接受了本招标文件的所有内容，如有任何异议，均已在澄清截止时间前提出。</w:t>
      </w:r>
    </w:p>
    <w:p w14:paraId="3720B705">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2.3、从招标文件发出至投标截止日期，采购代理机构可以对已发出的招标文件进行必要的澄清或者修改。澄清或者修改的内容将以公告形式发出。</w:t>
      </w:r>
    </w:p>
    <w:p w14:paraId="7D1A0538">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2.4、澄清或者修改的内容可能影响投标文件编制的，采购代理机构将在投标截止时间 15 日前，以公告形式通知所有获取招标文件的潜在投标人；不足 15 日的，将相应延长提交投标文件的截止时间。</w:t>
      </w:r>
    </w:p>
    <w:p w14:paraId="6A4728CE">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2.5、招标文件与招标文件的澄清、修改、补充通知就同一内容的表述不一致时，以最后发出的为准。</w:t>
      </w:r>
    </w:p>
    <w:p w14:paraId="46F56397">
      <w:pPr>
        <w:autoSpaceDE w:val="0"/>
        <w:autoSpaceDN w:val="0"/>
        <w:adjustRightInd w:val="0"/>
        <w:snapToGrid w:val="0"/>
        <w:spacing w:line="420" w:lineRule="exact"/>
        <w:textAlignment w:val="bottom"/>
        <w:outlineLvl w:val="0"/>
        <w:rPr>
          <w:rFonts w:ascii="宋体" w:hAnsi="宋体"/>
          <w:szCs w:val="22"/>
        </w:rPr>
      </w:pPr>
      <w:r>
        <w:rPr>
          <w:rFonts w:hint="eastAsia" w:ascii="宋体" w:hAnsi="宋体"/>
          <w:szCs w:val="22"/>
        </w:rPr>
        <w:t xml:space="preserve">    2.6、各投标人自行在指定信息发布媒体（http://zfcg.czt.zj.gov.cn）下载或查阅招标相关文件和资料等，恕不另行通知，如有遗漏采购人、代理机构概不负责。</w:t>
      </w:r>
    </w:p>
    <w:p w14:paraId="4EFA8241">
      <w:pPr>
        <w:pStyle w:val="7"/>
        <w:spacing w:line="420" w:lineRule="exact"/>
      </w:pPr>
      <w:r>
        <w:rPr>
          <w:rFonts w:hint="eastAsia"/>
        </w:rPr>
        <w:t>四、投标文件</w:t>
      </w:r>
    </w:p>
    <w:p w14:paraId="7B63CEC0">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1、投标文件</w:t>
      </w:r>
    </w:p>
    <w:p w14:paraId="3EFFA578">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1.1</w:t>
      </w:r>
      <w:r>
        <w:rPr>
          <w:rFonts w:hint="eastAsia" w:ascii="宋体" w:hAnsi="宋体" w:cs="Arial"/>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Pr>
          <w:color w:val="000000"/>
        </w:rPr>
        <w:t>（是否为重大偏离由</w:t>
      </w:r>
      <w:r>
        <w:rPr>
          <w:rFonts w:hint="eastAsia"/>
          <w:color w:val="000000"/>
        </w:rPr>
        <w:t>评标委员会</w:t>
      </w:r>
      <w:r>
        <w:rPr>
          <w:color w:val="000000"/>
        </w:rPr>
        <w:t>判定）</w:t>
      </w:r>
      <w:r>
        <w:rPr>
          <w:rFonts w:hint="eastAsia"/>
          <w:color w:val="000000"/>
        </w:rPr>
        <w:t>。</w:t>
      </w:r>
    </w:p>
    <w:p w14:paraId="707BC109">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仿宋_GB2312"/>
          <w:szCs w:val="22"/>
          <w:lang w:val="zh-CN"/>
        </w:rPr>
        <w:t>1.2</w:t>
      </w:r>
      <w:r>
        <w:rPr>
          <w:rFonts w:hint="eastAsia" w:ascii="宋体" w:hAnsi="宋体" w:cs="Arial"/>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6A96B4E">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cs="仿宋_GB2312"/>
          <w:szCs w:val="22"/>
          <w:lang w:val="zh-CN"/>
        </w:rPr>
        <w:t>1.3供应商应仔细阅读招标文件中的所有内容，按照招标文件要求，详细编制投标文件，所有文件资料必须是针对本次投标。不按招标文件的要求提供的投标文件可能导致被拒绝。</w:t>
      </w:r>
    </w:p>
    <w:p w14:paraId="3C86850C">
      <w:pPr>
        <w:autoSpaceDE w:val="0"/>
        <w:autoSpaceDN w:val="0"/>
        <w:adjustRightInd w:val="0"/>
        <w:snapToGrid w:val="0"/>
        <w:spacing w:line="420" w:lineRule="exact"/>
        <w:ind w:firstLine="431" w:firstLineChars="196"/>
        <w:textAlignment w:val="bottom"/>
        <w:rPr>
          <w:rFonts w:ascii="宋体" w:hAnsi="宋体"/>
          <w:szCs w:val="22"/>
        </w:rPr>
      </w:pPr>
      <w:r>
        <w:rPr>
          <w:rFonts w:hint="eastAsia" w:ascii="宋体" w:hAnsi="宋体"/>
          <w:szCs w:val="22"/>
        </w:rPr>
        <w:t xml:space="preserve">2、投标文件的组成  </w:t>
      </w:r>
    </w:p>
    <w:p w14:paraId="0FAB04EA">
      <w:pPr>
        <w:autoSpaceDE w:val="0"/>
        <w:autoSpaceDN w:val="0"/>
        <w:adjustRightInd w:val="0"/>
        <w:snapToGrid w:val="0"/>
        <w:spacing w:line="420" w:lineRule="exact"/>
        <w:ind w:firstLine="431" w:firstLineChars="196"/>
        <w:textAlignment w:val="bottom"/>
        <w:rPr>
          <w:rFonts w:ascii="宋体" w:hAnsi="宋体" w:cs="仿宋_GB2312"/>
          <w:szCs w:val="22"/>
          <w:lang w:val="zh-CN"/>
        </w:rPr>
      </w:pPr>
      <w:r>
        <w:rPr>
          <w:rFonts w:hint="eastAsia" w:ascii="宋体" w:hAnsi="宋体"/>
          <w:szCs w:val="22"/>
          <w:u w:val="single"/>
        </w:rPr>
        <w:t>▲</w:t>
      </w:r>
      <w:r>
        <w:rPr>
          <w:rFonts w:hint="eastAsia" w:ascii="宋体" w:hAnsi="宋体" w:cs="Arial"/>
          <w:b/>
          <w:bCs/>
          <w:szCs w:val="22"/>
          <w:u w:val="single"/>
        </w:rPr>
        <w:t>投标文件（包含电子投标文件和备份投标文件）由资格响应文件、商务技术文件、报价文件三部分组成，其中电子投标文件中所须加盖投标单位公章部分均采用CA签章。商务技术部分（含资格响应文件）不得</w:t>
      </w:r>
      <w:r>
        <w:rPr>
          <w:rFonts w:hint="eastAsia" w:ascii="宋体" w:hAnsi="宋体" w:cs="Arial"/>
          <w:b/>
          <w:bCs/>
          <w:szCs w:val="22"/>
          <w:u w:val="single"/>
          <w:lang w:val="zh-CN"/>
        </w:rPr>
        <w:t>含报价，否则投标文件将被拒绝。</w:t>
      </w:r>
    </w:p>
    <w:p w14:paraId="2EE83989">
      <w:pPr>
        <w:widowControl/>
        <w:autoSpaceDE w:val="0"/>
        <w:autoSpaceDN w:val="0"/>
        <w:snapToGrid w:val="0"/>
        <w:spacing w:line="420" w:lineRule="exact"/>
        <w:ind w:firstLine="431"/>
        <w:jc w:val="left"/>
        <w:rPr>
          <w:color w:val="000000"/>
        </w:rPr>
      </w:pPr>
      <w:bookmarkStart w:id="169" w:name="OLE_LINK12"/>
    </w:p>
    <w:tbl>
      <w:tblPr>
        <w:tblStyle w:val="32"/>
        <w:tblW w:w="9356"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96"/>
        <w:gridCol w:w="709"/>
      </w:tblGrid>
      <w:tr w14:paraId="29B2F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851" w:type="dxa"/>
            <w:tcBorders>
              <w:bottom w:val="single" w:color="auto" w:sz="6" w:space="0"/>
            </w:tcBorders>
            <w:shd w:val="clear" w:color="auto" w:fill="DAEEF3"/>
            <w:vAlign w:val="center"/>
          </w:tcPr>
          <w:p w14:paraId="1DF3FCE9">
            <w:pPr>
              <w:spacing w:line="420" w:lineRule="exact"/>
              <w:jc w:val="center"/>
              <w:rPr>
                <w:rFonts w:ascii="宋体" w:hAnsi="宋体"/>
                <w:b/>
                <w:color w:val="000000"/>
                <w:szCs w:val="22"/>
              </w:rPr>
            </w:pPr>
            <w:r>
              <w:rPr>
                <w:rFonts w:hint="eastAsia" w:ascii="宋体" w:hAnsi="宋体"/>
                <w:b/>
                <w:color w:val="000000"/>
                <w:szCs w:val="22"/>
              </w:rPr>
              <w:t>序号</w:t>
            </w:r>
          </w:p>
        </w:tc>
        <w:tc>
          <w:tcPr>
            <w:tcW w:w="7796" w:type="dxa"/>
            <w:tcBorders>
              <w:bottom w:val="single" w:color="auto" w:sz="6" w:space="0"/>
            </w:tcBorders>
            <w:shd w:val="clear" w:color="auto" w:fill="DAEEF3"/>
            <w:vAlign w:val="center"/>
          </w:tcPr>
          <w:p w14:paraId="343A3CB4">
            <w:pPr>
              <w:spacing w:line="420" w:lineRule="exact"/>
              <w:jc w:val="center"/>
              <w:rPr>
                <w:rFonts w:ascii="宋体" w:hAnsi="宋体"/>
                <w:b/>
                <w:color w:val="000000"/>
                <w:szCs w:val="22"/>
              </w:rPr>
            </w:pPr>
            <w:r>
              <w:rPr>
                <w:rFonts w:hint="eastAsia" w:ascii="宋体" w:hAnsi="宋体"/>
                <w:b/>
                <w:color w:val="000000"/>
                <w:szCs w:val="22"/>
              </w:rPr>
              <w:t>投标文件组成内容</w:t>
            </w:r>
          </w:p>
        </w:tc>
        <w:tc>
          <w:tcPr>
            <w:tcW w:w="709" w:type="dxa"/>
            <w:tcBorders>
              <w:bottom w:val="single" w:color="auto" w:sz="6" w:space="0"/>
            </w:tcBorders>
            <w:shd w:val="clear" w:color="auto" w:fill="DAEEF3"/>
            <w:vAlign w:val="center"/>
          </w:tcPr>
          <w:p w14:paraId="393798DD">
            <w:pPr>
              <w:spacing w:line="420" w:lineRule="exact"/>
              <w:jc w:val="center"/>
              <w:rPr>
                <w:rFonts w:ascii="宋体" w:hAnsi="宋体"/>
                <w:b/>
                <w:color w:val="000000"/>
                <w:szCs w:val="22"/>
              </w:rPr>
            </w:pPr>
            <w:r>
              <w:rPr>
                <w:rFonts w:hint="eastAsia" w:ascii="宋体" w:hAnsi="宋体"/>
                <w:b/>
                <w:color w:val="000000"/>
                <w:szCs w:val="22"/>
              </w:rPr>
              <w:t>投标</w:t>
            </w:r>
          </w:p>
          <w:p w14:paraId="24F0171A">
            <w:pPr>
              <w:spacing w:line="420" w:lineRule="exact"/>
              <w:jc w:val="center"/>
              <w:rPr>
                <w:rFonts w:ascii="宋体" w:hAnsi="宋体"/>
                <w:b/>
                <w:color w:val="000000"/>
                <w:szCs w:val="22"/>
              </w:rPr>
            </w:pPr>
            <w:r>
              <w:rPr>
                <w:rFonts w:hint="eastAsia" w:ascii="宋体" w:hAnsi="宋体"/>
                <w:b/>
                <w:color w:val="000000"/>
                <w:szCs w:val="22"/>
              </w:rPr>
              <w:t>格式</w:t>
            </w:r>
          </w:p>
        </w:tc>
      </w:tr>
      <w:tr w14:paraId="11468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9356" w:type="dxa"/>
            <w:gridSpan w:val="3"/>
            <w:tcBorders>
              <w:top w:val="single" w:color="auto" w:sz="6" w:space="0"/>
              <w:bottom w:val="single" w:color="auto" w:sz="6" w:space="0"/>
            </w:tcBorders>
            <w:shd w:val="clear" w:color="auto" w:fill="FDE9D9"/>
            <w:vAlign w:val="center"/>
          </w:tcPr>
          <w:p w14:paraId="51F3CE84">
            <w:pPr>
              <w:spacing w:line="420" w:lineRule="exact"/>
              <w:jc w:val="left"/>
              <w:rPr>
                <w:rFonts w:ascii="宋体" w:hAnsi="宋体"/>
                <w:b/>
                <w:color w:val="000000"/>
                <w:szCs w:val="22"/>
              </w:rPr>
            </w:pPr>
            <w:r>
              <w:rPr>
                <w:rFonts w:hint="eastAsia" w:ascii="宋体" w:hAnsi="宋体"/>
                <w:b/>
                <w:color w:val="000000"/>
                <w:szCs w:val="22"/>
              </w:rPr>
              <w:t>一、《资格响应文件》</w:t>
            </w:r>
            <w:r>
              <w:rPr>
                <w:rFonts w:hint="eastAsia" w:ascii="宋体" w:hAnsi="宋体" w:cs="Arial"/>
                <w:b/>
                <w:color w:val="000000"/>
                <w:szCs w:val="22"/>
              </w:rPr>
              <w:t>组成内容（须单页保存，逐页上传，格式见附件）（此项供应商必须提供，否则不能通过资格性审查的，责任自负）</w:t>
            </w:r>
          </w:p>
        </w:tc>
      </w:tr>
      <w:tr w14:paraId="420A6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59EF7B94">
            <w:pPr>
              <w:spacing w:line="420" w:lineRule="exact"/>
              <w:jc w:val="center"/>
              <w:rPr>
                <w:rFonts w:ascii="宋体" w:hAnsi="宋体"/>
                <w:b/>
                <w:color w:val="000000"/>
                <w:szCs w:val="22"/>
              </w:rPr>
            </w:pPr>
            <w:r>
              <w:rPr>
                <w:rFonts w:hint="eastAsia" w:ascii="宋体" w:hAnsi="宋体"/>
                <w:b/>
                <w:color w:val="000000"/>
                <w:szCs w:val="22"/>
              </w:rPr>
              <w:t>1.1</w:t>
            </w:r>
          </w:p>
        </w:tc>
        <w:tc>
          <w:tcPr>
            <w:tcW w:w="7796" w:type="dxa"/>
            <w:tcBorders>
              <w:top w:val="single" w:color="auto" w:sz="6" w:space="0"/>
            </w:tcBorders>
            <w:vAlign w:val="center"/>
          </w:tcPr>
          <w:p w14:paraId="5364B7E1">
            <w:pPr>
              <w:spacing w:line="420" w:lineRule="exact"/>
              <w:jc w:val="left"/>
              <w:rPr>
                <w:rFonts w:ascii="宋体" w:hAnsi="宋体"/>
                <w:b/>
                <w:color w:val="000000"/>
                <w:szCs w:val="22"/>
              </w:rPr>
            </w:pPr>
            <w:r>
              <w:rPr>
                <w:rFonts w:hint="eastAsia" w:ascii="宋体" w:hAnsi="宋体"/>
                <w:b/>
                <w:color w:val="000000"/>
                <w:szCs w:val="22"/>
              </w:rPr>
              <w:t>投标供应商参与政府采购活动投标资格声明函</w:t>
            </w:r>
          </w:p>
        </w:tc>
        <w:tc>
          <w:tcPr>
            <w:tcW w:w="709" w:type="dxa"/>
            <w:tcBorders>
              <w:top w:val="single" w:color="auto" w:sz="6" w:space="0"/>
            </w:tcBorders>
            <w:vAlign w:val="center"/>
          </w:tcPr>
          <w:p w14:paraId="59EF07C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33EE9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23A03814">
            <w:pPr>
              <w:spacing w:line="420" w:lineRule="exact"/>
              <w:jc w:val="center"/>
              <w:rPr>
                <w:rFonts w:ascii="宋体" w:hAnsi="宋体"/>
                <w:b/>
                <w:color w:val="000000"/>
                <w:szCs w:val="22"/>
              </w:rPr>
            </w:pPr>
            <w:r>
              <w:rPr>
                <w:rFonts w:hint="eastAsia" w:ascii="宋体" w:hAnsi="宋体"/>
                <w:b/>
                <w:color w:val="000000"/>
                <w:szCs w:val="22"/>
              </w:rPr>
              <w:t>1.2</w:t>
            </w:r>
          </w:p>
        </w:tc>
        <w:tc>
          <w:tcPr>
            <w:tcW w:w="7796" w:type="dxa"/>
            <w:tcBorders>
              <w:top w:val="single" w:color="auto" w:sz="6" w:space="0"/>
            </w:tcBorders>
            <w:vAlign w:val="center"/>
          </w:tcPr>
          <w:p w14:paraId="54940D83">
            <w:pPr>
              <w:spacing w:line="420" w:lineRule="exact"/>
              <w:jc w:val="left"/>
              <w:rPr>
                <w:rFonts w:ascii="宋体" w:hAnsi="宋体"/>
                <w:b/>
                <w:szCs w:val="22"/>
              </w:rPr>
            </w:pPr>
            <w:r>
              <w:rPr>
                <w:rFonts w:hint="eastAsia" w:ascii="宋体" w:hAnsi="宋体" w:cs="Courier New"/>
                <w:bCs/>
                <w:szCs w:val="21"/>
              </w:rPr>
              <w:t>投标供应商的营业执照、税务登记证（如为多证合一仅需提供营业执照，加盖公章）</w:t>
            </w:r>
          </w:p>
        </w:tc>
        <w:tc>
          <w:tcPr>
            <w:tcW w:w="709" w:type="dxa"/>
            <w:tcBorders>
              <w:top w:val="single" w:color="auto" w:sz="6" w:space="0"/>
            </w:tcBorders>
            <w:vAlign w:val="center"/>
          </w:tcPr>
          <w:p w14:paraId="4ED747E9">
            <w:pPr>
              <w:spacing w:line="420" w:lineRule="exact"/>
              <w:jc w:val="center"/>
              <w:rPr>
                <w:rFonts w:ascii="宋体" w:hAnsi="宋体" w:cs="Arial"/>
                <w:color w:val="000000"/>
                <w:szCs w:val="22"/>
              </w:rPr>
            </w:pPr>
            <w:r>
              <w:rPr>
                <w:rFonts w:hint="eastAsia" w:ascii="宋体" w:hAnsi="宋体" w:cs="Arial"/>
                <w:color w:val="000000"/>
                <w:szCs w:val="22"/>
              </w:rPr>
              <w:t>无</w:t>
            </w:r>
          </w:p>
        </w:tc>
      </w:tr>
      <w:tr w14:paraId="7DB83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0" w:hRule="atLeast"/>
        </w:trPr>
        <w:tc>
          <w:tcPr>
            <w:tcW w:w="851" w:type="dxa"/>
            <w:vAlign w:val="center"/>
          </w:tcPr>
          <w:p w14:paraId="621778D0">
            <w:pPr>
              <w:spacing w:line="420" w:lineRule="exact"/>
              <w:jc w:val="center"/>
              <w:rPr>
                <w:rFonts w:ascii="宋体" w:hAnsi="宋体" w:cs="Arial"/>
                <w:b/>
                <w:color w:val="000000"/>
                <w:szCs w:val="22"/>
              </w:rPr>
            </w:pPr>
            <w:r>
              <w:rPr>
                <w:rFonts w:hint="eastAsia" w:ascii="宋体" w:hAnsi="宋体" w:cs="Arial"/>
                <w:b/>
                <w:color w:val="000000"/>
                <w:szCs w:val="22"/>
              </w:rPr>
              <w:t>1.3</w:t>
            </w:r>
          </w:p>
        </w:tc>
        <w:tc>
          <w:tcPr>
            <w:tcW w:w="7796" w:type="dxa"/>
          </w:tcPr>
          <w:p w14:paraId="3982A678">
            <w:pPr>
              <w:autoSpaceDE w:val="0"/>
              <w:autoSpaceDN w:val="0"/>
              <w:adjustRightInd w:val="0"/>
              <w:snapToGrid w:val="0"/>
              <w:spacing w:line="420" w:lineRule="exact"/>
              <w:jc w:val="left"/>
              <w:rPr>
                <w:rFonts w:ascii="宋体" w:hAnsi="宋体" w:cs="Arial"/>
                <w:b/>
                <w:szCs w:val="22"/>
              </w:rPr>
            </w:pPr>
            <w:r>
              <w:rPr>
                <w:rFonts w:hint="eastAsia" w:ascii="宋体" w:hAnsi="宋体" w:cs="Arial"/>
                <w:b/>
                <w:szCs w:val="22"/>
              </w:rPr>
              <w:t>供应商法定代表人授权书（非法定代表人参加时须提供）；如为法定代表人参与的只须提供法人身份证明。如为授权代表提供授权书及法人身份证明；（格式见附件）</w:t>
            </w:r>
          </w:p>
        </w:tc>
        <w:tc>
          <w:tcPr>
            <w:tcW w:w="709" w:type="dxa"/>
            <w:vAlign w:val="center"/>
          </w:tcPr>
          <w:p w14:paraId="64391A71">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C675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restart"/>
            <w:vAlign w:val="center"/>
          </w:tcPr>
          <w:p w14:paraId="326BD039">
            <w:pPr>
              <w:spacing w:line="420" w:lineRule="exact"/>
              <w:jc w:val="center"/>
              <w:rPr>
                <w:rFonts w:ascii="宋体" w:hAnsi="宋体" w:cs="Arial"/>
                <w:b/>
                <w:color w:val="000000"/>
                <w:szCs w:val="22"/>
              </w:rPr>
            </w:pPr>
            <w:r>
              <w:rPr>
                <w:rFonts w:hint="eastAsia" w:ascii="宋体" w:hAnsi="宋体" w:cs="Arial"/>
                <w:b/>
                <w:color w:val="000000"/>
                <w:szCs w:val="22"/>
              </w:rPr>
              <w:t>1</w:t>
            </w:r>
            <w:r>
              <w:rPr>
                <w:rFonts w:ascii="宋体" w:hAnsi="宋体" w:cs="Arial"/>
                <w:b/>
                <w:color w:val="000000"/>
                <w:szCs w:val="22"/>
              </w:rPr>
              <w:t>.4</w:t>
            </w:r>
          </w:p>
        </w:tc>
        <w:tc>
          <w:tcPr>
            <w:tcW w:w="7796" w:type="dxa"/>
          </w:tcPr>
          <w:p w14:paraId="6D1FE110">
            <w:pPr>
              <w:autoSpaceDE w:val="0"/>
              <w:autoSpaceDN w:val="0"/>
              <w:adjustRightInd w:val="0"/>
              <w:snapToGrid w:val="0"/>
              <w:spacing w:line="420" w:lineRule="exact"/>
              <w:jc w:val="left"/>
              <w:rPr>
                <w:rFonts w:ascii="宋体" w:hAnsi="宋体" w:cs="Arial"/>
                <w:b/>
                <w:szCs w:val="22"/>
              </w:rPr>
            </w:pPr>
            <w:r>
              <w:rPr>
                <w:rFonts w:hint="eastAsia" w:ascii="宋体" w:hAnsi="宋体" w:cs="Arial"/>
                <w:b/>
                <w:szCs w:val="22"/>
              </w:rPr>
              <w:t>落实政府采购政策需满足的资格要求：</w:t>
            </w:r>
          </w:p>
        </w:tc>
        <w:tc>
          <w:tcPr>
            <w:tcW w:w="709" w:type="dxa"/>
            <w:vAlign w:val="center"/>
          </w:tcPr>
          <w:p w14:paraId="7B0A1227">
            <w:pPr>
              <w:spacing w:line="420" w:lineRule="exact"/>
              <w:jc w:val="center"/>
              <w:rPr>
                <w:rFonts w:ascii="宋体" w:hAnsi="宋体" w:cs="Arial"/>
                <w:color w:val="000000"/>
                <w:szCs w:val="22"/>
              </w:rPr>
            </w:pPr>
          </w:p>
        </w:tc>
      </w:tr>
      <w:tr w14:paraId="6B427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5DC9B19C">
            <w:pPr>
              <w:spacing w:line="420" w:lineRule="exact"/>
              <w:jc w:val="center"/>
              <w:rPr>
                <w:rFonts w:ascii="宋体" w:hAnsi="宋体" w:cs="Arial"/>
                <w:b/>
                <w:color w:val="000000"/>
                <w:szCs w:val="22"/>
              </w:rPr>
            </w:pPr>
          </w:p>
        </w:tc>
        <w:tc>
          <w:tcPr>
            <w:tcW w:w="7796" w:type="dxa"/>
            <w:vAlign w:val="center"/>
          </w:tcPr>
          <w:p w14:paraId="1DAF8ABC">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（1）中小企业声明函</w:t>
            </w:r>
            <w:r>
              <w:rPr>
                <w:rFonts w:hint="eastAsia" w:ascii="宋体" w:hAnsi="宋体"/>
                <w:szCs w:val="22"/>
              </w:rPr>
              <w:t>（如是，请提供）</w:t>
            </w:r>
          </w:p>
        </w:tc>
        <w:tc>
          <w:tcPr>
            <w:tcW w:w="709" w:type="dxa"/>
            <w:vAlign w:val="center"/>
          </w:tcPr>
          <w:p w14:paraId="726A18B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A1CBA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15E64472">
            <w:pPr>
              <w:spacing w:line="420" w:lineRule="exact"/>
              <w:jc w:val="center"/>
              <w:rPr>
                <w:rFonts w:ascii="宋体" w:hAnsi="宋体" w:cs="Arial"/>
                <w:b/>
                <w:color w:val="000000"/>
                <w:szCs w:val="22"/>
              </w:rPr>
            </w:pPr>
          </w:p>
        </w:tc>
        <w:tc>
          <w:tcPr>
            <w:tcW w:w="7796" w:type="dxa"/>
            <w:vAlign w:val="center"/>
          </w:tcPr>
          <w:p w14:paraId="3DDC7DF0">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（2）残疾人福利性单位声明函</w:t>
            </w:r>
            <w:r>
              <w:rPr>
                <w:rFonts w:hint="eastAsia" w:ascii="宋体" w:hAnsi="宋体"/>
                <w:szCs w:val="22"/>
              </w:rPr>
              <w:t>（如是，请提供）</w:t>
            </w:r>
          </w:p>
        </w:tc>
        <w:tc>
          <w:tcPr>
            <w:tcW w:w="709" w:type="dxa"/>
            <w:vAlign w:val="center"/>
          </w:tcPr>
          <w:p w14:paraId="4ED846B0">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FBFD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51" w:type="dxa"/>
            <w:vMerge w:val="continue"/>
            <w:vAlign w:val="center"/>
          </w:tcPr>
          <w:p w14:paraId="296AFCAD">
            <w:pPr>
              <w:spacing w:line="420" w:lineRule="exact"/>
              <w:jc w:val="center"/>
              <w:rPr>
                <w:rFonts w:ascii="宋体" w:hAnsi="宋体" w:cs="Arial"/>
                <w:b/>
                <w:color w:val="000000"/>
                <w:szCs w:val="22"/>
              </w:rPr>
            </w:pPr>
          </w:p>
        </w:tc>
        <w:tc>
          <w:tcPr>
            <w:tcW w:w="7796" w:type="dxa"/>
            <w:vAlign w:val="center"/>
          </w:tcPr>
          <w:p w14:paraId="086C3D09">
            <w:pPr>
              <w:autoSpaceDE w:val="0"/>
              <w:autoSpaceDN w:val="0"/>
              <w:adjustRightInd w:val="0"/>
              <w:snapToGrid w:val="0"/>
              <w:spacing w:line="420" w:lineRule="exact"/>
              <w:jc w:val="left"/>
              <w:rPr>
                <w:rFonts w:ascii="宋体" w:hAnsi="宋体" w:cs="Arial"/>
                <w:b/>
                <w:szCs w:val="22"/>
              </w:rPr>
            </w:pPr>
            <w:r>
              <w:rPr>
                <w:rFonts w:hint="eastAsia" w:ascii="宋体" w:hAnsi="宋体"/>
                <w:b/>
                <w:szCs w:val="22"/>
              </w:rPr>
              <w:t>（3）相关部门出具的监狱企业证明文件</w:t>
            </w:r>
            <w:r>
              <w:rPr>
                <w:rFonts w:hint="eastAsia" w:ascii="宋体" w:hAnsi="宋体"/>
                <w:szCs w:val="22"/>
              </w:rPr>
              <w:t>（如是，提供</w:t>
            </w:r>
            <w:r>
              <w:rPr>
                <w:rFonts w:hint="eastAsia" w:ascii="宋体" w:hAnsi="宋体" w:cs="Arial"/>
                <w:szCs w:val="22"/>
              </w:rPr>
              <w:t>扫描件</w:t>
            </w:r>
            <w:r>
              <w:rPr>
                <w:rFonts w:hint="eastAsia" w:ascii="宋体" w:hAnsi="宋体"/>
                <w:szCs w:val="22"/>
              </w:rPr>
              <w:t>加盖供应商公章</w:t>
            </w:r>
            <w:r>
              <w:rPr>
                <w:rFonts w:hint="eastAsia" w:ascii="宋体" w:hAnsi="宋体" w:cs="Arial"/>
                <w:szCs w:val="22"/>
              </w:rPr>
              <w:t>）</w:t>
            </w:r>
          </w:p>
        </w:tc>
        <w:tc>
          <w:tcPr>
            <w:tcW w:w="709" w:type="dxa"/>
            <w:vAlign w:val="center"/>
          </w:tcPr>
          <w:p w14:paraId="3B6E40FC">
            <w:pPr>
              <w:spacing w:line="420" w:lineRule="exact"/>
              <w:jc w:val="center"/>
              <w:rPr>
                <w:rFonts w:ascii="宋体" w:hAnsi="宋体" w:cs="Arial"/>
                <w:color w:val="000000"/>
                <w:szCs w:val="22"/>
              </w:rPr>
            </w:pPr>
            <w:r>
              <w:rPr>
                <w:rFonts w:hint="eastAsia" w:ascii="宋体" w:hAnsi="宋体" w:cs="Arial"/>
                <w:color w:val="000000"/>
                <w:szCs w:val="22"/>
              </w:rPr>
              <w:t>无</w:t>
            </w:r>
          </w:p>
        </w:tc>
      </w:tr>
      <w:tr w14:paraId="4BB10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356" w:type="dxa"/>
            <w:gridSpan w:val="3"/>
            <w:tcBorders>
              <w:bottom w:val="single" w:color="auto" w:sz="6" w:space="0"/>
            </w:tcBorders>
            <w:shd w:val="clear" w:color="auto" w:fill="E5DFEC"/>
            <w:vAlign w:val="center"/>
          </w:tcPr>
          <w:p w14:paraId="1FA9AF26">
            <w:pPr>
              <w:spacing w:line="420" w:lineRule="exact"/>
              <w:jc w:val="left"/>
              <w:rPr>
                <w:rFonts w:ascii="宋体" w:hAnsi="宋体" w:cs="Arial"/>
                <w:szCs w:val="22"/>
              </w:rPr>
            </w:pPr>
            <w:r>
              <w:t>▲</w:t>
            </w:r>
            <w:r>
              <w:rPr>
                <w:rFonts w:hint="eastAsia" w:ascii="宋体" w:hAnsi="宋体"/>
                <w:b/>
                <w:szCs w:val="22"/>
              </w:rPr>
              <w:t>备注：上述</w:t>
            </w:r>
            <w:r>
              <w:rPr>
                <w:rFonts w:hint="eastAsia" w:ascii="宋体" w:hAnsi="宋体" w:cs="Arial"/>
                <w:b/>
                <w:szCs w:val="22"/>
              </w:rPr>
              <w:t>资格证明文件未提供或提供的资格证明材料不齐全的，资格审查作不通过处理，不得进入评审程序。</w:t>
            </w:r>
          </w:p>
        </w:tc>
      </w:tr>
      <w:tr w14:paraId="5F105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9356" w:type="dxa"/>
            <w:gridSpan w:val="3"/>
            <w:tcBorders>
              <w:top w:val="single" w:color="auto" w:sz="6" w:space="0"/>
              <w:bottom w:val="single" w:color="auto" w:sz="6" w:space="0"/>
            </w:tcBorders>
            <w:shd w:val="clear" w:color="auto" w:fill="FDE9D9"/>
            <w:vAlign w:val="center"/>
          </w:tcPr>
          <w:p w14:paraId="6239D0E9">
            <w:pPr>
              <w:spacing w:line="420" w:lineRule="exact"/>
              <w:jc w:val="left"/>
              <w:rPr>
                <w:rFonts w:ascii="宋体" w:hAnsi="宋体"/>
                <w:b/>
                <w:szCs w:val="22"/>
              </w:rPr>
            </w:pPr>
            <w:r>
              <w:rPr>
                <w:rFonts w:hint="eastAsia" w:ascii="宋体" w:hAnsi="宋体"/>
                <w:b/>
                <w:szCs w:val="22"/>
              </w:rPr>
              <w:t>二、</w:t>
            </w:r>
            <w:r>
              <w:rPr>
                <w:rFonts w:hint="eastAsia" w:ascii="宋体" w:hAnsi="宋体" w:cs="Arial"/>
                <w:b/>
                <w:szCs w:val="22"/>
              </w:rPr>
              <w:t>《商务技术文件》组成内容</w:t>
            </w:r>
          </w:p>
        </w:tc>
      </w:tr>
      <w:tr w14:paraId="07207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tcBorders>
            <w:vAlign w:val="center"/>
          </w:tcPr>
          <w:p w14:paraId="106EEBC2">
            <w:pPr>
              <w:spacing w:line="420" w:lineRule="exact"/>
              <w:jc w:val="center"/>
              <w:rPr>
                <w:rFonts w:ascii="宋体" w:hAnsi="宋体"/>
                <w:b/>
                <w:color w:val="000000"/>
                <w:szCs w:val="22"/>
              </w:rPr>
            </w:pPr>
            <w:r>
              <w:rPr>
                <w:rFonts w:hint="eastAsia" w:ascii="宋体" w:hAnsi="宋体"/>
                <w:b/>
                <w:color w:val="000000"/>
                <w:szCs w:val="22"/>
              </w:rPr>
              <w:t>2.1</w:t>
            </w:r>
          </w:p>
        </w:tc>
        <w:tc>
          <w:tcPr>
            <w:tcW w:w="7796" w:type="dxa"/>
            <w:tcBorders>
              <w:top w:val="single" w:color="auto" w:sz="6" w:space="0"/>
            </w:tcBorders>
            <w:vAlign w:val="center"/>
          </w:tcPr>
          <w:p w14:paraId="0A571F1D">
            <w:pPr>
              <w:spacing w:line="420" w:lineRule="exact"/>
              <w:jc w:val="left"/>
              <w:rPr>
                <w:rFonts w:ascii="宋体" w:hAnsi="宋体"/>
                <w:b/>
                <w:szCs w:val="22"/>
              </w:rPr>
            </w:pPr>
            <w:r>
              <w:rPr>
                <w:rFonts w:hint="eastAsia" w:ascii="宋体" w:hAnsi="宋体" w:cs="Arial"/>
                <w:b/>
                <w:szCs w:val="22"/>
              </w:rPr>
              <w:t>《商务技术文件》封面</w:t>
            </w:r>
          </w:p>
        </w:tc>
        <w:tc>
          <w:tcPr>
            <w:tcW w:w="709" w:type="dxa"/>
            <w:tcBorders>
              <w:top w:val="single" w:color="auto" w:sz="6" w:space="0"/>
            </w:tcBorders>
            <w:vAlign w:val="center"/>
          </w:tcPr>
          <w:p w14:paraId="4B514066">
            <w:pPr>
              <w:spacing w:line="420" w:lineRule="exact"/>
              <w:jc w:val="center"/>
              <w:rPr>
                <w:rFonts w:ascii="宋体" w:hAnsi="宋体" w:cs="Arial"/>
                <w:color w:val="000000"/>
                <w:szCs w:val="22"/>
              </w:rPr>
            </w:pPr>
            <w:r>
              <w:rPr>
                <w:rFonts w:hint="eastAsia" w:ascii="宋体" w:hAnsi="宋体" w:cs="Arial"/>
                <w:color w:val="000000"/>
                <w:szCs w:val="22"/>
              </w:rPr>
              <w:t>有</w:t>
            </w:r>
          </w:p>
        </w:tc>
      </w:tr>
      <w:tr w14:paraId="1ECD6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29B248E">
            <w:pPr>
              <w:spacing w:line="420" w:lineRule="exact"/>
              <w:jc w:val="center"/>
              <w:rPr>
                <w:rFonts w:ascii="宋体" w:hAnsi="宋体"/>
                <w:b/>
                <w:color w:val="000000"/>
                <w:szCs w:val="22"/>
              </w:rPr>
            </w:pPr>
            <w:r>
              <w:rPr>
                <w:rFonts w:hint="eastAsia" w:ascii="宋体" w:hAnsi="宋体"/>
                <w:b/>
                <w:color w:val="000000"/>
                <w:szCs w:val="22"/>
              </w:rPr>
              <w:t>2.2</w:t>
            </w:r>
          </w:p>
        </w:tc>
        <w:tc>
          <w:tcPr>
            <w:tcW w:w="7796" w:type="dxa"/>
            <w:vAlign w:val="center"/>
          </w:tcPr>
          <w:p w14:paraId="14D6071F">
            <w:pPr>
              <w:spacing w:line="420" w:lineRule="exact"/>
              <w:jc w:val="left"/>
              <w:rPr>
                <w:rFonts w:ascii="宋体" w:hAnsi="宋体"/>
                <w:b/>
                <w:szCs w:val="22"/>
              </w:rPr>
            </w:pPr>
            <w:r>
              <w:rPr>
                <w:rFonts w:hint="eastAsia" w:ascii="宋体" w:hAnsi="宋体" w:cs="Arial"/>
                <w:b/>
                <w:szCs w:val="22"/>
              </w:rPr>
              <w:t>《商务技术文件》目录（带页码，自拟）</w:t>
            </w:r>
          </w:p>
        </w:tc>
        <w:tc>
          <w:tcPr>
            <w:tcW w:w="709" w:type="dxa"/>
            <w:vAlign w:val="center"/>
          </w:tcPr>
          <w:p w14:paraId="71DBF831">
            <w:pPr>
              <w:spacing w:line="420" w:lineRule="exact"/>
              <w:jc w:val="center"/>
              <w:rPr>
                <w:rFonts w:ascii="宋体" w:hAnsi="宋体" w:cs="Arial"/>
                <w:color w:val="000000"/>
                <w:szCs w:val="22"/>
              </w:rPr>
            </w:pPr>
            <w:r>
              <w:rPr>
                <w:rFonts w:hint="eastAsia" w:ascii="宋体" w:hAnsi="宋体" w:cs="Arial"/>
                <w:color w:val="000000"/>
                <w:szCs w:val="22"/>
              </w:rPr>
              <w:t>无</w:t>
            </w:r>
          </w:p>
        </w:tc>
      </w:tr>
      <w:tr w14:paraId="372AD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A2949DE">
            <w:pPr>
              <w:spacing w:line="420" w:lineRule="exact"/>
              <w:jc w:val="center"/>
              <w:rPr>
                <w:rFonts w:ascii="宋体" w:hAnsi="宋体"/>
                <w:b/>
                <w:color w:val="000000"/>
                <w:szCs w:val="22"/>
              </w:rPr>
            </w:pPr>
            <w:r>
              <w:rPr>
                <w:rFonts w:hint="eastAsia" w:ascii="宋体" w:hAnsi="宋体"/>
                <w:b/>
                <w:color w:val="000000"/>
                <w:szCs w:val="22"/>
              </w:rPr>
              <w:t>2.3</w:t>
            </w:r>
          </w:p>
        </w:tc>
        <w:tc>
          <w:tcPr>
            <w:tcW w:w="7796" w:type="dxa"/>
            <w:vAlign w:val="center"/>
          </w:tcPr>
          <w:p w14:paraId="2D0399D3">
            <w:pPr>
              <w:spacing w:line="420" w:lineRule="exact"/>
              <w:jc w:val="left"/>
              <w:rPr>
                <w:rFonts w:ascii="宋体" w:hAnsi="宋体" w:cs="Arial"/>
                <w:b/>
                <w:szCs w:val="22"/>
              </w:rPr>
            </w:pPr>
            <w:r>
              <w:rPr>
                <w:rFonts w:hint="eastAsia" w:ascii="宋体" w:hAnsi="宋体" w:cs="Arial"/>
                <w:b/>
                <w:szCs w:val="22"/>
              </w:rPr>
              <w:t>评分索引表（带页码，格式见附件也可自拟）</w:t>
            </w:r>
          </w:p>
        </w:tc>
        <w:tc>
          <w:tcPr>
            <w:tcW w:w="709" w:type="dxa"/>
            <w:vAlign w:val="center"/>
          </w:tcPr>
          <w:p w14:paraId="7E30F4C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C7FC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18BAAE4">
            <w:pPr>
              <w:spacing w:line="420" w:lineRule="exact"/>
              <w:jc w:val="center"/>
              <w:rPr>
                <w:rFonts w:ascii="宋体" w:hAnsi="宋体"/>
                <w:b/>
                <w:color w:val="000000"/>
                <w:szCs w:val="22"/>
              </w:rPr>
            </w:pPr>
            <w:r>
              <w:rPr>
                <w:rFonts w:hint="eastAsia" w:ascii="宋体" w:hAnsi="宋体"/>
                <w:b/>
                <w:color w:val="000000"/>
                <w:szCs w:val="22"/>
              </w:rPr>
              <w:t>2.4</w:t>
            </w:r>
          </w:p>
        </w:tc>
        <w:tc>
          <w:tcPr>
            <w:tcW w:w="7796" w:type="dxa"/>
            <w:vAlign w:val="center"/>
          </w:tcPr>
          <w:p w14:paraId="66278C25">
            <w:pPr>
              <w:spacing w:line="420" w:lineRule="exact"/>
              <w:jc w:val="left"/>
              <w:rPr>
                <w:rFonts w:ascii="宋体" w:hAnsi="宋体"/>
                <w:b/>
                <w:szCs w:val="22"/>
              </w:rPr>
            </w:pPr>
            <w:r>
              <w:rPr>
                <w:rFonts w:ascii="Arial" w:hAnsi="Arial" w:cs="Arial"/>
              </w:rPr>
              <w:t>▲</w:t>
            </w:r>
            <w:r>
              <w:rPr>
                <w:rFonts w:hint="eastAsia" w:ascii="宋体" w:hAnsi="宋体" w:cs="Arial"/>
                <w:b/>
                <w:szCs w:val="22"/>
              </w:rPr>
              <w:t>投标</w:t>
            </w:r>
            <w:r>
              <w:rPr>
                <w:rFonts w:ascii="宋体" w:hAnsi="宋体" w:cs="Arial"/>
                <w:b/>
                <w:szCs w:val="22"/>
              </w:rPr>
              <w:t>函</w:t>
            </w:r>
            <w:r>
              <w:rPr>
                <w:rFonts w:hint="eastAsia" w:ascii="宋体" w:hAnsi="宋体" w:cs="Arial"/>
                <w:b/>
                <w:szCs w:val="22"/>
              </w:rPr>
              <w:t>（格式见附件）</w:t>
            </w:r>
          </w:p>
        </w:tc>
        <w:tc>
          <w:tcPr>
            <w:tcW w:w="709" w:type="dxa"/>
            <w:vAlign w:val="center"/>
          </w:tcPr>
          <w:p w14:paraId="163864CD">
            <w:pPr>
              <w:spacing w:line="420" w:lineRule="exact"/>
              <w:jc w:val="center"/>
              <w:rPr>
                <w:rFonts w:ascii="宋体" w:hAnsi="宋体" w:cs="Arial"/>
                <w:color w:val="000000"/>
                <w:szCs w:val="22"/>
              </w:rPr>
            </w:pPr>
            <w:r>
              <w:rPr>
                <w:rFonts w:hint="eastAsia" w:ascii="宋体" w:hAnsi="宋体" w:cs="Arial"/>
                <w:color w:val="000000"/>
                <w:szCs w:val="22"/>
              </w:rPr>
              <w:t>有</w:t>
            </w:r>
          </w:p>
        </w:tc>
      </w:tr>
      <w:tr w14:paraId="6F865A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78E52886">
            <w:pPr>
              <w:spacing w:line="420" w:lineRule="exact"/>
              <w:jc w:val="center"/>
              <w:rPr>
                <w:rFonts w:ascii="宋体" w:hAnsi="宋体"/>
                <w:b/>
                <w:color w:val="000000"/>
                <w:szCs w:val="22"/>
              </w:rPr>
            </w:pPr>
            <w:r>
              <w:rPr>
                <w:rFonts w:hint="eastAsia" w:ascii="宋体" w:hAnsi="宋体"/>
                <w:b/>
                <w:color w:val="000000"/>
                <w:szCs w:val="22"/>
              </w:rPr>
              <w:t>2.5</w:t>
            </w:r>
          </w:p>
        </w:tc>
        <w:tc>
          <w:tcPr>
            <w:tcW w:w="7796" w:type="dxa"/>
            <w:vAlign w:val="center"/>
          </w:tcPr>
          <w:p w14:paraId="0A509B3D">
            <w:pPr>
              <w:spacing w:line="420" w:lineRule="exact"/>
              <w:jc w:val="left"/>
              <w:rPr>
                <w:rFonts w:ascii="Arial" w:hAnsi="Arial" w:cs="Arial"/>
              </w:rPr>
            </w:pPr>
            <w:r>
              <w:rPr>
                <w:rFonts w:ascii="Arial" w:hAnsi="Arial" w:cs="Arial"/>
              </w:rPr>
              <w:t>▲</w:t>
            </w:r>
            <w:r>
              <w:rPr>
                <w:rFonts w:hint="eastAsia" w:ascii="Arial" w:hAnsi="Arial" w:cs="Arial"/>
                <w:b/>
              </w:rPr>
              <w:t>环卫保洁承诺书</w:t>
            </w:r>
          </w:p>
        </w:tc>
        <w:tc>
          <w:tcPr>
            <w:tcW w:w="709" w:type="dxa"/>
            <w:vAlign w:val="center"/>
          </w:tcPr>
          <w:p w14:paraId="51601EB1">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0E86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9C9DDC5">
            <w:pPr>
              <w:spacing w:line="420" w:lineRule="exact"/>
              <w:jc w:val="center"/>
              <w:rPr>
                <w:rFonts w:ascii="宋体" w:hAnsi="宋体"/>
                <w:b/>
                <w:color w:val="000000"/>
                <w:szCs w:val="22"/>
              </w:rPr>
            </w:pPr>
            <w:r>
              <w:rPr>
                <w:rFonts w:hint="eastAsia" w:ascii="宋体" w:hAnsi="宋体"/>
                <w:b/>
                <w:color w:val="000000"/>
                <w:szCs w:val="22"/>
              </w:rPr>
              <w:t>2.6</w:t>
            </w:r>
          </w:p>
        </w:tc>
        <w:tc>
          <w:tcPr>
            <w:tcW w:w="7796" w:type="dxa"/>
            <w:vAlign w:val="center"/>
          </w:tcPr>
          <w:p w14:paraId="004DAE2E">
            <w:pPr>
              <w:spacing w:line="420" w:lineRule="exact"/>
              <w:jc w:val="left"/>
              <w:rPr>
                <w:rFonts w:ascii="宋体" w:hAnsi="宋体" w:cs="Arial"/>
                <w:b/>
                <w:szCs w:val="22"/>
              </w:rPr>
            </w:pPr>
            <w:r>
              <w:rPr>
                <w:rFonts w:hint="eastAsia" w:ascii="宋体" w:hAnsi="宋体" w:cs="Arial"/>
                <w:b/>
                <w:szCs w:val="22"/>
              </w:rPr>
              <w:t>投标供应商基本情况说明</w:t>
            </w:r>
          </w:p>
        </w:tc>
        <w:tc>
          <w:tcPr>
            <w:tcW w:w="709" w:type="dxa"/>
            <w:vAlign w:val="center"/>
          </w:tcPr>
          <w:p w14:paraId="3F1FC57F">
            <w:pPr>
              <w:spacing w:line="420" w:lineRule="exact"/>
              <w:jc w:val="center"/>
              <w:rPr>
                <w:rFonts w:ascii="宋体" w:hAnsi="宋体" w:cs="Arial"/>
                <w:color w:val="000000"/>
                <w:szCs w:val="22"/>
              </w:rPr>
            </w:pPr>
            <w:r>
              <w:rPr>
                <w:rFonts w:hint="eastAsia" w:ascii="宋体" w:hAnsi="宋体" w:cs="Arial"/>
                <w:color w:val="000000"/>
                <w:szCs w:val="22"/>
              </w:rPr>
              <w:t>有</w:t>
            </w:r>
          </w:p>
        </w:tc>
      </w:tr>
      <w:tr w14:paraId="28BEE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2EEEF3A2">
            <w:pPr>
              <w:spacing w:line="420" w:lineRule="exact"/>
              <w:jc w:val="center"/>
              <w:rPr>
                <w:rFonts w:ascii="宋体" w:hAnsi="宋体"/>
                <w:b/>
                <w:color w:val="000000"/>
                <w:szCs w:val="22"/>
              </w:rPr>
            </w:pPr>
            <w:r>
              <w:rPr>
                <w:rFonts w:hint="eastAsia" w:ascii="宋体" w:hAnsi="宋体"/>
                <w:b/>
                <w:color w:val="000000"/>
                <w:szCs w:val="22"/>
              </w:rPr>
              <w:t>2.6.1</w:t>
            </w:r>
          </w:p>
        </w:tc>
        <w:tc>
          <w:tcPr>
            <w:tcW w:w="7796" w:type="dxa"/>
            <w:vAlign w:val="center"/>
          </w:tcPr>
          <w:p w14:paraId="20055230">
            <w:pPr>
              <w:spacing w:line="420" w:lineRule="exact"/>
              <w:jc w:val="left"/>
              <w:rPr>
                <w:rFonts w:ascii="宋体" w:hAnsi="宋体" w:cs="Arial"/>
                <w:b/>
                <w:szCs w:val="22"/>
              </w:rPr>
            </w:pPr>
            <w:r>
              <w:rPr>
                <w:rFonts w:hint="eastAsia" w:ascii="宋体" w:hAnsi="宋体" w:cs="Arial"/>
                <w:b/>
                <w:szCs w:val="22"/>
              </w:rPr>
              <w:t>投标供应商的体系认证证书等</w:t>
            </w:r>
          </w:p>
        </w:tc>
        <w:tc>
          <w:tcPr>
            <w:tcW w:w="709" w:type="dxa"/>
            <w:vAlign w:val="center"/>
          </w:tcPr>
          <w:p w14:paraId="072EC818">
            <w:pPr>
              <w:spacing w:line="420" w:lineRule="exact"/>
              <w:jc w:val="center"/>
              <w:rPr>
                <w:rFonts w:ascii="宋体" w:hAnsi="宋体" w:cs="Arial"/>
                <w:color w:val="000000"/>
                <w:szCs w:val="22"/>
              </w:rPr>
            </w:pPr>
            <w:r>
              <w:rPr>
                <w:rFonts w:hint="eastAsia" w:ascii="宋体" w:hAnsi="宋体" w:cs="Arial"/>
                <w:color w:val="000000"/>
                <w:szCs w:val="22"/>
              </w:rPr>
              <w:t>无</w:t>
            </w:r>
          </w:p>
        </w:tc>
      </w:tr>
      <w:tr w14:paraId="1F4B8C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F9F9FDD">
            <w:pPr>
              <w:spacing w:line="420" w:lineRule="exact"/>
              <w:jc w:val="center"/>
              <w:rPr>
                <w:rFonts w:ascii="宋体" w:hAnsi="宋体"/>
                <w:b/>
                <w:color w:val="000000"/>
                <w:szCs w:val="22"/>
              </w:rPr>
            </w:pPr>
            <w:r>
              <w:rPr>
                <w:rFonts w:hint="eastAsia" w:ascii="宋体" w:hAnsi="宋体"/>
                <w:b/>
                <w:color w:val="000000"/>
                <w:szCs w:val="22"/>
              </w:rPr>
              <w:t>2.7</w:t>
            </w:r>
          </w:p>
        </w:tc>
        <w:tc>
          <w:tcPr>
            <w:tcW w:w="7796" w:type="dxa"/>
            <w:vAlign w:val="center"/>
          </w:tcPr>
          <w:p w14:paraId="69C4BA4C">
            <w:pPr>
              <w:spacing w:line="420" w:lineRule="exact"/>
              <w:jc w:val="left"/>
              <w:rPr>
                <w:rFonts w:ascii="宋体" w:hAnsi="宋体" w:cs="Arial"/>
                <w:b/>
                <w:szCs w:val="22"/>
              </w:rPr>
            </w:pPr>
            <w:r>
              <w:rPr>
                <w:rFonts w:hint="eastAsia" w:ascii="宋体" w:hAnsi="宋体" w:cs="Arial"/>
                <w:b/>
                <w:szCs w:val="22"/>
              </w:rPr>
              <w:t>拟投入人员一览表</w:t>
            </w:r>
          </w:p>
        </w:tc>
        <w:tc>
          <w:tcPr>
            <w:tcW w:w="709" w:type="dxa"/>
            <w:vAlign w:val="center"/>
          </w:tcPr>
          <w:p w14:paraId="3B2BEDB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5CF0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04E70FF">
            <w:pPr>
              <w:spacing w:line="420" w:lineRule="exact"/>
              <w:jc w:val="center"/>
              <w:rPr>
                <w:rFonts w:ascii="宋体" w:hAnsi="宋体"/>
                <w:b/>
                <w:color w:val="000000"/>
                <w:szCs w:val="22"/>
              </w:rPr>
            </w:pPr>
            <w:r>
              <w:rPr>
                <w:rFonts w:hint="eastAsia" w:ascii="宋体" w:hAnsi="宋体"/>
                <w:b/>
                <w:color w:val="000000"/>
                <w:szCs w:val="22"/>
              </w:rPr>
              <w:t>2.7.1</w:t>
            </w:r>
          </w:p>
        </w:tc>
        <w:tc>
          <w:tcPr>
            <w:tcW w:w="7796" w:type="dxa"/>
            <w:vAlign w:val="center"/>
          </w:tcPr>
          <w:p w14:paraId="4C51B2C3">
            <w:pPr>
              <w:spacing w:line="420" w:lineRule="exact"/>
              <w:jc w:val="left"/>
              <w:rPr>
                <w:rFonts w:ascii="宋体" w:hAnsi="宋体" w:cs="Arial"/>
                <w:b/>
                <w:szCs w:val="22"/>
              </w:rPr>
            </w:pPr>
            <w:r>
              <w:rPr>
                <w:rFonts w:hint="eastAsia" w:ascii="宋体" w:hAnsi="宋体" w:cs="Arial"/>
                <w:b/>
                <w:szCs w:val="22"/>
              </w:rPr>
              <w:t>拟派项目管理团队汇总表</w:t>
            </w:r>
          </w:p>
        </w:tc>
        <w:tc>
          <w:tcPr>
            <w:tcW w:w="709" w:type="dxa"/>
            <w:vAlign w:val="center"/>
          </w:tcPr>
          <w:p w14:paraId="7543D1A8">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E573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3325F907">
            <w:pPr>
              <w:spacing w:line="420" w:lineRule="exact"/>
              <w:jc w:val="center"/>
              <w:rPr>
                <w:rFonts w:ascii="宋体" w:hAnsi="宋体"/>
                <w:b/>
                <w:color w:val="000000"/>
                <w:szCs w:val="22"/>
              </w:rPr>
            </w:pPr>
            <w:r>
              <w:rPr>
                <w:rFonts w:hint="eastAsia" w:ascii="宋体" w:hAnsi="宋体"/>
                <w:b/>
                <w:color w:val="000000"/>
                <w:szCs w:val="22"/>
              </w:rPr>
              <w:t>2.7.2</w:t>
            </w:r>
          </w:p>
        </w:tc>
        <w:tc>
          <w:tcPr>
            <w:tcW w:w="7796" w:type="dxa"/>
            <w:vAlign w:val="center"/>
          </w:tcPr>
          <w:p w14:paraId="52CF5384">
            <w:pPr>
              <w:spacing w:line="420" w:lineRule="exact"/>
              <w:jc w:val="left"/>
              <w:rPr>
                <w:rFonts w:ascii="宋体" w:hAnsi="宋体" w:cs="Arial"/>
                <w:b/>
                <w:szCs w:val="22"/>
              </w:rPr>
            </w:pPr>
            <w:r>
              <w:rPr>
                <w:rFonts w:hint="eastAsia" w:ascii="宋体" w:hAnsi="宋体" w:cs="Arial"/>
                <w:b/>
                <w:szCs w:val="22"/>
              </w:rPr>
              <w:t>岗位员工配置计划表</w:t>
            </w:r>
          </w:p>
        </w:tc>
        <w:tc>
          <w:tcPr>
            <w:tcW w:w="709" w:type="dxa"/>
            <w:vAlign w:val="center"/>
          </w:tcPr>
          <w:p w14:paraId="76C3BDD9">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2B9DB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0317AF3A">
            <w:pPr>
              <w:spacing w:line="420" w:lineRule="exact"/>
              <w:jc w:val="center"/>
              <w:rPr>
                <w:rFonts w:ascii="宋体" w:hAnsi="宋体"/>
                <w:b/>
                <w:color w:val="000000"/>
                <w:szCs w:val="22"/>
              </w:rPr>
            </w:pPr>
            <w:r>
              <w:rPr>
                <w:rFonts w:hint="eastAsia" w:ascii="宋体" w:hAnsi="宋体"/>
                <w:b/>
                <w:color w:val="000000"/>
                <w:szCs w:val="22"/>
              </w:rPr>
              <w:t>2.8</w:t>
            </w:r>
          </w:p>
        </w:tc>
        <w:tc>
          <w:tcPr>
            <w:tcW w:w="7796" w:type="dxa"/>
            <w:vAlign w:val="center"/>
          </w:tcPr>
          <w:p w14:paraId="3EAA01F6">
            <w:pPr>
              <w:spacing w:line="420" w:lineRule="exact"/>
              <w:jc w:val="left"/>
              <w:rPr>
                <w:rFonts w:ascii="宋体" w:hAnsi="宋体" w:cs="Arial"/>
                <w:b/>
                <w:color w:val="000000"/>
                <w:szCs w:val="22"/>
              </w:rPr>
            </w:pPr>
            <w:r>
              <w:rPr>
                <w:rFonts w:hint="eastAsia" w:ascii="宋体" w:hAnsi="宋体" w:cs="Arial"/>
                <w:b/>
                <w:color w:val="000000"/>
                <w:szCs w:val="22"/>
              </w:rPr>
              <w:t>进场作业车辆、设备明细表</w:t>
            </w:r>
          </w:p>
        </w:tc>
        <w:tc>
          <w:tcPr>
            <w:tcW w:w="709" w:type="dxa"/>
            <w:vAlign w:val="center"/>
          </w:tcPr>
          <w:p w14:paraId="1B1A158F">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6709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851" w:type="dxa"/>
            <w:vAlign w:val="center"/>
          </w:tcPr>
          <w:p w14:paraId="3F2A75D1">
            <w:pPr>
              <w:spacing w:line="420" w:lineRule="exact"/>
              <w:jc w:val="center"/>
              <w:rPr>
                <w:rFonts w:ascii="宋体" w:hAnsi="宋体"/>
                <w:b/>
                <w:color w:val="000000"/>
                <w:szCs w:val="22"/>
              </w:rPr>
            </w:pPr>
            <w:r>
              <w:rPr>
                <w:rFonts w:hint="eastAsia" w:ascii="宋体" w:hAnsi="宋体"/>
                <w:b/>
                <w:color w:val="000000"/>
                <w:szCs w:val="22"/>
              </w:rPr>
              <w:t>2.9</w:t>
            </w:r>
          </w:p>
        </w:tc>
        <w:tc>
          <w:tcPr>
            <w:tcW w:w="7796" w:type="dxa"/>
            <w:vAlign w:val="center"/>
          </w:tcPr>
          <w:p w14:paraId="5AF6A8B8">
            <w:pPr>
              <w:spacing w:line="420" w:lineRule="exact"/>
              <w:jc w:val="left"/>
              <w:rPr>
                <w:rFonts w:ascii="宋体" w:hAnsi="宋体" w:cs="Arial"/>
                <w:color w:val="000000"/>
                <w:szCs w:val="22"/>
              </w:rPr>
            </w:pPr>
            <w:r>
              <w:rPr>
                <w:rFonts w:ascii="宋体" w:hAnsi="宋体" w:cs="Arial"/>
                <w:b/>
                <w:color w:val="000000"/>
                <w:szCs w:val="22"/>
              </w:rPr>
              <w:t>投标供应商类似项目业绩及证明材料</w:t>
            </w:r>
            <w:r>
              <w:rPr>
                <w:rFonts w:hint="eastAsia" w:ascii="宋体" w:hAnsi="宋体" w:cs="Arial"/>
                <w:color w:val="000000"/>
                <w:szCs w:val="22"/>
              </w:rPr>
              <w:t xml:space="preserve"> </w:t>
            </w:r>
          </w:p>
        </w:tc>
        <w:tc>
          <w:tcPr>
            <w:tcW w:w="709" w:type="dxa"/>
            <w:vAlign w:val="center"/>
          </w:tcPr>
          <w:p w14:paraId="43B373DC">
            <w:pPr>
              <w:spacing w:line="420" w:lineRule="exact"/>
              <w:jc w:val="center"/>
              <w:rPr>
                <w:rFonts w:ascii="宋体" w:hAnsi="宋体" w:cs="Arial"/>
                <w:color w:val="000000"/>
                <w:szCs w:val="22"/>
              </w:rPr>
            </w:pPr>
            <w:r>
              <w:rPr>
                <w:rFonts w:hint="eastAsia" w:ascii="宋体" w:hAnsi="宋体" w:cs="Arial"/>
                <w:color w:val="000000"/>
                <w:szCs w:val="22"/>
              </w:rPr>
              <w:t>有</w:t>
            </w:r>
          </w:p>
        </w:tc>
      </w:tr>
      <w:tr w14:paraId="19E64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602E5BA2">
            <w:pPr>
              <w:spacing w:line="420" w:lineRule="exact"/>
              <w:jc w:val="center"/>
              <w:rPr>
                <w:rFonts w:ascii="宋体" w:hAnsi="宋体"/>
                <w:b/>
                <w:color w:val="000000"/>
                <w:szCs w:val="22"/>
              </w:rPr>
            </w:pPr>
            <w:r>
              <w:rPr>
                <w:rFonts w:hint="eastAsia" w:ascii="宋体" w:hAnsi="宋体"/>
                <w:b/>
                <w:color w:val="000000"/>
                <w:szCs w:val="22"/>
              </w:rPr>
              <w:t>2.1</w:t>
            </w:r>
            <w:r>
              <w:rPr>
                <w:rFonts w:ascii="宋体" w:hAnsi="宋体"/>
                <w:b/>
                <w:color w:val="000000"/>
                <w:szCs w:val="22"/>
              </w:rPr>
              <w:t>0</w:t>
            </w:r>
          </w:p>
        </w:tc>
        <w:tc>
          <w:tcPr>
            <w:tcW w:w="7796" w:type="dxa"/>
            <w:vAlign w:val="center"/>
          </w:tcPr>
          <w:p w14:paraId="6D7E52C1">
            <w:pPr>
              <w:spacing w:line="420" w:lineRule="exact"/>
              <w:jc w:val="left"/>
              <w:rPr>
                <w:b/>
                <w:color w:val="000000"/>
                <w:szCs w:val="22"/>
              </w:rPr>
            </w:pPr>
            <w:r>
              <w:rPr>
                <w:rFonts w:hint="eastAsia" w:ascii="宋体"/>
                <w:b/>
                <w:color w:val="000000"/>
                <w:szCs w:val="22"/>
              </w:rPr>
              <w:t>商务、技术偏离表</w:t>
            </w:r>
            <w:r>
              <w:rPr>
                <w:rFonts w:hint="eastAsia" w:ascii="宋体"/>
                <w:b/>
                <w:color w:val="000000"/>
                <w:szCs w:val="22"/>
                <w:u w:val="single"/>
              </w:rPr>
              <w:t>（如不填写，则视为完全响应采购文件的要求）</w:t>
            </w:r>
            <w:r>
              <w:rPr>
                <w:rFonts w:hint="eastAsia"/>
                <w:b/>
                <w:color w:val="000000"/>
                <w:szCs w:val="22"/>
                <w:u w:val="single"/>
              </w:rPr>
              <w:t>。</w:t>
            </w:r>
          </w:p>
        </w:tc>
        <w:tc>
          <w:tcPr>
            <w:tcW w:w="709" w:type="dxa"/>
            <w:vAlign w:val="center"/>
          </w:tcPr>
          <w:p w14:paraId="2239AE73">
            <w:pPr>
              <w:spacing w:line="420" w:lineRule="exact"/>
              <w:jc w:val="center"/>
              <w:rPr>
                <w:rFonts w:ascii="宋体" w:hAnsi="宋体" w:cs="Arial"/>
                <w:color w:val="000000"/>
                <w:szCs w:val="22"/>
              </w:rPr>
            </w:pPr>
            <w:r>
              <w:rPr>
                <w:rFonts w:hint="eastAsia" w:ascii="宋体" w:hAnsi="宋体" w:cs="Arial"/>
                <w:color w:val="000000"/>
                <w:szCs w:val="22"/>
              </w:rPr>
              <w:t>有</w:t>
            </w:r>
          </w:p>
        </w:tc>
      </w:tr>
      <w:tr w14:paraId="59797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vAlign w:val="center"/>
          </w:tcPr>
          <w:p w14:paraId="4B4288C7">
            <w:pPr>
              <w:spacing w:line="420" w:lineRule="exact"/>
              <w:jc w:val="center"/>
              <w:rPr>
                <w:rFonts w:ascii="宋体" w:hAnsi="宋体"/>
                <w:b/>
                <w:color w:val="000000"/>
                <w:szCs w:val="22"/>
              </w:rPr>
            </w:pPr>
            <w:r>
              <w:rPr>
                <w:rFonts w:hint="eastAsia" w:ascii="宋体" w:hAnsi="宋体"/>
                <w:b/>
                <w:color w:val="000000"/>
                <w:szCs w:val="22"/>
              </w:rPr>
              <w:t>2</w:t>
            </w:r>
            <w:r>
              <w:rPr>
                <w:rFonts w:ascii="宋体" w:hAnsi="宋体"/>
                <w:b/>
                <w:color w:val="000000"/>
                <w:szCs w:val="22"/>
              </w:rPr>
              <w:t>.11</w:t>
            </w:r>
          </w:p>
        </w:tc>
        <w:tc>
          <w:tcPr>
            <w:tcW w:w="7796" w:type="dxa"/>
            <w:vAlign w:val="center"/>
          </w:tcPr>
          <w:p w14:paraId="52860718">
            <w:pPr>
              <w:spacing w:line="420" w:lineRule="exact"/>
              <w:jc w:val="left"/>
              <w:rPr>
                <w:rFonts w:hint="default" w:ascii="宋体" w:eastAsia="宋体"/>
                <w:b/>
                <w:color w:val="000000"/>
                <w:szCs w:val="22"/>
                <w:lang w:val="en-US" w:eastAsia="zh-CN"/>
              </w:rPr>
            </w:pPr>
            <w:r>
              <w:rPr>
                <w:rFonts w:hint="eastAsia" w:ascii="宋体"/>
                <w:b/>
                <w:color w:val="000000"/>
                <w:szCs w:val="22"/>
                <w:lang w:val="en-US" w:eastAsia="zh-CN"/>
              </w:rPr>
              <w:t>根据评分标准制定的实施方案</w:t>
            </w:r>
          </w:p>
        </w:tc>
        <w:tc>
          <w:tcPr>
            <w:tcW w:w="709" w:type="dxa"/>
            <w:vAlign w:val="center"/>
          </w:tcPr>
          <w:p w14:paraId="7ACB0486">
            <w:pPr>
              <w:spacing w:line="420" w:lineRule="exact"/>
              <w:jc w:val="center"/>
              <w:rPr>
                <w:rFonts w:ascii="宋体" w:hAnsi="宋体" w:cs="Arial"/>
                <w:color w:val="000000"/>
                <w:szCs w:val="22"/>
              </w:rPr>
            </w:pPr>
            <w:r>
              <w:rPr>
                <w:rFonts w:hint="eastAsia" w:ascii="宋体" w:hAnsi="宋体" w:cs="Arial"/>
                <w:color w:val="000000"/>
                <w:szCs w:val="22"/>
              </w:rPr>
              <w:t>无</w:t>
            </w:r>
          </w:p>
        </w:tc>
      </w:tr>
      <w:tr w14:paraId="6B17D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1" w:type="dxa"/>
            <w:vAlign w:val="center"/>
          </w:tcPr>
          <w:p w14:paraId="46EA5323">
            <w:pPr>
              <w:spacing w:line="420" w:lineRule="exact"/>
              <w:jc w:val="center"/>
              <w:rPr>
                <w:rFonts w:hint="eastAsia" w:ascii="宋体" w:hAnsi="宋体" w:eastAsia="宋体"/>
                <w:b/>
                <w:color w:val="000000"/>
                <w:szCs w:val="22"/>
                <w:lang w:eastAsia="zh-CN"/>
              </w:rPr>
            </w:pPr>
            <w:r>
              <w:rPr>
                <w:rFonts w:hint="eastAsia" w:ascii="宋体" w:hAnsi="宋体"/>
                <w:b/>
                <w:color w:val="000000"/>
                <w:szCs w:val="22"/>
              </w:rPr>
              <w:t>2.</w:t>
            </w:r>
            <w:r>
              <w:rPr>
                <w:rFonts w:ascii="宋体" w:hAnsi="宋体"/>
                <w:b/>
                <w:color w:val="000000"/>
                <w:szCs w:val="22"/>
              </w:rPr>
              <w:t>1</w:t>
            </w:r>
            <w:r>
              <w:rPr>
                <w:rFonts w:hint="eastAsia" w:ascii="宋体" w:hAnsi="宋体"/>
                <w:b/>
                <w:color w:val="000000"/>
                <w:szCs w:val="22"/>
                <w:lang w:val="en-US" w:eastAsia="zh-CN"/>
              </w:rPr>
              <w:t>2</w:t>
            </w:r>
          </w:p>
        </w:tc>
        <w:tc>
          <w:tcPr>
            <w:tcW w:w="7796" w:type="dxa"/>
            <w:vAlign w:val="center"/>
          </w:tcPr>
          <w:p w14:paraId="26844EB1">
            <w:pPr>
              <w:spacing w:line="420" w:lineRule="exact"/>
              <w:jc w:val="left"/>
              <w:rPr>
                <w:rFonts w:ascii="宋体" w:hAnsi="宋体" w:cs="Arial"/>
                <w:b/>
                <w:color w:val="000000"/>
                <w:szCs w:val="22"/>
              </w:rPr>
            </w:pPr>
            <w:r>
              <w:rPr>
                <w:rFonts w:hint="eastAsia" w:ascii="宋体" w:hAnsi="宋体" w:cs="Arial"/>
                <w:b/>
                <w:color w:val="000000"/>
                <w:szCs w:val="22"/>
              </w:rPr>
              <w:t>政府采购活动现场确认声明书</w:t>
            </w:r>
          </w:p>
        </w:tc>
        <w:tc>
          <w:tcPr>
            <w:tcW w:w="709" w:type="dxa"/>
            <w:tcBorders>
              <w:bottom w:val="single" w:color="auto" w:sz="6" w:space="0"/>
            </w:tcBorders>
            <w:vAlign w:val="center"/>
          </w:tcPr>
          <w:p w14:paraId="3CCBA222">
            <w:pPr>
              <w:spacing w:line="420" w:lineRule="exact"/>
              <w:jc w:val="center"/>
              <w:rPr>
                <w:rFonts w:ascii="宋体" w:hAnsi="宋体" w:cs="Arial"/>
                <w:color w:val="000000"/>
                <w:szCs w:val="22"/>
              </w:rPr>
            </w:pPr>
            <w:r>
              <w:rPr>
                <w:rFonts w:hint="eastAsia" w:ascii="宋体" w:hAnsi="宋体" w:cs="Arial"/>
                <w:color w:val="000000"/>
                <w:szCs w:val="22"/>
              </w:rPr>
              <w:t>有</w:t>
            </w:r>
          </w:p>
        </w:tc>
      </w:tr>
      <w:tr w14:paraId="0B884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9356" w:type="dxa"/>
            <w:gridSpan w:val="3"/>
            <w:tcBorders>
              <w:top w:val="single" w:color="auto" w:sz="6" w:space="0"/>
              <w:bottom w:val="single" w:color="auto" w:sz="6" w:space="0"/>
            </w:tcBorders>
            <w:shd w:val="clear" w:color="auto" w:fill="FDE9D9"/>
            <w:vAlign w:val="center"/>
          </w:tcPr>
          <w:p w14:paraId="0CAAB256">
            <w:pPr>
              <w:spacing w:line="420" w:lineRule="exact"/>
              <w:jc w:val="left"/>
              <w:rPr>
                <w:rFonts w:ascii="宋体" w:hAnsi="宋体"/>
                <w:b/>
                <w:color w:val="000000"/>
                <w:szCs w:val="22"/>
              </w:rPr>
            </w:pPr>
            <w:r>
              <w:rPr>
                <w:rFonts w:hint="eastAsia" w:ascii="宋体" w:hAnsi="宋体"/>
                <w:b/>
                <w:color w:val="000000"/>
                <w:szCs w:val="22"/>
              </w:rPr>
              <w:t>三、</w:t>
            </w:r>
            <w:r>
              <w:rPr>
                <w:rFonts w:hint="eastAsia" w:ascii="宋体" w:hAnsi="宋体" w:cs="Arial"/>
                <w:b/>
                <w:color w:val="000000"/>
                <w:szCs w:val="22"/>
              </w:rPr>
              <w:t>《报价文件》组成内容</w:t>
            </w:r>
          </w:p>
        </w:tc>
      </w:tr>
      <w:tr w14:paraId="4DC38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05B19E50">
            <w:pPr>
              <w:spacing w:line="420" w:lineRule="exact"/>
              <w:jc w:val="center"/>
              <w:rPr>
                <w:rFonts w:ascii="宋体" w:hAnsi="宋体"/>
                <w:b/>
                <w:color w:val="000000"/>
                <w:szCs w:val="22"/>
              </w:rPr>
            </w:pPr>
            <w:r>
              <w:rPr>
                <w:rFonts w:hint="eastAsia" w:ascii="宋体" w:hAnsi="宋体"/>
                <w:b/>
                <w:color w:val="000000"/>
                <w:szCs w:val="22"/>
              </w:rPr>
              <w:t>3.1</w:t>
            </w:r>
          </w:p>
        </w:tc>
        <w:tc>
          <w:tcPr>
            <w:tcW w:w="7796" w:type="dxa"/>
            <w:tcBorders>
              <w:top w:val="single" w:color="auto" w:sz="6" w:space="0"/>
              <w:bottom w:val="single" w:color="auto" w:sz="6" w:space="0"/>
            </w:tcBorders>
            <w:vAlign w:val="center"/>
          </w:tcPr>
          <w:p w14:paraId="0A131019">
            <w:pPr>
              <w:spacing w:line="420" w:lineRule="exact"/>
              <w:jc w:val="left"/>
              <w:rPr>
                <w:rFonts w:ascii="宋体" w:hAnsi="宋体" w:cs="Arial"/>
                <w:b/>
                <w:color w:val="000000"/>
                <w:szCs w:val="22"/>
              </w:rPr>
            </w:pPr>
            <w:r>
              <w:rPr>
                <w:rFonts w:hint="eastAsia" w:ascii="宋体" w:hAnsi="宋体" w:cs="Arial"/>
                <w:b/>
                <w:color w:val="000000"/>
                <w:szCs w:val="22"/>
              </w:rPr>
              <w:t>《报价文件》封面</w:t>
            </w:r>
          </w:p>
        </w:tc>
        <w:tc>
          <w:tcPr>
            <w:tcW w:w="709" w:type="dxa"/>
            <w:tcBorders>
              <w:top w:val="single" w:color="auto" w:sz="6" w:space="0"/>
              <w:bottom w:val="single" w:color="auto" w:sz="6" w:space="0"/>
            </w:tcBorders>
            <w:vAlign w:val="center"/>
          </w:tcPr>
          <w:p w14:paraId="185D48EE">
            <w:pPr>
              <w:spacing w:line="420" w:lineRule="exact"/>
              <w:jc w:val="center"/>
              <w:rPr>
                <w:rFonts w:ascii="宋体" w:hAnsi="宋体" w:cs="Arial"/>
                <w:color w:val="000000"/>
                <w:szCs w:val="22"/>
              </w:rPr>
            </w:pPr>
            <w:r>
              <w:rPr>
                <w:rFonts w:hint="eastAsia" w:ascii="宋体" w:hAnsi="宋体" w:cs="Arial"/>
                <w:color w:val="000000"/>
                <w:szCs w:val="22"/>
              </w:rPr>
              <w:t>有</w:t>
            </w:r>
          </w:p>
        </w:tc>
      </w:tr>
      <w:tr w14:paraId="7EB9C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62438ADB">
            <w:pPr>
              <w:spacing w:line="420" w:lineRule="exact"/>
              <w:jc w:val="center"/>
              <w:rPr>
                <w:rFonts w:ascii="宋体" w:hAnsi="宋体"/>
                <w:b/>
                <w:color w:val="000000"/>
                <w:szCs w:val="22"/>
              </w:rPr>
            </w:pPr>
            <w:r>
              <w:rPr>
                <w:rFonts w:hint="eastAsia" w:ascii="宋体" w:hAnsi="宋体"/>
                <w:b/>
                <w:color w:val="000000"/>
                <w:szCs w:val="22"/>
              </w:rPr>
              <w:t>3.2</w:t>
            </w:r>
          </w:p>
        </w:tc>
        <w:tc>
          <w:tcPr>
            <w:tcW w:w="7796" w:type="dxa"/>
            <w:tcBorders>
              <w:top w:val="single" w:color="auto" w:sz="6" w:space="0"/>
              <w:bottom w:val="single" w:color="auto" w:sz="6" w:space="0"/>
            </w:tcBorders>
            <w:vAlign w:val="center"/>
          </w:tcPr>
          <w:p w14:paraId="5432E1A1">
            <w:pPr>
              <w:spacing w:line="420" w:lineRule="exact"/>
              <w:jc w:val="left"/>
              <w:rPr>
                <w:rFonts w:ascii="宋体" w:hAnsi="宋体" w:cs="Arial"/>
                <w:b/>
                <w:color w:val="000000"/>
                <w:szCs w:val="22"/>
              </w:rPr>
            </w:pPr>
            <w:r>
              <w:rPr>
                <w:rFonts w:hint="eastAsia" w:ascii="宋体" w:hAnsi="宋体" w:cs="Arial"/>
                <w:b/>
                <w:color w:val="000000"/>
                <w:szCs w:val="22"/>
              </w:rPr>
              <w:t>《报价文件》目录</w:t>
            </w:r>
            <w:r>
              <w:rPr>
                <w:rFonts w:hint="eastAsia" w:ascii="宋体" w:hAnsi="宋体" w:cs="Arial"/>
                <w:color w:val="000000"/>
                <w:szCs w:val="22"/>
              </w:rPr>
              <w:t>（格式自拟）</w:t>
            </w:r>
          </w:p>
        </w:tc>
        <w:tc>
          <w:tcPr>
            <w:tcW w:w="709" w:type="dxa"/>
            <w:tcBorders>
              <w:top w:val="single" w:color="auto" w:sz="6" w:space="0"/>
              <w:bottom w:val="single" w:color="auto" w:sz="6" w:space="0"/>
            </w:tcBorders>
            <w:vAlign w:val="center"/>
          </w:tcPr>
          <w:p w14:paraId="3F06B0CF">
            <w:pPr>
              <w:spacing w:line="420" w:lineRule="exact"/>
              <w:jc w:val="center"/>
              <w:rPr>
                <w:rFonts w:ascii="宋体" w:hAnsi="宋体" w:cs="Arial"/>
                <w:color w:val="000000"/>
                <w:szCs w:val="22"/>
              </w:rPr>
            </w:pPr>
            <w:r>
              <w:rPr>
                <w:rFonts w:hint="eastAsia" w:ascii="宋体" w:hAnsi="宋体" w:cs="Arial"/>
                <w:color w:val="000000"/>
                <w:szCs w:val="22"/>
              </w:rPr>
              <w:t>无</w:t>
            </w:r>
          </w:p>
        </w:tc>
      </w:tr>
      <w:tr w14:paraId="56197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39318557">
            <w:pPr>
              <w:spacing w:line="420" w:lineRule="exact"/>
              <w:jc w:val="center"/>
              <w:rPr>
                <w:rFonts w:ascii="宋体" w:hAnsi="宋体"/>
                <w:b/>
                <w:color w:val="000000"/>
                <w:szCs w:val="22"/>
              </w:rPr>
            </w:pPr>
            <w:r>
              <w:rPr>
                <w:rFonts w:hint="eastAsia" w:ascii="宋体" w:hAnsi="宋体"/>
                <w:b/>
                <w:color w:val="000000"/>
                <w:szCs w:val="22"/>
              </w:rPr>
              <w:t>3.3</w:t>
            </w:r>
          </w:p>
        </w:tc>
        <w:tc>
          <w:tcPr>
            <w:tcW w:w="7796" w:type="dxa"/>
            <w:tcBorders>
              <w:top w:val="single" w:color="auto" w:sz="6" w:space="0"/>
              <w:bottom w:val="single" w:color="auto" w:sz="6" w:space="0"/>
            </w:tcBorders>
            <w:vAlign w:val="center"/>
          </w:tcPr>
          <w:p w14:paraId="3BD52EC0">
            <w:pPr>
              <w:spacing w:line="420" w:lineRule="exact"/>
              <w:jc w:val="left"/>
              <w:rPr>
                <w:rFonts w:ascii="宋体" w:hAnsi="宋体" w:cs="Arial"/>
                <w:b/>
                <w:color w:val="000000"/>
                <w:szCs w:val="22"/>
              </w:rPr>
            </w:pPr>
            <w:r>
              <w:rPr>
                <w:rFonts w:ascii="宋体" w:hAnsi="宋体" w:cs="Arial"/>
                <w:b/>
                <w:color w:val="000000"/>
                <w:szCs w:val="22"/>
              </w:rPr>
              <w:t>▲</w:t>
            </w:r>
            <w:r>
              <w:rPr>
                <w:rFonts w:hint="eastAsia" w:ascii="宋体" w:hAnsi="宋体" w:cs="Arial"/>
                <w:b/>
                <w:color w:val="000000"/>
                <w:szCs w:val="22"/>
              </w:rPr>
              <w:t>开标</w:t>
            </w:r>
            <w:r>
              <w:rPr>
                <w:rFonts w:ascii="宋体" w:hAnsi="宋体" w:cs="Arial"/>
                <w:b/>
                <w:color w:val="000000"/>
                <w:szCs w:val="22"/>
              </w:rPr>
              <w:t>一览表</w:t>
            </w:r>
          </w:p>
        </w:tc>
        <w:tc>
          <w:tcPr>
            <w:tcW w:w="709" w:type="dxa"/>
            <w:tcBorders>
              <w:top w:val="single" w:color="auto" w:sz="6" w:space="0"/>
              <w:bottom w:val="single" w:color="auto" w:sz="6" w:space="0"/>
            </w:tcBorders>
            <w:vAlign w:val="center"/>
          </w:tcPr>
          <w:p w14:paraId="7C6F54E9">
            <w:pPr>
              <w:spacing w:line="420" w:lineRule="exact"/>
              <w:jc w:val="center"/>
              <w:rPr>
                <w:rFonts w:ascii="宋体" w:hAnsi="宋体" w:cs="Arial"/>
                <w:color w:val="000000"/>
                <w:szCs w:val="22"/>
              </w:rPr>
            </w:pPr>
            <w:r>
              <w:rPr>
                <w:rFonts w:hint="eastAsia" w:ascii="宋体" w:hAnsi="宋体" w:cs="Arial"/>
                <w:color w:val="000000"/>
                <w:szCs w:val="22"/>
              </w:rPr>
              <w:t>有</w:t>
            </w:r>
          </w:p>
        </w:tc>
      </w:tr>
      <w:tr w14:paraId="4E9F0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51" w:type="dxa"/>
            <w:tcBorders>
              <w:top w:val="single" w:color="auto" w:sz="6" w:space="0"/>
              <w:bottom w:val="single" w:color="auto" w:sz="6" w:space="0"/>
            </w:tcBorders>
            <w:vAlign w:val="center"/>
          </w:tcPr>
          <w:p w14:paraId="299E827E">
            <w:pPr>
              <w:spacing w:line="420" w:lineRule="exact"/>
              <w:jc w:val="center"/>
              <w:rPr>
                <w:rFonts w:ascii="宋体" w:hAnsi="宋体"/>
                <w:b/>
                <w:color w:val="000000"/>
                <w:szCs w:val="22"/>
              </w:rPr>
            </w:pPr>
            <w:r>
              <w:rPr>
                <w:rFonts w:hint="eastAsia" w:ascii="宋体" w:hAnsi="宋体"/>
                <w:b/>
                <w:color w:val="000000"/>
                <w:szCs w:val="22"/>
              </w:rPr>
              <w:t>3.4</w:t>
            </w:r>
          </w:p>
        </w:tc>
        <w:tc>
          <w:tcPr>
            <w:tcW w:w="7796" w:type="dxa"/>
            <w:tcBorders>
              <w:top w:val="single" w:color="auto" w:sz="6" w:space="0"/>
              <w:bottom w:val="single" w:color="auto" w:sz="6" w:space="0"/>
            </w:tcBorders>
            <w:vAlign w:val="center"/>
          </w:tcPr>
          <w:p w14:paraId="4100ED98">
            <w:pPr>
              <w:spacing w:line="420" w:lineRule="exact"/>
              <w:jc w:val="left"/>
              <w:rPr>
                <w:rFonts w:ascii="宋体" w:hAnsi="宋体" w:cs="Arial"/>
                <w:b/>
                <w:color w:val="000000"/>
                <w:szCs w:val="22"/>
              </w:rPr>
            </w:pPr>
            <w:r>
              <w:rPr>
                <w:rFonts w:hint="eastAsia" w:ascii="宋体" w:hAnsi="宋体" w:cs="Arial"/>
                <w:b/>
                <w:color w:val="000000"/>
                <w:szCs w:val="22"/>
              </w:rPr>
              <w:t>投标报价组成表</w:t>
            </w:r>
          </w:p>
        </w:tc>
        <w:tc>
          <w:tcPr>
            <w:tcW w:w="709" w:type="dxa"/>
            <w:tcBorders>
              <w:top w:val="single" w:color="auto" w:sz="6" w:space="0"/>
              <w:bottom w:val="single" w:color="auto" w:sz="6" w:space="0"/>
            </w:tcBorders>
          </w:tcPr>
          <w:p w14:paraId="5BA7C78B">
            <w:pPr>
              <w:spacing w:line="420" w:lineRule="exact"/>
              <w:jc w:val="center"/>
              <w:rPr>
                <w:rFonts w:ascii="宋体" w:hAnsi="宋体" w:cs="Arial"/>
                <w:b/>
                <w:color w:val="000000"/>
                <w:szCs w:val="22"/>
              </w:rPr>
            </w:pPr>
            <w:r>
              <w:rPr>
                <w:rFonts w:hint="eastAsia" w:ascii="宋体" w:hAnsi="宋体" w:cs="Arial"/>
                <w:b/>
                <w:color w:val="000000"/>
                <w:szCs w:val="22"/>
              </w:rPr>
              <w:t>有</w:t>
            </w:r>
          </w:p>
        </w:tc>
      </w:tr>
      <w:tr w14:paraId="4EC78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shd w:val="clear" w:color="auto" w:fill="DAEEF3"/>
            <w:vAlign w:val="center"/>
          </w:tcPr>
          <w:p w14:paraId="1FB3C634">
            <w:pPr>
              <w:spacing w:line="420" w:lineRule="exact"/>
              <w:jc w:val="center"/>
              <w:rPr>
                <w:rFonts w:ascii="宋体" w:hAnsi="宋体" w:cs="Arial"/>
                <w:color w:val="000000"/>
                <w:szCs w:val="22"/>
              </w:rPr>
            </w:pPr>
            <w:r>
              <w:rPr>
                <w:rFonts w:hint="eastAsia" w:ascii="宋体" w:hAnsi="宋体" w:cs="Arial"/>
                <w:b/>
                <w:color w:val="000000"/>
                <w:szCs w:val="22"/>
              </w:rPr>
              <w:t>备注说明</w:t>
            </w:r>
          </w:p>
        </w:tc>
      </w:tr>
      <w:tr w14:paraId="78E06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356" w:type="dxa"/>
            <w:gridSpan w:val="3"/>
            <w:vAlign w:val="center"/>
          </w:tcPr>
          <w:p w14:paraId="578056AF">
            <w:pPr>
              <w:spacing w:line="420" w:lineRule="exact"/>
              <w:rPr>
                <w:rFonts w:ascii="宋体" w:hAnsi="宋体"/>
                <w:b/>
                <w:color w:val="000000"/>
                <w:szCs w:val="22"/>
              </w:rPr>
            </w:pPr>
            <w:r>
              <w:rPr>
                <w:rFonts w:hint="eastAsia" w:ascii="宋体" w:hAnsi="宋体"/>
                <w:b/>
                <w:color w:val="000000"/>
                <w:szCs w:val="22"/>
              </w:rPr>
              <w:t>（1）上述内容本文件《第五部分 投标文件格式》中有提供格式的，投标供应商须参照格式进行编制（格式中要求提供相关证明材料的还需后附相关证明材料），并按格式要求在指定位置根据要求进行签章，否则视为未提供；</w:t>
            </w:r>
          </w:p>
          <w:p w14:paraId="718A6484">
            <w:pPr>
              <w:spacing w:line="420" w:lineRule="exact"/>
              <w:rPr>
                <w:rFonts w:ascii="宋体" w:hAnsi="宋体"/>
                <w:b/>
                <w:color w:val="000000"/>
                <w:szCs w:val="22"/>
              </w:rPr>
            </w:pPr>
            <w:r>
              <w:rPr>
                <w:rFonts w:hint="eastAsia" w:ascii="宋体" w:hAnsi="宋体"/>
                <w:b/>
                <w:color w:val="000000"/>
                <w:szCs w:val="22"/>
              </w:rPr>
              <w:t>（2）本文件《第五部分 投标文件格式》未提供格式的，请各投标单位自行拟定格式，并按招标文件要求进行电子签章（电子公章），否则视为未提供。</w:t>
            </w:r>
          </w:p>
          <w:p w14:paraId="653F2033">
            <w:pPr>
              <w:spacing w:line="420" w:lineRule="exact"/>
              <w:rPr>
                <w:rFonts w:ascii="宋体" w:hAnsi="宋体"/>
                <w:b/>
                <w:color w:val="000000"/>
                <w:szCs w:val="22"/>
              </w:rPr>
            </w:pPr>
            <w:r>
              <w:rPr>
                <w:rFonts w:hint="eastAsia" w:ascii="宋体" w:hAnsi="宋体"/>
                <w:b/>
                <w:color w:val="000000"/>
                <w:szCs w:val="22"/>
              </w:rPr>
              <w:t xml:space="preserve">（3）提供扫描件的相关证明材料必须加盖投标供应商电子公章，否则视为未提供。 </w:t>
            </w:r>
          </w:p>
          <w:p w14:paraId="41C3354B">
            <w:pPr>
              <w:spacing w:line="420" w:lineRule="exact"/>
              <w:rPr>
                <w:rFonts w:ascii="宋体" w:hAnsi="宋体"/>
                <w:b/>
                <w:color w:val="000000"/>
                <w:szCs w:val="22"/>
              </w:rPr>
            </w:pPr>
            <w:r>
              <w:rPr>
                <w:rFonts w:hint="eastAsia" w:ascii="宋体" w:hAnsi="宋体" w:cs="Arial"/>
                <w:b/>
                <w:color w:val="000000"/>
                <w:szCs w:val="22"/>
              </w:rPr>
              <w:t>（4）以上内容中标注“</w:t>
            </w:r>
            <w:r>
              <w:rPr>
                <w:rFonts w:ascii="Arial" w:hAnsi="Arial" w:cs="Arial"/>
                <w:color w:val="000000"/>
              </w:rPr>
              <w:t>▲</w:t>
            </w:r>
            <w:r>
              <w:rPr>
                <w:rFonts w:hint="eastAsia" w:ascii="宋体" w:hAnsi="宋体" w:cs="Arial"/>
                <w:b/>
                <w:color w:val="000000"/>
                <w:szCs w:val="22"/>
              </w:rPr>
              <w:t>”的内容为必须提供的内容，未提供的投标无效。</w:t>
            </w:r>
          </w:p>
        </w:tc>
      </w:tr>
      <w:bookmarkEnd w:id="169"/>
    </w:tbl>
    <w:p w14:paraId="53BF5D38">
      <w:pPr>
        <w:autoSpaceDE w:val="0"/>
        <w:autoSpaceDN w:val="0"/>
        <w:adjustRightInd w:val="0"/>
        <w:snapToGrid w:val="0"/>
        <w:spacing w:line="420" w:lineRule="exact"/>
        <w:ind w:firstLine="442" w:firstLineChars="200"/>
        <w:textAlignment w:val="bottom"/>
        <w:rPr>
          <w:rFonts w:ascii="宋体" w:hAnsi="宋体" w:cs="Arial"/>
          <w:b/>
          <w:bCs/>
          <w:szCs w:val="22"/>
        </w:rPr>
      </w:pPr>
      <w:r>
        <w:rPr>
          <w:rFonts w:hint="eastAsia" w:ascii="宋体" w:hAnsi="宋体" w:cs="Arial"/>
          <w:b/>
          <w:bCs/>
          <w:szCs w:val="22"/>
        </w:rPr>
        <w:t>3、投标内容填写说明</w:t>
      </w:r>
    </w:p>
    <w:p w14:paraId="6F68218E">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3.1、投标文件编制</w:t>
      </w:r>
    </w:p>
    <w:p w14:paraId="08DC3A3A">
      <w:pPr>
        <w:spacing w:line="420" w:lineRule="exact"/>
        <w:ind w:firstLine="440" w:firstLineChars="200"/>
        <w:rPr>
          <w:rFonts w:ascii="宋体" w:hAnsi="宋体" w:cs="宋体"/>
          <w:b/>
          <w:color w:val="000000"/>
          <w:szCs w:val="22"/>
        </w:rPr>
      </w:pPr>
      <w:r>
        <w:rPr>
          <w:rFonts w:hint="eastAsia" w:ascii="宋体" w:hAnsi="宋体" w:cs="宋体"/>
          <w:szCs w:val="22"/>
        </w:rPr>
        <w:t xml:space="preserve"> 1）</w:t>
      </w:r>
      <w:r>
        <w:rPr>
          <w:rFonts w:hint="eastAsia" w:ascii="宋体" w:hAnsi="宋体" w:cs="宋体"/>
          <w:b/>
          <w:color w:val="000000"/>
          <w:szCs w:val="22"/>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14:paraId="03B27D72">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14:paraId="71831EA1">
      <w:pPr>
        <w:spacing w:line="420" w:lineRule="exact"/>
        <w:ind w:firstLine="387" w:firstLineChars="175"/>
        <w:rPr>
          <w:rFonts w:ascii="宋体" w:hAnsi="宋体" w:cs="宋体"/>
          <w:szCs w:val="22"/>
        </w:rPr>
      </w:pPr>
      <w:r>
        <w:rPr>
          <w:rFonts w:hint="eastAsia" w:ascii="宋体" w:hAnsi="宋体" w:cs="宋体"/>
          <w:b/>
          <w:color w:val="000000"/>
          <w:szCs w:val="22"/>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14:paraId="4E3B0ABC">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 投标文件内容不完整、编排混乱、未设置评审关联点或设置错误评审关联点导致投标文件被误读、漏读或者查找不到相关内容的，是投标供应商的责任。</w:t>
      </w:r>
    </w:p>
    <w:p w14:paraId="4A17BF10">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5） 投标文件因字迹潦草或表达不清所引起的后果由投标供应商负责。</w:t>
      </w:r>
    </w:p>
    <w:p w14:paraId="0C09B0D1">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AD0F9E5">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7） 投标文件所提供的相关材料的尺寸和清晰度应该能够在电脑上被阅读、识别和判断。投标文件内容无法阅读、识别和判断的，视为未提供。</w:t>
      </w:r>
    </w:p>
    <w:p w14:paraId="6E0FBA54">
      <w:pPr>
        <w:autoSpaceDE w:val="0"/>
        <w:autoSpaceDN w:val="0"/>
        <w:adjustRightInd w:val="0"/>
        <w:snapToGrid w:val="0"/>
        <w:spacing w:line="420" w:lineRule="exact"/>
        <w:ind w:left="418" w:leftChars="190"/>
        <w:textAlignment w:val="bottom"/>
        <w:rPr>
          <w:rFonts w:ascii="宋体" w:hAnsi="宋体" w:cs="宋体"/>
          <w:b/>
          <w:bCs/>
          <w:szCs w:val="22"/>
        </w:rPr>
      </w:pPr>
      <w:r>
        <w:rPr>
          <w:rFonts w:hint="eastAsia" w:ascii="宋体" w:hAnsi="宋体" w:cs="宋体"/>
          <w:b/>
          <w:bCs/>
          <w:szCs w:val="22"/>
        </w:rPr>
        <w:t>8）投标文件的容量大小须符合电子交易平台规定。</w:t>
      </w:r>
    </w:p>
    <w:p w14:paraId="6C6C1755">
      <w:pPr>
        <w:autoSpaceDE w:val="0"/>
        <w:autoSpaceDN w:val="0"/>
        <w:adjustRightInd w:val="0"/>
        <w:snapToGrid w:val="0"/>
        <w:spacing w:line="420" w:lineRule="exact"/>
        <w:ind w:left="418" w:leftChars="190"/>
        <w:textAlignment w:val="bottom"/>
        <w:rPr>
          <w:rFonts w:ascii="宋体" w:hAnsi="宋体" w:cs="宋体"/>
          <w:szCs w:val="22"/>
        </w:rPr>
      </w:pPr>
      <w:r>
        <w:rPr>
          <w:rFonts w:hint="eastAsia" w:ascii="宋体" w:hAnsi="宋体" w:cs="宋体"/>
          <w:b/>
          <w:bCs/>
          <w:szCs w:val="22"/>
        </w:rPr>
        <w:t>9）投标人在使用电子交易平台进行投标的过程中遇到涉及平台使用的任何问题，可致电平台技术支持热线咨询，联系方式：400-881-7190。</w:t>
      </w:r>
    </w:p>
    <w:p w14:paraId="09C80A99">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3.2投标文件的签章</w:t>
      </w:r>
    </w:p>
    <w:p w14:paraId="5A4B46A7">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▲1）招标文件中要求公章签章，统一为电子签章（电子公章）。</w:t>
      </w:r>
    </w:p>
    <w:p w14:paraId="14E261EB">
      <w:pPr>
        <w:spacing w:line="420" w:lineRule="exact"/>
        <w:ind w:firstLine="424" w:firstLineChars="192"/>
        <w:rPr>
          <w:rFonts w:ascii="宋体" w:hAnsi="宋体" w:cs="宋体"/>
          <w:b/>
          <w:color w:val="000000"/>
          <w:kern w:val="0"/>
          <w:szCs w:val="22"/>
        </w:rPr>
      </w:pPr>
      <w:r>
        <w:rPr>
          <w:rFonts w:hint="eastAsia" w:ascii="宋体" w:hAnsi="宋体" w:cs="宋体"/>
          <w:b/>
          <w:color w:val="000000"/>
          <w:kern w:val="0"/>
          <w:szCs w:val="22"/>
        </w:rPr>
        <w:t>2）商务技术文件、报价文件文件封面应盖投标供应商电子签章（电子公章）。</w:t>
      </w:r>
    </w:p>
    <w:p w14:paraId="4BD32167">
      <w:pPr>
        <w:pStyle w:val="52"/>
        <w:spacing w:line="420" w:lineRule="exact"/>
        <w:rPr>
          <w:szCs w:val="22"/>
        </w:rPr>
      </w:pPr>
      <w:r>
        <w:rPr>
          <w:rFonts w:hint="eastAsia" w:ascii="宋体" w:hAnsi="宋体" w:cs="宋体"/>
          <w:b/>
          <w:color w:val="000000"/>
          <w:kern w:val="0"/>
          <w:szCs w:val="22"/>
        </w:rPr>
        <w:t xml:space="preserve">    3）供应商应使用“政采云电子交易客户端”进行的电子签章并进行加密的投标文件，加密的投标文件中的电子公章款式是否跟实际公章一致，都是有效签章。</w:t>
      </w:r>
    </w:p>
    <w:p w14:paraId="7DB54C9F">
      <w:pPr>
        <w:pStyle w:val="19"/>
        <w:spacing w:line="420" w:lineRule="exact"/>
        <w:ind w:left="0" w:leftChars="0" w:firstLine="442" w:firstLineChars="200"/>
        <w:rPr>
          <w:rFonts w:ascii="宋体" w:hAnsi="宋体" w:cs="宋体"/>
        </w:rPr>
      </w:pPr>
      <w:r>
        <w:rPr>
          <w:rFonts w:hint="eastAsia" w:ascii="宋体" w:hAnsi="宋体" w:cs="宋体"/>
          <w:b/>
          <w:color w:val="000000"/>
          <w:kern w:val="0"/>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14:paraId="2F4978A8">
      <w:pPr>
        <w:autoSpaceDE w:val="0"/>
        <w:autoSpaceDN w:val="0"/>
        <w:adjustRightInd w:val="0"/>
        <w:snapToGrid w:val="0"/>
        <w:spacing w:line="420" w:lineRule="exact"/>
        <w:ind w:firstLine="440" w:firstLineChars="200"/>
        <w:textAlignment w:val="bottom"/>
        <w:rPr>
          <w:rFonts w:ascii="宋体" w:hAnsi="宋体" w:cs="Arial"/>
          <w:szCs w:val="22"/>
        </w:rPr>
      </w:pPr>
      <w:r>
        <w:rPr>
          <w:rFonts w:hint="eastAsia" w:ascii="宋体" w:hAnsi="宋体" w:cs="Arial"/>
          <w:szCs w:val="22"/>
        </w:rPr>
        <w:t>3.3投标文件的形式</w:t>
      </w:r>
    </w:p>
    <w:p w14:paraId="30A6997A">
      <w:pPr>
        <w:spacing w:line="420" w:lineRule="exact"/>
        <w:ind w:firstLine="389" w:firstLineChars="176"/>
        <w:rPr>
          <w:rFonts w:ascii="宋体" w:hAnsi="宋体" w:cs="宋体"/>
          <w:color w:val="000000"/>
          <w:szCs w:val="22"/>
        </w:rPr>
      </w:pPr>
      <w:r>
        <w:rPr>
          <w:rFonts w:hint="eastAsia" w:ascii="宋体" w:hAnsi="宋体" w:cs="宋体"/>
          <w:b/>
          <w:color w:val="000000"/>
          <w:szCs w:val="22"/>
        </w:rPr>
        <w:t>1）投标文件的形式：见《投标通知(邀请)书》；</w:t>
      </w:r>
    </w:p>
    <w:p w14:paraId="025AAC00">
      <w:pPr>
        <w:spacing w:line="420" w:lineRule="exact"/>
        <w:ind w:firstLine="389" w:firstLineChars="176"/>
        <w:rPr>
          <w:rFonts w:ascii="宋体" w:hAnsi="宋体" w:cs="宋体"/>
          <w:b/>
          <w:color w:val="000000"/>
          <w:szCs w:val="22"/>
        </w:rPr>
      </w:pPr>
      <w:r>
        <w:rPr>
          <w:rFonts w:hint="eastAsia" w:ascii="宋体" w:hAnsi="宋体" w:cs="宋体"/>
          <w:b/>
          <w:color w:val="000000"/>
          <w:szCs w:val="22"/>
        </w:rPr>
        <w:t>2）“电子加密投标文件”：“电子加密投标文件”是指通过“政采云电子交易客户端”完成投标文件编制后生成并加密的数据电文形式的投标文件。</w:t>
      </w:r>
    </w:p>
    <w:p w14:paraId="6B8524D5">
      <w:pPr>
        <w:spacing w:line="420" w:lineRule="exact"/>
        <w:ind w:firstLine="389" w:firstLineChars="176"/>
        <w:rPr>
          <w:rFonts w:ascii="宋体" w:hAnsi="宋体" w:cs="宋体"/>
          <w:b/>
          <w:color w:val="000000"/>
          <w:szCs w:val="22"/>
        </w:rPr>
      </w:pPr>
      <w:r>
        <w:rPr>
          <w:rFonts w:hint="eastAsia" w:ascii="宋体" w:hAnsi="宋体" w:cs="宋体"/>
          <w:b/>
          <w:color w:val="000000"/>
          <w:szCs w:val="22"/>
        </w:rPr>
        <w:t>3）“备份投标文件”：“备份投标文件”是指与“电子加密投标文件”同时生成的数据电文形式的电子文件（备份标书），其他方式编制的“备份投标文件”视为无效的“备份投标文件”。</w:t>
      </w:r>
      <w:r>
        <w:rPr>
          <w:rFonts w:hint="eastAsia" w:ascii="宋体" w:hAnsi="宋体" w:cs="宋体"/>
          <w:b/>
          <w:szCs w:val="22"/>
        </w:rPr>
        <w:t>通过电子交易平台成功上传递交的投标文件已按时解密的，备份投标文件自动失效。备份投标文件不是投标备选方案。</w:t>
      </w:r>
    </w:p>
    <w:p w14:paraId="6DE2FF5B">
      <w:pPr>
        <w:autoSpaceDE w:val="0"/>
        <w:autoSpaceDN w:val="0"/>
        <w:adjustRightInd w:val="0"/>
        <w:snapToGrid w:val="0"/>
        <w:spacing w:line="420" w:lineRule="exact"/>
        <w:ind w:left="418" w:leftChars="190"/>
        <w:textAlignment w:val="bottom"/>
        <w:rPr>
          <w:rFonts w:ascii="宋体" w:hAnsi="宋体" w:cs="Arial"/>
          <w:b/>
          <w:bCs/>
          <w:szCs w:val="22"/>
        </w:rPr>
      </w:pPr>
      <w:r>
        <w:rPr>
          <w:rFonts w:hint="eastAsia" w:ascii="宋体" w:hAnsi="宋体" w:cs="宋体"/>
          <w:b/>
          <w:color w:val="000000"/>
          <w:szCs w:val="22"/>
        </w:rPr>
        <w:t>4）</w:t>
      </w:r>
      <w:r>
        <w:rPr>
          <w:rFonts w:hint="eastAsia" w:ascii="宋体" w:hAnsi="宋体" w:cs="宋体"/>
          <w:b/>
          <w:szCs w:val="22"/>
        </w:rPr>
        <w:t>本项目实行电子交易。电子交易平台为浙江政府采购网政府采购云平台。投标人应通过电子交易平台实行在线投标响应。</w:t>
      </w:r>
    </w:p>
    <w:p w14:paraId="386B4044">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rPr>
        <w:t>4、投标报价</w:t>
      </w:r>
    </w:p>
    <w:p w14:paraId="058D5470">
      <w:pPr>
        <w:autoSpaceDE w:val="0"/>
        <w:autoSpaceDN w:val="0"/>
        <w:adjustRightInd w:val="0"/>
        <w:snapToGrid w:val="0"/>
        <w:spacing w:line="420" w:lineRule="exact"/>
        <w:rPr>
          <w:rFonts w:ascii="宋体" w:hAnsi="宋体"/>
          <w:szCs w:val="22"/>
          <w:lang w:val="zh-CN"/>
        </w:rPr>
      </w:pPr>
      <w:r>
        <w:rPr>
          <w:rFonts w:hint="eastAsia" w:ascii="宋体" w:hAnsi="宋体"/>
          <w:szCs w:val="22"/>
        </w:rPr>
        <w:t xml:space="preserve">    4.1、供应商应按招标文件中提供的相关报价格式填写。</w:t>
      </w:r>
    </w:p>
    <w:p w14:paraId="19ECF719">
      <w:pPr>
        <w:autoSpaceDE w:val="0"/>
        <w:autoSpaceDN w:val="0"/>
        <w:adjustRightInd w:val="0"/>
        <w:snapToGrid w:val="0"/>
        <w:spacing w:line="420" w:lineRule="exact"/>
        <w:ind w:firstLine="442" w:firstLineChars="200"/>
        <w:textAlignment w:val="bottom"/>
        <w:rPr>
          <w:rFonts w:ascii="宋体" w:hAnsi="宋体"/>
          <w:b/>
          <w:szCs w:val="22"/>
        </w:rPr>
      </w:pPr>
      <w:r>
        <w:rPr>
          <w:rFonts w:hint="eastAsia" w:ascii="宋体" w:hAnsi="宋体"/>
          <w:b/>
          <w:szCs w:val="22"/>
        </w:rPr>
        <w:t>4.2、本次招标只允许有一个报价，有选择的报价将不予接受。</w:t>
      </w:r>
    </w:p>
    <w:p w14:paraId="32D04C94">
      <w:pPr>
        <w:autoSpaceDE w:val="0"/>
        <w:autoSpaceDN w:val="0"/>
        <w:adjustRightInd w:val="0"/>
        <w:snapToGrid w:val="0"/>
        <w:spacing w:line="420" w:lineRule="exact"/>
        <w:ind w:firstLine="440" w:firstLineChars="200"/>
        <w:textAlignment w:val="bottom"/>
        <w:rPr>
          <w:rFonts w:ascii="宋体" w:hAnsi="宋体"/>
          <w:szCs w:val="22"/>
        </w:rPr>
      </w:pPr>
      <w:r>
        <w:rPr>
          <w:rFonts w:hint="eastAsia" w:ascii="宋体" w:hAnsi="宋体"/>
          <w:szCs w:val="22"/>
        </w:rPr>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14:paraId="7C16A314">
      <w:pPr>
        <w:autoSpaceDE w:val="0"/>
        <w:autoSpaceDN w:val="0"/>
        <w:adjustRightInd w:val="0"/>
        <w:snapToGrid w:val="0"/>
        <w:spacing w:line="420" w:lineRule="exact"/>
        <w:ind w:firstLine="539" w:firstLineChars="245"/>
        <w:textAlignment w:val="bottom"/>
        <w:rPr>
          <w:rFonts w:ascii="宋体" w:hAnsi="宋体" w:cs="Arial"/>
          <w:b/>
          <w:szCs w:val="22"/>
          <w:u w:val="single"/>
        </w:rPr>
      </w:pPr>
      <w:r>
        <w:rPr>
          <w:rFonts w:hint="eastAsia" w:ascii="宋体" w:hAnsi="宋体" w:cs="Arial"/>
          <w:szCs w:val="22"/>
          <w:u w:val="single"/>
        </w:rPr>
        <w:t>▲</w:t>
      </w:r>
      <w:r>
        <w:rPr>
          <w:rFonts w:hint="eastAsia" w:ascii="宋体" w:hAnsi="宋体" w:cs="Arial"/>
          <w:b/>
          <w:szCs w:val="22"/>
          <w:u w:val="single"/>
        </w:rPr>
        <w:t>供应商在投标报价中应充分考虑所有可能发生的费用，否则采购人将视投标总价中已包括所有费用。</w:t>
      </w:r>
    </w:p>
    <w:p w14:paraId="0B7B23E4">
      <w:pPr>
        <w:autoSpaceDE w:val="0"/>
        <w:autoSpaceDN w:val="0"/>
        <w:adjustRightInd w:val="0"/>
        <w:snapToGrid w:val="0"/>
        <w:spacing w:line="420" w:lineRule="exact"/>
        <w:ind w:firstLine="539" w:firstLineChars="245"/>
        <w:textAlignment w:val="bottom"/>
        <w:rPr>
          <w:rFonts w:ascii="宋体" w:hAnsi="宋体" w:cs="Arial"/>
          <w:szCs w:val="22"/>
          <w:u w:val="single"/>
        </w:rPr>
      </w:pPr>
      <w:r>
        <w:rPr>
          <w:rFonts w:hint="eastAsia" w:ascii="宋体" w:hAnsi="宋体" w:cs="Arial"/>
          <w:szCs w:val="22"/>
          <w:u w:val="single"/>
        </w:rPr>
        <w:t>供应商对在合同执行中，除上述费用及招标文件规定的由中标供应商负责的工作范围以外需要采购人协调或提供便利的工作应当在投标文件中说明。</w:t>
      </w:r>
    </w:p>
    <w:p w14:paraId="0E1C8B6B">
      <w:pPr>
        <w:autoSpaceDE w:val="0"/>
        <w:autoSpaceDN w:val="0"/>
        <w:adjustRightInd w:val="0"/>
        <w:snapToGrid w:val="0"/>
        <w:spacing w:line="420" w:lineRule="exact"/>
        <w:ind w:firstLine="539" w:firstLineChars="245"/>
        <w:textAlignment w:val="bottom"/>
        <w:rPr>
          <w:rFonts w:ascii="宋体" w:hAnsi="宋体" w:cs="Arial"/>
          <w:szCs w:val="22"/>
        </w:rPr>
      </w:pPr>
      <w:r>
        <w:rPr>
          <w:rFonts w:hint="eastAsia" w:ascii="宋体" w:hAnsi="宋体" w:cs="Arial"/>
          <w:szCs w:val="22"/>
        </w:rPr>
        <w:t>填写报价表格时，各项费用应如实填写。采购人要求分类报价是为了方便评标，但在任何情况下不限制采购人以其认为最合适的条款签订合同的权利。</w:t>
      </w:r>
    </w:p>
    <w:p w14:paraId="781D3413">
      <w:pPr>
        <w:autoSpaceDE w:val="0"/>
        <w:autoSpaceDN w:val="0"/>
        <w:adjustRightInd w:val="0"/>
        <w:snapToGrid w:val="0"/>
        <w:spacing w:line="420" w:lineRule="exact"/>
        <w:ind w:firstLine="440" w:firstLineChars="200"/>
        <w:textAlignment w:val="bottom"/>
        <w:rPr>
          <w:rFonts w:ascii="宋体" w:cs="Arial"/>
          <w:szCs w:val="22"/>
        </w:rPr>
      </w:pPr>
      <w:r>
        <w:rPr>
          <w:rFonts w:hint="eastAsia" w:ascii="宋体" w:hAnsi="宋体" w:cs="仿宋_GB2312"/>
          <w:szCs w:val="22"/>
          <w:lang w:val="zh-CN"/>
        </w:rPr>
        <w:t>5、</w:t>
      </w:r>
      <w:r>
        <w:rPr>
          <w:rFonts w:hint="eastAsia" w:ascii="宋体" w:cs="Arial"/>
          <w:szCs w:val="22"/>
        </w:rPr>
        <w:t>采购人要求分项报价是为了控制价格平衡，中标后签订合同时，将按各分项报价明确各项专题费用。</w:t>
      </w:r>
    </w:p>
    <w:p w14:paraId="1363C38D">
      <w:pPr>
        <w:autoSpaceDE w:val="0"/>
        <w:autoSpaceDN w:val="0"/>
        <w:adjustRightInd w:val="0"/>
        <w:snapToGrid w:val="0"/>
        <w:spacing w:line="420" w:lineRule="exact"/>
        <w:ind w:firstLine="440" w:firstLineChars="200"/>
        <w:rPr>
          <w:rFonts w:ascii="宋体" w:hAnsi="宋体" w:cs="仿宋_GB2312"/>
          <w:szCs w:val="22"/>
          <w:lang w:val="zh-CN"/>
        </w:rPr>
      </w:pPr>
      <w:r>
        <w:rPr>
          <w:rFonts w:hint="eastAsia" w:ascii="宋体" w:hAnsi="宋体" w:cs="仿宋_GB2312"/>
          <w:szCs w:val="22"/>
          <w:lang w:val="zh-CN"/>
        </w:rPr>
        <w:t>6、</w:t>
      </w:r>
      <w:r>
        <w:rPr>
          <w:rFonts w:hint="eastAsia" w:ascii="宋体" w:hAnsi="宋体"/>
          <w:szCs w:val="22"/>
        </w:rPr>
        <w:t>投标保证金</w:t>
      </w:r>
    </w:p>
    <w:p w14:paraId="7551BB6E">
      <w:pPr>
        <w:autoSpaceDE w:val="0"/>
        <w:autoSpaceDN w:val="0"/>
        <w:adjustRightInd w:val="0"/>
        <w:snapToGrid w:val="0"/>
        <w:spacing w:line="420" w:lineRule="exact"/>
        <w:ind w:firstLine="422"/>
        <w:textAlignment w:val="bottom"/>
        <w:rPr>
          <w:rFonts w:ascii="宋体" w:hAnsi="宋体"/>
          <w:szCs w:val="22"/>
        </w:rPr>
      </w:pPr>
      <w:r>
        <w:rPr>
          <w:rFonts w:hint="eastAsia" w:ascii="宋体" w:hAnsi="宋体"/>
          <w:szCs w:val="22"/>
        </w:rPr>
        <w:t>按照《浙江省财政厅关于明确政府采购保证金管理工作的通知》浙财采监〔2019〕5号文件规定，投标人无需缴纳投标保证金。</w:t>
      </w:r>
    </w:p>
    <w:p w14:paraId="5B90688A">
      <w:pPr>
        <w:pStyle w:val="20"/>
        <w:adjustRightInd w:val="0"/>
        <w:snapToGrid w:val="0"/>
        <w:spacing w:line="420" w:lineRule="exact"/>
        <w:ind w:firstLine="440" w:firstLineChars="200"/>
        <w:rPr>
          <w:rFonts w:hAnsi="宋体" w:cs="Arial"/>
        </w:rPr>
      </w:pPr>
      <w:bookmarkStart w:id="170" w:name="_Toc132122117"/>
      <w:bookmarkStart w:id="171" w:name="_Toc132122414"/>
      <w:r>
        <w:rPr>
          <w:rFonts w:hint="eastAsia" w:hAnsi="宋体" w:cs="Arial"/>
        </w:rPr>
        <w:t>7、投标文件的有效期</w:t>
      </w:r>
      <w:bookmarkEnd w:id="170"/>
      <w:bookmarkEnd w:id="171"/>
    </w:p>
    <w:p w14:paraId="4E076075">
      <w:pPr>
        <w:pStyle w:val="20"/>
        <w:adjustRightInd w:val="0"/>
        <w:snapToGrid w:val="0"/>
        <w:spacing w:line="420" w:lineRule="exact"/>
        <w:ind w:firstLine="440" w:firstLineChars="200"/>
        <w:rPr>
          <w:rFonts w:hAnsi="宋体" w:cs="Arial"/>
        </w:rPr>
      </w:pPr>
      <w:r>
        <w:rPr>
          <w:rFonts w:hint="eastAsia" w:hAnsi="宋体" w:cs="Arial"/>
        </w:rPr>
        <w:t>7.1自开标日起120天内，投标文件应保持有效。有效期短于这个规定期限的投标将被拒绝。</w:t>
      </w:r>
    </w:p>
    <w:p w14:paraId="0C0C38AE">
      <w:pPr>
        <w:pStyle w:val="20"/>
        <w:adjustRightInd w:val="0"/>
        <w:snapToGrid w:val="0"/>
        <w:spacing w:line="420" w:lineRule="exact"/>
        <w:ind w:firstLine="440" w:firstLineChars="200"/>
        <w:rPr>
          <w:rFonts w:hAnsi="宋体" w:cs="Arial"/>
        </w:rPr>
      </w:pPr>
      <w:r>
        <w:rPr>
          <w:rFonts w:hint="eastAsia" w:hAnsi="宋体" w:cs="Arial"/>
        </w:rPr>
        <w:t>7.2在特殊情况下，采购人可与供应商协商延长投标文件的有效期，这种要求和答复均应以书面形式进行。</w:t>
      </w:r>
    </w:p>
    <w:p w14:paraId="4BE72C53">
      <w:pPr>
        <w:pStyle w:val="7"/>
        <w:spacing w:line="420" w:lineRule="exact"/>
      </w:pPr>
      <w:r>
        <w:rPr>
          <w:rFonts w:hint="eastAsia"/>
        </w:rPr>
        <w:t>五、投标</w:t>
      </w:r>
    </w:p>
    <w:p w14:paraId="7E9C4012">
      <w:pPr>
        <w:pStyle w:val="21"/>
        <w:spacing w:line="420" w:lineRule="exact"/>
        <w:ind w:left="440"/>
        <w:rPr>
          <w:rFonts w:ascii="宋体" w:hAnsi="宋体" w:cs="Arial"/>
          <w:smallCaps/>
          <w:szCs w:val="22"/>
        </w:rPr>
      </w:pPr>
      <w:r>
        <w:rPr>
          <w:rFonts w:hint="eastAsia" w:ascii="宋体" w:hAnsi="宋体" w:cs="Arial"/>
          <w:smallCaps/>
          <w:szCs w:val="22"/>
        </w:rPr>
        <w:t xml:space="preserve">  1、投标文件的份数：见“投标通知(邀请)书”；</w:t>
      </w:r>
    </w:p>
    <w:p w14:paraId="4B52DD29">
      <w:pPr>
        <w:pStyle w:val="21"/>
        <w:spacing w:line="420" w:lineRule="exact"/>
        <w:ind w:left="440"/>
        <w:rPr>
          <w:rFonts w:ascii="宋体" w:hAnsi="宋体" w:cs="Arial"/>
          <w:smallCaps/>
          <w:szCs w:val="22"/>
        </w:rPr>
      </w:pPr>
      <w:r>
        <w:rPr>
          <w:rFonts w:hint="eastAsia" w:ascii="宋体" w:hAnsi="宋体" w:cs="Arial"/>
          <w:smallCaps/>
          <w:szCs w:val="22"/>
        </w:rPr>
        <w:t xml:space="preserve">  2、投标文件的上传和递交：见“投标通知(邀请)书”；</w:t>
      </w:r>
    </w:p>
    <w:p w14:paraId="44FB5A04">
      <w:pPr>
        <w:pStyle w:val="21"/>
        <w:spacing w:line="420" w:lineRule="exact"/>
        <w:ind w:left="440"/>
        <w:rPr>
          <w:rFonts w:ascii="宋体" w:hAnsi="宋体" w:cs="Arial"/>
          <w:smallCaps/>
          <w:szCs w:val="22"/>
        </w:rPr>
      </w:pPr>
      <w:r>
        <w:rPr>
          <w:rFonts w:hint="eastAsia" w:ascii="宋体" w:hAnsi="宋体" w:cs="Arial"/>
          <w:smallCaps/>
          <w:szCs w:val="22"/>
        </w:rPr>
        <w:t xml:space="preserve">  3、“电子加密投标文件”解密和异常情况处理：见“投标通知(邀请)书”；</w:t>
      </w:r>
    </w:p>
    <w:p w14:paraId="79B92969">
      <w:pPr>
        <w:pStyle w:val="21"/>
        <w:spacing w:line="420" w:lineRule="exact"/>
        <w:ind w:left="440"/>
        <w:rPr>
          <w:rFonts w:ascii="宋体" w:hAnsi="宋体" w:cs="Arial"/>
          <w:smallCaps/>
          <w:szCs w:val="22"/>
        </w:rPr>
      </w:pPr>
      <w:r>
        <w:rPr>
          <w:rFonts w:hint="eastAsia" w:ascii="宋体" w:hAnsi="宋体" w:cs="Arial"/>
          <w:smallCaps/>
          <w:szCs w:val="22"/>
        </w:rPr>
        <w:t xml:space="preserve">  4、投标文件的补充、修改或撤回</w:t>
      </w:r>
    </w:p>
    <w:p w14:paraId="4F7698CE">
      <w:pPr>
        <w:pStyle w:val="20"/>
        <w:adjustRightInd w:val="0"/>
        <w:snapToGrid w:val="0"/>
        <w:spacing w:line="420" w:lineRule="exact"/>
        <w:ind w:firstLine="440" w:firstLineChars="200"/>
        <w:rPr>
          <w:rFonts w:hAnsi="宋体" w:cs="Arial"/>
        </w:rPr>
      </w:pPr>
      <w:r>
        <w:rPr>
          <w:rFonts w:hint="eastAsia" w:hAnsi="宋体" w:cs="Arial"/>
        </w:rPr>
        <w:t>4.1</w:t>
      </w:r>
      <w:bookmarkStart w:id="172" w:name="_Toc6032"/>
      <w:bookmarkStart w:id="173" w:name="_Toc13331"/>
      <w:bookmarkStart w:id="174" w:name="_Toc1693"/>
      <w:bookmarkStart w:id="175" w:name="_Toc15898"/>
      <w:bookmarkStart w:id="176" w:name="_Toc31206"/>
      <w:r>
        <w:rPr>
          <w:rFonts w:hint="eastAsia" w:hAnsi="宋体" w:cs="Aria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172"/>
      <w:bookmarkEnd w:id="173"/>
      <w:bookmarkEnd w:id="174"/>
      <w:bookmarkEnd w:id="175"/>
      <w:bookmarkEnd w:id="176"/>
    </w:p>
    <w:p w14:paraId="13D0F3D3">
      <w:pPr>
        <w:pStyle w:val="20"/>
        <w:adjustRightInd w:val="0"/>
        <w:snapToGrid w:val="0"/>
        <w:spacing w:line="420" w:lineRule="exact"/>
        <w:ind w:firstLine="440" w:firstLineChars="200"/>
        <w:rPr>
          <w:rFonts w:hAnsi="宋体" w:cs="Arial"/>
        </w:rPr>
      </w:pPr>
      <w:bookmarkStart w:id="177" w:name="_Toc10009"/>
      <w:bookmarkStart w:id="178" w:name="_Toc31266"/>
      <w:bookmarkStart w:id="179" w:name="_Toc6434"/>
      <w:bookmarkStart w:id="180" w:name="_Toc14795"/>
      <w:bookmarkStart w:id="181" w:name="_Toc9425"/>
      <w:r>
        <w:rPr>
          <w:rFonts w:hint="eastAsia" w:hAnsi="宋体" w:cs="Arial"/>
        </w:rPr>
        <w:t>4.2投标截止时间后，投标供应商不得撤回、修改投标文件。</w:t>
      </w:r>
      <w:bookmarkEnd w:id="177"/>
      <w:bookmarkEnd w:id="178"/>
      <w:bookmarkEnd w:id="179"/>
      <w:bookmarkEnd w:id="180"/>
      <w:bookmarkEnd w:id="181"/>
    </w:p>
    <w:p w14:paraId="5226A916">
      <w:pPr>
        <w:pStyle w:val="20"/>
        <w:adjustRightInd w:val="0"/>
        <w:snapToGrid w:val="0"/>
        <w:spacing w:line="420" w:lineRule="exact"/>
        <w:ind w:firstLine="440" w:firstLineChars="200"/>
        <w:rPr>
          <w:rFonts w:hAnsi="宋体" w:cs="Arial"/>
        </w:rPr>
      </w:pPr>
      <w:r>
        <w:rPr>
          <w:rFonts w:hint="eastAsia" w:hAnsi="宋体" w:cs="Arial"/>
        </w:rPr>
        <w:t>4.3投标供应商不得递交任何的投标备选（替代）方案，否则其投标文件将作无效标处理。与“电子加密投标文件”同时生成的“备份投标文件”不是投标备选（替代）方案。</w:t>
      </w:r>
    </w:p>
    <w:p w14:paraId="30319D1D">
      <w:pPr>
        <w:pStyle w:val="20"/>
        <w:adjustRightInd w:val="0"/>
        <w:snapToGrid w:val="0"/>
        <w:spacing w:line="420" w:lineRule="exact"/>
        <w:ind w:firstLine="480"/>
        <w:rPr>
          <w:rFonts w:hAnsi="宋体"/>
        </w:rPr>
      </w:pPr>
      <w:r>
        <w:rPr>
          <w:rFonts w:hint="eastAsia" w:hAnsi="宋体"/>
        </w:rPr>
        <w:t>5、发生下列情况之一的备份投标文件将拒收:</w:t>
      </w:r>
    </w:p>
    <w:p w14:paraId="7A653F7E">
      <w:pPr>
        <w:pStyle w:val="20"/>
        <w:adjustRightInd w:val="0"/>
        <w:spacing w:line="420" w:lineRule="exact"/>
        <w:ind w:firstLine="440" w:firstLineChars="200"/>
        <w:rPr>
          <w:rFonts w:hAnsi="宋体"/>
        </w:rPr>
      </w:pPr>
      <w:r>
        <w:rPr>
          <w:rFonts w:hint="eastAsia" w:hAnsi="宋体"/>
        </w:rPr>
        <w:t>5.1未传输递交的电子投标文件的；</w:t>
      </w:r>
    </w:p>
    <w:p w14:paraId="1941BC70">
      <w:pPr>
        <w:pStyle w:val="20"/>
        <w:adjustRightInd w:val="0"/>
        <w:spacing w:line="420" w:lineRule="exact"/>
        <w:ind w:firstLine="440" w:firstLineChars="200"/>
        <w:rPr>
          <w:rFonts w:hAnsi="宋体"/>
        </w:rPr>
      </w:pPr>
      <w:r>
        <w:rPr>
          <w:rFonts w:hint="eastAsia" w:hAnsi="宋体"/>
        </w:rPr>
        <w:t>5.2在投标截止时间以后递交的投标文件；</w:t>
      </w:r>
    </w:p>
    <w:p w14:paraId="09E6CB50">
      <w:pPr>
        <w:pStyle w:val="20"/>
        <w:adjustRightInd w:val="0"/>
        <w:spacing w:line="420" w:lineRule="exact"/>
        <w:ind w:firstLine="440" w:firstLineChars="200"/>
        <w:rPr>
          <w:rFonts w:hAnsi="宋体"/>
        </w:rPr>
      </w:pPr>
      <w:r>
        <w:rPr>
          <w:rFonts w:hint="eastAsia" w:hAnsi="宋体"/>
        </w:rPr>
        <w:t>5.3未密封或由于包装不妥在递交途中严重破损或失散的投标文件；</w:t>
      </w:r>
    </w:p>
    <w:p w14:paraId="76127F7F">
      <w:pPr>
        <w:pStyle w:val="20"/>
        <w:adjustRightInd w:val="0"/>
        <w:spacing w:line="420" w:lineRule="exact"/>
        <w:ind w:firstLine="440" w:firstLineChars="200"/>
        <w:rPr>
          <w:rFonts w:hAnsi="宋体"/>
        </w:rPr>
      </w:pPr>
      <w:r>
        <w:rPr>
          <w:rFonts w:hint="eastAsia" w:hAnsi="宋体"/>
        </w:rPr>
        <w:t>5.4以电讯形式递交的投标文件。</w:t>
      </w:r>
    </w:p>
    <w:p w14:paraId="3EB21742">
      <w:pPr>
        <w:pStyle w:val="7"/>
        <w:spacing w:line="420" w:lineRule="exact"/>
      </w:pPr>
      <w:r>
        <w:rPr>
          <w:rFonts w:hint="eastAsia"/>
        </w:rPr>
        <w:t>六、开标</w:t>
      </w:r>
    </w:p>
    <w:p w14:paraId="51331D03">
      <w:pPr>
        <w:pStyle w:val="20"/>
        <w:adjustRightInd w:val="0"/>
        <w:snapToGrid w:val="0"/>
        <w:spacing w:line="420" w:lineRule="exact"/>
        <w:ind w:firstLine="440" w:firstLineChars="200"/>
        <w:rPr>
          <w:rFonts w:hAnsi="宋体"/>
        </w:rPr>
      </w:pPr>
      <w:r>
        <w:rPr>
          <w:rFonts w:hint="eastAsia" w:hAnsi="宋体"/>
        </w:rPr>
        <w:t>1、开标形式</w:t>
      </w:r>
    </w:p>
    <w:p w14:paraId="30ECD45B">
      <w:pPr>
        <w:spacing w:line="420" w:lineRule="exact"/>
        <w:ind w:firstLine="389" w:firstLineChars="177"/>
        <w:rPr>
          <w:rFonts w:ascii="宋体" w:hAnsi="宋体"/>
          <w:szCs w:val="22"/>
        </w:rPr>
      </w:pPr>
      <w:r>
        <w:rPr>
          <w:rFonts w:hint="eastAsia" w:ascii="宋体" w:hAnsi="宋体"/>
          <w:szCs w:val="22"/>
        </w:rPr>
        <w:t>1.1 采购组织机构将按照招标文件规定的时间通过“政府采购云平台”组织开标、开启投标文件，所有供应商均应当准时在线参加。</w:t>
      </w:r>
    </w:p>
    <w:p w14:paraId="089B7FDA">
      <w:pPr>
        <w:spacing w:line="420" w:lineRule="exact"/>
        <w:ind w:firstLine="389" w:firstLineChars="177"/>
        <w:rPr>
          <w:rFonts w:ascii="宋体" w:hAnsi="宋体"/>
          <w:szCs w:val="22"/>
        </w:rPr>
      </w:pPr>
      <w:r>
        <w:rPr>
          <w:rFonts w:hint="eastAsia" w:ascii="宋体" w:hAnsi="宋体"/>
          <w:szCs w:val="22"/>
        </w:rPr>
        <w:t>2、开标准备</w:t>
      </w:r>
    </w:p>
    <w:p w14:paraId="50848B09">
      <w:pPr>
        <w:spacing w:line="420" w:lineRule="exact"/>
        <w:ind w:firstLine="389" w:firstLineChars="177"/>
        <w:rPr>
          <w:rFonts w:ascii="宋体" w:hAnsi="宋体"/>
          <w:szCs w:val="22"/>
        </w:rPr>
      </w:pPr>
      <w:r>
        <w:rPr>
          <w:rFonts w:hint="eastAsia" w:ascii="宋体" w:hAnsi="宋体"/>
          <w:szCs w:val="22"/>
        </w:rPr>
        <w:t>2.1开标的准备工作由采购组织机构负责落实；</w:t>
      </w:r>
    </w:p>
    <w:p w14:paraId="07D6C4FF">
      <w:pPr>
        <w:spacing w:line="420" w:lineRule="exact"/>
        <w:ind w:firstLine="389" w:firstLineChars="177"/>
        <w:rPr>
          <w:rFonts w:ascii="宋体" w:hAnsi="宋体"/>
          <w:szCs w:val="22"/>
        </w:rPr>
      </w:pPr>
      <w:r>
        <w:rPr>
          <w:rFonts w:hint="eastAsia" w:ascii="宋体" w:hAnsi="宋体"/>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5500D41">
      <w:pPr>
        <w:pStyle w:val="20"/>
        <w:adjustRightInd w:val="0"/>
        <w:snapToGrid w:val="0"/>
        <w:spacing w:line="420" w:lineRule="exact"/>
        <w:ind w:firstLine="450"/>
        <w:rPr>
          <w:rFonts w:hAnsi="宋体"/>
        </w:rPr>
      </w:pPr>
      <w:r>
        <w:rPr>
          <w:rFonts w:hint="eastAsia" w:hAnsi="宋体"/>
        </w:rPr>
        <w:t>3、开标流程</w:t>
      </w:r>
    </w:p>
    <w:p w14:paraId="7B194D4D">
      <w:pPr>
        <w:spacing w:line="420" w:lineRule="exact"/>
        <w:rPr>
          <w:rFonts w:ascii="新宋体" w:hAnsi="新宋体" w:eastAsia="新宋体" w:cs="新宋体"/>
          <w:szCs w:val="22"/>
        </w:rPr>
      </w:pPr>
      <w:r>
        <w:rPr>
          <w:rFonts w:hint="eastAsia" w:ascii="新宋体" w:hAnsi="新宋体" w:eastAsia="新宋体" w:cs="新宋体"/>
          <w:kern w:val="0"/>
          <w:szCs w:val="22"/>
        </w:rPr>
        <w:t xml:space="preserve">     （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4B7893F">
      <w:pPr>
        <w:pStyle w:val="52"/>
        <w:spacing w:line="420" w:lineRule="exact"/>
        <w:rPr>
          <w:rFonts w:ascii="宋体"/>
          <w:b/>
          <w:szCs w:val="22"/>
        </w:rPr>
      </w:pPr>
      <w:r>
        <w:rPr>
          <w:rFonts w:hint="eastAsia" w:ascii="宋体" w:hAnsi="宋体" w:cs="宋体"/>
          <w:color w:val="000000"/>
          <w:kern w:val="0"/>
          <w:szCs w:val="22"/>
        </w:rPr>
        <w:t xml:space="preserve">     </w:t>
      </w:r>
      <w:r>
        <w:rPr>
          <w:rFonts w:hint="eastAsia" w:ascii="宋体" w:hAnsi="宋体" w:cs="宋体"/>
          <w:b/>
          <w:kern w:val="0"/>
          <w:szCs w:val="22"/>
        </w:rPr>
        <w:t>（2）投标响应文件解密结束，投标供应商通过邮件形式发送各自签署的《政府采购活动现场确认声明书》扫描件至</w:t>
      </w:r>
      <w:r>
        <w:rPr>
          <w:rFonts w:hint="eastAsia" w:ascii="宋体" w:hAnsi="宋体" w:cs="宋体"/>
          <w:b/>
          <w:kern w:val="0"/>
          <w:szCs w:val="22"/>
          <w:lang w:val="en-US" w:eastAsia="zh-CN"/>
        </w:rPr>
        <w:t>517105534</w:t>
      </w:r>
      <w:r>
        <w:rPr>
          <w:rFonts w:hint="eastAsia" w:ascii="宋体" w:hAnsi="宋体" w:cs="宋体"/>
          <w:b/>
          <w:kern w:val="0"/>
          <w:szCs w:val="22"/>
          <w:lang w:eastAsia="zh-CN"/>
        </w:rPr>
        <w:t>@qq.com</w:t>
      </w:r>
      <w:r>
        <w:rPr>
          <w:rFonts w:hint="eastAsia" w:ascii="宋体" w:hAnsi="宋体" w:cs="宋体"/>
          <w:b/>
          <w:bCs/>
          <w:kern w:val="0"/>
          <w:szCs w:val="22"/>
        </w:rPr>
        <w:t>（《政府采购活动现场确认声明书》格式见“第五部分 投标文件格式”）；</w:t>
      </w:r>
    </w:p>
    <w:p w14:paraId="6018FC8B">
      <w:pPr>
        <w:spacing w:line="420" w:lineRule="exact"/>
        <w:rPr>
          <w:rFonts w:cs="新宋体" w:asciiTheme="minorEastAsia" w:hAnsiTheme="minorEastAsia" w:eastAsiaTheme="minorEastAsia"/>
          <w:kern w:val="0"/>
          <w:szCs w:val="22"/>
        </w:rPr>
      </w:pPr>
      <w:r>
        <w:rPr>
          <w:rFonts w:hint="eastAsia" w:ascii="新宋体" w:hAnsi="新宋体" w:eastAsia="新宋体" w:cs="新宋体"/>
          <w:kern w:val="0"/>
          <w:szCs w:val="22"/>
        </w:rPr>
        <w:t xml:space="preserve">     </w:t>
      </w:r>
      <w:r>
        <w:rPr>
          <w:rFonts w:hint="eastAsia" w:cs="新宋体" w:asciiTheme="minorEastAsia" w:hAnsiTheme="minorEastAsia" w:eastAsiaTheme="minorEastAsia"/>
          <w:kern w:val="0"/>
          <w:szCs w:val="22"/>
        </w:rPr>
        <w:t>（3）解密成功后，开启《投标文件》，进入资格审查；</w:t>
      </w:r>
      <w:r>
        <w:rPr>
          <w:rFonts w:hint="eastAsia" w:cs="新宋体" w:asciiTheme="minorEastAsia" w:hAnsiTheme="minorEastAsia" w:eastAsiaTheme="minorEastAsia"/>
          <w:bCs/>
          <w:szCs w:val="22"/>
        </w:rPr>
        <w:t>合格投标人不足3家的，不得评标。</w:t>
      </w:r>
    </w:p>
    <w:p w14:paraId="399D455A">
      <w:pPr>
        <w:spacing w:line="420" w:lineRule="exact"/>
        <w:ind w:firstLine="541" w:firstLineChars="245"/>
        <w:rPr>
          <w:rFonts w:cs="新宋体" w:asciiTheme="minorEastAsia" w:hAnsiTheme="minorEastAsia" w:eastAsiaTheme="minorEastAsia"/>
          <w:kern w:val="0"/>
          <w:szCs w:val="22"/>
        </w:rPr>
      </w:pPr>
      <w:r>
        <w:rPr>
          <w:rFonts w:hint="eastAsia" w:ascii="新宋体" w:hAnsi="新宋体" w:eastAsia="新宋体" w:cs="新宋体"/>
          <w:b/>
          <w:kern w:val="0"/>
          <w:szCs w:val="22"/>
        </w:rPr>
        <w:t>备注：开标结束后，采购人或采购代理机构将对依法对投标供应商的资格进行审查，资格审</w:t>
      </w:r>
      <w:r>
        <w:rPr>
          <w:rFonts w:hint="eastAsia" w:cs="新宋体" w:asciiTheme="minorEastAsia" w:hAnsiTheme="minorEastAsia" w:eastAsiaTheme="minorEastAsia"/>
          <w:b/>
          <w:kern w:val="0"/>
          <w:szCs w:val="22"/>
        </w:rPr>
        <w:t>查结束后进入符合性审查和资信技术的评审工作，具体见本章节“投标供应商资格审查”相关规定。</w:t>
      </w:r>
    </w:p>
    <w:p w14:paraId="617A53E7">
      <w:pPr>
        <w:numPr>
          <w:ilvl w:val="0"/>
          <w:numId w:val="11"/>
        </w:numPr>
        <w:spacing w:line="420" w:lineRule="exact"/>
        <w:ind w:firstLine="539" w:firstLineChars="245"/>
        <w:rPr>
          <w:rFonts w:asciiTheme="minorEastAsia" w:hAnsiTheme="minorEastAsia" w:eastAsiaTheme="minorEastAsia"/>
        </w:rPr>
      </w:pPr>
      <w:r>
        <w:rPr>
          <w:rFonts w:hint="eastAsia" w:cs="新宋体" w:asciiTheme="minorEastAsia" w:hAnsiTheme="minorEastAsia" w:eastAsiaTheme="minorEastAsia"/>
          <w:kern w:val="0"/>
          <w:szCs w:val="22"/>
        </w:rPr>
        <w:t>开启资格审查通过的投标供应商的商务技术文件进入符合性审查，</w:t>
      </w:r>
      <w:r>
        <w:rPr>
          <w:rFonts w:hint="eastAsia" w:asciiTheme="minorEastAsia" w:hAnsiTheme="minorEastAsia" w:eastAsiaTheme="minorEastAsia"/>
          <w:bCs/>
          <w:szCs w:val="22"/>
        </w:rPr>
        <w:t>以确定其是否满足招标文件的实质性要求，合格投标人不足3家的，不得评标。</w:t>
      </w:r>
    </w:p>
    <w:p w14:paraId="2CF1A654">
      <w:pPr>
        <w:spacing w:line="420" w:lineRule="exact"/>
        <w:rPr>
          <w:rFonts w:asciiTheme="minorEastAsia" w:hAnsiTheme="minorEastAsia" w:eastAsiaTheme="minorEastAsia"/>
          <w:b/>
        </w:rPr>
      </w:pPr>
      <w:r>
        <w:rPr>
          <w:rFonts w:hint="eastAsia" w:asciiTheme="minorEastAsia" w:hAnsiTheme="minorEastAsia" w:eastAsiaTheme="minorEastAsia"/>
          <w:bCs/>
          <w:szCs w:val="22"/>
        </w:rPr>
        <w:t xml:space="preserve">     </w:t>
      </w:r>
      <w:r>
        <w:rPr>
          <w:rFonts w:hint="eastAsia" w:cs="新宋体" w:asciiTheme="minorEastAsia" w:hAnsiTheme="minorEastAsia" w:eastAsiaTheme="minor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4D869D16">
      <w:pPr>
        <w:pStyle w:val="52"/>
        <w:numPr>
          <w:ilvl w:val="0"/>
          <w:numId w:val="11"/>
        </w:numPr>
        <w:spacing w:line="420" w:lineRule="exact"/>
        <w:ind w:firstLine="539" w:firstLineChars="245"/>
        <w:rPr>
          <w:rFonts w:cs="新宋体" w:asciiTheme="minorEastAsia" w:hAnsiTheme="minorEastAsia" w:eastAsiaTheme="minorEastAsia"/>
          <w:bCs/>
          <w:szCs w:val="22"/>
        </w:rPr>
      </w:pPr>
      <w:r>
        <w:rPr>
          <w:rFonts w:hint="eastAsia" w:cs="新宋体" w:asciiTheme="minorEastAsia" w:hAnsiTheme="minorEastAsia" w:eastAsiaTheme="minorEastAsia"/>
          <w:bCs/>
          <w:szCs w:val="22"/>
        </w:rPr>
        <w:t>对通过资格审查、符合性审查的合格供应商进行资信技术部分的评审。</w:t>
      </w:r>
    </w:p>
    <w:p w14:paraId="40453427">
      <w:pPr>
        <w:numPr>
          <w:ilvl w:val="0"/>
          <w:numId w:val="11"/>
        </w:numPr>
        <w:spacing w:line="420" w:lineRule="exact"/>
        <w:ind w:firstLine="539" w:firstLineChars="245"/>
        <w:rPr>
          <w:rFonts w:cs="新宋体" w:asciiTheme="minorEastAsia" w:hAnsiTheme="minorEastAsia" w:eastAsiaTheme="minorEastAsia"/>
          <w:bCs/>
          <w:szCs w:val="22"/>
        </w:rPr>
      </w:pPr>
      <w:r>
        <w:rPr>
          <w:rFonts w:asciiTheme="minorEastAsia" w:hAnsiTheme="minorEastAsia" w:eastAsiaTheme="minorEastAsia"/>
          <w:szCs w:val="22"/>
        </w:rPr>
        <w:t>符合性及</w:t>
      </w:r>
      <w:r>
        <w:rPr>
          <w:rFonts w:hint="eastAsia" w:asciiTheme="minorEastAsia" w:hAnsiTheme="minorEastAsia" w:eastAsiaTheme="minorEastAsia"/>
          <w:szCs w:val="22"/>
        </w:rPr>
        <w:t>商务</w:t>
      </w:r>
      <w:r>
        <w:rPr>
          <w:rFonts w:asciiTheme="minorEastAsia" w:hAnsiTheme="minorEastAsia" w:eastAsiaTheme="minorEastAsia"/>
          <w:szCs w:val="22"/>
        </w:rPr>
        <w:t>技术部分评审结束后，公布各有效投标供应商</w:t>
      </w:r>
      <w:r>
        <w:rPr>
          <w:rFonts w:hint="eastAsia" w:asciiTheme="minorEastAsia" w:hAnsiTheme="minorEastAsia" w:eastAsiaTheme="minorEastAsia"/>
          <w:szCs w:val="22"/>
        </w:rPr>
        <w:t>商务</w:t>
      </w:r>
      <w:r>
        <w:rPr>
          <w:rFonts w:asciiTheme="minorEastAsia" w:hAnsiTheme="minorEastAsia" w:eastAsiaTheme="minorEastAsia"/>
          <w:szCs w:val="22"/>
        </w:rPr>
        <w:t>技术得分。</w:t>
      </w:r>
    </w:p>
    <w:p w14:paraId="39EE89DF">
      <w:pPr>
        <w:snapToGrid w:val="0"/>
        <w:spacing w:line="420" w:lineRule="exact"/>
        <w:ind w:firstLine="541" w:firstLineChars="246"/>
        <w:rPr>
          <w:rFonts w:asciiTheme="minorEastAsia" w:hAnsiTheme="minorEastAsia" w:eastAsiaTheme="minorEastAsia"/>
        </w:rPr>
      </w:pPr>
      <w:r>
        <w:rPr>
          <w:rFonts w:hint="eastAsia" w:asciiTheme="minorEastAsia" w:hAnsiTheme="minorEastAsia" w:eastAsiaTheme="minorEastAsia"/>
          <w:szCs w:val="22"/>
        </w:rPr>
        <w:t>（7）</w:t>
      </w:r>
      <w:r>
        <w:rPr>
          <w:rFonts w:asciiTheme="minorEastAsia" w:hAnsiTheme="minorEastAsia" w:eastAsiaTheme="minorEastAsia"/>
          <w:szCs w:val="22"/>
        </w:rPr>
        <w:t>开启所有有效投标供应商的“报价文件”</w:t>
      </w:r>
      <w:r>
        <w:rPr>
          <w:rFonts w:hint="eastAsia" w:asciiTheme="minorEastAsia" w:hAnsiTheme="minorEastAsia" w:eastAsiaTheme="minorEastAsia"/>
          <w:szCs w:val="22"/>
        </w:rPr>
        <w:t>逐个评审</w:t>
      </w:r>
      <w:r>
        <w:rPr>
          <w:rFonts w:asciiTheme="minorEastAsia" w:hAnsiTheme="minorEastAsia" w:eastAsiaTheme="minorEastAsia"/>
          <w:szCs w:val="22"/>
        </w:rPr>
        <w:t xml:space="preserve">。 </w:t>
      </w:r>
    </w:p>
    <w:p w14:paraId="0F2BF15A">
      <w:pPr>
        <w:spacing w:line="420" w:lineRule="exact"/>
        <w:ind w:firstLine="539" w:firstLineChars="245"/>
        <w:rPr>
          <w:rFonts w:cs="新宋体" w:asciiTheme="minorEastAsia" w:hAnsiTheme="minorEastAsia" w:eastAsiaTheme="minorEastAsia"/>
          <w:kern w:val="0"/>
          <w:szCs w:val="22"/>
        </w:rPr>
      </w:pPr>
      <w:r>
        <w:rPr>
          <w:rFonts w:hint="eastAsia" w:cs="新宋体" w:asciiTheme="minorEastAsia" w:hAnsiTheme="minorEastAsia" w:eastAsiaTheme="minorEastAsia"/>
          <w:kern w:val="0"/>
          <w:szCs w:val="22"/>
        </w:rPr>
        <w:t>（8）评标委员会对报价的合理性、准确性等进行审查核实。</w:t>
      </w:r>
    </w:p>
    <w:p w14:paraId="23D6CC29">
      <w:pPr>
        <w:spacing w:line="420" w:lineRule="exact"/>
        <w:ind w:firstLine="539" w:firstLineChars="245"/>
        <w:rPr>
          <w:rFonts w:ascii="新宋体" w:hAnsi="新宋体" w:eastAsia="新宋体" w:cs="新宋体"/>
          <w:kern w:val="0"/>
          <w:szCs w:val="22"/>
        </w:rPr>
      </w:pPr>
      <w:r>
        <w:rPr>
          <w:rFonts w:hint="eastAsia" w:ascii="新宋体" w:hAnsi="新宋体" w:eastAsia="新宋体" w:cs="新宋体"/>
          <w:kern w:val="0"/>
          <w:szCs w:val="22"/>
        </w:rPr>
        <w:t>（9）评审结束后，公布中标（成交）候选供应商名单及采购人最终确定中标或成交供应商名单的时间和公告方式等。</w:t>
      </w:r>
    </w:p>
    <w:p w14:paraId="0262F8CC">
      <w:pPr>
        <w:pStyle w:val="20"/>
        <w:adjustRightInd w:val="0"/>
        <w:snapToGrid w:val="0"/>
        <w:spacing w:line="420" w:lineRule="exact"/>
        <w:ind w:firstLine="450"/>
        <w:rPr>
          <w:rFonts w:ascii="新宋体" w:hAnsi="新宋体" w:eastAsia="新宋体" w:cs="新宋体"/>
          <w:b/>
          <w:kern w:val="0"/>
        </w:rPr>
      </w:pPr>
      <w:r>
        <w:rPr>
          <w:rFonts w:hint="eastAsia" w:ascii="新宋体" w:hAnsi="新宋体" w:eastAsia="新宋体" w:cs="新宋体"/>
          <w:b/>
          <w:kern w:val="0"/>
        </w:rPr>
        <w:t>特别说明：如遇“政府采购云平台”电子化开标或评审程序调整的，按调整后程序执行。</w:t>
      </w:r>
    </w:p>
    <w:p w14:paraId="29EF4A8E">
      <w:pPr>
        <w:spacing w:line="420" w:lineRule="exact"/>
        <w:ind w:firstLine="541" w:firstLineChars="245"/>
        <w:rPr>
          <w:rFonts w:ascii="新宋体" w:hAnsi="新宋体" w:eastAsia="新宋体" w:cs="新宋体"/>
          <w:b/>
          <w:bCs/>
          <w:szCs w:val="22"/>
        </w:rPr>
      </w:pPr>
      <w:bookmarkStart w:id="182" w:name="_Toc24550037"/>
      <w:bookmarkStart w:id="183" w:name="_Toc33194393"/>
      <w:r>
        <w:rPr>
          <w:rFonts w:hint="eastAsia" w:ascii="新宋体" w:hAnsi="新宋体" w:eastAsia="新宋体" w:cs="新宋体"/>
          <w:b/>
          <w:bCs/>
          <w:szCs w:val="22"/>
        </w:rPr>
        <w:t>4、投标供应商资格审查</w:t>
      </w:r>
      <w:bookmarkEnd w:id="182"/>
      <w:bookmarkEnd w:id="183"/>
    </w:p>
    <w:p w14:paraId="5C0BF604">
      <w:pPr>
        <w:spacing w:line="420" w:lineRule="exact"/>
        <w:ind w:firstLine="541" w:firstLineChars="245"/>
        <w:rPr>
          <w:rFonts w:ascii="新宋体" w:hAnsi="新宋体" w:eastAsia="新宋体" w:cs="新宋体"/>
          <w:szCs w:val="22"/>
        </w:rPr>
      </w:pPr>
      <w:r>
        <w:rPr>
          <w:rFonts w:hint="eastAsia" w:ascii="新宋体" w:hAnsi="新宋体" w:eastAsia="新宋体" w:cs="新宋体"/>
          <w:b/>
          <w:szCs w:val="22"/>
        </w:rPr>
        <w:t>4.1开标结束后，采购人或采购代理机构首先依法对各投标供应商的资格进行审查，审查各投标供应商的资格是否满足招标文件的要求。</w:t>
      </w:r>
      <w:r>
        <w:rPr>
          <w:rFonts w:hint="eastAsia" w:ascii="新宋体" w:hAnsi="新宋体" w:eastAsia="新宋体" w:cs="新宋体"/>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51E9CC6C">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4.2投标供应商提交的资格证明材料无法证明其符合招标文件规定的“投标供应商资格要求”的，采购人或采购代理机构</w:t>
      </w:r>
      <w:r>
        <w:rPr>
          <w:rFonts w:hint="eastAsia" w:ascii="新宋体" w:hAnsi="新宋体" w:eastAsia="新宋体" w:cs="新宋体"/>
          <w:b/>
          <w:kern w:val="0"/>
          <w:szCs w:val="22"/>
        </w:rPr>
        <w:t>将对其作资格审查不通过处理（无效投标），并不再将其投标提交评标委</w:t>
      </w:r>
      <w:r>
        <w:rPr>
          <w:rFonts w:hint="eastAsia" w:ascii="新宋体" w:hAnsi="新宋体" w:eastAsia="新宋体" w:cs="新宋体"/>
          <w:b/>
          <w:szCs w:val="22"/>
        </w:rPr>
        <w:t>员会进行后续评审。</w:t>
      </w:r>
    </w:p>
    <w:p w14:paraId="11542454">
      <w:pPr>
        <w:spacing w:line="420" w:lineRule="exact"/>
        <w:ind w:firstLine="541" w:firstLineChars="245"/>
        <w:rPr>
          <w:rFonts w:ascii="新宋体" w:hAnsi="新宋体" w:eastAsia="新宋体" w:cs="新宋体"/>
          <w:b/>
          <w:szCs w:val="22"/>
        </w:rPr>
      </w:pPr>
      <w:r>
        <w:rPr>
          <w:rFonts w:hint="eastAsia" w:ascii="新宋体" w:hAnsi="新宋体" w:eastAsia="新宋体" w:cs="新宋体"/>
          <w:b/>
          <w:szCs w:val="22"/>
        </w:rPr>
        <w:t>4.3单位负责人为同一人或者存在直接控股、管理关系的不同供应商参加同一合同项下的政府采购活动的，相关投标供应商均作资格无效处理。</w:t>
      </w:r>
    </w:p>
    <w:p w14:paraId="64025CDE">
      <w:pPr>
        <w:pStyle w:val="7"/>
        <w:spacing w:line="420" w:lineRule="exact"/>
      </w:pPr>
      <w:r>
        <w:rPr>
          <w:rFonts w:hint="eastAsia"/>
        </w:rPr>
        <w:t>七、评标</w:t>
      </w:r>
    </w:p>
    <w:p w14:paraId="49B18CE3">
      <w:pPr>
        <w:pStyle w:val="20"/>
        <w:adjustRightInd w:val="0"/>
        <w:snapToGrid w:val="0"/>
        <w:spacing w:line="420" w:lineRule="exact"/>
        <w:ind w:firstLine="440" w:firstLineChars="200"/>
        <w:rPr>
          <w:rFonts w:hAnsi="宋体" w:cs="Arial"/>
        </w:rPr>
      </w:pPr>
      <w:r>
        <w:rPr>
          <w:rFonts w:hint="eastAsia" w:hAnsi="宋体" w:cs="Arial"/>
        </w:rPr>
        <w:t>1、</w:t>
      </w:r>
      <w:r>
        <w:rPr>
          <w:rFonts w:hint="eastAsia" w:hAnsi="宋体" w:cs="宋体"/>
        </w:rPr>
        <w:t>评审工作的组织</w:t>
      </w:r>
    </w:p>
    <w:p w14:paraId="3B76AAF2">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采购人或采购代理机构负责组织本项目的评审工作，并依据《政府采购货物和服务招标投标管理办法（财政部第87号令）》第四十五条的相关规定履行职责。</w:t>
      </w:r>
    </w:p>
    <w:p w14:paraId="5288CE85">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w:t>
      </w:r>
      <w:r>
        <w:rPr>
          <w:rFonts w:hint="eastAsia" w:ascii="宋体" w:hAnsi="宋体" w:cs="宋体"/>
          <w:szCs w:val="22"/>
        </w:rPr>
        <w:t>评标委员会的组建</w:t>
      </w:r>
    </w:p>
    <w:p w14:paraId="65679E87">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1）评标委员会由采购人或采购代理机构依法组建，成员包括采购人代表和评审专家，成员人数为五人或以上单数，其中评审专家不少于成员总数的三分之二。</w:t>
      </w:r>
    </w:p>
    <w:p w14:paraId="5339958E">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2）评标委员会成员名单在评审结果（采购结果）公告前保密。</w:t>
      </w:r>
    </w:p>
    <w:p w14:paraId="632B53BB">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w:t>
      </w:r>
      <w:r>
        <w:rPr>
          <w:rFonts w:hint="eastAsia" w:ascii="宋体" w:hAnsi="宋体" w:cs="宋体"/>
          <w:szCs w:val="22"/>
        </w:rPr>
        <w:t>评标委员会的职责</w:t>
      </w:r>
    </w:p>
    <w:p w14:paraId="10382366">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评标委员会负责具体评审事务，并独立履行下列职责：</w:t>
      </w:r>
    </w:p>
    <w:p w14:paraId="54B2BA33">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（1）审查、评价投标文件是否符合招标文件的商务、技术等实质性要求；</w:t>
      </w:r>
    </w:p>
    <w:p w14:paraId="679E0E91">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（2）要求投标人对投标文件有关事项作出澄清或者说明；</w:t>
      </w:r>
    </w:p>
    <w:p w14:paraId="35A1BAED">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（3）对投标文件进行比较和评价；</w:t>
      </w:r>
    </w:p>
    <w:p w14:paraId="188CDF4E">
      <w:pPr>
        <w:spacing w:line="420" w:lineRule="exact"/>
        <w:ind w:firstLine="387" w:firstLineChars="176"/>
        <w:rPr>
          <w:rFonts w:ascii="宋体" w:hAnsi="宋体" w:cs="宋体"/>
          <w:color w:val="000000"/>
          <w:kern w:val="0"/>
          <w:szCs w:val="22"/>
        </w:rPr>
      </w:pPr>
      <w:r>
        <w:rPr>
          <w:rFonts w:hint="eastAsia" w:ascii="宋体" w:hAnsi="宋体" w:cs="宋体"/>
          <w:color w:val="000000"/>
          <w:kern w:val="0"/>
          <w:szCs w:val="22"/>
        </w:rPr>
        <w:t>（4）确定中标候选人名单，以及根据采购人委托直接确定中标人；</w:t>
      </w:r>
    </w:p>
    <w:p w14:paraId="6F5F7891">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（5）向采购人、采购代理机构或者有关部门报告评审中发现的违法行为。</w:t>
      </w:r>
    </w:p>
    <w:p w14:paraId="3CA14C96">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4、</w:t>
      </w:r>
      <w:r>
        <w:rPr>
          <w:rFonts w:hint="eastAsia" w:ascii="宋体" w:hAnsi="宋体" w:cs="宋体"/>
          <w:szCs w:val="22"/>
        </w:rPr>
        <w:t>评审原则</w:t>
      </w:r>
    </w:p>
    <w:p w14:paraId="1303DE5A">
      <w:pPr>
        <w:spacing w:line="420" w:lineRule="exact"/>
        <w:ind w:firstLine="389" w:firstLineChars="177"/>
        <w:rPr>
          <w:rFonts w:ascii="宋体" w:hAnsi="宋体" w:cs="宋体"/>
          <w:color w:val="000000"/>
          <w:szCs w:val="22"/>
        </w:rPr>
      </w:pPr>
      <w:r>
        <w:rPr>
          <w:rFonts w:hint="eastAsia" w:ascii="宋体" w:hAnsi="宋体" w:cs="宋体"/>
          <w:color w:val="000000"/>
          <w:szCs w:val="22"/>
        </w:rPr>
        <w:t>（1）评审原则：</w:t>
      </w:r>
      <w:r>
        <w:rPr>
          <w:rFonts w:hint="eastAsia" w:ascii="宋体" w:hAnsi="宋体" w:cs="宋体"/>
          <w:color w:val="000000"/>
          <w:kern w:val="0"/>
          <w:szCs w:val="22"/>
        </w:rPr>
        <w:t>评标委员会</w:t>
      </w:r>
      <w:r>
        <w:rPr>
          <w:rFonts w:hint="eastAsia" w:ascii="宋体" w:hAnsi="宋体" w:cs="宋体"/>
          <w:color w:val="000000"/>
          <w:szCs w:val="22"/>
        </w:rPr>
        <w:t>按照客观、公正、审慎、择优的原则，根据招标文件规定的评审程序、评审方法和评审标准进行独立评审。</w:t>
      </w:r>
    </w:p>
    <w:p w14:paraId="1675DD98">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（2）评审工作将依据</w:t>
      </w:r>
      <w:r>
        <w:rPr>
          <w:rFonts w:hint="eastAsia" w:ascii="宋体" w:hAnsi="宋体" w:cs="宋体"/>
          <w:color w:val="000000"/>
          <w:kern w:val="0"/>
          <w:szCs w:val="22"/>
        </w:rPr>
        <w:t>招标文件、投标文件及招标文件中事先已列明的内容进行（如现场方案讲解、演示等）。</w:t>
      </w:r>
    </w:p>
    <w:p w14:paraId="42C2BADA">
      <w:pPr>
        <w:spacing w:line="420" w:lineRule="exact"/>
        <w:ind w:firstLine="389" w:firstLineChars="177"/>
        <w:rPr>
          <w:rFonts w:ascii="宋体" w:hAnsi="宋体" w:cs="宋体"/>
          <w:color w:val="000000"/>
          <w:szCs w:val="22"/>
        </w:rPr>
      </w:pPr>
      <w:r>
        <w:rPr>
          <w:rFonts w:hint="eastAsia" w:ascii="宋体" w:hAnsi="宋体" w:cs="宋体"/>
          <w:color w:val="000000"/>
          <w:kern w:val="0"/>
          <w:szCs w:val="22"/>
        </w:rPr>
        <w:t>5、</w:t>
      </w:r>
      <w:r>
        <w:rPr>
          <w:rFonts w:hint="eastAsia" w:ascii="宋体" w:hAnsi="宋体" w:cs="宋体"/>
          <w:szCs w:val="22"/>
        </w:rPr>
        <w:t>评审意见的争议处理</w:t>
      </w:r>
    </w:p>
    <w:p w14:paraId="43872499">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 xml:space="preserve">评标委员会成员对需要共同认定的事项存在争议的，按照少数服从多数的原则作出结论。持不同意见的评标委员会成员应当在评审报告上签署不同意见及理由，否则视为同意评审报告。 </w:t>
      </w:r>
    </w:p>
    <w:p w14:paraId="3293CE89">
      <w:pPr>
        <w:spacing w:line="420" w:lineRule="exact"/>
        <w:ind w:firstLine="607" w:firstLineChars="276"/>
        <w:rPr>
          <w:rFonts w:ascii="宋体" w:hAnsi="宋体" w:cs="宋体"/>
          <w:bCs/>
          <w:color w:val="000000"/>
          <w:szCs w:val="22"/>
        </w:rPr>
      </w:pPr>
      <w:r>
        <w:rPr>
          <w:rFonts w:hint="eastAsia" w:ascii="宋体" w:hAnsi="宋体" w:cs="宋体"/>
          <w:bCs/>
          <w:color w:val="000000"/>
          <w:szCs w:val="22"/>
        </w:rPr>
        <w:t>6、</w:t>
      </w:r>
      <w:r>
        <w:rPr>
          <w:rFonts w:hint="eastAsia" w:ascii="宋体" w:hAnsi="宋体" w:cs="宋体"/>
          <w:szCs w:val="22"/>
        </w:rPr>
        <w:t>评委纪律</w:t>
      </w:r>
    </w:p>
    <w:p w14:paraId="6B672626">
      <w:pPr>
        <w:spacing w:line="420" w:lineRule="exact"/>
        <w:ind w:firstLine="389" w:firstLineChars="177"/>
        <w:rPr>
          <w:rFonts w:ascii="宋体" w:hAnsi="宋体" w:cs="宋体"/>
          <w:color w:val="000000"/>
          <w:kern w:val="0"/>
          <w:szCs w:val="22"/>
        </w:rPr>
      </w:pPr>
      <w:r>
        <w:rPr>
          <w:rFonts w:hint="eastAsia" w:ascii="宋体" w:hAnsi="宋体" w:cs="宋体"/>
          <w:color w:val="000000"/>
          <w:szCs w:val="22"/>
        </w:rPr>
        <w:t>评标委员会成员必须严格遵守保密规定，不得泄露评审的有关情况</w:t>
      </w:r>
      <w:r>
        <w:rPr>
          <w:rFonts w:hint="eastAsia" w:ascii="宋体" w:hAnsi="宋体" w:cs="宋体"/>
          <w:color w:val="000000"/>
          <w:kern w:val="0"/>
          <w:szCs w:val="22"/>
        </w:rPr>
        <w:t>，任何单位和个人不得干扰、影响评标的正常进行，评标委员会成员不得私下与投标供应商接触，不得出现《浙江省政府采购活动现场组织管理办法》中规定的其他禁止行为。</w:t>
      </w:r>
      <w:bookmarkStart w:id="184" w:name="_Toc24550044"/>
      <w:bookmarkStart w:id="185" w:name="_Toc33194395"/>
    </w:p>
    <w:p w14:paraId="6F2F6B79">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7、</w:t>
      </w:r>
      <w:r>
        <w:rPr>
          <w:rFonts w:hint="eastAsia" w:ascii="宋体" w:hAnsi="宋体" w:cs="宋体"/>
          <w:b/>
          <w:bCs/>
          <w:color w:val="000000"/>
          <w:szCs w:val="22"/>
        </w:rPr>
        <w:t>评审流程及内容</w:t>
      </w:r>
      <w:bookmarkEnd w:id="184"/>
      <w:bookmarkEnd w:id="185"/>
    </w:p>
    <w:p w14:paraId="093B01EA">
      <w:pPr>
        <w:spacing w:line="420" w:lineRule="exact"/>
        <w:ind w:firstLine="389" w:firstLineChars="176"/>
        <w:rPr>
          <w:rFonts w:ascii="宋体" w:hAnsi="宋体" w:cs="宋体"/>
          <w:b/>
          <w:color w:val="000000"/>
          <w:kern w:val="0"/>
          <w:szCs w:val="22"/>
        </w:rPr>
      </w:pPr>
      <w:r>
        <w:rPr>
          <w:rFonts w:hint="eastAsia" w:ascii="宋体" w:hAnsi="宋体" w:cs="宋体"/>
          <w:b/>
          <w:color w:val="000000"/>
          <w:kern w:val="0"/>
          <w:szCs w:val="22"/>
        </w:rPr>
        <w:t>本项目具体的评审事务由评标委员会负责，评审流程及内容如下：</w:t>
      </w:r>
    </w:p>
    <w:p w14:paraId="37C51259">
      <w:pPr>
        <w:spacing w:line="420" w:lineRule="exact"/>
        <w:ind w:firstLine="387" w:firstLineChars="176"/>
        <w:rPr>
          <w:rFonts w:ascii="宋体" w:hAnsi="宋体" w:cs="宋体"/>
          <w:color w:val="000000"/>
          <w:szCs w:val="22"/>
        </w:rPr>
      </w:pPr>
      <w:r>
        <w:rPr>
          <w:rFonts w:hint="eastAsia" w:ascii="宋体" w:hAnsi="宋体" w:cs="宋体"/>
          <w:szCs w:val="22"/>
        </w:rPr>
        <w:t>7.1评审前准备</w:t>
      </w:r>
    </w:p>
    <w:p w14:paraId="1E5DBDD8">
      <w:pPr>
        <w:spacing w:line="420" w:lineRule="exact"/>
        <w:ind w:firstLine="440" w:firstLineChars="200"/>
        <w:rPr>
          <w:rFonts w:ascii="宋体" w:hAnsi="宋体" w:cs="宋体"/>
          <w:color w:val="000000"/>
          <w:kern w:val="0"/>
          <w:szCs w:val="22"/>
        </w:rPr>
      </w:pPr>
      <w:r>
        <w:rPr>
          <w:rFonts w:hint="eastAsia" w:ascii="宋体" w:hAnsi="宋体" w:cs="宋体"/>
          <w:color w:val="000000"/>
          <w:kern w:val="0"/>
          <w:szCs w:val="22"/>
        </w:rPr>
        <w:t>7.1.1由评审专家推选评审委员会组长，采购人代表不得担任评审委员会组长。</w:t>
      </w:r>
    </w:p>
    <w:p w14:paraId="0D48D553">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7.1.2由评审委员会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3E2C7A10">
      <w:pPr>
        <w:spacing w:line="420" w:lineRule="exact"/>
        <w:ind w:firstLine="389" w:firstLineChars="177"/>
        <w:rPr>
          <w:rFonts w:ascii="宋体" w:hAnsi="宋体" w:cs="宋体"/>
          <w:b/>
          <w:color w:val="000000"/>
          <w:kern w:val="0"/>
          <w:szCs w:val="22"/>
        </w:rPr>
      </w:pPr>
      <w:r>
        <w:rPr>
          <w:rFonts w:hint="eastAsia" w:ascii="宋体" w:hAnsi="宋体" w:cs="宋体"/>
          <w:color w:val="000000"/>
          <w:kern w:val="0"/>
          <w:szCs w:val="22"/>
        </w:rPr>
        <w:t>7.2</w:t>
      </w:r>
      <w:r>
        <w:rPr>
          <w:rFonts w:hint="eastAsia" w:ascii="宋体" w:hAnsi="宋体" w:cs="宋体"/>
          <w:szCs w:val="22"/>
        </w:rPr>
        <w:t>投标文件的初步审查、符合性审查</w:t>
      </w:r>
    </w:p>
    <w:p w14:paraId="4B539865">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对所有通过资格审查的投标供应商的投标文件进行初步审查，审查、评价投标文件是否符合招标文件的商务、技术、服务等实质性要求。</w:t>
      </w:r>
    </w:p>
    <w:p w14:paraId="610A39B3">
      <w:pPr>
        <w:spacing w:line="420" w:lineRule="exact"/>
        <w:ind w:firstLine="389" w:firstLineChars="177"/>
        <w:rPr>
          <w:rFonts w:ascii="宋体" w:hAnsi="宋体" w:cs="宋体"/>
          <w:color w:val="000000"/>
          <w:szCs w:val="22"/>
        </w:rPr>
      </w:pPr>
      <w:r>
        <w:rPr>
          <w:rFonts w:hint="eastAsia" w:ascii="宋体" w:hAnsi="宋体" w:cs="宋体"/>
          <w:color w:val="000000"/>
          <w:szCs w:val="22"/>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60546E27">
      <w:pPr>
        <w:spacing w:line="420" w:lineRule="exact"/>
        <w:ind w:firstLine="389" w:firstLineChars="177"/>
        <w:rPr>
          <w:rFonts w:ascii="宋体" w:hAnsi="宋体" w:cs="宋体"/>
          <w:color w:val="000000"/>
          <w:szCs w:val="22"/>
        </w:rPr>
      </w:pPr>
      <w:r>
        <w:rPr>
          <w:rFonts w:hint="eastAsia" w:ascii="宋体" w:hAnsi="宋体" w:cs="宋体"/>
          <w:color w:val="000000"/>
          <w:szCs w:val="22"/>
        </w:rPr>
        <w:t>7.3</w:t>
      </w:r>
      <w:r>
        <w:rPr>
          <w:rFonts w:hint="eastAsia" w:ascii="宋体" w:hAnsi="宋体" w:cs="宋体"/>
          <w:szCs w:val="22"/>
        </w:rPr>
        <w:t>投标文件的澄清、说明或补正</w:t>
      </w:r>
    </w:p>
    <w:p w14:paraId="2212BE1D">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414203F">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325F630">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7.4</w:t>
      </w:r>
      <w:r>
        <w:rPr>
          <w:rFonts w:hint="eastAsia" w:ascii="宋体" w:hAnsi="宋体" w:cs="宋体"/>
          <w:szCs w:val="22"/>
        </w:rPr>
        <w:t>投标文件的错误修正</w:t>
      </w:r>
    </w:p>
    <w:p w14:paraId="72627F74">
      <w:pPr>
        <w:spacing w:line="420" w:lineRule="exact"/>
        <w:ind w:firstLine="387" w:firstLineChars="175"/>
        <w:rPr>
          <w:rFonts w:ascii="宋体" w:hAnsi="宋体" w:cs="宋体"/>
          <w:b/>
          <w:color w:val="000000"/>
          <w:kern w:val="0"/>
          <w:szCs w:val="22"/>
        </w:rPr>
      </w:pPr>
      <w:r>
        <w:rPr>
          <w:rFonts w:hint="eastAsia" w:ascii="宋体" w:hAnsi="宋体" w:cs="宋体"/>
          <w:b/>
          <w:color w:val="000000"/>
          <w:kern w:val="0"/>
          <w:szCs w:val="22"/>
        </w:rPr>
        <w:t>7.4.1投标文件如果出现计算或表达上的错误，修正错误的原则如下：</w:t>
      </w:r>
    </w:p>
    <w:p w14:paraId="47C0742F">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（1）投标文件中开标一览表内容与投标文件中相应内容不一致的，以开标一览表为准。</w:t>
      </w:r>
    </w:p>
    <w:p w14:paraId="3D361068">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（2）投标文件的大写金额和小写金额不一致的，以大写金额为准；</w:t>
      </w:r>
    </w:p>
    <w:p w14:paraId="5E203DBF">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（3）单价金额小数点或者百分比有明显错位的，应以开标一览表的总价为准，并修改单价；</w:t>
      </w:r>
    </w:p>
    <w:p w14:paraId="15EDABAB">
      <w:pPr>
        <w:spacing w:line="420" w:lineRule="exact"/>
        <w:ind w:firstLine="385" w:firstLineChars="175"/>
        <w:rPr>
          <w:rFonts w:ascii="宋体" w:hAnsi="宋体" w:cs="宋体"/>
          <w:color w:val="000000"/>
          <w:kern w:val="0"/>
          <w:szCs w:val="22"/>
        </w:rPr>
      </w:pPr>
      <w:r>
        <w:rPr>
          <w:rFonts w:hint="eastAsia" w:ascii="宋体" w:hAnsi="宋体" w:cs="宋体"/>
          <w:color w:val="000000"/>
          <w:kern w:val="0"/>
          <w:szCs w:val="22"/>
        </w:rPr>
        <w:t>（4）总价金额与按单价汇总金额不一致的，以单价金额计算结果为准。</w:t>
      </w:r>
    </w:p>
    <w:p w14:paraId="59DF8C72">
      <w:pPr>
        <w:spacing w:line="420" w:lineRule="exact"/>
        <w:rPr>
          <w:rFonts w:ascii="宋体" w:hAnsi="宋体" w:cs="宋体"/>
          <w:color w:val="000000"/>
          <w:kern w:val="0"/>
          <w:szCs w:val="22"/>
        </w:rPr>
      </w:pPr>
      <w:r>
        <w:rPr>
          <w:rFonts w:hint="eastAsia" w:ascii="宋体" w:hAnsi="宋体" w:cs="宋体"/>
          <w:color w:val="000000"/>
          <w:kern w:val="0"/>
          <w:szCs w:val="22"/>
        </w:rPr>
        <w:t xml:space="preserve">   （5）对不同文字文本投标文件的解释发生异议的，以中文文本为准。</w:t>
      </w:r>
    </w:p>
    <w:p w14:paraId="701BDCA2">
      <w:pPr>
        <w:pStyle w:val="20"/>
        <w:adjustRightInd w:val="0"/>
        <w:snapToGrid w:val="0"/>
        <w:spacing w:line="420" w:lineRule="exact"/>
        <w:ind w:firstLine="433" w:firstLineChars="196"/>
        <w:rPr>
          <w:rFonts w:hAnsi="宋体" w:cs="Arial"/>
          <w:b/>
        </w:rPr>
      </w:pPr>
      <w:r>
        <w:rPr>
          <w:rFonts w:hint="eastAsia" w:hAnsi="宋体" w:cs="宋体"/>
          <w:b/>
          <w:color w:val="000000"/>
          <w:kern w:val="0"/>
        </w:rPr>
        <w:t>7.4.2</w:t>
      </w:r>
      <w:r>
        <w:rPr>
          <w:rFonts w:hint="eastAsia" w:hAnsi="宋体" w:cs="Arial"/>
          <w:b/>
        </w:rPr>
        <w:t>开启供应商商务报价文件后发现价格、数量有误，其投标价将按下述原则处理：</w:t>
      </w:r>
    </w:p>
    <w:p w14:paraId="77EC3047">
      <w:pPr>
        <w:adjustRightInd w:val="0"/>
        <w:snapToGrid w:val="0"/>
        <w:spacing w:line="420" w:lineRule="exact"/>
        <w:ind w:firstLine="440" w:firstLineChars="200"/>
        <w:rPr>
          <w:rFonts w:ascii="宋体"/>
        </w:rPr>
      </w:pPr>
      <w:r>
        <w:rPr>
          <w:rFonts w:ascii="宋体"/>
        </w:rPr>
        <w:t>1) 任何有漏去一些小项货物或服务的投标将被视为其费用已包含在投标总价中，投标价格不予调整。如果供应商不接受上述处理方式，将做为无效投标。</w:t>
      </w:r>
    </w:p>
    <w:p w14:paraId="3B0516B1">
      <w:pPr>
        <w:adjustRightInd w:val="0"/>
        <w:snapToGrid w:val="0"/>
        <w:spacing w:line="420" w:lineRule="exact"/>
        <w:ind w:firstLine="440" w:firstLineChars="20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任何有多报一些小项工程或货物的投标其投标价不予调整，如果该供应商中标，则合同价格必须为核减掉多报的一些小项工程或货物后的价格。如果供应商不接受上述处理方式，将做为无效投标。</w:t>
      </w:r>
    </w:p>
    <w:p w14:paraId="4D446ABA">
      <w:pPr>
        <w:adjustRightInd w:val="0"/>
        <w:snapToGrid w:val="0"/>
        <w:spacing w:line="420" w:lineRule="exact"/>
        <w:ind w:firstLine="440" w:firstLineChars="200"/>
        <w:rPr>
          <w:rFonts w:ascii="宋体"/>
        </w:rPr>
      </w:pPr>
      <w:r>
        <w:rPr>
          <w:rFonts w:ascii="宋体"/>
        </w:rPr>
        <w:t>3）</w:t>
      </w:r>
      <w:r>
        <w:rPr>
          <w:rFonts w:hint="eastAsia" w:ascii="宋体"/>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rPr>
        <w:t>。</w:t>
      </w:r>
    </w:p>
    <w:p w14:paraId="54BF4706">
      <w:pPr>
        <w:adjustRightInd w:val="0"/>
        <w:snapToGrid w:val="0"/>
        <w:spacing w:line="420" w:lineRule="exact"/>
        <w:ind w:firstLine="440" w:firstLineChars="200"/>
        <w:rPr>
          <w:rFonts w:ascii="宋体"/>
          <w:u w:val="single"/>
        </w:rPr>
      </w:pPr>
      <w:r>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u w:val="single"/>
        </w:rPr>
        <w:t>如评标委员会按少数服从多数原则认定为重大偏差的，其投标做无效投标处理。</w:t>
      </w:r>
    </w:p>
    <w:p w14:paraId="491488C5">
      <w:pPr>
        <w:pStyle w:val="20"/>
        <w:adjustRightInd w:val="0"/>
        <w:snapToGrid w:val="0"/>
        <w:spacing w:line="420" w:lineRule="exact"/>
        <w:ind w:firstLine="433" w:firstLineChars="196"/>
        <w:rPr>
          <w:rFonts w:hAnsi="宋体" w:cs="Arial"/>
          <w:b/>
          <w:u w:val="single"/>
        </w:rPr>
      </w:pPr>
      <w:r>
        <w:rPr>
          <w:rFonts w:hint="eastAsia" w:hAnsi="宋体" w:cs="Arial"/>
          <w:b/>
        </w:rPr>
        <w:t>8、</w:t>
      </w:r>
      <w:r>
        <w:rPr>
          <w:rFonts w:hint="eastAsia" w:hAnsi="宋体"/>
          <w:b/>
          <w:u w:val="single"/>
        </w:rPr>
        <w:t>▲</w:t>
      </w:r>
      <w:r>
        <w:rPr>
          <w:rFonts w:hint="eastAsia" w:hAnsi="宋体" w:cs="Arial"/>
          <w:b/>
          <w:u w:val="single"/>
        </w:rPr>
        <w:t>评标委员会发现投标文件有下列情形之一的属于重大偏差(评标委员会按少数服从多数原则认定),按照无效投标处理：</w:t>
      </w:r>
    </w:p>
    <w:p w14:paraId="33CFD45E">
      <w:pPr>
        <w:pStyle w:val="20"/>
        <w:adjustRightInd w:val="0"/>
        <w:snapToGrid w:val="0"/>
        <w:spacing w:line="420" w:lineRule="exact"/>
        <w:ind w:firstLine="431" w:firstLineChars="196"/>
        <w:rPr>
          <w:rFonts w:hAnsi="宋体" w:cs="Arial"/>
        </w:rPr>
      </w:pPr>
      <w:r>
        <w:rPr>
          <w:rFonts w:hint="eastAsia" w:hAnsi="宋体" w:cs="Arial"/>
        </w:rPr>
        <w:t>1）未按招标文件要求编制或字迹模糊、辨认不清的投标文件；</w:t>
      </w:r>
    </w:p>
    <w:p w14:paraId="4712FC14">
      <w:pPr>
        <w:pStyle w:val="20"/>
        <w:adjustRightInd w:val="0"/>
        <w:snapToGrid w:val="0"/>
        <w:spacing w:line="420" w:lineRule="exact"/>
        <w:ind w:firstLine="431" w:firstLineChars="196"/>
        <w:rPr>
          <w:rFonts w:hAnsi="宋体" w:cs="Arial"/>
        </w:rPr>
      </w:pPr>
      <w:r>
        <w:rPr>
          <w:rFonts w:hint="eastAsia" w:hAnsi="宋体" w:cs="Arial"/>
        </w:rPr>
        <w:t>2）供应商递交两份或两份以上内容不同的投标文件，未声明其中一份为有效的或同一投标文件中出现有选择性的报价，未声明以其中一个报价为准的；</w:t>
      </w:r>
    </w:p>
    <w:p w14:paraId="3E5D749D">
      <w:pPr>
        <w:pStyle w:val="20"/>
        <w:adjustRightInd w:val="0"/>
        <w:snapToGrid w:val="0"/>
        <w:spacing w:line="420" w:lineRule="exact"/>
        <w:ind w:firstLine="431" w:firstLineChars="196"/>
        <w:rPr>
          <w:rFonts w:hAnsi="宋体" w:cs="Arial"/>
        </w:rPr>
      </w:pPr>
      <w:r>
        <w:rPr>
          <w:rFonts w:hint="eastAsia" w:hAnsi="宋体" w:cs="Arial"/>
        </w:rPr>
        <w:t>3）供应商资信技术投标文件中出现投标产品的商务报价的；</w:t>
      </w:r>
    </w:p>
    <w:p w14:paraId="224F93B6">
      <w:pPr>
        <w:pStyle w:val="20"/>
        <w:adjustRightInd w:val="0"/>
        <w:snapToGrid w:val="0"/>
        <w:spacing w:line="420" w:lineRule="exact"/>
        <w:ind w:firstLine="431" w:firstLineChars="196"/>
        <w:rPr>
          <w:rFonts w:hAnsi="宋体" w:cs="Arial"/>
        </w:rPr>
      </w:pPr>
      <w:r>
        <w:rPr>
          <w:rFonts w:hint="eastAsia" w:hAnsi="宋体" w:cs="Arial"/>
        </w:rPr>
        <w:t>4）</w:t>
      </w:r>
      <w:r>
        <w:rPr>
          <w:rFonts w:hAnsi="宋体" w:cs="Arial"/>
        </w:rPr>
        <w:t>明显不符合技术标准要求或不满足采购文件技术要求的</w:t>
      </w:r>
      <w:r>
        <w:rPr>
          <w:rFonts w:hint="eastAsia" w:hAnsi="宋体" w:cs="Arial"/>
        </w:rPr>
        <w:t>投标</w:t>
      </w:r>
      <w:r>
        <w:rPr>
          <w:rFonts w:hAnsi="宋体" w:cs="Arial"/>
        </w:rPr>
        <w:t>文件，供应商拒绝修正的</w:t>
      </w:r>
      <w:r>
        <w:rPr>
          <w:rFonts w:hint="eastAsia" w:hAnsi="宋体" w:cs="Arial"/>
        </w:rPr>
        <w:t>；</w:t>
      </w:r>
    </w:p>
    <w:p w14:paraId="61E27D70">
      <w:pPr>
        <w:pStyle w:val="20"/>
        <w:adjustRightInd w:val="0"/>
        <w:snapToGrid w:val="0"/>
        <w:spacing w:line="420" w:lineRule="exact"/>
        <w:ind w:firstLine="431" w:firstLineChars="196"/>
        <w:rPr>
          <w:rFonts w:hAnsi="宋体" w:cs="Arial"/>
        </w:rPr>
      </w:pPr>
      <w:r>
        <w:rPr>
          <w:rFonts w:hint="eastAsia" w:hAnsi="宋体" w:cs="Arial"/>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8F3271A">
      <w:pPr>
        <w:pStyle w:val="20"/>
        <w:adjustRightInd w:val="0"/>
        <w:snapToGrid w:val="0"/>
        <w:spacing w:line="420" w:lineRule="exact"/>
        <w:ind w:firstLine="431" w:firstLineChars="196"/>
        <w:rPr>
          <w:rFonts w:hAnsi="宋体" w:cs="Arial"/>
        </w:rPr>
      </w:pPr>
      <w:r>
        <w:rPr>
          <w:rFonts w:hint="eastAsia" w:hAnsi="宋体" w:cs="Arial"/>
        </w:rPr>
        <w:t>6）存在串标、抬标或弄虚作假情况的；</w:t>
      </w:r>
    </w:p>
    <w:p w14:paraId="332FDC20">
      <w:pPr>
        <w:pStyle w:val="20"/>
        <w:adjustRightInd w:val="0"/>
        <w:snapToGrid w:val="0"/>
        <w:spacing w:line="420" w:lineRule="exact"/>
        <w:ind w:firstLine="431" w:firstLineChars="196"/>
        <w:rPr>
          <w:rFonts w:hAnsi="宋体" w:cs="Arial"/>
        </w:rPr>
      </w:pPr>
      <w:r>
        <w:rPr>
          <w:rFonts w:hint="eastAsia" w:hAnsi="宋体" w:cs="Arial"/>
        </w:rPr>
        <w:t>7）对关键条文的偏离、保留或反对，例如关于适用法律、税及关税、质量保证期等其他内容；</w:t>
      </w:r>
    </w:p>
    <w:p w14:paraId="4E1C7CA2">
      <w:pPr>
        <w:pStyle w:val="20"/>
        <w:adjustRightInd w:val="0"/>
        <w:snapToGrid w:val="0"/>
        <w:spacing w:line="420" w:lineRule="exact"/>
        <w:ind w:firstLine="431" w:firstLineChars="196"/>
        <w:rPr>
          <w:rFonts w:hAnsi="宋体" w:cs="Arial"/>
        </w:rPr>
      </w:pPr>
      <w:r>
        <w:rPr>
          <w:rFonts w:hint="eastAsia" w:hAnsi="宋体" w:cs="Arial"/>
        </w:rPr>
        <w:t>8)</w:t>
      </w:r>
      <w:r>
        <w:rPr>
          <w:rFonts w:hint="eastAsia" w:hAnsi="宋体" w:cs="宋体"/>
        </w:rPr>
        <w:t xml:space="preserve"> 投标报价超过采购预算（或最高限价）的；</w:t>
      </w:r>
    </w:p>
    <w:p w14:paraId="35E637DB">
      <w:pPr>
        <w:pStyle w:val="20"/>
        <w:adjustRightInd w:val="0"/>
        <w:snapToGrid w:val="0"/>
        <w:spacing w:line="420" w:lineRule="exact"/>
        <w:ind w:firstLine="431" w:firstLineChars="196"/>
        <w:rPr>
          <w:rFonts w:hAnsi="宋体" w:cs="Arial"/>
        </w:rPr>
      </w:pPr>
      <w:r>
        <w:rPr>
          <w:rFonts w:hint="eastAsia" w:hAnsi="宋体" w:cs="Arial"/>
        </w:rPr>
        <w:t>9）投标人代表为授权代表而无法定代表人授权书的；</w:t>
      </w:r>
    </w:p>
    <w:p w14:paraId="5BF9A0B4">
      <w:pPr>
        <w:pStyle w:val="20"/>
        <w:adjustRightInd w:val="0"/>
        <w:snapToGrid w:val="0"/>
        <w:spacing w:line="420" w:lineRule="exact"/>
        <w:ind w:firstLine="431" w:firstLineChars="196"/>
        <w:rPr>
          <w:rFonts w:hAnsi="宋体" w:cs="Arial"/>
          <w:bCs/>
        </w:rPr>
      </w:pPr>
      <w:r>
        <w:rPr>
          <w:rFonts w:hint="eastAsia" w:hAnsi="宋体" w:cs="Arial"/>
          <w:bCs/>
        </w:rPr>
        <w:t>10）不响应或擅自改变本采购文件要求或投标文件有采购人不能接受的附加条件的；</w:t>
      </w:r>
    </w:p>
    <w:p w14:paraId="1296F28F">
      <w:pPr>
        <w:pStyle w:val="20"/>
        <w:adjustRightInd w:val="0"/>
        <w:snapToGrid w:val="0"/>
        <w:spacing w:line="420" w:lineRule="exact"/>
        <w:ind w:firstLine="433" w:firstLineChars="196"/>
        <w:rPr>
          <w:rFonts w:hAnsi="宋体" w:cs="Arial"/>
          <w:b/>
          <w:bCs/>
        </w:rPr>
      </w:pPr>
      <w:r>
        <w:rPr>
          <w:rFonts w:hint="eastAsia" w:hAnsi="宋体" w:cs="Arial"/>
          <w:b/>
          <w:bCs/>
        </w:rPr>
        <w:t>11）电子投标文件未按采购文件规定要求进行签章（指投标文件中涉及应加盖投标单位公章的地方）和或未按采购文件规定要求进行</w:t>
      </w:r>
      <w:r>
        <w:rPr>
          <w:rFonts w:hAnsi="宋体" w:cs="Arial"/>
          <w:b/>
          <w:bCs/>
        </w:rPr>
        <w:t>法定代表人（或授权代表）签字（或印章）</w:t>
      </w:r>
      <w:r>
        <w:rPr>
          <w:rFonts w:hint="eastAsia" w:hAnsi="宋体" w:cs="Arial"/>
          <w:b/>
          <w:bCs/>
        </w:rPr>
        <w:t>的；</w:t>
      </w:r>
    </w:p>
    <w:p w14:paraId="43E41145">
      <w:pPr>
        <w:pStyle w:val="20"/>
        <w:adjustRightInd w:val="0"/>
        <w:snapToGrid w:val="0"/>
        <w:spacing w:line="420" w:lineRule="exact"/>
        <w:ind w:firstLine="431" w:firstLineChars="196"/>
        <w:rPr>
          <w:rFonts w:hAnsi="宋体" w:cs="Arial"/>
        </w:rPr>
      </w:pPr>
      <w:r>
        <w:rPr>
          <w:rFonts w:hint="eastAsia" w:hAnsi="宋体" w:cs="Arial"/>
        </w:rPr>
        <w:t>12）违反国家或政府部门相关法律、法规、文件规定的。</w:t>
      </w:r>
    </w:p>
    <w:p w14:paraId="1F775C2F">
      <w:pPr>
        <w:spacing w:before="156" w:beforeLines="50" w:line="420" w:lineRule="exact"/>
        <w:ind w:firstLine="389" w:firstLineChars="177"/>
        <w:rPr>
          <w:rFonts w:ascii="宋体" w:hAnsi="宋体" w:cs="宋体"/>
          <w:b/>
          <w:color w:val="000000"/>
          <w:kern w:val="0"/>
          <w:szCs w:val="22"/>
        </w:rPr>
      </w:pPr>
      <w:r>
        <w:rPr>
          <w:rFonts w:hint="eastAsia" w:ascii="宋体" w:hAnsi="宋体" w:cs="宋体"/>
          <w:szCs w:val="22"/>
        </w:rPr>
        <w:t>9、投标文件的评估、比较、评分</w:t>
      </w:r>
    </w:p>
    <w:p w14:paraId="411841EE">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5AA60C8B">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2）对采购组织机构工作人员汇总的评审结果进行确认。如发现分值汇总计算错误、分项评分超出评分标准范围、客观评分不一致以及存在畸高、畸低（其总评分偏离平均分30%以上的）情形的，评审委员会组长（评标委员会主任委员）应提醒相关评审人员当场改正或书面说明理由，拒不改正又不作书面说明的，由现场监督员如实记载后存入项目档案资料。</w:t>
      </w:r>
    </w:p>
    <w:p w14:paraId="2F3C1C78">
      <w:pPr>
        <w:spacing w:line="420" w:lineRule="exact"/>
        <w:ind w:firstLine="389" w:firstLineChars="177"/>
        <w:rPr>
          <w:rFonts w:ascii="宋体" w:hAnsi="宋体" w:cs="宋体"/>
          <w:color w:val="000000"/>
          <w:kern w:val="0"/>
          <w:szCs w:val="22"/>
        </w:rPr>
      </w:pPr>
      <w:r>
        <w:rPr>
          <w:rFonts w:hint="eastAsia" w:ascii="宋体" w:hAnsi="宋体" w:cs="宋体"/>
          <w:color w:val="000000"/>
          <w:kern w:val="0"/>
          <w:szCs w:val="22"/>
        </w:rPr>
        <w:t>10、</w:t>
      </w:r>
      <w:r>
        <w:rPr>
          <w:rFonts w:hint="eastAsia" w:ascii="宋体" w:hAnsi="宋体" w:cs="宋体"/>
          <w:szCs w:val="22"/>
        </w:rPr>
        <w:t>修改评审结果</w:t>
      </w:r>
    </w:p>
    <w:p w14:paraId="301CF79E">
      <w:pPr>
        <w:spacing w:line="420" w:lineRule="exact"/>
        <w:ind w:firstLine="391" w:firstLineChars="177"/>
        <w:rPr>
          <w:rFonts w:ascii="宋体" w:hAnsi="宋体" w:cs="宋体"/>
          <w:b/>
          <w:color w:val="000000"/>
          <w:kern w:val="0"/>
          <w:szCs w:val="22"/>
        </w:rPr>
      </w:pPr>
      <w:r>
        <w:rPr>
          <w:rFonts w:hint="eastAsia" w:ascii="宋体" w:hAnsi="宋体" w:cs="宋体"/>
          <w:b/>
          <w:color w:val="000000"/>
          <w:kern w:val="0"/>
          <w:szCs w:val="22"/>
        </w:rPr>
        <w:t>10.</w:t>
      </w:r>
      <w:r>
        <w:rPr>
          <w:rFonts w:hint="eastAsia" w:ascii="宋体" w:hAnsi="宋体" w:cs="宋体"/>
          <w:b/>
          <w:color w:val="000000"/>
          <w:szCs w:val="22"/>
        </w:rPr>
        <w:t>1 评标结果汇总完成后，除下列情形外，任何人不得修改评标结果：</w:t>
      </w:r>
    </w:p>
    <w:p w14:paraId="625441F0">
      <w:pPr>
        <w:spacing w:line="420" w:lineRule="exact"/>
        <w:ind w:firstLine="444" w:firstLineChars="202"/>
        <w:rPr>
          <w:rFonts w:ascii="宋体" w:hAnsi="宋体" w:cs="宋体"/>
          <w:color w:val="000000"/>
          <w:szCs w:val="22"/>
        </w:rPr>
      </w:pPr>
      <w:r>
        <w:rPr>
          <w:rFonts w:hint="eastAsia" w:ascii="宋体" w:hAnsi="宋体" w:cs="宋体"/>
          <w:color w:val="000000"/>
          <w:szCs w:val="22"/>
        </w:rPr>
        <w:t>（1）分值汇总计算错误的；</w:t>
      </w:r>
    </w:p>
    <w:p w14:paraId="55727059">
      <w:pPr>
        <w:spacing w:line="420" w:lineRule="exact"/>
        <w:ind w:firstLine="444" w:firstLineChars="202"/>
        <w:rPr>
          <w:rFonts w:ascii="宋体" w:hAnsi="宋体" w:cs="宋体"/>
          <w:color w:val="000000"/>
          <w:szCs w:val="22"/>
        </w:rPr>
      </w:pPr>
      <w:r>
        <w:rPr>
          <w:rFonts w:hint="eastAsia" w:ascii="宋体" w:hAnsi="宋体" w:cs="宋体"/>
          <w:color w:val="000000"/>
          <w:szCs w:val="22"/>
        </w:rPr>
        <w:t>（2）分项评分超出评分标准范围的；</w:t>
      </w:r>
    </w:p>
    <w:p w14:paraId="224CF035">
      <w:pPr>
        <w:spacing w:line="420" w:lineRule="exact"/>
        <w:ind w:firstLine="444" w:firstLineChars="202"/>
        <w:rPr>
          <w:rFonts w:ascii="宋体" w:hAnsi="宋体" w:cs="宋体"/>
          <w:color w:val="000000"/>
          <w:szCs w:val="22"/>
        </w:rPr>
      </w:pPr>
      <w:r>
        <w:rPr>
          <w:rFonts w:hint="eastAsia" w:ascii="宋体" w:hAnsi="宋体" w:cs="宋体"/>
          <w:color w:val="000000"/>
          <w:szCs w:val="22"/>
        </w:rPr>
        <w:t>（3）评标委员会成员对客观评审因素评分不一致的；</w:t>
      </w:r>
    </w:p>
    <w:p w14:paraId="7CA7EDFA">
      <w:pPr>
        <w:spacing w:line="420" w:lineRule="exact"/>
        <w:ind w:firstLine="444" w:firstLineChars="202"/>
        <w:rPr>
          <w:rFonts w:ascii="宋体" w:hAnsi="宋体" w:cs="宋体"/>
          <w:color w:val="000000"/>
          <w:szCs w:val="22"/>
        </w:rPr>
      </w:pPr>
      <w:r>
        <w:rPr>
          <w:rFonts w:hint="eastAsia" w:ascii="宋体" w:hAnsi="宋体" w:cs="宋体"/>
          <w:color w:val="000000"/>
          <w:szCs w:val="22"/>
        </w:rPr>
        <w:t>（4）经评标委员会认定评分畸高、畸低的。</w:t>
      </w:r>
    </w:p>
    <w:p w14:paraId="51619006">
      <w:pPr>
        <w:spacing w:line="420" w:lineRule="exact"/>
        <w:ind w:firstLine="446" w:firstLineChars="202"/>
        <w:rPr>
          <w:rFonts w:ascii="宋体" w:hAnsi="宋体" w:cs="宋体"/>
          <w:b/>
          <w:color w:val="000000"/>
          <w:szCs w:val="22"/>
        </w:rPr>
      </w:pPr>
      <w:r>
        <w:rPr>
          <w:rFonts w:hint="eastAsia" w:ascii="宋体" w:hAnsi="宋体" w:cs="宋体"/>
          <w:b/>
          <w:color w:val="000000"/>
          <w:szCs w:val="22"/>
        </w:rPr>
        <w:t>10.2 评标报告签署前，经复核发现存在以上情形之一的，评标委员会将当场修改评标结果，并在评标报告中记载。</w:t>
      </w:r>
    </w:p>
    <w:p w14:paraId="26DF07EE">
      <w:pPr>
        <w:spacing w:line="420" w:lineRule="exact"/>
        <w:ind w:firstLine="444" w:firstLineChars="202"/>
        <w:rPr>
          <w:rFonts w:ascii="宋体" w:hAnsi="宋体" w:cs="宋体"/>
          <w:color w:val="000000"/>
          <w:szCs w:val="22"/>
        </w:rPr>
      </w:pPr>
      <w:r>
        <w:rPr>
          <w:rFonts w:hint="eastAsia" w:ascii="宋体" w:hAnsi="宋体" w:cs="宋体"/>
          <w:color w:val="000000"/>
          <w:szCs w:val="22"/>
        </w:rPr>
        <w:t>11、</w:t>
      </w:r>
      <w:r>
        <w:rPr>
          <w:rFonts w:hint="eastAsia" w:ascii="宋体" w:hAnsi="宋体" w:cs="宋体"/>
          <w:szCs w:val="22"/>
        </w:rPr>
        <w:t>供应商排序及推荐中标（成交）候选供应商</w:t>
      </w:r>
    </w:p>
    <w:p w14:paraId="553FEF74">
      <w:pPr>
        <w:spacing w:line="420" w:lineRule="exact"/>
        <w:ind w:firstLine="391" w:firstLineChars="177"/>
        <w:rPr>
          <w:rFonts w:ascii="宋体" w:hAnsi="宋体" w:cs="宋体"/>
          <w:b/>
          <w:color w:val="000000"/>
          <w:szCs w:val="22"/>
        </w:rPr>
      </w:pPr>
      <w:r>
        <w:rPr>
          <w:rFonts w:hint="eastAsia" w:ascii="宋体" w:hAnsi="宋体" w:cs="宋体"/>
          <w:b/>
          <w:color w:val="000000"/>
          <w:szCs w:val="22"/>
        </w:rPr>
        <w:t>评标委员会根据以下规定确定供应商排名并推荐中标（成交）候选供应商。</w:t>
      </w:r>
    </w:p>
    <w:p w14:paraId="10D2259C">
      <w:pPr>
        <w:spacing w:line="420" w:lineRule="exact"/>
        <w:ind w:firstLine="391" w:firstLineChars="177"/>
        <w:rPr>
          <w:rFonts w:ascii="宋体" w:hAnsi="宋体" w:cs="宋体"/>
          <w:b/>
          <w:color w:val="000000"/>
          <w:szCs w:val="22"/>
        </w:rPr>
      </w:pPr>
      <w:r>
        <w:rPr>
          <w:rFonts w:hint="eastAsia" w:ascii="宋体" w:hAnsi="宋体" w:cs="宋体"/>
          <w:b/>
          <w:color w:val="000000"/>
          <w:szCs w:val="22"/>
        </w:rPr>
        <w:t>11.1评标委员会根据各投标供应商的综合得分（商务技术分与报价得分之和）从高到低依次进行排名排序。特殊情形按以下原则处理：</w:t>
      </w:r>
    </w:p>
    <w:p w14:paraId="68F99DCC">
      <w:pPr>
        <w:spacing w:line="420" w:lineRule="exact"/>
        <w:ind w:firstLine="424" w:firstLineChars="193"/>
        <w:rPr>
          <w:rFonts w:ascii="宋体" w:hAnsi="宋体" w:cs="宋体"/>
          <w:color w:val="000000"/>
          <w:szCs w:val="22"/>
        </w:rPr>
      </w:pPr>
      <w:r>
        <w:rPr>
          <w:rFonts w:hint="eastAsia" w:ascii="宋体" w:hAnsi="宋体" w:cs="宋体"/>
          <w:color w:val="000000"/>
          <w:szCs w:val="22"/>
        </w:rPr>
        <w:t>（1）综合得分相同的，按投标报价低的优先原则确定排名；</w:t>
      </w:r>
    </w:p>
    <w:p w14:paraId="4B2789EE">
      <w:pPr>
        <w:spacing w:line="420" w:lineRule="exact"/>
        <w:ind w:firstLine="424" w:firstLineChars="193"/>
        <w:rPr>
          <w:rFonts w:ascii="宋体" w:hAnsi="宋体" w:cs="宋体"/>
          <w:color w:val="000000"/>
          <w:szCs w:val="22"/>
        </w:rPr>
      </w:pPr>
      <w:r>
        <w:rPr>
          <w:rFonts w:hint="eastAsia" w:ascii="宋体" w:hAnsi="宋体" w:cs="宋体"/>
          <w:color w:val="000000"/>
          <w:szCs w:val="22"/>
        </w:rPr>
        <w:t>（2）综合得分和投标报价均相同的，按技术资信得分从高到低确定排名；</w:t>
      </w:r>
    </w:p>
    <w:p w14:paraId="46E33BBD">
      <w:pPr>
        <w:spacing w:line="420" w:lineRule="exact"/>
        <w:ind w:firstLine="424" w:firstLineChars="193"/>
        <w:rPr>
          <w:rFonts w:ascii="宋体" w:hAnsi="宋体" w:cs="宋体"/>
          <w:color w:val="000000"/>
          <w:szCs w:val="22"/>
        </w:rPr>
      </w:pPr>
      <w:r>
        <w:rPr>
          <w:rFonts w:hint="eastAsia" w:ascii="宋体" w:hAnsi="宋体" w:cs="宋体"/>
          <w:color w:val="000000"/>
          <w:szCs w:val="22"/>
        </w:rPr>
        <w:t>（3）综合得分、投标报价和资信技术得分均相同的由评标委员会全体成员记名投票按少数服从多数的原则确定排名。</w:t>
      </w:r>
    </w:p>
    <w:p w14:paraId="1677980E">
      <w:pPr>
        <w:spacing w:line="420" w:lineRule="exact"/>
        <w:ind w:firstLine="391" w:firstLineChars="177"/>
        <w:rPr>
          <w:rFonts w:ascii="宋体" w:hAnsi="宋体" w:cs="宋体"/>
          <w:b/>
          <w:color w:val="000000"/>
          <w:szCs w:val="22"/>
        </w:rPr>
      </w:pPr>
      <w:r>
        <w:rPr>
          <w:rFonts w:hint="eastAsia" w:ascii="宋体" w:hAnsi="宋体" w:cs="宋体"/>
          <w:b/>
          <w:color w:val="000000"/>
          <w:szCs w:val="22"/>
        </w:rPr>
        <w:t>12.2根据最终得分排序，通过书面评审报告的形式，向采购人推荐</w:t>
      </w:r>
      <w:r>
        <w:rPr>
          <w:rFonts w:hint="eastAsia" w:ascii="宋体" w:hAnsi="宋体" w:cs="宋体"/>
          <w:b/>
          <w:color w:val="000000"/>
          <w:kern w:val="0"/>
          <w:szCs w:val="22"/>
        </w:rPr>
        <w:t>排名第一的投标供应商为中标（成交）候选供应商</w:t>
      </w:r>
      <w:r>
        <w:rPr>
          <w:rFonts w:hint="eastAsia" w:ascii="宋体" w:hAnsi="宋体" w:cs="宋体"/>
          <w:b/>
          <w:color w:val="000000"/>
          <w:szCs w:val="22"/>
        </w:rPr>
        <w:t>。</w:t>
      </w:r>
    </w:p>
    <w:p w14:paraId="05111520">
      <w:pPr>
        <w:spacing w:line="420" w:lineRule="exact"/>
        <w:ind w:firstLine="389" w:firstLineChars="177"/>
        <w:rPr>
          <w:rFonts w:ascii="宋体" w:hAnsi="宋体" w:cs="宋体"/>
          <w:color w:val="000000"/>
          <w:szCs w:val="22"/>
        </w:rPr>
      </w:pPr>
      <w:r>
        <w:rPr>
          <w:rFonts w:hint="eastAsia" w:ascii="宋体" w:hAnsi="宋体" w:cs="宋体"/>
          <w:color w:val="000000"/>
          <w:szCs w:val="22"/>
        </w:rPr>
        <w:t>13、</w:t>
      </w:r>
      <w:r>
        <w:rPr>
          <w:rFonts w:hint="eastAsia" w:ascii="宋体" w:hAnsi="宋体" w:cs="宋体"/>
          <w:szCs w:val="22"/>
        </w:rPr>
        <w:t>起草、签署评审报告</w:t>
      </w:r>
    </w:p>
    <w:p w14:paraId="7B641D66">
      <w:pPr>
        <w:spacing w:line="420" w:lineRule="exact"/>
        <w:ind w:firstLine="424" w:firstLineChars="193"/>
        <w:rPr>
          <w:rFonts w:ascii="宋体" w:hAnsi="宋体" w:cs="宋体"/>
          <w:color w:val="000000"/>
          <w:szCs w:val="22"/>
        </w:rPr>
      </w:pPr>
      <w:r>
        <w:rPr>
          <w:rFonts w:hint="eastAsia" w:ascii="宋体" w:hAnsi="宋体" w:cs="宋体"/>
          <w:color w:val="000000"/>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AC8DBC6">
      <w:pPr>
        <w:pStyle w:val="20"/>
        <w:snapToGrid w:val="0"/>
        <w:spacing w:before="156" w:beforeLines="50" w:line="420" w:lineRule="exact"/>
        <w:rPr>
          <w:rFonts w:hAnsi="宋体" w:cs="宋体"/>
          <w:b/>
          <w:color w:val="000000"/>
        </w:rPr>
      </w:pPr>
      <w:r>
        <w:rPr>
          <w:rFonts w:hint="eastAsia" w:hAnsi="宋体" w:cs="宋体"/>
          <w:b/>
          <w:color w:val="000000"/>
        </w:rPr>
        <w:t xml:space="preserve">    14、评审办法：见招标文件“第六部分 评审办法”</w:t>
      </w:r>
    </w:p>
    <w:p w14:paraId="16A40F60">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15、评标内容的保密</w:t>
      </w:r>
    </w:p>
    <w:p w14:paraId="2EEEA48D">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1、公开开标后，直到宣布中标单位止，凡属于审查、澄清、评价和比较投标的所有资料，都不应向投标人或与评标无关的其他人泄露。</w:t>
      </w:r>
    </w:p>
    <w:p w14:paraId="142B846D">
      <w:pPr>
        <w:shd w:val="clear" w:color="auto" w:fill="FFFFFF"/>
        <w:snapToGrid w:val="0"/>
        <w:spacing w:line="420" w:lineRule="exact"/>
        <w:ind w:firstLine="440" w:firstLineChars="200"/>
        <w:rPr>
          <w:rFonts w:ascii="宋体" w:hAnsi="宋体" w:cs="宋体"/>
          <w:color w:val="000000"/>
          <w:szCs w:val="22"/>
        </w:rPr>
      </w:pPr>
      <w:r>
        <w:rPr>
          <w:rFonts w:hint="eastAsia" w:ascii="宋体" w:hAnsi="宋体" w:cs="宋体"/>
          <w:color w:val="000000"/>
          <w:szCs w:val="22"/>
        </w:rPr>
        <w:t>2、在投标文件的审查、澄清、评价和比较以及确定中标人过程中，投标人对招标人、招标代理机构和评标委员会施加影响的任何行为，都将导致取消资格。</w:t>
      </w:r>
    </w:p>
    <w:p w14:paraId="6483FCD9">
      <w:pPr>
        <w:shd w:val="clear" w:color="auto" w:fill="FFFFFF"/>
        <w:snapToGrid w:val="0"/>
        <w:spacing w:line="420" w:lineRule="exact"/>
        <w:rPr>
          <w:rFonts w:ascii="宋体" w:hAnsi="宋体" w:cs="宋体"/>
          <w:b/>
          <w:bCs/>
          <w:color w:val="000000"/>
          <w:szCs w:val="22"/>
        </w:rPr>
      </w:pPr>
      <w:r>
        <w:rPr>
          <w:rFonts w:hint="eastAsia" w:ascii="宋体" w:hAnsi="宋体" w:cs="宋体"/>
          <w:b/>
          <w:bCs/>
          <w:color w:val="000000"/>
          <w:szCs w:val="22"/>
        </w:rPr>
        <w:t xml:space="preserve">    16、废标</w:t>
      </w:r>
    </w:p>
    <w:p w14:paraId="3687F3F7">
      <w:pPr>
        <w:pStyle w:val="19"/>
        <w:snapToGrid w:val="0"/>
        <w:spacing w:after="0" w:line="420" w:lineRule="exact"/>
        <w:ind w:left="440"/>
        <w:rPr>
          <w:rFonts w:ascii="宋体" w:hAnsi="宋体" w:cs="宋体"/>
          <w:b/>
          <w:color w:val="000000"/>
        </w:rPr>
      </w:pPr>
      <w:r>
        <w:rPr>
          <w:rFonts w:hint="eastAsia" w:ascii="宋体" w:hAnsi="宋体" w:cs="宋体"/>
          <w:b/>
          <w:color w:val="000000"/>
        </w:rPr>
        <w:t>在采购中，出现下列情形之一的，应予废标：</w:t>
      </w:r>
    </w:p>
    <w:p w14:paraId="18A70A1F">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(1)符合专业条件的供应商或者对招标文件作实质响应的供应商不足3家的；</w:t>
      </w:r>
    </w:p>
    <w:p w14:paraId="5B3C145D">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(2)出现影响采购公正的违法、违规行为的；</w:t>
      </w:r>
    </w:p>
    <w:p w14:paraId="2AE60A1B">
      <w:pPr>
        <w:pStyle w:val="19"/>
        <w:snapToGrid w:val="0"/>
        <w:spacing w:after="0" w:line="420" w:lineRule="exact"/>
        <w:ind w:left="440" w:firstLine="482"/>
        <w:rPr>
          <w:rFonts w:ascii="宋体" w:hAnsi="宋体" w:cs="宋体"/>
          <w:b/>
          <w:color w:val="000000"/>
        </w:rPr>
      </w:pPr>
      <w:r>
        <w:rPr>
          <w:rFonts w:hint="eastAsia" w:ascii="宋体" w:hAnsi="宋体" w:cs="宋体"/>
          <w:b/>
          <w:color w:val="000000"/>
        </w:rPr>
        <w:t>(3)报价均超过最高限价，不能支付的；</w:t>
      </w:r>
    </w:p>
    <w:p w14:paraId="561E6AE0">
      <w:pPr>
        <w:shd w:val="clear" w:color="auto" w:fill="FFFFFF"/>
        <w:snapToGrid w:val="0"/>
        <w:spacing w:line="420" w:lineRule="exact"/>
        <w:rPr>
          <w:rFonts w:ascii="宋体" w:hAnsi="宋体" w:cs="宋体"/>
          <w:b/>
          <w:color w:val="000000"/>
          <w:szCs w:val="22"/>
        </w:rPr>
      </w:pPr>
      <w:r>
        <w:rPr>
          <w:rFonts w:hint="eastAsia" w:ascii="宋体" w:hAnsi="宋体" w:cs="宋体"/>
          <w:b/>
          <w:color w:val="000000"/>
          <w:szCs w:val="22"/>
        </w:rPr>
        <w:t xml:space="preserve">        (4)因重大变故，采购任务取消的。</w:t>
      </w:r>
    </w:p>
    <w:p w14:paraId="67F6EEA3">
      <w:pPr>
        <w:shd w:val="clear" w:color="auto" w:fill="FFFFFF"/>
        <w:snapToGrid w:val="0"/>
        <w:spacing w:line="420" w:lineRule="exact"/>
        <w:rPr>
          <w:rFonts w:ascii="宋体" w:hAnsi="宋体" w:cs="宋体"/>
          <w:b/>
          <w:bCs/>
          <w:color w:val="000000"/>
          <w:szCs w:val="22"/>
        </w:rPr>
      </w:pPr>
      <w:r>
        <w:rPr>
          <w:rFonts w:hint="eastAsia" w:ascii="宋体" w:hAnsi="宋体" w:cs="宋体"/>
          <w:b/>
          <w:color w:val="000000"/>
          <w:szCs w:val="22"/>
        </w:rPr>
        <w:t xml:space="preserve">    17、</w:t>
      </w:r>
      <w:r>
        <w:rPr>
          <w:rFonts w:hint="eastAsia" w:ascii="宋体" w:hAnsi="宋体" w:cs="宋体"/>
          <w:b/>
          <w:szCs w:val="22"/>
        </w:rPr>
        <w:t>可中止电子交易活动的情形</w:t>
      </w:r>
    </w:p>
    <w:p w14:paraId="072DC633">
      <w:pPr>
        <w:spacing w:line="420" w:lineRule="exact"/>
        <w:ind w:firstLine="389" w:firstLineChars="176"/>
        <w:rPr>
          <w:rFonts w:ascii="宋体" w:hAnsi="宋体" w:cs="宋体"/>
          <w:color w:val="000000"/>
          <w:szCs w:val="22"/>
        </w:rPr>
      </w:pPr>
      <w:r>
        <w:rPr>
          <w:rFonts w:hint="eastAsia" w:ascii="宋体" w:hAnsi="宋体" w:cs="宋体"/>
          <w:b/>
          <w:color w:val="000000"/>
          <w:szCs w:val="22"/>
        </w:rPr>
        <w:t>采购过程中出现以下情形，导致电子交易平台无法正常运行，或者无法保证电子交易的公平、公正和安全时，采购组织机构可中止电子交易活动：</w:t>
      </w:r>
    </w:p>
    <w:p w14:paraId="021943FC">
      <w:pPr>
        <w:spacing w:line="420" w:lineRule="exact"/>
        <w:ind w:firstLine="387" w:firstLineChars="176"/>
        <w:rPr>
          <w:rFonts w:ascii="宋体" w:hAnsi="宋体" w:cs="宋体"/>
          <w:color w:val="000000"/>
          <w:szCs w:val="22"/>
        </w:rPr>
      </w:pPr>
      <w:r>
        <w:rPr>
          <w:rFonts w:hint="eastAsia" w:ascii="宋体" w:hAnsi="宋体" w:cs="宋体"/>
          <w:color w:val="000000"/>
          <w:szCs w:val="22"/>
        </w:rPr>
        <w:t>（1）电子交易平台发生故障而无法登录访问的；</w:t>
      </w:r>
    </w:p>
    <w:p w14:paraId="1E51C988">
      <w:pPr>
        <w:spacing w:line="420" w:lineRule="exact"/>
        <w:ind w:firstLine="387" w:firstLineChars="176"/>
        <w:rPr>
          <w:rFonts w:ascii="宋体" w:hAnsi="宋体" w:cs="宋体"/>
          <w:color w:val="000000"/>
          <w:szCs w:val="22"/>
        </w:rPr>
      </w:pPr>
      <w:r>
        <w:rPr>
          <w:rFonts w:hint="eastAsia" w:ascii="宋体" w:hAnsi="宋体" w:cs="宋体"/>
          <w:color w:val="000000"/>
          <w:szCs w:val="22"/>
        </w:rPr>
        <w:t>（2）电子交易平台应用或数据库出现错误，不能进行正常操作的；</w:t>
      </w:r>
    </w:p>
    <w:p w14:paraId="42AD159D">
      <w:pPr>
        <w:spacing w:line="420" w:lineRule="exact"/>
        <w:ind w:firstLine="387" w:firstLineChars="176"/>
        <w:rPr>
          <w:rFonts w:ascii="宋体" w:hAnsi="宋体" w:cs="宋体"/>
          <w:color w:val="000000"/>
          <w:szCs w:val="22"/>
        </w:rPr>
      </w:pPr>
      <w:r>
        <w:rPr>
          <w:rFonts w:hint="eastAsia" w:ascii="宋体" w:hAnsi="宋体" w:cs="宋体"/>
          <w:color w:val="000000"/>
          <w:szCs w:val="22"/>
        </w:rPr>
        <w:t>（3）电子交易平台发现严重安全漏洞，有潜在泄密危险的；</w:t>
      </w:r>
    </w:p>
    <w:p w14:paraId="05230327">
      <w:pPr>
        <w:spacing w:line="420" w:lineRule="exact"/>
        <w:ind w:firstLine="387" w:firstLineChars="176"/>
        <w:rPr>
          <w:rFonts w:ascii="宋体" w:hAnsi="宋体" w:cs="宋体"/>
          <w:color w:val="000000"/>
          <w:szCs w:val="22"/>
        </w:rPr>
      </w:pPr>
      <w:r>
        <w:rPr>
          <w:rFonts w:hint="eastAsia" w:ascii="宋体" w:hAnsi="宋体" w:cs="宋体"/>
          <w:color w:val="000000"/>
          <w:szCs w:val="22"/>
        </w:rPr>
        <w:t>（4）病毒发作导致不能进行正常操作的；</w:t>
      </w:r>
    </w:p>
    <w:p w14:paraId="2B3C9DDA">
      <w:pPr>
        <w:spacing w:line="420" w:lineRule="exact"/>
        <w:ind w:firstLine="387" w:firstLineChars="176"/>
        <w:rPr>
          <w:rFonts w:ascii="宋体" w:hAnsi="宋体" w:cs="宋体"/>
          <w:color w:val="000000"/>
          <w:szCs w:val="22"/>
        </w:rPr>
      </w:pPr>
      <w:r>
        <w:rPr>
          <w:rFonts w:hint="eastAsia" w:ascii="宋体" w:hAnsi="宋体" w:cs="宋体"/>
          <w:color w:val="000000"/>
          <w:szCs w:val="22"/>
        </w:rPr>
        <w:t>（5）其他无法保证电子交易的公平、公正和安全的情况。</w:t>
      </w:r>
    </w:p>
    <w:p w14:paraId="4F806DE4">
      <w:pPr>
        <w:spacing w:line="420" w:lineRule="exact"/>
        <w:ind w:firstLine="389" w:firstLineChars="176"/>
        <w:rPr>
          <w:rFonts w:ascii="宋体" w:hAnsi="宋体" w:cs="宋体"/>
          <w:szCs w:val="22"/>
        </w:rPr>
      </w:pPr>
      <w:r>
        <w:rPr>
          <w:rFonts w:hint="eastAsia" w:ascii="宋体" w:hAnsi="宋体" w:cs="宋体"/>
          <w:b/>
          <w:color w:val="000000"/>
          <w:szCs w:val="22"/>
        </w:rPr>
        <w:t>出现前款规定情形，不影响采购公平、公正性的，采购组织机构可以待上述情形消除后继续组织电子交易活动；影响或可能影响采购公平、公正性的，应当重新采购。</w:t>
      </w:r>
    </w:p>
    <w:p w14:paraId="0D04986D">
      <w:pPr>
        <w:pStyle w:val="7"/>
        <w:spacing w:line="420" w:lineRule="exact"/>
      </w:pPr>
      <w:r>
        <w:rPr>
          <w:rFonts w:hint="eastAsia"/>
        </w:rPr>
        <w:t>八、授予合同</w:t>
      </w:r>
    </w:p>
    <w:p w14:paraId="045843DA">
      <w:pPr>
        <w:pStyle w:val="20"/>
        <w:adjustRightInd w:val="0"/>
        <w:snapToGrid w:val="0"/>
        <w:spacing w:line="420" w:lineRule="exact"/>
        <w:ind w:firstLine="440" w:firstLineChars="200"/>
        <w:outlineLvl w:val="1"/>
        <w:rPr>
          <w:rFonts w:hAnsi="宋体" w:cs="Arial"/>
        </w:rPr>
      </w:pPr>
      <w:r>
        <w:rPr>
          <w:rFonts w:hint="eastAsia" w:hAnsi="宋体" w:cs="Arial"/>
        </w:rPr>
        <w:t>1、中标条件</w:t>
      </w:r>
    </w:p>
    <w:p w14:paraId="492FA2CA">
      <w:pPr>
        <w:adjustRightInd w:val="0"/>
        <w:snapToGrid w:val="0"/>
        <w:spacing w:line="420" w:lineRule="exact"/>
        <w:ind w:firstLine="440" w:firstLineChars="200"/>
        <w:rPr>
          <w:rFonts w:ascii="宋体" w:cs="Arial"/>
          <w:szCs w:val="22"/>
        </w:rPr>
      </w:pPr>
      <w:r>
        <w:rPr>
          <w:rFonts w:hint="eastAsia" w:ascii="宋体" w:cs="Arial"/>
          <w:szCs w:val="22"/>
        </w:rPr>
        <w:t>1)投标文件基本符合招标文件要求，能够最大限度满足招标文件中规定的各项综合评价标准；</w:t>
      </w:r>
    </w:p>
    <w:p w14:paraId="4384F9BF">
      <w:pPr>
        <w:pStyle w:val="20"/>
        <w:adjustRightInd w:val="0"/>
        <w:snapToGrid w:val="0"/>
        <w:spacing w:line="420" w:lineRule="exact"/>
        <w:ind w:firstLine="440" w:firstLineChars="200"/>
        <w:rPr>
          <w:rFonts w:hAnsi="宋体" w:cs="Arial"/>
        </w:rPr>
      </w:pPr>
      <w:r>
        <w:rPr>
          <w:rFonts w:hint="eastAsia" w:hAnsi="宋体" w:cs="Arial"/>
        </w:rPr>
        <w:t>2)供应商有很好的执行合同的能力；</w:t>
      </w:r>
    </w:p>
    <w:p w14:paraId="5F6DF079">
      <w:pPr>
        <w:pStyle w:val="20"/>
        <w:adjustRightInd w:val="0"/>
        <w:snapToGrid w:val="0"/>
        <w:spacing w:line="420" w:lineRule="exact"/>
        <w:ind w:firstLine="440" w:firstLineChars="200"/>
        <w:rPr>
          <w:rFonts w:hAnsi="宋体" w:cs="Arial"/>
        </w:rPr>
      </w:pPr>
      <w:bookmarkStart w:id="186" w:name="_Toc132122122"/>
      <w:bookmarkStart w:id="187" w:name="_Toc132122419"/>
      <w:r>
        <w:rPr>
          <w:rFonts w:hint="eastAsia" w:hAnsi="宋体" w:cs="Arial"/>
        </w:rPr>
        <w:t>3)供应商能够提供质量技术、商务经济占综合优势的产品及服务</w:t>
      </w:r>
      <w:bookmarkEnd w:id="186"/>
      <w:bookmarkEnd w:id="187"/>
      <w:r>
        <w:rPr>
          <w:rFonts w:hint="eastAsia" w:hAnsi="宋体" w:cs="Arial"/>
        </w:rPr>
        <w:t>；</w:t>
      </w:r>
    </w:p>
    <w:p w14:paraId="17AF34DD">
      <w:pPr>
        <w:pStyle w:val="20"/>
        <w:adjustRightInd w:val="0"/>
        <w:snapToGrid w:val="0"/>
        <w:spacing w:line="420" w:lineRule="exact"/>
        <w:ind w:firstLine="431" w:firstLineChars="196"/>
        <w:rPr>
          <w:rFonts w:hAnsi="宋体" w:cs="Arial"/>
          <w:u w:val="single"/>
        </w:rPr>
      </w:pPr>
      <w:r>
        <w:rPr>
          <w:rFonts w:hint="eastAsia" w:hAnsi="宋体" w:cs="Arial"/>
          <w:u w:val="single"/>
        </w:rPr>
        <w:t>采购机构将把中标通知书授予综合得分第一名投标者，但最低报价不是中标的唯一保证。</w:t>
      </w:r>
    </w:p>
    <w:p w14:paraId="378BD322">
      <w:pPr>
        <w:pStyle w:val="20"/>
        <w:adjustRightInd w:val="0"/>
        <w:snapToGrid w:val="0"/>
        <w:spacing w:line="420" w:lineRule="exact"/>
        <w:ind w:firstLine="440" w:firstLineChars="200"/>
        <w:rPr>
          <w:rFonts w:hAnsi="宋体" w:cs="Arial"/>
        </w:rPr>
      </w:pPr>
      <w:bookmarkStart w:id="188" w:name="_Toc132122123"/>
      <w:bookmarkStart w:id="189" w:name="_Toc132122420"/>
      <w:r>
        <w:rPr>
          <w:rFonts w:hint="eastAsia" w:hAnsi="宋体" w:cs="Arial"/>
        </w:rPr>
        <w:t>2、中标通知</w:t>
      </w:r>
      <w:bookmarkEnd w:id="188"/>
      <w:bookmarkEnd w:id="189"/>
    </w:p>
    <w:p w14:paraId="0A2F98D2">
      <w:pPr>
        <w:adjustRightInd w:val="0"/>
        <w:snapToGrid w:val="0"/>
        <w:spacing w:line="420" w:lineRule="exact"/>
        <w:ind w:firstLine="440" w:firstLineChars="200"/>
        <w:rPr>
          <w:rFonts w:ascii="宋体" w:cs="Arial"/>
          <w:szCs w:val="22"/>
        </w:rPr>
      </w:pPr>
      <w:r>
        <w:rPr>
          <w:rFonts w:hint="eastAsia" w:ascii="宋体" w:cs="Arial"/>
          <w:szCs w:val="22"/>
        </w:rPr>
        <w:t>2.1、评标结束后，采购代理机构在浙江省政府采购网、苍南县公共资源交易中心网站及相关媒体上公示采购结果，将向中标供应商发出中标通知书。</w:t>
      </w:r>
    </w:p>
    <w:p w14:paraId="5F065F1E">
      <w:pPr>
        <w:adjustRightInd w:val="0"/>
        <w:snapToGrid w:val="0"/>
        <w:spacing w:line="420" w:lineRule="exact"/>
        <w:ind w:firstLine="440" w:firstLineChars="200"/>
        <w:rPr>
          <w:rFonts w:ascii="宋体" w:cs="Arial"/>
          <w:szCs w:val="22"/>
        </w:rPr>
      </w:pPr>
      <w:r>
        <w:rPr>
          <w:rFonts w:hint="eastAsia" w:ascii="宋体" w:cs="Arial"/>
          <w:szCs w:val="22"/>
        </w:rPr>
        <w:t>2.2、中标通知书对采购单位和中标供应商具有法律约束力。中标通知书发出后，采购单位改变中标结果或者中标供应商放弃中标的，应当承担法律责任。</w:t>
      </w:r>
    </w:p>
    <w:p w14:paraId="127BEFE5">
      <w:pPr>
        <w:adjustRightInd w:val="0"/>
        <w:snapToGrid w:val="0"/>
        <w:spacing w:line="420" w:lineRule="exact"/>
        <w:ind w:firstLine="440" w:firstLineChars="200"/>
        <w:rPr>
          <w:rFonts w:ascii="宋体" w:cs="Arial"/>
          <w:szCs w:val="22"/>
        </w:rPr>
      </w:pPr>
      <w:r>
        <w:rPr>
          <w:rFonts w:hint="eastAsia" w:ascii="宋体" w:cs="Arial"/>
          <w:szCs w:val="22"/>
        </w:rPr>
        <w:t>2.3、评标委员会对评标结果不负责解释。</w:t>
      </w:r>
    </w:p>
    <w:p w14:paraId="37AEF08B">
      <w:pPr>
        <w:pStyle w:val="20"/>
        <w:adjustRightInd w:val="0"/>
        <w:snapToGrid w:val="0"/>
        <w:spacing w:line="420" w:lineRule="exact"/>
        <w:ind w:firstLine="440" w:firstLineChars="200"/>
        <w:rPr>
          <w:rFonts w:hAnsi="宋体" w:cs="Arial"/>
        </w:rPr>
      </w:pPr>
      <w:bookmarkStart w:id="190" w:name="_Toc132122421"/>
      <w:bookmarkStart w:id="191" w:name="_Toc132122124"/>
      <w:r>
        <w:rPr>
          <w:rFonts w:hint="eastAsia" w:hAnsi="宋体" w:cs="Arial"/>
        </w:rPr>
        <w:t>3、签订合同</w:t>
      </w:r>
      <w:bookmarkEnd w:id="190"/>
      <w:bookmarkEnd w:id="191"/>
    </w:p>
    <w:p w14:paraId="4D4EE1DB">
      <w:pPr>
        <w:pStyle w:val="20"/>
        <w:adjustRightInd w:val="0"/>
        <w:snapToGrid w:val="0"/>
        <w:spacing w:line="420" w:lineRule="exact"/>
        <w:ind w:firstLine="440" w:firstLineChars="200"/>
        <w:rPr>
          <w:rFonts w:hAnsi="宋体" w:cs="Arial"/>
        </w:rPr>
      </w:pPr>
      <w:r>
        <w:rPr>
          <w:rFonts w:hint="eastAsia" w:hAnsi="宋体" w:cs="Arial"/>
        </w:rPr>
        <w:t>3.1、中标公示发出后，招标代理机构向中标供应商发放中标通知书，中标供应商在领取中标通知书后30天内到采购人处与采购人签订合同。中标供应商未在规定时间内到采购人处与采购人签订合同，则视为拒签合同。</w:t>
      </w:r>
    </w:p>
    <w:p w14:paraId="663B74D5">
      <w:pPr>
        <w:pStyle w:val="20"/>
        <w:adjustRightInd w:val="0"/>
        <w:snapToGrid w:val="0"/>
        <w:spacing w:line="420" w:lineRule="exact"/>
        <w:ind w:firstLine="440" w:firstLineChars="200"/>
        <w:rPr>
          <w:rFonts w:hAnsi="宋体" w:cs="Arial"/>
        </w:rPr>
      </w:pPr>
      <w:r>
        <w:rPr>
          <w:rFonts w:hint="eastAsia" w:hAnsi="宋体" w:cs="Arial"/>
        </w:rPr>
        <w:t>3.2、招标文件、中标供应商的投标文件及投标修改文件、评标过程中有关澄清文件及经双方签字的询标纪要（承诺）和中标通知书均作为合同附件。</w:t>
      </w:r>
    </w:p>
    <w:p w14:paraId="11FE0D43">
      <w:pPr>
        <w:pStyle w:val="20"/>
        <w:adjustRightInd w:val="0"/>
        <w:snapToGrid w:val="0"/>
        <w:spacing w:line="420" w:lineRule="exact"/>
        <w:ind w:firstLine="440" w:firstLineChars="200"/>
        <w:rPr>
          <w:rFonts w:hAnsi="宋体" w:cs="Arial"/>
        </w:rPr>
      </w:pPr>
      <w:r>
        <w:rPr>
          <w:rFonts w:hint="eastAsia" w:hAnsi="宋体" w:cs="Arial"/>
        </w:rPr>
        <w:t>3.3、拒签合同的责任</w:t>
      </w:r>
    </w:p>
    <w:p w14:paraId="5A4F7CCF">
      <w:pPr>
        <w:pStyle w:val="20"/>
        <w:adjustRightInd w:val="0"/>
        <w:snapToGrid w:val="0"/>
        <w:spacing w:line="420" w:lineRule="exact"/>
        <w:ind w:firstLine="442" w:firstLineChars="200"/>
        <w:rPr>
          <w:rFonts w:hAnsi="宋体"/>
        </w:rPr>
      </w:pPr>
      <w:r>
        <w:rPr>
          <w:rFonts w:hint="eastAsia" w:hAnsi="宋体" w:cs="宋体"/>
          <w:b/>
          <w:bCs/>
          <w:szCs w:val="21"/>
        </w:rPr>
        <w:t>中标供应商接到中标通知书后，在30日内借故否认已经承诺的条件而拒签合同，以投标违约处理，并赔偿采购人由此造成的直接经济损失；采购人重新组织招标的，所需费用由原中标供应商承担。</w:t>
      </w:r>
    </w:p>
    <w:p w14:paraId="40E5B3D9">
      <w:pPr>
        <w:snapToGrid w:val="0"/>
        <w:spacing w:line="360" w:lineRule="exact"/>
        <w:ind w:firstLine="541" w:firstLineChars="246"/>
        <w:rPr>
          <w:rFonts w:ascii="宋体" w:hAnsi="宋体"/>
          <w:szCs w:val="22"/>
        </w:rPr>
      </w:pPr>
      <w:r>
        <w:rPr>
          <w:rFonts w:ascii="宋体" w:hAnsi="宋体"/>
          <w:szCs w:val="22"/>
        </w:rPr>
        <w:t>4</w:t>
      </w:r>
      <w:r>
        <w:rPr>
          <w:rFonts w:hint="eastAsia" w:ascii="宋体" w:hAnsi="宋体"/>
          <w:szCs w:val="22"/>
        </w:rPr>
        <w:t>、</w:t>
      </w:r>
      <w:r>
        <w:rPr>
          <w:rFonts w:ascii="宋体" w:hAnsi="宋体"/>
          <w:szCs w:val="22"/>
        </w:rPr>
        <w:t xml:space="preserve">采购代理服务费 </w:t>
      </w:r>
    </w:p>
    <w:p w14:paraId="47315915">
      <w:pPr>
        <w:snapToGrid w:val="0"/>
        <w:spacing w:line="360" w:lineRule="exact"/>
        <w:ind w:firstLine="541" w:firstLineChars="246"/>
        <w:rPr>
          <w:rFonts w:ascii="宋体" w:hAnsi="宋体"/>
          <w:szCs w:val="22"/>
        </w:rPr>
      </w:pPr>
      <w:r>
        <w:rPr>
          <w:rFonts w:hint="eastAsia" w:ascii="宋体" w:hAnsi="宋体"/>
          <w:szCs w:val="22"/>
        </w:rPr>
        <w:t xml:space="preserve"> 中标（成交）供应商中标后，须按以下金额一次性向采购组织机构支付采购代理服务费，招标代理服务费包含在投标总价中。</w:t>
      </w:r>
    </w:p>
    <w:p w14:paraId="4B335EE2">
      <w:pPr>
        <w:snapToGrid w:val="0"/>
        <w:spacing w:line="360" w:lineRule="exact"/>
        <w:ind w:firstLine="541" w:firstLineChars="246"/>
        <w:rPr>
          <w:rFonts w:ascii="宋体" w:hAnsi="宋体"/>
          <w:szCs w:val="22"/>
        </w:rPr>
      </w:pPr>
      <w:r>
        <w:rPr>
          <w:rFonts w:hint="eastAsia" w:ascii="宋体" w:hAnsi="宋体"/>
          <w:szCs w:val="22"/>
        </w:rPr>
        <w:t>全程代理服务费参照市场取费，招标代理费为</w:t>
      </w:r>
      <w:r>
        <w:rPr>
          <w:rFonts w:ascii="宋体" w:hAnsi="宋体"/>
          <w:szCs w:val="22"/>
          <w:u w:val="single"/>
        </w:rPr>
        <w:t xml:space="preserve"> </w:t>
      </w:r>
      <w:r>
        <w:rPr>
          <w:rFonts w:hint="eastAsia" w:ascii="宋体" w:hAnsi="宋体"/>
          <w:szCs w:val="22"/>
          <w:u w:val="single"/>
          <w:lang w:val="en-US" w:eastAsia="zh-CN"/>
        </w:rPr>
        <w:t>35000</w:t>
      </w:r>
      <w:r>
        <w:rPr>
          <w:rFonts w:ascii="宋体" w:hAnsi="宋体"/>
          <w:szCs w:val="22"/>
          <w:u w:val="single"/>
        </w:rPr>
        <w:t xml:space="preserve"> </w:t>
      </w:r>
      <w:r>
        <w:rPr>
          <w:rFonts w:hint="eastAsia" w:ascii="宋体" w:hAnsi="宋体"/>
          <w:szCs w:val="22"/>
        </w:rPr>
        <w:t>元。</w:t>
      </w:r>
    </w:p>
    <w:p w14:paraId="508D7CF5">
      <w:pPr>
        <w:snapToGrid w:val="0"/>
        <w:spacing w:line="360" w:lineRule="exact"/>
        <w:ind w:firstLine="541" w:firstLineChars="246"/>
        <w:rPr>
          <w:rFonts w:ascii="宋体" w:hAnsi="宋体"/>
          <w:szCs w:val="22"/>
        </w:rPr>
      </w:pPr>
    </w:p>
    <w:p w14:paraId="66C40CD5">
      <w:pPr>
        <w:rPr>
          <w:rFonts w:hint="eastAsia"/>
        </w:rPr>
      </w:pPr>
      <w:r>
        <w:rPr>
          <w:rFonts w:hint="eastAsia"/>
        </w:rPr>
        <w:br w:type="page"/>
      </w:r>
    </w:p>
    <w:p w14:paraId="6E46DB57">
      <w:pPr>
        <w:pStyle w:val="5"/>
        <w:spacing w:line="420" w:lineRule="exact"/>
        <w:rPr>
          <w:sz w:val="30"/>
        </w:rPr>
      </w:pPr>
      <w:r>
        <w:rPr>
          <w:rFonts w:hint="eastAsia"/>
        </w:rPr>
        <w:t>第四部分  政府采购合同（参考）</w:t>
      </w:r>
    </w:p>
    <w:p w14:paraId="2F598A33">
      <w:pPr>
        <w:snapToGrid w:val="0"/>
        <w:spacing w:line="420" w:lineRule="exact"/>
        <w:ind w:firstLine="541" w:firstLineChars="246"/>
        <w:rPr>
          <w:rFonts w:ascii="宋体" w:hAnsi="宋体"/>
          <w:szCs w:val="22"/>
        </w:rPr>
      </w:pPr>
      <w:r>
        <w:rPr>
          <w:rFonts w:hint="eastAsia" w:ascii="宋体" w:hAnsi="宋体"/>
          <w:szCs w:val="22"/>
        </w:rPr>
        <w:t>说明：如甲、乙双方同意，合同格式也可以按照其他形式。但合同条款的基本内容应与合同主要条款要求的内容相一致。</w:t>
      </w:r>
    </w:p>
    <w:p w14:paraId="19178818">
      <w:pPr>
        <w:autoSpaceDE w:val="0"/>
        <w:autoSpaceDN w:val="0"/>
        <w:adjustRightInd w:val="0"/>
        <w:spacing w:line="420" w:lineRule="exact"/>
        <w:jc w:val="center"/>
        <w:rPr>
          <w:rFonts w:ascii="宋体" w:hAnsi="宋体" w:cs="宋体"/>
          <w:b/>
          <w:kern w:val="0"/>
          <w:sz w:val="28"/>
          <w:szCs w:val="28"/>
        </w:rPr>
      </w:pPr>
      <w:r>
        <w:rPr>
          <w:rFonts w:hint="eastAsia" w:ascii="宋体" w:hAnsi="宋体" w:cs="宋体"/>
          <w:b/>
          <w:kern w:val="0"/>
          <w:sz w:val="28"/>
          <w:szCs w:val="28"/>
        </w:rPr>
        <w:t>苍南县政府采购合同</w:t>
      </w:r>
    </w:p>
    <w:p w14:paraId="36CCB1B9">
      <w:pPr>
        <w:autoSpaceDE w:val="0"/>
        <w:autoSpaceDN w:val="0"/>
        <w:adjustRightInd w:val="0"/>
        <w:spacing w:line="420" w:lineRule="exact"/>
        <w:jc w:val="right"/>
        <w:rPr>
          <w:rFonts w:ascii="宋体" w:hAnsi="宋体" w:cs="宋体"/>
          <w:b/>
          <w:kern w:val="0"/>
          <w:szCs w:val="22"/>
        </w:rPr>
      </w:pPr>
      <w:r>
        <w:rPr>
          <w:rFonts w:hint="eastAsia" w:ascii="宋体" w:hAnsi="宋体" w:cs="宋体"/>
          <w:b/>
          <w:kern w:val="0"/>
          <w:szCs w:val="22"/>
        </w:rPr>
        <w:t>合同编号：</w:t>
      </w:r>
    </w:p>
    <w:p w14:paraId="65CAD81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甲方（采购人）：</w:t>
      </w:r>
      <w:r>
        <w:rPr>
          <w:rFonts w:hint="eastAsia" w:ascii="宋体" w:hAnsi="宋体"/>
          <w:szCs w:val="22"/>
          <w:lang w:eastAsia="zh-CN"/>
        </w:rPr>
        <w:t>苍南县藻溪镇人民政府</w:t>
      </w:r>
      <w:r>
        <w:rPr>
          <w:rFonts w:ascii="宋体" w:hAnsi="宋体"/>
          <w:szCs w:val="22"/>
        </w:rPr>
        <w:t xml:space="preserve">  </w:t>
      </w:r>
    </w:p>
    <w:p w14:paraId="31D14BB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乙方（中标人）：</w:t>
      </w:r>
    </w:p>
    <w:p w14:paraId="455379E3">
      <w:pPr>
        <w:autoSpaceDE w:val="0"/>
        <w:autoSpaceDN w:val="0"/>
        <w:adjustRightInd w:val="0"/>
        <w:spacing w:line="420" w:lineRule="exact"/>
        <w:ind w:firstLine="440" w:firstLineChars="200"/>
        <w:jc w:val="left"/>
        <w:rPr>
          <w:rFonts w:ascii="宋体" w:hAnsi="宋体"/>
          <w:szCs w:val="21"/>
        </w:rPr>
      </w:pPr>
      <w:r>
        <w:rPr>
          <w:rFonts w:hint="eastAsia" w:ascii="宋体" w:hAnsi="宋体"/>
          <w:szCs w:val="21"/>
        </w:rPr>
        <w:t>按照《中华人民共和国民法典》、《中华人民共和国政府采购法》等国家有关法律法规之规定和《</w:t>
      </w:r>
      <w:r>
        <w:rPr>
          <w:rFonts w:hint="eastAsia" w:ascii="宋体" w:hAnsi="宋体"/>
          <w:szCs w:val="21"/>
          <w:u w:val="single"/>
          <w:lang w:eastAsia="zh-CN"/>
        </w:rPr>
        <w:t>2025年度苍南县藻溪镇保洁及绿化养护服务项目</w:t>
      </w:r>
      <w:r>
        <w:rPr>
          <w:rFonts w:hint="eastAsia" w:ascii="宋体" w:hAnsi="宋体"/>
          <w:szCs w:val="21"/>
          <w:u w:val="single"/>
        </w:rPr>
        <w:t xml:space="preserve"> </w:t>
      </w:r>
      <w:r>
        <w:rPr>
          <w:rFonts w:hint="eastAsia" w:ascii="宋体" w:hAnsi="宋体"/>
          <w:szCs w:val="21"/>
        </w:rPr>
        <w:t>采购招标文件》的原则及规定，甲、乙双方根据采购编号：</w:t>
      </w:r>
      <w:r>
        <w:rPr>
          <w:rFonts w:hint="eastAsia" w:ascii="宋体" w:hAnsi="宋体"/>
          <w:szCs w:val="21"/>
          <w:u w:val="single"/>
          <w:lang w:eastAsia="zh-CN"/>
        </w:rPr>
        <w:t>CNDL</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lang w:eastAsia="zh-CN"/>
        </w:rPr>
        <w:t>2025年度苍南县藻溪镇保洁及绿化养护服务项目</w:t>
      </w:r>
      <w:r>
        <w:rPr>
          <w:rFonts w:hint="eastAsia" w:ascii="宋体" w:hAnsi="宋体"/>
          <w:szCs w:val="21"/>
          <w:u w:val="single"/>
        </w:rPr>
        <w:t xml:space="preserve">  </w:t>
      </w:r>
      <w:r>
        <w:rPr>
          <w:rFonts w:hint="eastAsia" w:ascii="宋体" w:hAnsi="宋体"/>
          <w:szCs w:val="21"/>
        </w:rPr>
        <w:t>的招标结果，经双方协商一致，签署本合同。</w:t>
      </w:r>
      <w:r>
        <w:rPr>
          <w:rFonts w:ascii="宋体" w:hAnsi="宋体"/>
          <w:szCs w:val="21"/>
        </w:rPr>
        <w:t xml:space="preserve"> </w:t>
      </w:r>
    </w:p>
    <w:p w14:paraId="2E77C658">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一、合同内容和要求</w:t>
      </w:r>
      <w:r>
        <w:rPr>
          <w:rFonts w:ascii="宋体" w:hAnsi="宋体"/>
          <w:b/>
          <w:szCs w:val="22"/>
        </w:rPr>
        <w:t xml:space="preserve"> </w:t>
      </w:r>
    </w:p>
    <w:p w14:paraId="4400DF6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甲方根据</w:t>
      </w:r>
      <w:r>
        <w:rPr>
          <w:rFonts w:hint="eastAsia" w:ascii="宋体" w:hAnsi="宋体"/>
          <w:szCs w:val="22"/>
          <w:u w:val="single"/>
        </w:rPr>
        <w:t xml:space="preserve">  </w:t>
      </w:r>
      <w:r>
        <w:rPr>
          <w:rFonts w:hint="eastAsia" w:ascii="宋体" w:hAnsi="宋体"/>
          <w:szCs w:val="22"/>
          <w:u w:val="single"/>
          <w:lang w:eastAsia="zh-CN"/>
        </w:rPr>
        <w:t>2025年度苍南县藻溪镇保洁及绿化养护服务项目</w:t>
      </w:r>
      <w:r>
        <w:rPr>
          <w:rFonts w:hint="eastAsia" w:ascii="宋体" w:hAnsi="宋体"/>
          <w:szCs w:val="22"/>
          <w:u w:val="single"/>
        </w:rPr>
        <w:t xml:space="preserve">  </w:t>
      </w:r>
      <w:r>
        <w:rPr>
          <w:rFonts w:hint="eastAsia" w:ascii="宋体" w:hAnsi="宋体"/>
          <w:szCs w:val="22"/>
        </w:rPr>
        <w:t>公开招标项目的招标结果委托乙方作为承包人负责本项目范围内的环境卫生保洁工作，具体保洁服务内容及要求见</w:t>
      </w:r>
      <w:r>
        <w:rPr>
          <w:rFonts w:hint="eastAsia" w:ascii="宋体" w:hAnsi="宋体"/>
          <w:b/>
          <w:szCs w:val="22"/>
        </w:rPr>
        <w:t>招标文件第二部分（含招标文件更正、补充文件）</w:t>
      </w:r>
      <w:r>
        <w:rPr>
          <w:rFonts w:hint="eastAsia" w:ascii="宋体" w:hAnsi="宋体"/>
          <w:szCs w:val="22"/>
        </w:rPr>
        <w:t>。</w:t>
      </w:r>
      <w:r>
        <w:rPr>
          <w:rFonts w:ascii="宋体" w:hAnsi="宋体"/>
          <w:szCs w:val="22"/>
        </w:rPr>
        <w:t xml:space="preserve"> </w:t>
      </w:r>
    </w:p>
    <w:p w14:paraId="7F075767">
      <w:pPr>
        <w:autoSpaceDE w:val="0"/>
        <w:autoSpaceDN w:val="0"/>
        <w:adjustRightInd w:val="0"/>
        <w:spacing w:line="420" w:lineRule="exact"/>
        <w:ind w:firstLine="440" w:firstLineChars="200"/>
        <w:jc w:val="left"/>
        <w:rPr>
          <w:rFonts w:hint="default" w:ascii="宋体" w:hAnsi="宋体" w:eastAsia="宋体"/>
          <w:szCs w:val="22"/>
          <w:lang w:val="en-US" w:eastAsia="zh-CN"/>
        </w:rPr>
      </w:pPr>
      <w:r>
        <w:rPr>
          <w:rFonts w:hint="eastAsia" w:ascii="宋体" w:hAnsi="宋体"/>
          <w:szCs w:val="22"/>
        </w:rPr>
        <w:t>保洁服务内容：</w:t>
      </w:r>
      <w:r>
        <w:rPr>
          <w:rFonts w:hint="eastAsia" w:ascii="宋体" w:hAnsi="宋体"/>
          <w:szCs w:val="22"/>
          <w:lang w:val="en-US" w:eastAsia="zh-CN"/>
        </w:rPr>
        <w:t>详见采购文件采购内容及中标响应文件</w:t>
      </w:r>
    </w:p>
    <w:p w14:paraId="423A1DB1">
      <w:pPr>
        <w:autoSpaceDE w:val="0"/>
        <w:autoSpaceDN w:val="0"/>
        <w:adjustRightInd w:val="0"/>
        <w:spacing w:line="420" w:lineRule="exact"/>
        <w:ind w:firstLine="440" w:firstLineChars="200"/>
        <w:jc w:val="left"/>
        <w:rPr>
          <w:rFonts w:hint="eastAsia" w:ascii="宋体" w:hAnsi="宋体"/>
          <w:szCs w:val="22"/>
          <w:lang w:eastAsia="zh-CN"/>
        </w:rPr>
      </w:pPr>
      <w:r>
        <w:rPr>
          <w:rFonts w:hint="eastAsia" w:ascii="宋体" w:hAnsi="宋体"/>
          <w:szCs w:val="22"/>
        </w:rPr>
        <w:t>在合同期内，出现新增道路，新增社区或因改造、改建、新增清扫保洁面积时，全部纳入服务范围，采购人将根据实际情况对作业量做出调整，供应商须无条件服从，费用包含在总价中，不再调整</w:t>
      </w:r>
      <w:r>
        <w:rPr>
          <w:rFonts w:hint="eastAsia" w:ascii="宋体" w:hAnsi="宋体"/>
          <w:szCs w:val="22"/>
          <w:lang w:eastAsia="zh-CN"/>
        </w:rPr>
        <w:t>。</w:t>
      </w:r>
    </w:p>
    <w:p w14:paraId="61638558">
      <w:pPr>
        <w:autoSpaceDE w:val="0"/>
        <w:autoSpaceDN w:val="0"/>
        <w:adjustRightInd w:val="0"/>
        <w:spacing w:line="420" w:lineRule="exact"/>
        <w:ind w:firstLine="442" w:firstLineChars="200"/>
        <w:jc w:val="left"/>
        <w:rPr>
          <w:rFonts w:ascii="宋体" w:hAnsi="宋体" w:cs="宋体"/>
          <w:b/>
          <w:bCs/>
          <w:szCs w:val="22"/>
        </w:rPr>
      </w:pPr>
      <w:r>
        <w:rPr>
          <w:rFonts w:hint="eastAsia" w:ascii="宋体" w:hAnsi="宋体" w:cs="宋体"/>
          <w:b/>
          <w:bCs/>
          <w:szCs w:val="22"/>
        </w:rPr>
        <w:t>甲方有权对保洁范围进行调整，</w:t>
      </w:r>
      <w:r>
        <w:rPr>
          <w:rFonts w:hint="eastAsia" w:ascii="宋体" w:hAnsi="宋体"/>
          <w:b/>
          <w:szCs w:val="22"/>
        </w:rPr>
        <w:t>具体要求以招标文件及采购人业务要求为准。</w:t>
      </w:r>
      <w:r>
        <w:rPr>
          <w:rFonts w:hint="eastAsia" w:ascii="宋体" w:hAnsi="宋体" w:cs="宋体"/>
          <w:b/>
          <w:bCs/>
          <w:szCs w:val="22"/>
        </w:rPr>
        <w:t>本项目预计进场作业时间为</w:t>
      </w:r>
      <w:r>
        <w:rPr>
          <w:rFonts w:hint="eastAsia" w:ascii="宋体" w:hAnsi="宋体" w:cs="宋体"/>
          <w:b/>
          <w:bCs/>
          <w:szCs w:val="22"/>
          <w:u w:val="single"/>
        </w:rPr>
        <w:t xml:space="preserve">   </w:t>
      </w:r>
      <w:r>
        <w:rPr>
          <w:rFonts w:hint="eastAsia" w:ascii="宋体" w:hAnsi="宋体" w:cs="宋体"/>
          <w:b/>
          <w:bCs/>
          <w:szCs w:val="22"/>
        </w:rPr>
        <w:t>年</w:t>
      </w:r>
      <w:r>
        <w:rPr>
          <w:rFonts w:hint="eastAsia" w:ascii="宋体" w:hAnsi="宋体" w:cs="宋体"/>
          <w:b/>
          <w:bCs/>
          <w:szCs w:val="22"/>
          <w:u w:val="single"/>
        </w:rPr>
        <w:t xml:space="preserve">  </w:t>
      </w:r>
      <w:r>
        <w:rPr>
          <w:rFonts w:hint="eastAsia" w:ascii="宋体" w:hAnsi="宋体" w:cs="宋体"/>
          <w:b/>
          <w:bCs/>
          <w:szCs w:val="22"/>
        </w:rPr>
        <w:t>月</w:t>
      </w:r>
      <w:r>
        <w:rPr>
          <w:rFonts w:hint="eastAsia" w:ascii="宋体" w:hAnsi="宋体" w:cs="宋体"/>
          <w:b/>
          <w:bCs/>
          <w:szCs w:val="22"/>
          <w:u w:val="single"/>
        </w:rPr>
        <w:t xml:space="preserve">  </w:t>
      </w:r>
      <w:r>
        <w:rPr>
          <w:rFonts w:hint="eastAsia" w:ascii="宋体" w:hAnsi="宋体" w:cs="宋体"/>
          <w:b/>
          <w:bCs/>
          <w:szCs w:val="22"/>
        </w:rPr>
        <w:t>日，个别区域进场作业时间由甲方根据实际情况确定，保洁经费按实际进场作业开始时间计算。</w:t>
      </w:r>
    </w:p>
    <w:p w14:paraId="41FF79E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二、合同金额：</w:t>
      </w:r>
      <w:r>
        <w:rPr>
          <w:rFonts w:ascii="宋体" w:hAnsi="宋体"/>
          <w:b/>
          <w:szCs w:val="22"/>
        </w:rPr>
        <w:t xml:space="preserve"> </w:t>
      </w:r>
    </w:p>
    <w:p w14:paraId="00F47334">
      <w:pPr>
        <w:autoSpaceDE w:val="0"/>
        <w:autoSpaceDN w:val="0"/>
        <w:adjustRightInd w:val="0"/>
        <w:spacing w:line="420" w:lineRule="exact"/>
        <w:ind w:firstLine="440" w:firstLineChars="200"/>
        <w:jc w:val="left"/>
        <w:rPr>
          <w:rFonts w:ascii="宋体" w:hAnsi="宋体"/>
          <w:szCs w:val="22"/>
        </w:rPr>
      </w:pPr>
      <w:r>
        <w:rPr>
          <w:rFonts w:ascii="宋体" w:hAnsi="宋体"/>
          <w:szCs w:val="22"/>
        </w:rPr>
        <w:t>1</w:t>
      </w:r>
      <w:r>
        <w:rPr>
          <w:rFonts w:hint="eastAsia" w:ascii="宋体" w:hAnsi="宋体"/>
          <w:szCs w:val="22"/>
        </w:rPr>
        <w:t>、本次项目年承包款为</w:t>
      </w:r>
      <w:r>
        <w:rPr>
          <w:rFonts w:ascii="宋体" w:hAnsi="宋体"/>
          <w:szCs w:val="22"/>
          <w:u w:val="single"/>
        </w:rPr>
        <w:t xml:space="preserve">              </w:t>
      </w:r>
      <w:r>
        <w:rPr>
          <w:rFonts w:hint="eastAsia" w:ascii="宋体" w:hAnsi="宋体"/>
          <w:szCs w:val="22"/>
        </w:rPr>
        <w:t>元</w:t>
      </w:r>
      <w:r>
        <w:rPr>
          <w:rFonts w:ascii="宋体" w:hAnsi="宋体"/>
          <w:szCs w:val="22"/>
        </w:rPr>
        <w:t>(</w:t>
      </w:r>
      <w:r>
        <w:rPr>
          <w:rFonts w:hint="eastAsia" w:ascii="宋体" w:hAnsi="宋体"/>
          <w:szCs w:val="22"/>
        </w:rPr>
        <w:t>人民币大写：</w:t>
      </w:r>
      <w:r>
        <w:rPr>
          <w:rFonts w:ascii="宋体" w:hAnsi="宋体"/>
          <w:szCs w:val="22"/>
          <w:u w:val="single"/>
        </w:rPr>
        <w:t xml:space="preserve">                </w:t>
      </w:r>
      <w:r>
        <w:rPr>
          <w:rFonts w:ascii="宋体" w:hAnsi="宋体"/>
          <w:szCs w:val="22"/>
        </w:rPr>
        <w:t xml:space="preserve"> )</w:t>
      </w:r>
      <w:r>
        <w:rPr>
          <w:rFonts w:hint="eastAsia" w:ascii="宋体" w:hAnsi="宋体"/>
          <w:szCs w:val="22"/>
        </w:rPr>
        <w:t>。</w:t>
      </w:r>
      <w:r>
        <w:rPr>
          <w:rFonts w:ascii="宋体" w:hAnsi="宋体"/>
          <w:szCs w:val="22"/>
        </w:rPr>
        <w:t xml:space="preserve"> </w:t>
      </w:r>
    </w:p>
    <w:p w14:paraId="3CF4550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合同金额包含但不限于人工费（包括工人工资、奖金、各类补贴及津贴、劳保福利、社会保障（单位）、意外保险、工伤费、教育培训费、暂住费及处理一切伤亡事故等费用）、机械台班费、水电费、工具材料费、保洁低值易耗品、垃圾清运费（含建筑垃圾处置）、安全文明生产装备费（包括工人冬、夏装工作服等）、企业应缴税金和应得利润、应急等完成合同所需的一切本身和不可或缺的所有工作开支、政策性文件规定及合同包含的所有风险、责任等各项全部费用。</w:t>
      </w:r>
    </w:p>
    <w:p w14:paraId="046EBDC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w:t>
      </w:r>
      <w:r>
        <w:rPr>
          <w:rFonts w:hint="eastAsia" w:ascii="宋体" w:hAnsi="宋体" w:cs="宋体"/>
          <w:szCs w:val="21"/>
        </w:rPr>
        <w:t>承包经费按项目进度、检查验收结果和资金到账情况分次核拨，由乙方按甲方业务要求支配使用。</w:t>
      </w:r>
    </w:p>
    <w:p w14:paraId="2773E84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w:t>
      </w:r>
      <w:r>
        <w:rPr>
          <w:rFonts w:hint="eastAsia" w:ascii="宋体" w:hAnsi="宋体" w:cs="宋体"/>
          <w:szCs w:val="21"/>
        </w:rPr>
        <w:t>承包经费最终结算价依据中标通知书、投标文件、验收考核等要求计算。</w:t>
      </w:r>
    </w:p>
    <w:p w14:paraId="24A34D08">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三、保洁服务质量要求</w:t>
      </w:r>
      <w:r>
        <w:rPr>
          <w:rFonts w:ascii="宋体" w:hAnsi="宋体"/>
          <w:b/>
          <w:szCs w:val="22"/>
        </w:rPr>
        <w:t xml:space="preserve"> </w:t>
      </w:r>
    </w:p>
    <w:p w14:paraId="27CEDFD5">
      <w:pPr>
        <w:autoSpaceDE w:val="0"/>
        <w:autoSpaceDN w:val="0"/>
        <w:adjustRightInd w:val="0"/>
        <w:spacing w:line="420" w:lineRule="exact"/>
        <w:ind w:firstLine="440" w:firstLineChars="200"/>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1、清扫保洁各项具体工作的质量标准和作业规范按甲方具体要求及甲方《招标文件》中规定，乙方《投标文件》承诺的措施、方案、投入的人力、机械设备车辆，严格执行。</w:t>
      </w:r>
    </w:p>
    <w:p w14:paraId="466DC37F">
      <w:pPr>
        <w:autoSpaceDE w:val="0"/>
        <w:autoSpaceDN w:val="0"/>
        <w:adjustRightInd w:val="0"/>
        <w:spacing w:line="420" w:lineRule="exact"/>
        <w:jc w:val="left"/>
        <w:rPr>
          <w:rFonts w:asciiTheme="minorEastAsia" w:hAnsiTheme="minorEastAsia" w:eastAsiaTheme="minorEastAsia"/>
          <w:sz w:val="22"/>
          <w:szCs w:val="22"/>
        </w:rPr>
      </w:pPr>
      <w:r>
        <w:rPr>
          <w:rFonts w:hint="eastAsia" w:cs="Arial" w:asciiTheme="minorEastAsia" w:hAnsiTheme="minorEastAsia" w:eastAsiaTheme="minorEastAsia"/>
          <w:sz w:val="22"/>
          <w:szCs w:val="22"/>
        </w:rPr>
        <w:t xml:space="preserve">    2、乙方中标后采用优于投标车辆品牌及规格参数的车辆，以新换旧、以优换次替换投标车辆的，经采购人审核同意，可以予以更换。但最终进场车辆必须保证专车专用，只用于本项目。</w:t>
      </w:r>
    </w:p>
    <w:p w14:paraId="7BF1C629">
      <w:pPr>
        <w:autoSpaceDE w:val="0"/>
        <w:autoSpaceDN w:val="0"/>
        <w:adjustRightInd w:val="0"/>
        <w:spacing w:line="420" w:lineRule="exact"/>
        <w:ind w:firstLine="442" w:firstLineChars="200"/>
        <w:jc w:val="left"/>
        <w:rPr>
          <w:b/>
          <w:kern w:val="0"/>
          <w:szCs w:val="22"/>
        </w:rPr>
      </w:pPr>
      <w:r>
        <w:rPr>
          <w:rFonts w:hint="eastAsia" w:ascii="宋体" w:hAnsi="宋体" w:cs="宋体"/>
          <w:b/>
          <w:kern w:val="0"/>
          <w:szCs w:val="22"/>
        </w:rPr>
        <w:t>四</w:t>
      </w:r>
      <w:r>
        <w:rPr>
          <w:rFonts w:ascii="宋体" w:hAnsi="宋体" w:cs="宋体"/>
          <w:b/>
          <w:kern w:val="0"/>
          <w:szCs w:val="22"/>
        </w:rPr>
        <w:t>、</w:t>
      </w:r>
      <w:r>
        <w:rPr>
          <w:rFonts w:hint="eastAsia" w:ascii="宋体" w:hAnsi="宋体" w:cs="宋体"/>
          <w:b/>
          <w:kern w:val="0"/>
          <w:szCs w:val="22"/>
        </w:rPr>
        <w:t>承包方式</w:t>
      </w:r>
      <w:r>
        <w:rPr>
          <w:rFonts w:ascii="宋体" w:hAnsi="宋体" w:cs="宋体"/>
          <w:b/>
          <w:kern w:val="0"/>
          <w:szCs w:val="22"/>
        </w:rPr>
        <w:t xml:space="preserve"> </w:t>
      </w:r>
    </w:p>
    <w:p w14:paraId="054C09B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采用全包干形式，即业务包干、经费包干方式。甲方将清扫保洁业务及相应的经费交给乙方，乙方按甲方的管理要求和标准组织清扫保洁工作，并接受甲方的指导、监督和检查验收</w:t>
      </w:r>
      <w:r>
        <w:rPr>
          <w:rFonts w:ascii="宋体" w:hAnsi="宋体"/>
          <w:szCs w:val="22"/>
        </w:rPr>
        <w:t>。</w:t>
      </w:r>
    </w:p>
    <w:p w14:paraId="511E2812">
      <w:pPr>
        <w:autoSpaceDE w:val="0"/>
        <w:autoSpaceDN w:val="0"/>
        <w:adjustRightInd w:val="0"/>
        <w:spacing w:line="420" w:lineRule="exact"/>
        <w:ind w:firstLine="442" w:firstLineChars="200"/>
        <w:jc w:val="left"/>
        <w:rPr>
          <w:rFonts w:ascii="宋体" w:hAnsi="宋体" w:cs="宋体"/>
          <w:b/>
          <w:kern w:val="0"/>
          <w:szCs w:val="22"/>
        </w:rPr>
      </w:pPr>
      <w:r>
        <w:rPr>
          <w:rFonts w:ascii="宋体" w:hAnsi="宋体" w:cs="宋体"/>
          <w:b/>
          <w:kern w:val="0"/>
          <w:szCs w:val="22"/>
        </w:rPr>
        <w:t>五、</w:t>
      </w:r>
      <w:r>
        <w:rPr>
          <w:rFonts w:hint="eastAsia" w:ascii="宋体" w:hAnsi="宋体" w:cs="宋体"/>
          <w:b/>
          <w:szCs w:val="21"/>
        </w:rPr>
        <w:t>检查考评办法</w:t>
      </w:r>
    </w:p>
    <w:p w14:paraId="0CF40BE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乙方应严格按照甲方具体要求及《招标文件》的规定，以及乙方《投标文件》承诺，对承包区域进行清扫保洁。甲方具体的检查验收方法、内容、程序等按招标文件及甲方发布的</w:t>
      </w:r>
      <w:r>
        <w:rPr>
          <w:rFonts w:hint="eastAsia" w:ascii="宋体" w:hAnsi="宋体"/>
          <w:b/>
          <w:szCs w:val="22"/>
        </w:rPr>
        <w:t>现行考核办法执行</w:t>
      </w:r>
      <w:r>
        <w:rPr>
          <w:rFonts w:ascii="宋体" w:hAnsi="宋体"/>
          <w:szCs w:val="22"/>
        </w:rPr>
        <w:t xml:space="preserve">。 </w:t>
      </w:r>
    </w:p>
    <w:p w14:paraId="0979CD8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六、承包期限</w:t>
      </w:r>
      <w:r>
        <w:rPr>
          <w:rFonts w:ascii="宋体" w:hAnsi="宋体"/>
          <w:b/>
          <w:szCs w:val="22"/>
        </w:rPr>
        <w:t xml:space="preserve"> </w:t>
      </w:r>
    </w:p>
    <w:p w14:paraId="20CE6C6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本项目承包期限为一年（</w:t>
      </w:r>
      <w:r>
        <w:rPr>
          <w:rFonts w:ascii="宋体" w:hAnsi="宋体"/>
          <w:szCs w:val="22"/>
        </w:rPr>
        <w:t>20</w:t>
      </w:r>
      <w:r>
        <w:rPr>
          <w:rFonts w:hint="eastAsia" w:ascii="宋体" w:hAnsi="宋体"/>
          <w:szCs w:val="22"/>
        </w:rPr>
        <w:t>2</w:t>
      </w:r>
      <w:r>
        <w:rPr>
          <w:rFonts w:hint="eastAsia" w:ascii="宋体" w:hAnsi="宋体"/>
          <w:szCs w:val="22"/>
          <w:lang w:val="en-US" w:eastAsia="zh-CN"/>
        </w:rPr>
        <w:t xml:space="preserve"> </w:t>
      </w:r>
      <w:r>
        <w:rPr>
          <w:rFonts w:hint="eastAsia" w:ascii="宋体" w:hAnsi="宋体"/>
          <w:szCs w:val="22"/>
        </w:rPr>
        <w:t>年</w:t>
      </w:r>
      <w:r>
        <w:rPr>
          <w:rFonts w:ascii="宋体" w:hAnsi="宋体"/>
          <w:szCs w:val="22"/>
          <w:u w:val="single"/>
        </w:rPr>
        <w:t xml:space="preserve">    </w:t>
      </w:r>
      <w:r>
        <w:rPr>
          <w:rFonts w:hint="eastAsia" w:ascii="宋体" w:hAnsi="宋体"/>
          <w:szCs w:val="22"/>
        </w:rPr>
        <w:t>月</w:t>
      </w:r>
      <w:r>
        <w:rPr>
          <w:rFonts w:ascii="宋体" w:hAnsi="宋体"/>
          <w:szCs w:val="22"/>
          <w:u w:val="single"/>
        </w:rPr>
        <w:t xml:space="preserve">    </w:t>
      </w:r>
      <w:r>
        <w:rPr>
          <w:rFonts w:hint="eastAsia" w:ascii="宋体" w:hAnsi="宋体"/>
          <w:szCs w:val="22"/>
        </w:rPr>
        <w:t>日起至</w:t>
      </w:r>
      <w:r>
        <w:rPr>
          <w:rFonts w:ascii="宋体" w:hAnsi="宋体"/>
          <w:szCs w:val="22"/>
        </w:rPr>
        <w:t xml:space="preserve"> </w:t>
      </w:r>
      <w:r>
        <w:rPr>
          <w:rFonts w:hint="eastAsia" w:ascii="宋体" w:hAnsi="宋体"/>
          <w:szCs w:val="22"/>
          <w:lang w:eastAsia="zh-CN"/>
        </w:rPr>
        <w:t>202</w:t>
      </w:r>
      <w:r>
        <w:rPr>
          <w:rFonts w:hint="eastAsia" w:ascii="宋体" w:hAnsi="宋体"/>
          <w:szCs w:val="22"/>
          <w:lang w:val="en-US" w:eastAsia="zh-CN"/>
        </w:rPr>
        <w:t xml:space="preserve"> </w:t>
      </w:r>
      <w:r>
        <w:rPr>
          <w:rFonts w:hint="eastAsia" w:ascii="宋体" w:hAnsi="宋体"/>
          <w:szCs w:val="22"/>
          <w:lang w:eastAsia="zh-CN"/>
        </w:rPr>
        <w:t>年</w:t>
      </w:r>
      <w:r>
        <w:rPr>
          <w:rFonts w:ascii="宋体" w:hAnsi="宋体"/>
          <w:szCs w:val="22"/>
          <w:u w:val="single"/>
        </w:rPr>
        <w:t xml:space="preserve">   </w:t>
      </w:r>
      <w:r>
        <w:rPr>
          <w:rFonts w:hint="eastAsia" w:ascii="宋体" w:hAnsi="宋体"/>
          <w:szCs w:val="22"/>
        </w:rPr>
        <w:t>月</w:t>
      </w:r>
      <w:r>
        <w:rPr>
          <w:rFonts w:ascii="宋体" w:hAnsi="宋体"/>
          <w:szCs w:val="22"/>
          <w:u w:val="single"/>
        </w:rPr>
        <w:t xml:space="preserve">   </w:t>
      </w:r>
      <w:r>
        <w:rPr>
          <w:rFonts w:hint="eastAsia" w:ascii="宋体" w:hAnsi="宋体"/>
          <w:szCs w:val="22"/>
        </w:rPr>
        <w:t>日止），从清扫保洁业务交接完毕之日起至</w:t>
      </w:r>
      <w:r>
        <w:rPr>
          <w:rFonts w:hint="eastAsia" w:ascii="宋体" w:hAnsi="宋体"/>
          <w:szCs w:val="22"/>
          <w:lang w:eastAsia="zh-CN"/>
        </w:rPr>
        <w:t>202</w:t>
      </w:r>
      <w:r>
        <w:rPr>
          <w:rFonts w:hint="eastAsia" w:ascii="宋体" w:hAnsi="宋体"/>
          <w:szCs w:val="22"/>
          <w:lang w:val="en-US" w:eastAsia="zh-CN"/>
        </w:rPr>
        <w:t xml:space="preserve"> </w:t>
      </w:r>
      <w:r>
        <w:rPr>
          <w:rFonts w:hint="eastAsia" w:ascii="宋体" w:hAnsi="宋体"/>
          <w:szCs w:val="22"/>
          <w:lang w:eastAsia="zh-CN"/>
        </w:rPr>
        <w:t>年</w:t>
      </w:r>
      <w:r>
        <w:rPr>
          <w:rFonts w:hint="eastAsia" w:ascii="宋体" w:hAnsi="宋体"/>
          <w:szCs w:val="22"/>
          <w:u w:val="single"/>
        </w:rPr>
        <w:t xml:space="preserve">  </w:t>
      </w:r>
      <w:r>
        <w:rPr>
          <w:rFonts w:hint="eastAsia" w:ascii="宋体" w:hAnsi="宋体"/>
          <w:szCs w:val="22"/>
        </w:rPr>
        <w:t>月</w:t>
      </w:r>
      <w:r>
        <w:rPr>
          <w:rFonts w:hint="eastAsia" w:ascii="宋体" w:hAnsi="宋体"/>
          <w:szCs w:val="22"/>
          <w:u w:val="single"/>
        </w:rPr>
        <w:t xml:space="preserve">  </w:t>
      </w:r>
      <w:r>
        <w:rPr>
          <w:rFonts w:hint="eastAsia" w:ascii="宋体" w:hAnsi="宋体"/>
          <w:szCs w:val="22"/>
        </w:rPr>
        <w:t>日止。</w:t>
      </w:r>
      <w:r>
        <w:rPr>
          <w:rFonts w:ascii="宋体" w:hAnsi="宋体"/>
          <w:bCs/>
          <w:kern w:val="0"/>
          <w:szCs w:val="22"/>
        </w:rPr>
        <w:t>如</w:t>
      </w:r>
      <w:r>
        <w:rPr>
          <w:rFonts w:hint="eastAsia" w:ascii="宋体" w:hAnsi="宋体"/>
          <w:bCs/>
          <w:kern w:val="0"/>
          <w:szCs w:val="22"/>
        </w:rPr>
        <w:t>乙方</w:t>
      </w:r>
      <w:r>
        <w:rPr>
          <w:rFonts w:ascii="宋体" w:hAnsi="宋体"/>
          <w:bCs/>
          <w:kern w:val="0"/>
          <w:szCs w:val="22"/>
        </w:rPr>
        <w:t>的服务及</w:t>
      </w:r>
      <w:r>
        <w:rPr>
          <w:rFonts w:hint="eastAsia" w:ascii="宋体" w:hAnsi="宋体"/>
          <w:bCs/>
          <w:kern w:val="0"/>
          <w:szCs w:val="22"/>
        </w:rPr>
        <w:t>考核结果</w:t>
      </w:r>
      <w:r>
        <w:rPr>
          <w:rFonts w:ascii="宋体" w:hAnsi="宋体"/>
          <w:bCs/>
          <w:kern w:val="0"/>
          <w:szCs w:val="22"/>
        </w:rPr>
        <w:t>达到采购人要求</w:t>
      </w:r>
      <w:r>
        <w:rPr>
          <w:rFonts w:hint="eastAsia" w:ascii="宋体" w:hAnsi="宋体"/>
          <w:bCs/>
          <w:kern w:val="0"/>
          <w:szCs w:val="22"/>
        </w:rPr>
        <w:t>（合格或以上）</w:t>
      </w:r>
      <w:r>
        <w:rPr>
          <w:rFonts w:ascii="宋体" w:hAnsi="宋体"/>
          <w:bCs/>
          <w:kern w:val="0"/>
          <w:szCs w:val="22"/>
        </w:rPr>
        <w:t>，经</w:t>
      </w:r>
      <w:r>
        <w:rPr>
          <w:rFonts w:hint="eastAsia" w:ascii="宋体" w:hAnsi="宋体"/>
          <w:bCs/>
          <w:kern w:val="0"/>
          <w:szCs w:val="22"/>
        </w:rPr>
        <w:t>采购人申请，相关部门</w:t>
      </w:r>
      <w:r>
        <w:rPr>
          <w:rFonts w:ascii="宋体" w:hAnsi="宋体"/>
          <w:bCs/>
          <w:kern w:val="0"/>
          <w:szCs w:val="22"/>
        </w:rPr>
        <w:t>批准</w:t>
      </w:r>
      <w:r>
        <w:rPr>
          <w:rFonts w:hint="eastAsia" w:ascii="宋体" w:hAnsi="宋体"/>
          <w:bCs/>
          <w:kern w:val="0"/>
          <w:szCs w:val="22"/>
        </w:rPr>
        <w:t>后</w:t>
      </w:r>
      <w:r>
        <w:rPr>
          <w:rFonts w:ascii="宋体" w:hAnsi="宋体"/>
          <w:bCs/>
          <w:kern w:val="0"/>
          <w:szCs w:val="22"/>
        </w:rPr>
        <w:t>，可以参照相关规定按原采购合同的约定续签合同</w:t>
      </w:r>
      <w:r>
        <w:rPr>
          <w:rFonts w:hint="eastAsia" w:ascii="宋体" w:hAnsi="宋体"/>
          <w:bCs/>
          <w:kern w:val="0"/>
          <w:szCs w:val="22"/>
        </w:rPr>
        <w:t>（相关费用如遇国家政策行调整的，双方协商确定）。</w:t>
      </w:r>
    </w:p>
    <w:p w14:paraId="2A210295">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七、付款方式</w:t>
      </w:r>
    </w:p>
    <w:p w14:paraId="4F6CE831">
      <w:pPr>
        <w:autoSpaceDE w:val="0"/>
        <w:autoSpaceDN w:val="0"/>
        <w:adjustRightInd w:val="0"/>
        <w:spacing w:line="420" w:lineRule="exact"/>
        <w:jc w:val="left"/>
        <w:rPr>
          <w:rFonts w:ascii="宋体" w:hAnsi="宋体"/>
          <w:szCs w:val="22"/>
        </w:rPr>
      </w:pPr>
      <w:r>
        <w:rPr>
          <w:rFonts w:hint="eastAsia" w:ascii="宋体" w:hAnsi="宋体"/>
          <w:b/>
          <w:szCs w:val="22"/>
        </w:rPr>
        <w:t xml:space="preserve">  </w:t>
      </w:r>
      <w:r>
        <w:rPr>
          <w:rFonts w:hint="eastAsia" w:ascii="宋体" w:hAnsi="宋体"/>
          <w:szCs w:val="22"/>
        </w:rPr>
        <w:t xml:space="preserve">  1、付款方式为先保洁后支付,由甲方根据前一个月的考核结果，每月底结前一个月的承包经费（遇节假日顺延）。考核结果不达标，甲方有权责令中标方立即整改后支付承包经费。</w:t>
      </w:r>
    </w:p>
    <w:p w14:paraId="20148661">
      <w:pPr>
        <w:autoSpaceDE w:val="0"/>
        <w:autoSpaceDN w:val="0"/>
        <w:adjustRightInd w:val="0"/>
        <w:spacing w:line="420" w:lineRule="exact"/>
        <w:jc w:val="left"/>
        <w:rPr>
          <w:rFonts w:ascii="宋体" w:hAnsi="宋体"/>
          <w:szCs w:val="22"/>
        </w:rPr>
      </w:pPr>
      <w:r>
        <w:rPr>
          <w:rFonts w:hint="eastAsia" w:ascii="宋体" w:hAnsi="宋体"/>
          <w:szCs w:val="22"/>
        </w:rPr>
        <w:t xml:space="preserve">    2、乙方按每月的考核结果结算，甲方凭乙方开具的正式发票、</w:t>
      </w:r>
      <w:r>
        <w:rPr>
          <w:rFonts w:hint="eastAsia" w:ascii="宋体" w:hAnsi="宋体"/>
          <w:b/>
          <w:szCs w:val="22"/>
        </w:rPr>
        <w:t>一线现场服务人员工资册（内容包括工人姓名、工资、身份证号、社保费用支出（或补偿)材料）</w:t>
      </w:r>
      <w:r>
        <w:rPr>
          <w:rFonts w:hint="eastAsia" w:ascii="宋体" w:hAnsi="宋体"/>
          <w:szCs w:val="22"/>
        </w:rPr>
        <w:t>进行支付。</w:t>
      </w:r>
    </w:p>
    <w:p w14:paraId="4E740444">
      <w:pPr>
        <w:autoSpaceDE w:val="0"/>
        <w:autoSpaceDN w:val="0"/>
        <w:adjustRightInd w:val="0"/>
        <w:spacing w:line="420" w:lineRule="exact"/>
        <w:jc w:val="left"/>
        <w:rPr>
          <w:rFonts w:ascii="宋体" w:hAnsi="宋体"/>
          <w:szCs w:val="22"/>
        </w:rPr>
      </w:pPr>
      <w:r>
        <w:rPr>
          <w:rFonts w:hint="eastAsia" w:ascii="宋体" w:hAnsi="宋体"/>
          <w:szCs w:val="22"/>
        </w:rPr>
        <w:t xml:space="preserve">    3、环境卫生质量考核遵照甲方发布的现行考核办法执行，如甲方有统一对考核内容作出调整的，乙方要无条件予以接受并遵守。</w:t>
      </w:r>
    </w:p>
    <w:p w14:paraId="53D4740D">
      <w:pPr>
        <w:autoSpaceDE w:val="0"/>
        <w:autoSpaceDN w:val="0"/>
        <w:adjustRightInd w:val="0"/>
        <w:spacing w:line="420" w:lineRule="exact"/>
        <w:jc w:val="left"/>
        <w:rPr>
          <w:rFonts w:ascii="宋体" w:hAnsi="宋体"/>
          <w:szCs w:val="22"/>
        </w:rPr>
      </w:pPr>
      <w:r>
        <w:rPr>
          <w:rFonts w:hint="eastAsia" w:ascii="宋体" w:hAnsi="宋体"/>
          <w:szCs w:val="22"/>
        </w:rPr>
        <w:t xml:space="preserve">    4、甲方每月作出的考核结果，汇总考核结算清单，并告知乙方。处罚金额按月直接在付款额中扣除。承包到期后根据考核结果将余款一次付清。</w:t>
      </w:r>
    </w:p>
    <w:p w14:paraId="1874FE47">
      <w:pPr>
        <w:autoSpaceDE w:val="0"/>
        <w:autoSpaceDN w:val="0"/>
        <w:adjustRightInd w:val="0"/>
        <w:spacing w:line="420" w:lineRule="exact"/>
        <w:jc w:val="left"/>
        <w:rPr>
          <w:rFonts w:ascii="宋体" w:hAnsi="宋体"/>
          <w:b/>
          <w:szCs w:val="22"/>
        </w:rPr>
      </w:pPr>
      <w:r>
        <w:rPr>
          <w:rFonts w:hint="eastAsia" w:ascii="宋体" w:hAnsi="宋体"/>
          <w:b/>
          <w:szCs w:val="22"/>
        </w:rPr>
        <w:t xml:space="preserve">    5、</w:t>
      </w:r>
      <w:r>
        <w:rPr>
          <w:rFonts w:hint="eastAsia" w:ascii="宋体" w:hAnsi="宋体"/>
          <w:b/>
          <w:szCs w:val="21"/>
        </w:rPr>
        <w:t>由于本采购项目实施以人工投入为主，在每年度合同签订且具备实施条件后15日历天内采购人向中标供应商支付合同总额的</w:t>
      </w:r>
      <w:r>
        <w:rPr>
          <w:rFonts w:ascii="宋体" w:hAnsi="宋体"/>
          <w:b/>
          <w:szCs w:val="21"/>
        </w:rPr>
        <w:t>2</w:t>
      </w:r>
      <w:r>
        <w:rPr>
          <w:rFonts w:hint="eastAsia" w:ascii="宋体" w:hAnsi="宋体"/>
          <w:b/>
          <w:szCs w:val="21"/>
        </w:rPr>
        <w:t>0%作为预付款，在签订合同时，供应商明确表示无需预付款或者主动要求降低预付款比例的，采购人可不适用前述规定。预付款（如有）在前5期服务款中按每期20%扣回。</w:t>
      </w:r>
    </w:p>
    <w:p w14:paraId="5B4B9E51">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八、履约保证金</w:t>
      </w:r>
    </w:p>
    <w:p w14:paraId="270F1FE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中标供应商需向采购人缴纳签约合同金额1%的履约保证金，履约保证金在项目履约验收合格后7个工作日内无息退还。。</w:t>
      </w:r>
    </w:p>
    <w:p w14:paraId="0A47EF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九、乙方投入的人员</w:t>
      </w:r>
    </w:p>
    <w:p w14:paraId="04C1DAD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项目负责人：（姓名、身份证号）</w:t>
      </w:r>
      <w:r>
        <w:rPr>
          <w:rFonts w:ascii="宋体" w:hAnsi="宋体"/>
          <w:szCs w:val="22"/>
        </w:rPr>
        <w:t xml:space="preserve"> </w:t>
      </w:r>
    </w:p>
    <w:p w14:paraId="1BF5700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管理团队名单：</w:t>
      </w:r>
      <w:r>
        <w:rPr>
          <w:rFonts w:ascii="宋体" w:hAnsi="宋体"/>
          <w:szCs w:val="22"/>
        </w:rPr>
        <w:t xml:space="preserve">    </w:t>
      </w:r>
    </w:p>
    <w:p w14:paraId="31D6A08B">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十、乙方作业方案</w:t>
      </w:r>
      <w:r>
        <w:rPr>
          <w:rFonts w:ascii="宋体" w:hAnsi="宋体"/>
          <w:b/>
          <w:szCs w:val="22"/>
        </w:rPr>
        <w:t xml:space="preserve"> </w:t>
      </w:r>
    </w:p>
    <w:p w14:paraId="11D9C79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1</w:t>
      </w:r>
      <w:r>
        <w:rPr>
          <w:rFonts w:hint="eastAsia" w:ascii="宋体" w:hAnsi="宋体"/>
          <w:szCs w:val="22"/>
        </w:rPr>
        <w:t>）作业班次和作业时间等有关指标见中标人《投标文件》</w:t>
      </w:r>
      <w:r>
        <w:rPr>
          <w:rFonts w:ascii="宋体" w:hAnsi="宋体"/>
          <w:szCs w:val="22"/>
        </w:rPr>
        <w:t xml:space="preserve"> </w:t>
      </w:r>
      <w:r>
        <w:rPr>
          <w:rFonts w:hint="eastAsia" w:ascii="宋体" w:hAnsi="宋体"/>
          <w:szCs w:val="22"/>
        </w:rPr>
        <w:t>；</w:t>
      </w:r>
    </w:p>
    <w:p w14:paraId="6ACAD68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2</w:t>
      </w:r>
      <w:r>
        <w:rPr>
          <w:rFonts w:hint="eastAsia" w:ascii="宋体" w:hAnsi="宋体"/>
          <w:szCs w:val="22"/>
        </w:rPr>
        <w:t>）乙方人员及车辆配置方案（详见附件）；</w:t>
      </w:r>
    </w:p>
    <w:p w14:paraId="0295D23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）乙方人员费用详细（单人）（详见附件）</w:t>
      </w:r>
      <w:r>
        <w:rPr>
          <w:rFonts w:ascii="宋体" w:hAnsi="宋体"/>
          <w:szCs w:val="22"/>
        </w:rPr>
        <w:t xml:space="preserve"> </w:t>
      </w:r>
      <w:r>
        <w:rPr>
          <w:rFonts w:hint="eastAsia" w:ascii="宋体" w:hAnsi="宋体"/>
          <w:szCs w:val="22"/>
        </w:rPr>
        <w:t>。</w:t>
      </w:r>
    </w:p>
    <w:p w14:paraId="48AF411B">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十一、甲方权利与义务</w:t>
      </w:r>
      <w:r>
        <w:rPr>
          <w:rFonts w:ascii="宋体" w:hAnsi="宋体"/>
          <w:b/>
          <w:szCs w:val="22"/>
        </w:rPr>
        <w:t xml:space="preserve"> </w:t>
      </w:r>
    </w:p>
    <w:p w14:paraId="0661859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1、甲方对乙方的清扫保洁业务进行全面的技术指导、检查、管理和监督，对检查中发现的环境卫生质量问题及时向乙方提出书面或口头改进意见，直至终止本合同。</w:t>
      </w:r>
    </w:p>
    <w:p w14:paraId="664E1DE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2、甲方对乙方违反现行考核办法（现场考核）中规定的行为进行处罚。</w:t>
      </w:r>
    </w:p>
    <w:p w14:paraId="5DDF493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3、甲方有权监督检查乙方落实安全防火和安全生产措施。</w:t>
      </w:r>
    </w:p>
    <w:p w14:paraId="5A09AD2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4、甲方有权监督检查乙方对员工进行培训的情况，以提高清扫保洁服务的技术水平。</w:t>
      </w:r>
    </w:p>
    <w:p w14:paraId="4045BFD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5、甲方应按清扫保洁质量和检查验收结果计算经费，扣除乙方因检查不合格应扣款后，将经费按期支付给乙方。</w:t>
      </w:r>
    </w:p>
    <w:p w14:paraId="4EDE485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6、甲方可要求乙方调整不合格员工。</w:t>
      </w:r>
    </w:p>
    <w:p w14:paraId="40892CC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7、甲方可根据政策的变动并结合实际情况对发布的现行考核办法进行修改和补充。</w:t>
      </w:r>
    </w:p>
    <w:p w14:paraId="6986E67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8、甲方应按时支付款项。本合同的清扫保洁经费由政府拨款和收取垃圾处置费，如因政策影响或其它原因，拨款未能及时到位，乙方不得以此为由而不履行本合同规定的义务。否则，甲方按规定扣罚。</w:t>
      </w:r>
    </w:p>
    <w:p w14:paraId="7743605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9、服务期内甲方遇到各类检查、考核（如上级部门检查、考核、督导等），乙方要无条件加班，甲方不另支付加班费，即此项造成的费用由乙方承担。</w:t>
      </w:r>
      <w:r>
        <w:rPr>
          <w:rFonts w:ascii="宋体" w:hAnsi="宋体"/>
          <w:szCs w:val="22"/>
        </w:rPr>
        <w:t xml:space="preserve"> </w:t>
      </w:r>
    </w:p>
    <w:p w14:paraId="6ED36A34">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十二、乙方权利和义务</w:t>
      </w:r>
    </w:p>
    <w:p w14:paraId="3F9E381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1、乙方有权根据承包合同按期领取承包经费。</w:t>
      </w:r>
    </w:p>
    <w:p w14:paraId="33DB87AE">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2、乙方履行承诺的义务，并参加由甲方组织的检查和综合考评。</w:t>
      </w:r>
    </w:p>
    <w:p w14:paraId="07F0DB3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3、乙方应接受甲方的检查监督及指导。</w:t>
      </w:r>
    </w:p>
    <w:p w14:paraId="3E162E2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4、按甲方的要求开展工作，如有改变，乙方应提出书面申请，并征得甲方的书面同意。</w:t>
      </w:r>
    </w:p>
    <w:p w14:paraId="73F6A82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5、特殊情况下（台风和暴雨等），乙方除应做好管辖地段保护工作外，还应服从甲方的统一指挥和调动，参加抢险救灾工作。</w:t>
      </w:r>
    </w:p>
    <w:p w14:paraId="589E9DC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6、乙方根据本合同所承担的服务内容及“劳动法”有关规定，按实际上岗人数自行到有关部门申办用工手续、享受按国家有关规定的员工社会保险，根据浙政办发（2009）190号文件，月工资收入不低于苍南县本年最低工资标准110%。并安排好属下人员的住宿和教育管理工作，如发生违法违纪事件，由乙方承担一切经济责任和法律责任。</w:t>
      </w:r>
    </w:p>
    <w:p w14:paraId="5818275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7、须为员工缴纳社保（计入投标总价），乙方在投标报价中综合考虑，今后不再调整。</w:t>
      </w:r>
    </w:p>
    <w:p w14:paraId="31A965E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8、乙方应按甲方要求，为上岗工人购买统一的反光工作服。</w:t>
      </w:r>
    </w:p>
    <w:p w14:paraId="4AB83FF0">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9、负责提供清扫保洁所需的全部设备、工具和材料。</w:t>
      </w:r>
    </w:p>
    <w:p w14:paraId="1979CA4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10、乙方负责安排骨干参加业务技术的培训学习。教育员工遵守交通法规。</w:t>
      </w:r>
    </w:p>
    <w:p w14:paraId="7051FBCD">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11、乙方负责作业过程中的事故处理和一切费用。</w:t>
      </w:r>
    </w:p>
    <w:p w14:paraId="1435EAE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12、乙方不得有弄虚作假及其不正当行为。</w:t>
      </w:r>
      <w:r>
        <w:rPr>
          <w:rFonts w:hint="eastAsia" w:ascii="宋体" w:hAnsi="宋体"/>
          <w:szCs w:val="22"/>
        </w:rPr>
        <w:cr/>
      </w:r>
      <w:r>
        <w:rPr>
          <w:rFonts w:hint="eastAsia" w:ascii="宋体" w:hAnsi="宋体"/>
          <w:szCs w:val="22"/>
        </w:rPr>
        <w:t xml:space="preserve">    13、乙方应认真保管，维护好保洁区域上的环卫设施。教育员工不得在责任区外翻捡废品，干私活，侵犯他人利益。</w:t>
      </w:r>
    </w:p>
    <w:p w14:paraId="7381441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14、乙方应严格遵守国家法律、法规的规定，做好社会治安综合治理和计划生育等工作，不得违反国家法律、法规和苍南县的有关规定。</w:t>
      </w:r>
    </w:p>
    <w:p w14:paraId="411EB5B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15、在合同期内，因国家建设需要调整乙方管理服务任务时，乙方要服从大局，相应增减承包面积及经费。由此造成的经济损失，甲方不负赔偿责任。</w:t>
      </w:r>
    </w:p>
    <w:p w14:paraId="522F36A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16、乙方应遵守法律、法规和政策的规定，因以上原因使合同性质发生改变，甲方不负赔偿责任。</w:t>
      </w:r>
    </w:p>
    <w:p w14:paraId="784F9AF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17、乙方必须及时执行甲方发出的整改要求（难以整治的卫生整改时间为最长时效为6小时，可简单处置的，须在30分钟内完成整改），乙方没有合理理由未在规定时间内完成整改的，给予书面警告一次。</w:t>
      </w:r>
    </w:p>
    <w:p w14:paraId="20F83BAA">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十三、合同组成</w:t>
      </w:r>
    </w:p>
    <w:p w14:paraId="6E15A51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承包合同由《招标文件》、《投标文件》、现行考核办法及附件为本合同的有效组成部分。</w:t>
      </w:r>
    </w:p>
    <w:p w14:paraId="4F6AAC35">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下列文件构成本合同的组成部分：</w:t>
      </w:r>
    </w:p>
    <w:p w14:paraId="4A5D531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a. 合同补充条款或说明</w:t>
      </w:r>
    </w:p>
    <w:p w14:paraId="794920B2">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b. 合同主要条款</w:t>
      </w:r>
    </w:p>
    <w:p w14:paraId="0578453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c. 中标通知书</w:t>
      </w:r>
    </w:p>
    <w:p w14:paraId="72047F9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d. 招标文件</w:t>
      </w:r>
    </w:p>
    <w:p w14:paraId="319F7C34">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e. 承诺书</w:t>
      </w:r>
    </w:p>
    <w:p w14:paraId="4E6CA12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f. 投标文件</w:t>
      </w:r>
    </w:p>
    <w:p w14:paraId="10F45571">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合同条款以上述条款的先后顺序作为依据。</w:t>
      </w:r>
    </w:p>
    <w:p w14:paraId="087E9D15">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十四、</w:t>
      </w:r>
      <w:r>
        <w:rPr>
          <w:rFonts w:hint="eastAsia" w:ascii="宋体" w:hAnsi="宋体"/>
          <w:szCs w:val="22"/>
        </w:rPr>
        <w:t>本合同如遇不可抗拒的原因无法履行合时，即自然终止，双方自行承担各自损失。如因乙方自身原因导致合同无法继续履行，甲方有权对乙方进行罚款，以补偿由此对甲方造成的损失。</w:t>
      </w:r>
      <w:r>
        <w:rPr>
          <w:rFonts w:ascii="宋体" w:hAnsi="宋体"/>
          <w:szCs w:val="22"/>
        </w:rPr>
        <w:t xml:space="preserve"> </w:t>
      </w:r>
    </w:p>
    <w:p w14:paraId="7C5CD79D">
      <w:pPr>
        <w:autoSpaceDE w:val="0"/>
        <w:autoSpaceDN w:val="0"/>
        <w:adjustRightInd w:val="0"/>
        <w:spacing w:line="420" w:lineRule="exact"/>
        <w:ind w:firstLine="442" w:firstLineChars="200"/>
        <w:jc w:val="left"/>
        <w:rPr>
          <w:rFonts w:ascii="宋体" w:hAnsi="宋体"/>
          <w:szCs w:val="22"/>
        </w:rPr>
      </w:pPr>
      <w:r>
        <w:rPr>
          <w:rFonts w:hint="eastAsia" w:ascii="宋体" w:hAnsi="宋体"/>
          <w:b/>
          <w:szCs w:val="22"/>
        </w:rPr>
        <w:t>十五、</w:t>
      </w:r>
      <w:r>
        <w:rPr>
          <w:rFonts w:hint="eastAsia" w:ascii="宋体" w:hAnsi="宋体"/>
          <w:szCs w:val="22"/>
        </w:rPr>
        <w:t>本合同如有未尽事宜，双方可通过协商后签订补充协议。</w:t>
      </w:r>
    </w:p>
    <w:p w14:paraId="10C8899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十六、验收移交</w:t>
      </w:r>
      <w:r>
        <w:rPr>
          <w:rFonts w:ascii="宋体" w:hAnsi="宋体"/>
          <w:b/>
          <w:szCs w:val="22"/>
        </w:rPr>
        <w:t xml:space="preserve"> </w:t>
      </w:r>
    </w:p>
    <w:p w14:paraId="78531A87">
      <w:pPr>
        <w:autoSpaceDE w:val="0"/>
        <w:autoSpaceDN w:val="0"/>
        <w:adjustRightInd w:val="0"/>
        <w:spacing w:line="420" w:lineRule="exact"/>
        <w:ind w:firstLine="440" w:firstLineChars="200"/>
        <w:jc w:val="left"/>
        <w:rPr>
          <w:rFonts w:ascii="宋体" w:hAnsi="宋体"/>
          <w:szCs w:val="22"/>
        </w:rPr>
      </w:pPr>
      <w:r>
        <w:rPr>
          <w:rFonts w:ascii="宋体" w:hAnsi="宋体"/>
          <w:szCs w:val="22"/>
        </w:rPr>
        <w:t>1</w:t>
      </w:r>
      <w:r>
        <w:rPr>
          <w:rFonts w:hint="eastAsia" w:ascii="宋体" w:hAnsi="宋体"/>
          <w:szCs w:val="22"/>
        </w:rPr>
        <w:t>、在合同终止前十个工作日内，由乙方书面向甲方提出移交验收申请。</w:t>
      </w:r>
    </w:p>
    <w:p w14:paraId="272DA17C">
      <w:pPr>
        <w:autoSpaceDE w:val="0"/>
        <w:autoSpaceDN w:val="0"/>
        <w:adjustRightInd w:val="0"/>
        <w:spacing w:line="420" w:lineRule="exact"/>
        <w:ind w:firstLine="440" w:firstLineChars="200"/>
        <w:jc w:val="left"/>
        <w:rPr>
          <w:rFonts w:ascii="宋体" w:hAnsi="宋体"/>
          <w:szCs w:val="22"/>
        </w:rPr>
      </w:pPr>
      <w:r>
        <w:rPr>
          <w:rFonts w:ascii="宋体" w:hAnsi="宋体"/>
          <w:szCs w:val="22"/>
        </w:rPr>
        <w:t>2</w:t>
      </w:r>
      <w:r>
        <w:rPr>
          <w:rFonts w:hint="eastAsia" w:ascii="宋体" w:hAnsi="宋体"/>
          <w:szCs w:val="22"/>
        </w:rPr>
        <w:t>、合同期满，乙方必须将全部清扫保洁业务及时移交甲方。未经甲方许可，合同期满，乙方不及时移交管理工程给甲方，每超过一天扣除当月承包费的</w:t>
      </w:r>
      <w:r>
        <w:rPr>
          <w:rFonts w:ascii="宋体" w:hAnsi="宋体"/>
          <w:szCs w:val="22"/>
        </w:rPr>
        <w:t>10%</w:t>
      </w:r>
      <w:r>
        <w:rPr>
          <w:rFonts w:hint="eastAsia" w:ascii="宋体" w:hAnsi="宋体"/>
          <w:szCs w:val="22"/>
        </w:rPr>
        <w:t>。</w:t>
      </w:r>
      <w:r>
        <w:rPr>
          <w:rFonts w:ascii="宋体" w:hAnsi="宋体"/>
          <w:szCs w:val="22"/>
        </w:rPr>
        <w:t xml:space="preserve"> </w:t>
      </w:r>
    </w:p>
    <w:p w14:paraId="1C98D004">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十七、 违约责任</w:t>
      </w:r>
    </w:p>
    <w:p w14:paraId="2D70E53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一）乙方违反甲方具体要求及《招标文件》规定的行为均属违约行为。甲方根据规定条款，视乙方违反规定的情节轻重，做出批评教育或警告或按发布的现行考核办法进行扣罚处理，情节严重者，甲方有权单方终止本合同，由乙方承担一切经济损失和法律责任。。</w:t>
      </w:r>
    </w:p>
    <w:p w14:paraId="5F1779C7">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（二）</w:t>
      </w:r>
      <w:r>
        <w:rPr>
          <w:rFonts w:hint="eastAsia" w:ascii="宋体" w:hAnsi="宋体"/>
          <w:b/>
          <w:szCs w:val="22"/>
        </w:rPr>
        <w:t>乙方在一个合同期（一年）内被甲方警告超过3次的，甲方有权单方终止本合同。</w:t>
      </w:r>
    </w:p>
    <w:p w14:paraId="22A7A39B">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三）根据招标文件对本项目人员、机械、车辆的配备及要求，乙方如未按招标文件的要求和投标文件承诺配备的，甲方有权收回缺位费用，严重的直至终止采购合同。同时保留向乙方进一步索赔的权利，将乙方政府采购履约评价定为不合格。</w:t>
      </w:r>
    </w:p>
    <w:p w14:paraId="143C42C2">
      <w:pPr>
        <w:autoSpaceDE w:val="0"/>
        <w:autoSpaceDN w:val="0"/>
        <w:adjustRightInd w:val="0"/>
        <w:spacing w:line="420" w:lineRule="exact"/>
        <w:ind w:firstLine="440" w:firstLineChars="200"/>
        <w:jc w:val="left"/>
        <w:rPr>
          <w:rFonts w:ascii="宋体" w:hAnsi="宋体"/>
          <w:b/>
          <w:szCs w:val="22"/>
        </w:rPr>
      </w:pPr>
      <w:r>
        <w:rPr>
          <w:rFonts w:hint="eastAsia" w:ascii="宋体" w:hAnsi="宋体"/>
          <w:szCs w:val="22"/>
        </w:rPr>
        <w:t xml:space="preserve"> (四)</w:t>
      </w:r>
      <w:r>
        <w:rPr>
          <w:rFonts w:hint="eastAsia" w:ascii="宋体" w:hAnsi="宋体"/>
          <w:b/>
          <w:szCs w:val="22"/>
        </w:rPr>
        <w:t>乙方机械化作业车辆，在清扫保洁作业中，存在弄虚作假、修改数据等情况的，一经发现，给以书面警告一次。</w:t>
      </w:r>
    </w:p>
    <w:p w14:paraId="66D9D0F5">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 (五)乙方不得将本项目分包与转包，一经发现作违约处理，甲方可立即终止合同，由此引起的法律责任及一切经济损失由乙方承担。</w:t>
      </w:r>
    </w:p>
    <w:p w14:paraId="4D3247F4">
      <w:pPr>
        <w:autoSpaceDE w:val="0"/>
        <w:autoSpaceDN w:val="0"/>
        <w:adjustRightInd w:val="0"/>
        <w:spacing w:line="420" w:lineRule="exact"/>
        <w:ind w:firstLine="440" w:firstLineChars="200"/>
        <w:jc w:val="left"/>
        <w:rPr>
          <w:rFonts w:ascii="宋体" w:hAnsi="宋体"/>
          <w:szCs w:val="22"/>
        </w:rPr>
      </w:pPr>
    </w:p>
    <w:p w14:paraId="1CFF4CA3">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十八、争议的解决</w:t>
      </w:r>
      <w:r>
        <w:rPr>
          <w:rFonts w:ascii="宋体" w:hAnsi="宋体"/>
          <w:b/>
          <w:szCs w:val="22"/>
        </w:rPr>
        <w:t xml:space="preserve"> </w:t>
      </w:r>
    </w:p>
    <w:p w14:paraId="092BB96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合同未尽事宜，应双方友好协商解决。协商不一致，任何一方均有权向</w:t>
      </w:r>
      <w:r>
        <w:rPr>
          <w:rFonts w:hint="eastAsia" w:ascii="宋体" w:hAnsi="宋体"/>
          <w:szCs w:val="22"/>
          <w:u w:val="single"/>
        </w:rPr>
        <w:t>苍南县人民法院</w:t>
      </w:r>
      <w:r>
        <w:rPr>
          <w:rFonts w:hint="eastAsia" w:ascii="宋体" w:hAnsi="宋体"/>
          <w:szCs w:val="22"/>
        </w:rPr>
        <w:t>提起诉讼。</w:t>
      </w:r>
      <w:r>
        <w:rPr>
          <w:rFonts w:ascii="宋体" w:hAnsi="宋体"/>
          <w:szCs w:val="22"/>
        </w:rPr>
        <w:t xml:space="preserve"> </w:t>
      </w:r>
    </w:p>
    <w:p w14:paraId="6D7429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十九、合同生效及终止</w:t>
      </w:r>
      <w:r>
        <w:rPr>
          <w:rFonts w:ascii="宋体" w:hAnsi="宋体"/>
          <w:b/>
          <w:szCs w:val="22"/>
        </w:rPr>
        <w:t xml:space="preserve"> </w:t>
      </w:r>
    </w:p>
    <w:p w14:paraId="1C6F2DA9">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（一）合同生效：本合同经甲乙方双方签订盖章之日起生效。</w:t>
      </w:r>
      <w:r>
        <w:rPr>
          <w:rFonts w:ascii="宋体" w:hAnsi="宋体"/>
          <w:szCs w:val="22"/>
        </w:rPr>
        <w:t xml:space="preserve"> </w:t>
      </w:r>
    </w:p>
    <w:p w14:paraId="70376A35">
      <w:pPr>
        <w:spacing w:line="520" w:lineRule="exact"/>
        <w:ind w:firstLine="440" w:firstLineChars="200"/>
        <w:rPr>
          <w:rFonts w:ascii="宋体" w:hAnsi="宋体" w:cs="宋体"/>
          <w:szCs w:val="21"/>
        </w:rPr>
      </w:pPr>
      <w:r>
        <w:rPr>
          <w:rFonts w:hint="eastAsia" w:ascii="宋体" w:hAnsi="宋体" w:cs="宋体"/>
          <w:szCs w:val="21"/>
        </w:rPr>
        <w:t>（二）合同终止：本项目有下列情形的，采购人有权不续签或终止合同。</w:t>
      </w:r>
    </w:p>
    <w:p w14:paraId="18F26DD7">
      <w:pPr>
        <w:spacing w:line="520" w:lineRule="exact"/>
        <w:ind w:firstLine="440" w:firstLineChars="200"/>
        <w:rPr>
          <w:rFonts w:ascii="宋体" w:hAnsi="宋体" w:cs="宋体"/>
          <w:szCs w:val="21"/>
        </w:rPr>
      </w:pPr>
      <w:r>
        <w:rPr>
          <w:rFonts w:hint="eastAsia" w:ascii="宋体" w:hAnsi="宋体" w:cs="宋体"/>
          <w:szCs w:val="21"/>
        </w:rPr>
        <w:t>1、本项目遇不可抗力影响或法律、法规、国家政策重大调整影响合同无法执行的；</w:t>
      </w:r>
    </w:p>
    <w:p w14:paraId="276C8AE1">
      <w:pPr>
        <w:spacing w:line="520" w:lineRule="exact"/>
        <w:ind w:firstLine="440" w:firstLineChars="200"/>
        <w:rPr>
          <w:rFonts w:ascii="宋体" w:hAnsi="宋体" w:cs="宋体"/>
          <w:szCs w:val="21"/>
        </w:rPr>
      </w:pPr>
      <w:r>
        <w:rPr>
          <w:rFonts w:hint="eastAsia" w:ascii="宋体" w:hAnsi="宋体" w:cs="宋体"/>
          <w:szCs w:val="21"/>
        </w:rPr>
        <w:t>2、实际投入人员、机械车辆与投标文件承诺不符合，拒不履行投标承诺的乙方（未按招标文件规定时间人员、机械车辆到位，达到解除合同条件的），采购人有权无责任终止采购合同。</w:t>
      </w:r>
    </w:p>
    <w:p w14:paraId="0A188EF1">
      <w:pPr>
        <w:spacing w:line="520" w:lineRule="exact"/>
        <w:ind w:firstLine="440" w:firstLineChars="200"/>
        <w:rPr>
          <w:rFonts w:ascii="宋体" w:hAnsi="宋体" w:cs="宋体"/>
          <w:szCs w:val="21"/>
        </w:rPr>
      </w:pPr>
      <w:r>
        <w:rPr>
          <w:rFonts w:hint="eastAsia" w:ascii="宋体" w:hAnsi="宋体" w:cs="宋体"/>
          <w:szCs w:val="21"/>
        </w:rPr>
        <w:t>3、按相关法律、法规、招标文件规定及考核办法，有下列情形之一的，采购人有权不续签或终止合同：</w:t>
      </w:r>
    </w:p>
    <w:p w14:paraId="6B3065AD">
      <w:pPr>
        <w:spacing w:line="520" w:lineRule="exact"/>
        <w:ind w:firstLine="440" w:firstLineChars="200"/>
        <w:rPr>
          <w:rFonts w:ascii="宋体" w:hAnsi="宋体" w:cs="宋体"/>
          <w:szCs w:val="21"/>
        </w:rPr>
      </w:pPr>
      <w:r>
        <w:rPr>
          <w:rFonts w:hint="eastAsia" w:ascii="宋体" w:hAnsi="宋体" w:cs="宋体"/>
          <w:szCs w:val="21"/>
        </w:rPr>
        <w:t>（1）全年有超过三次被书面警告的承包单位，采购人有权无责任终止采购合同。</w:t>
      </w:r>
    </w:p>
    <w:p w14:paraId="3AB98B8B">
      <w:pPr>
        <w:spacing w:line="520" w:lineRule="exact"/>
        <w:ind w:firstLine="440" w:firstLineChars="200"/>
        <w:rPr>
          <w:rFonts w:ascii="宋体" w:hAnsi="宋体" w:cs="宋体"/>
          <w:szCs w:val="21"/>
        </w:rPr>
      </w:pPr>
      <w:r>
        <w:rPr>
          <w:rFonts w:hint="eastAsia" w:ascii="宋体" w:hAnsi="宋体" w:cs="宋体"/>
          <w:szCs w:val="21"/>
        </w:rPr>
        <w:t>（2）连续三个月的月考核分数得分低于 70 分或者月考核分数得分低于 70 分的月数累计超过</w:t>
      </w:r>
      <w:r>
        <w:rPr>
          <w:rFonts w:ascii="宋体" w:hAnsi="宋体" w:cs="宋体"/>
          <w:szCs w:val="21"/>
        </w:rPr>
        <w:t>4</w:t>
      </w:r>
      <w:r>
        <w:rPr>
          <w:rFonts w:hint="eastAsia" w:ascii="宋体" w:hAnsi="宋体" w:cs="宋体"/>
          <w:szCs w:val="21"/>
        </w:rPr>
        <w:t>个月（含</w:t>
      </w:r>
      <w:r>
        <w:rPr>
          <w:rFonts w:ascii="宋体" w:hAnsi="宋体" w:cs="宋体"/>
          <w:szCs w:val="21"/>
        </w:rPr>
        <w:t>4</w:t>
      </w:r>
      <w:r>
        <w:rPr>
          <w:rFonts w:hint="eastAsia" w:ascii="宋体" w:hAnsi="宋体" w:cs="宋体"/>
          <w:szCs w:val="21"/>
        </w:rPr>
        <w:t>个月）的，采购人有权无责任终止采购合同。</w:t>
      </w:r>
    </w:p>
    <w:p w14:paraId="7B2B2A56">
      <w:pPr>
        <w:spacing w:line="520" w:lineRule="exact"/>
        <w:ind w:firstLine="440" w:firstLineChars="200"/>
        <w:rPr>
          <w:rFonts w:ascii="宋体" w:hAnsi="宋体" w:cs="宋体"/>
          <w:szCs w:val="21"/>
        </w:rPr>
      </w:pPr>
      <w:r>
        <w:rPr>
          <w:rFonts w:hint="eastAsia" w:ascii="宋体" w:hAnsi="宋体" w:cs="宋体"/>
          <w:szCs w:val="21"/>
        </w:rPr>
        <w:t>（3）违反安全管理、规范作业规定，造成重大伤亡或重大损失。</w:t>
      </w:r>
    </w:p>
    <w:p w14:paraId="42041316">
      <w:pPr>
        <w:spacing w:line="520" w:lineRule="exact"/>
        <w:ind w:firstLine="440" w:firstLineChars="200"/>
        <w:rPr>
          <w:rFonts w:ascii="宋体" w:hAnsi="宋体" w:cs="宋体"/>
          <w:szCs w:val="21"/>
        </w:rPr>
      </w:pPr>
      <w:r>
        <w:rPr>
          <w:rFonts w:hint="eastAsia" w:ascii="宋体" w:hAnsi="宋体" w:cs="宋体"/>
          <w:szCs w:val="21"/>
        </w:rPr>
        <w:t>（4）经省、市级新闻媒体曝光，乙方为责任方，造成恶劣影响的。</w:t>
      </w:r>
    </w:p>
    <w:p w14:paraId="315D17EC">
      <w:pPr>
        <w:spacing w:line="520" w:lineRule="exact"/>
        <w:ind w:firstLine="440" w:firstLineChars="200"/>
        <w:rPr>
          <w:rFonts w:ascii="宋体" w:hAnsi="宋体" w:cs="宋体"/>
          <w:szCs w:val="21"/>
        </w:rPr>
      </w:pPr>
      <w:r>
        <w:rPr>
          <w:rFonts w:hint="eastAsia" w:ascii="宋体" w:hAnsi="宋体" w:cs="宋体"/>
          <w:szCs w:val="21"/>
        </w:rPr>
        <w:t>（5）经有关部门认定严重违反劳动法，造成恶劣影响的；或其它因违法经营受到刑事处罚或者责令停产停业、吊销许可证或者执照、较大数额罚款等行政处罚的。</w:t>
      </w:r>
    </w:p>
    <w:p w14:paraId="5B6B85E9">
      <w:pPr>
        <w:spacing w:line="520" w:lineRule="exact"/>
        <w:ind w:firstLine="440" w:firstLineChars="200"/>
        <w:rPr>
          <w:rFonts w:ascii="宋体" w:hAnsi="宋体" w:cs="宋体"/>
          <w:szCs w:val="21"/>
        </w:rPr>
      </w:pPr>
      <w:r>
        <w:rPr>
          <w:rFonts w:hint="eastAsia" w:ascii="宋体" w:hAnsi="宋体" w:cs="宋体"/>
          <w:szCs w:val="21"/>
        </w:rPr>
        <w:t>（6）其它弄虚作假及其他不正当行为。</w:t>
      </w:r>
    </w:p>
    <w:p w14:paraId="46FD18EE">
      <w:pPr>
        <w:spacing w:line="520" w:lineRule="exact"/>
        <w:ind w:firstLine="440" w:firstLineChars="200"/>
        <w:rPr>
          <w:rFonts w:ascii="宋体" w:hAnsi="宋体" w:cs="宋体"/>
          <w:szCs w:val="21"/>
        </w:rPr>
      </w:pPr>
      <w:r>
        <w:rPr>
          <w:rFonts w:hint="eastAsia" w:ascii="宋体" w:hAnsi="宋体" w:cs="宋体"/>
          <w:szCs w:val="21"/>
        </w:rPr>
        <w:t>（7）合同履约期间，乙方法人组织破产的；</w:t>
      </w:r>
    </w:p>
    <w:p w14:paraId="76B241C4">
      <w:pPr>
        <w:spacing w:line="520" w:lineRule="exact"/>
        <w:ind w:firstLine="440" w:firstLineChars="200"/>
        <w:rPr>
          <w:rFonts w:ascii="宋体" w:hAnsi="宋体" w:cs="宋体"/>
          <w:szCs w:val="21"/>
        </w:rPr>
      </w:pPr>
      <w:r>
        <w:rPr>
          <w:rFonts w:hint="eastAsia" w:ascii="宋体" w:hAnsi="宋体" w:cs="宋体"/>
          <w:szCs w:val="21"/>
        </w:rPr>
        <w:t>（8）根据招标文件及合同约定，其它不续签或终止合同的规定，其它法律规定的终止情形。</w:t>
      </w:r>
    </w:p>
    <w:p w14:paraId="2F91FE34">
      <w:pPr>
        <w:autoSpaceDE w:val="0"/>
        <w:autoSpaceDN w:val="0"/>
        <w:adjustRightInd w:val="0"/>
        <w:spacing w:line="420" w:lineRule="exact"/>
        <w:ind w:firstLine="440" w:firstLineChars="200"/>
        <w:jc w:val="left"/>
        <w:rPr>
          <w:rFonts w:ascii="宋体" w:hAnsi="宋体" w:cs="宋体"/>
          <w:szCs w:val="21"/>
        </w:rPr>
      </w:pPr>
      <w:r>
        <w:rPr>
          <w:rFonts w:hint="eastAsia" w:ascii="宋体" w:hAnsi="宋体" w:cs="宋体"/>
          <w:szCs w:val="21"/>
        </w:rPr>
        <w:t>4、根据现行考核管理办法进行检查考评，不符合相关规定需终止合同的。</w:t>
      </w:r>
    </w:p>
    <w:p w14:paraId="0ED1F06D">
      <w:pPr>
        <w:autoSpaceDE w:val="0"/>
        <w:autoSpaceDN w:val="0"/>
        <w:adjustRightInd w:val="0"/>
        <w:spacing w:line="420" w:lineRule="exact"/>
        <w:ind w:firstLine="440" w:firstLineChars="200"/>
        <w:jc w:val="left"/>
        <w:rPr>
          <w:rFonts w:ascii="宋体" w:hAnsi="宋体"/>
          <w:szCs w:val="22"/>
        </w:rPr>
      </w:pPr>
      <w:r>
        <w:rPr>
          <w:rFonts w:hint="eastAsia" w:ascii="宋体" w:hAnsi="宋体" w:cs="宋体"/>
          <w:szCs w:val="21"/>
        </w:rPr>
        <w:t>5、合同期限届满时自行终止。</w:t>
      </w:r>
    </w:p>
    <w:p w14:paraId="27014FC7">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二十、合同的解释</w:t>
      </w:r>
    </w:p>
    <w:p w14:paraId="785E5863">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本合同的解释权在</w:t>
      </w:r>
      <w:r>
        <w:rPr>
          <w:rFonts w:hint="eastAsia" w:ascii="宋体" w:hAnsi="宋体"/>
          <w:szCs w:val="22"/>
          <w:lang w:eastAsia="zh-CN"/>
        </w:rPr>
        <w:t>苍南县藻溪镇人民政府</w:t>
      </w:r>
      <w:r>
        <w:rPr>
          <w:rFonts w:hint="eastAsia" w:ascii="宋体" w:hAnsi="宋体"/>
          <w:szCs w:val="22"/>
        </w:rPr>
        <w:t>。</w:t>
      </w:r>
    </w:p>
    <w:p w14:paraId="5671B8A9">
      <w:pPr>
        <w:autoSpaceDE w:val="0"/>
        <w:autoSpaceDN w:val="0"/>
        <w:adjustRightInd w:val="0"/>
        <w:spacing w:line="420" w:lineRule="exact"/>
        <w:ind w:firstLine="442" w:firstLineChars="200"/>
        <w:jc w:val="left"/>
        <w:rPr>
          <w:rFonts w:ascii="宋体" w:hAnsi="宋体"/>
          <w:b/>
          <w:szCs w:val="22"/>
        </w:rPr>
      </w:pPr>
      <w:r>
        <w:rPr>
          <w:rFonts w:hint="eastAsia" w:ascii="宋体" w:hAnsi="宋体"/>
          <w:b/>
          <w:szCs w:val="22"/>
        </w:rPr>
        <w:t>二十一、合同的份数</w:t>
      </w:r>
    </w:p>
    <w:p w14:paraId="63C61E6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 xml:space="preserve">本合同一式捌份，合同各方各执三份，招标代理公司一份，苍南县财政局一份，具有同等法律效力。 </w:t>
      </w:r>
    </w:p>
    <w:p w14:paraId="42897504">
      <w:pPr>
        <w:autoSpaceDE w:val="0"/>
        <w:autoSpaceDN w:val="0"/>
        <w:adjustRightInd w:val="0"/>
        <w:spacing w:line="420" w:lineRule="exact"/>
        <w:ind w:firstLine="440" w:firstLineChars="200"/>
        <w:jc w:val="left"/>
        <w:rPr>
          <w:rFonts w:ascii="宋体" w:hAnsi="宋体"/>
          <w:szCs w:val="22"/>
        </w:rPr>
      </w:pPr>
    </w:p>
    <w:p w14:paraId="2E5AF03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甲方（盖章）：</w:t>
      </w:r>
      <w:r>
        <w:rPr>
          <w:rFonts w:ascii="宋体" w:hAnsi="宋体"/>
          <w:szCs w:val="22"/>
        </w:rPr>
        <w:t xml:space="preserve">                        </w:t>
      </w:r>
      <w:r>
        <w:rPr>
          <w:rFonts w:hint="eastAsia" w:ascii="宋体" w:hAnsi="宋体"/>
          <w:szCs w:val="22"/>
        </w:rPr>
        <w:t>乙方（盖章）：</w:t>
      </w:r>
    </w:p>
    <w:p w14:paraId="71BF79E6">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全权</w:t>
      </w:r>
      <w:r>
        <w:rPr>
          <w:rFonts w:hint="eastAsia" w:ascii="宋体" w:hAnsi="宋体"/>
          <w:szCs w:val="22"/>
          <w:lang w:eastAsia="zh-CN"/>
        </w:rPr>
        <w:t>（</w:t>
      </w:r>
      <w:r>
        <w:rPr>
          <w:rFonts w:hint="eastAsia" w:ascii="宋体" w:hAnsi="宋体"/>
          <w:szCs w:val="22"/>
          <w:lang w:val="en-US" w:eastAsia="zh-CN"/>
        </w:rPr>
        <w:t>授权</w:t>
      </w:r>
      <w:r>
        <w:rPr>
          <w:rFonts w:hint="eastAsia" w:ascii="宋体" w:hAnsi="宋体"/>
          <w:szCs w:val="22"/>
          <w:lang w:eastAsia="zh-CN"/>
        </w:rPr>
        <w:t>）</w:t>
      </w:r>
      <w:r>
        <w:rPr>
          <w:rFonts w:hint="eastAsia" w:ascii="宋体" w:hAnsi="宋体"/>
          <w:szCs w:val="22"/>
        </w:rPr>
        <w:t>代表（签字或盖章）：</w:t>
      </w:r>
      <w:r>
        <w:rPr>
          <w:rFonts w:ascii="宋体" w:hAnsi="宋体"/>
          <w:szCs w:val="22"/>
        </w:rPr>
        <w:t xml:space="preserve">      </w:t>
      </w:r>
      <w:r>
        <w:rPr>
          <w:rFonts w:hint="eastAsia" w:ascii="宋体" w:hAnsi="宋体"/>
          <w:szCs w:val="22"/>
        </w:rPr>
        <w:t>全权</w:t>
      </w:r>
      <w:r>
        <w:rPr>
          <w:rFonts w:hint="eastAsia" w:ascii="宋体" w:hAnsi="宋体"/>
          <w:szCs w:val="22"/>
          <w:lang w:eastAsia="zh-CN"/>
        </w:rPr>
        <w:t>（</w:t>
      </w:r>
      <w:r>
        <w:rPr>
          <w:rFonts w:hint="eastAsia" w:ascii="宋体" w:hAnsi="宋体"/>
          <w:szCs w:val="22"/>
          <w:lang w:val="en-US" w:eastAsia="zh-CN"/>
        </w:rPr>
        <w:t>授权</w:t>
      </w:r>
      <w:r>
        <w:rPr>
          <w:rFonts w:hint="eastAsia" w:ascii="宋体" w:hAnsi="宋体"/>
          <w:szCs w:val="22"/>
          <w:lang w:eastAsia="zh-CN"/>
        </w:rPr>
        <w:t>）</w:t>
      </w:r>
      <w:r>
        <w:rPr>
          <w:rFonts w:hint="eastAsia" w:ascii="宋体" w:hAnsi="宋体"/>
          <w:szCs w:val="22"/>
        </w:rPr>
        <w:t>代表（签字或盖章）：</w:t>
      </w:r>
      <w:r>
        <w:rPr>
          <w:rFonts w:ascii="宋体" w:hAnsi="宋体"/>
          <w:szCs w:val="22"/>
        </w:rPr>
        <w:t xml:space="preserve"> </w:t>
      </w:r>
    </w:p>
    <w:p w14:paraId="59B464AA">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开户银行：</w:t>
      </w:r>
      <w:r>
        <w:rPr>
          <w:rFonts w:ascii="宋体" w:hAnsi="宋体"/>
          <w:szCs w:val="22"/>
        </w:rPr>
        <w:t xml:space="preserve">                           </w:t>
      </w:r>
      <w:r>
        <w:rPr>
          <w:rFonts w:hint="eastAsia" w:ascii="宋体" w:hAnsi="宋体"/>
          <w:szCs w:val="22"/>
        </w:rPr>
        <w:t>开户银行：</w:t>
      </w:r>
      <w:r>
        <w:rPr>
          <w:rFonts w:ascii="宋体" w:hAnsi="宋体"/>
          <w:szCs w:val="22"/>
        </w:rPr>
        <w:t xml:space="preserve"> </w:t>
      </w:r>
    </w:p>
    <w:p w14:paraId="7886AE30">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银行账户：</w:t>
      </w:r>
      <w:r>
        <w:rPr>
          <w:rFonts w:ascii="宋体" w:hAnsi="宋体"/>
          <w:szCs w:val="22"/>
        </w:rPr>
        <w:t xml:space="preserve">                           </w:t>
      </w:r>
      <w:r>
        <w:rPr>
          <w:rFonts w:hint="eastAsia" w:ascii="宋体" w:hAnsi="宋体"/>
          <w:szCs w:val="22"/>
        </w:rPr>
        <w:t>银行账户：</w:t>
      </w:r>
      <w:r>
        <w:rPr>
          <w:rFonts w:ascii="宋体" w:hAnsi="宋体"/>
          <w:szCs w:val="22"/>
        </w:rPr>
        <w:t xml:space="preserve"> </w:t>
      </w:r>
    </w:p>
    <w:p w14:paraId="61D55EDF">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电话：</w:t>
      </w:r>
      <w:r>
        <w:rPr>
          <w:rFonts w:ascii="宋体" w:hAnsi="宋体"/>
          <w:szCs w:val="22"/>
        </w:rPr>
        <w:t xml:space="preserve">                               </w:t>
      </w:r>
      <w:r>
        <w:rPr>
          <w:rFonts w:hint="eastAsia" w:ascii="宋体" w:hAnsi="宋体"/>
          <w:szCs w:val="22"/>
        </w:rPr>
        <w:t>电话：</w:t>
      </w:r>
      <w:r>
        <w:rPr>
          <w:rFonts w:ascii="宋体" w:hAnsi="宋体"/>
          <w:szCs w:val="22"/>
        </w:rPr>
        <w:t xml:space="preserve"> </w:t>
      </w:r>
    </w:p>
    <w:p w14:paraId="51A57F88">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传真：</w:t>
      </w:r>
      <w:r>
        <w:rPr>
          <w:rFonts w:ascii="宋体" w:hAnsi="宋体"/>
          <w:szCs w:val="22"/>
        </w:rPr>
        <w:t xml:space="preserve">                               </w:t>
      </w:r>
      <w:r>
        <w:rPr>
          <w:rFonts w:hint="eastAsia" w:ascii="宋体" w:hAnsi="宋体"/>
          <w:szCs w:val="22"/>
        </w:rPr>
        <w:t>传真：</w:t>
      </w:r>
      <w:r>
        <w:rPr>
          <w:rFonts w:ascii="宋体" w:hAnsi="宋体"/>
          <w:szCs w:val="22"/>
        </w:rPr>
        <w:t xml:space="preserve"> </w:t>
      </w:r>
    </w:p>
    <w:p w14:paraId="551A5B2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地址：</w:t>
      </w:r>
      <w:r>
        <w:rPr>
          <w:rFonts w:ascii="宋体" w:hAnsi="宋体"/>
          <w:szCs w:val="22"/>
        </w:rPr>
        <w:t xml:space="preserve">                               </w:t>
      </w:r>
      <w:r>
        <w:rPr>
          <w:rFonts w:hint="eastAsia" w:ascii="宋体" w:hAnsi="宋体"/>
          <w:szCs w:val="22"/>
        </w:rPr>
        <w:t>地址：</w:t>
      </w:r>
    </w:p>
    <w:p w14:paraId="6F288DDC">
      <w:pPr>
        <w:autoSpaceDE w:val="0"/>
        <w:autoSpaceDN w:val="0"/>
        <w:adjustRightInd w:val="0"/>
        <w:spacing w:line="420" w:lineRule="exact"/>
        <w:ind w:firstLine="440" w:firstLineChars="200"/>
        <w:jc w:val="left"/>
        <w:rPr>
          <w:rFonts w:ascii="宋体" w:hAnsi="宋体"/>
          <w:szCs w:val="22"/>
        </w:rPr>
      </w:pPr>
      <w:r>
        <w:rPr>
          <w:rFonts w:hint="eastAsia" w:ascii="宋体" w:hAnsi="宋体"/>
          <w:szCs w:val="22"/>
        </w:rPr>
        <w:t>日期：</w:t>
      </w:r>
      <w:r>
        <w:rPr>
          <w:rFonts w:ascii="宋体" w:hAnsi="宋体"/>
          <w:szCs w:val="22"/>
        </w:rPr>
        <w:t xml:space="preserve">                               </w:t>
      </w:r>
      <w:r>
        <w:rPr>
          <w:rFonts w:hint="eastAsia" w:ascii="宋体" w:hAnsi="宋体"/>
          <w:szCs w:val="22"/>
        </w:rPr>
        <w:t>日期：</w:t>
      </w:r>
      <w:r>
        <w:rPr>
          <w:rFonts w:ascii="宋体" w:hAnsi="宋体"/>
          <w:szCs w:val="22"/>
        </w:rPr>
        <w:t xml:space="preserve"> </w:t>
      </w:r>
    </w:p>
    <w:p w14:paraId="01D719D3">
      <w:pPr>
        <w:spacing w:line="420" w:lineRule="exact"/>
      </w:pPr>
    </w:p>
    <w:p w14:paraId="34067285">
      <w:pPr>
        <w:pStyle w:val="31"/>
      </w:pPr>
    </w:p>
    <w:p w14:paraId="796CD92A">
      <w:pPr>
        <w:pStyle w:val="31"/>
        <w:jc w:val="both"/>
      </w:pPr>
    </w:p>
    <w:p w14:paraId="35879158">
      <w:pPr>
        <w:spacing w:line="420" w:lineRule="exact"/>
      </w:pPr>
    </w:p>
    <w:p w14:paraId="2C5F3CD3">
      <w:pPr>
        <w:pStyle w:val="5"/>
        <w:spacing w:line="420" w:lineRule="exact"/>
        <w:jc w:val="both"/>
        <w:rPr>
          <w:rFonts w:hint="eastAsia"/>
        </w:rPr>
      </w:pPr>
    </w:p>
    <w:p w14:paraId="3D208E07">
      <w:pPr>
        <w:rPr>
          <w:rFonts w:hint="eastAsia"/>
        </w:rPr>
      </w:pPr>
    </w:p>
    <w:p w14:paraId="6A7E14A2">
      <w:pPr>
        <w:pStyle w:val="5"/>
        <w:spacing w:line="420" w:lineRule="exact"/>
        <w:rPr>
          <w:rFonts w:hint="eastAsia"/>
        </w:rPr>
      </w:pPr>
    </w:p>
    <w:p w14:paraId="20D82E15">
      <w:pPr>
        <w:rPr>
          <w:rFonts w:hint="eastAsia"/>
        </w:rPr>
      </w:pPr>
    </w:p>
    <w:p w14:paraId="77EBA7C2">
      <w:pPr>
        <w:pStyle w:val="2"/>
        <w:rPr>
          <w:rFonts w:hint="eastAsia"/>
        </w:rPr>
      </w:pPr>
    </w:p>
    <w:p w14:paraId="423A5A0D">
      <w:pPr>
        <w:pStyle w:val="5"/>
        <w:spacing w:line="420" w:lineRule="exact"/>
        <w:rPr>
          <w:rFonts w:hint="eastAsia"/>
        </w:rPr>
      </w:pPr>
    </w:p>
    <w:p w14:paraId="7470D2E2">
      <w:pPr>
        <w:pStyle w:val="5"/>
        <w:spacing w:line="420" w:lineRule="exact"/>
      </w:pPr>
      <w:r>
        <w:rPr>
          <w:rFonts w:hint="eastAsia"/>
        </w:rPr>
        <w:t>第五部分  投标文件格式</w:t>
      </w:r>
    </w:p>
    <w:p w14:paraId="27570F94">
      <w:pPr>
        <w:spacing w:line="420" w:lineRule="exact"/>
        <w:jc w:val="center"/>
        <w:rPr>
          <w:rFonts w:ascii="宋体"/>
          <w:sz w:val="28"/>
          <w:szCs w:val="28"/>
        </w:rPr>
      </w:pPr>
      <w:r>
        <w:rPr>
          <w:rFonts w:hint="eastAsia" w:ascii="宋体"/>
          <w:sz w:val="28"/>
          <w:szCs w:val="28"/>
        </w:rPr>
        <w:t>（未提供格式的由供应商自拟）</w:t>
      </w:r>
    </w:p>
    <w:p w14:paraId="51FD74C2">
      <w:pPr>
        <w:pStyle w:val="7"/>
        <w:spacing w:line="420" w:lineRule="exact"/>
      </w:pPr>
      <w:r>
        <w:rPr>
          <w:rFonts w:hint="eastAsia"/>
        </w:rPr>
        <w:t>一、“资格响应文件”</w:t>
      </w:r>
      <w:r>
        <w:rPr>
          <w:rFonts w:hint="eastAsia"/>
          <w:kern w:val="0"/>
        </w:rPr>
        <w:t>部分格式</w:t>
      </w:r>
    </w:p>
    <w:p w14:paraId="03752812">
      <w:pPr>
        <w:pStyle w:val="7"/>
        <w:spacing w:line="420" w:lineRule="exact"/>
        <w:rPr>
          <w:kern w:val="0"/>
        </w:rPr>
      </w:pPr>
      <w:r>
        <w:rPr>
          <w:rFonts w:hint="eastAsia"/>
          <w:kern w:val="0"/>
        </w:rPr>
        <w:t>1.1、投标供应商参与政府采购活动投标资格声明函</w:t>
      </w:r>
    </w:p>
    <w:p w14:paraId="408EFC1A">
      <w:pPr>
        <w:snapToGrid w:val="0"/>
        <w:spacing w:line="360" w:lineRule="auto"/>
        <w:jc w:val="center"/>
        <w:rPr>
          <w:rFonts w:cs="宋体" w:asciiTheme="minorEastAsia" w:hAnsiTheme="minorEastAsia"/>
          <w:b/>
          <w:color w:val="0000FF"/>
          <w:kern w:val="0"/>
          <w:sz w:val="36"/>
          <w:szCs w:val="36"/>
        </w:rPr>
      </w:pPr>
      <w:r>
        <w:rPr>
          <w:rFonts w:hint="eastAsia" w:cs="宋体" w:asciiTheme="minorEastAsia" w:hAnsiTheme="minorEastAsia"/>
          <w:b/>
          <w:color w:val="0000FF"/>
          <w:kern w:val="0"/>
          <w:sz w:val="36"/>
          <w:szCs w:val="36"/>
        </w:rPr>
        <w:t>投标供应商参与政府采购活动投标资格声明函</w:t>
      </w:r>
    </w:p>
    <w:p w14:paraId="486A48D0">
      <w:pPr>
        <w:snapToGrid w:val="0"/>
        <w:spacing w:line="360" w:lineRule="auto"/>
        <w:rPr>
          <w:rFonts w:ascii="华文仿宋" w:hAnsi="华文仿宋" w:eastAsia="华文仿宋" w:cs="仿宋_GB2312"/>
          <w:sz w:val="24"/>
        </w:rPr>
      </w:pPr>
      <w:r>
        <w:rPr>
          <w:rFonts w:hint="eastAsia" w:ascii="华文仿宋" w:hAnsi="华文仿宋" w:eastAsia="华文仿宋" w:cs="仿宋_GB2312"/>
          <w:sz w:val="24"/>
          <w:lang w:eastAsia="zh-CN"/>
        </w:rPr>
        <w:t>苍南县藻溪镇人民政府</w:t>
      </w:r>
      <w:r>
        <w:rPr>
          <w:rFonts w:hint="eastAsia" w:ascii="华文仿宋" w:hAnsi="华文仿宋" w:eastAsia="华文仿宋" w:cs="仿宋_GB2312"/>
          <w:sz w:val="24"/>
        </w:rPr>
        <w:t>：</w:t>
      </w:r>
    </w:p>
    <w:p w14:paraId="30782576">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我方参与（</w:t>
      </w:r>
      <w:r>
        <w:rPr>
          <w:rFonts w:hint="eastAsia" w:ascii="华文仿宋" w:hAnsi="华文仿宋" w:eastAsia="华文仿宋" w:cs="仿宋_GB2312"/>
          <w:sz w:val="24"/>
          <w:u w:val="single"/>
        </w:rPr>
        <w:t xml:space="preserve">   项目名称  </w:t>
      </w:r>
      <w:r>
        <w:rPr>
          <w:rFonts w:hint="eastAsia" w:ascii="华文仿宋" w:hAnsi="华文仿宋" w:eastAsia="华文仿宋" w:cs="仿宋_GB2312"/>
          <w:sz w:val="24"/>
        </w:rPr>
        <w:t>）【招标编号：</w:t>
      </w:r>
      <w:r>
        <w:rPr>
          <w:rFonts w:hint="eastAsia" w:ascii="华文仿宋" w:hAnsi="华文仿宋" w:eastAsia="华文仿宋"/>
          <w:sz w:val="24"/>
        </w:rPr>
        <w:t>（</w:t>
      </w:r>
      <w:r>
        <w:rPr>
          <w:rFonts w:hint="eastAsia" w:ascii="华文仿宋" w:hAnsi="华文仿宋" w:eastAsia="华文仿宋"/>
          <w:sz w:val="24"/>
          <w:u w:val="single"/>
        </w:rPr>
        <w:t>采购编号</w:t>
      </w:r>
      <w:r>
        <w:rPr>
          <w:rFonts w:hint="eastAsia" w:ascii="华文仿宋" w:hAnsi="华文仿宋" w:eastAsia="华文仿宋"/>
          <w:sz w:val="24"/>
        </w:rPr>
        <w:t>）</w:t>
      </w:r>
      <w:r>
        <w:rPr>
          <w:rFonts w:hint="eastAsia" w:ascii="华文仿宋" w:hAnsi="华文仿宋" w:eastAsia="华文仿宋" w:cs="仿宋_GB2312"/>
          <w:sz w:val="24"/>
        </w:rPr>
        <w:t>】政府采购活动，郑重承诺：</w:t>
      </w:r>
    </w:p>
    <w:p w14:paraId="0C41E7CD">
      <w:pPr>
        <w:snapToGrid w:val="0"/>
        <w:spacing w:line="360" w:lineRule="auto"/>
        <w:ind w:firstLine="360" w:firstLineChars="150"/>
        <w:rPr>
          <w:rFonts w:ascii="华文仿宋" w:hAnsi="华文仿宋" w:eastAsia="华文仿宋" w:cs="仿宋_GB2312"/>
          <w:sz w:val="24"/>
        </w:rPr>
      </w:pPr>
      <w:r>
        <w:rPr>
          <w:rFonts w:hint="eastAsia" w:ascii="华文仿宋" w:hAnsi="华文仿宋" w:eastAsia="华文仿宋" w:cs="仿宋_GB2312"/>
          <w:sz w:val="24"/>
        </w:rPr>
        <w:t>（一）具备《中华人民共和国政府采购法》第二十二条第一款规定的条件：</w:t>
      </w:r>
    </w:p>
    <w:p w14:paraId="57666555">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1、</w:t>
      </w:r>
      <w:r>
        <w:rPr>
          <w:rFonts w:ascii="华文仿宋" w:hAnsi="华文仿宋" w:eastAsia="华文仿宋" w:cs="仿宋_GB2312"/>
          <w:sz w:val="24"/>
        </w:rPr>
        <w:t>具有独立承担民事责任的能力；</w:t>
      </w:r>
    </w:p>
    <w:p w14:paraId="0E4A611F">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2、</w:t>
      </w:r>
      <w:r>
        <w:rPr>
          <w:rFonts w:ascii="华文仿宋" w:hAnsi="华文仿宋" w:eastAsia="华文仿宋"/>
          <w:sz w:val="24"/>
        </w:rPr>
        <w:t xml:space="preserve">具有良好的商业信誉和健全的财务会计制度； </w:t>
      </w:r>
    </w:p>
    <w:p w14:paraId="567CA3AC">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3、</w:t>
      </w:r>
      <w:r>
        <w:rPr>
          <w:rFonts w:ascii="华文仿宋" w:hAnsi="华文仿宋" w:eastAsia="华文仿宋"/>
          <w:sz w:val="24"/>
        </w:rPr>
        <w:t>具有履行合同所必需的设备和专业技术能力；</w:t>
      </w:r>
    </w:p>
    <w:p w14:paraId="069FED48">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4、</w:t>
      </w:r>
      <w:r>
        <w:rPr>
          <w:rFonts w:ascii="华文仿宋" w:hAnsi="华文仿宋" w:eastAsia="华文仿宋"/>
          <w:sz w:val="24"/>
        </w:rPr>
        <w:t>有依法缴纳税收和社会保障资金的良好记录；</w:t>
      </w:r>
    </w:p>
    <w:p w14:paraId="405E96EF">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5、</w:t>
      </w:r>
      <w:r>
        <w:rPr>
          <w:rFonts w:ascii="华文仿宋" w:hAnsi="华文仿宋" w:eastAsia="华文仿宋"/>
          <w:sz w:val="24"/>
        </w:rPr>
        <w:t>参加政府采购活动前三年内，在经营活动中没有重大违法记录；</w:t>
      </w:r>
    </w:p>
    <w:p w14:paraId="07D11603">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6、</w:t>
      </w:r>
      <w:r>
        <w:rPr>
          <w:rFonts w:ascii="华文仿宋" w:hAnsi="华文仿宋" w:eastAsia="华文仿宋"/>
          <w:sz w:val="24"/>
        </w:rPr>
        <w:t>具有法律、行政法规规定的其他条件。</w:t>
      </w:r>
    </w:p>
    <w:p w14:paraId="7B4613A1">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（二）未被信用中国（</w:t>
      </w:r>
      <w:r>
        <w:rPr>
          <w:rFonts w:ascii="华文仿宋" w:hAnsi="华文仿宋" w:eastAsia="华文仿宋"/>
          <w:sz w:val="24"/>
        </w:rPr>
        <w:t>www.creditchina.gov.cn)、中国政府采购网（www.ccgp.gov.cn）列入失信被执行人、重大税收违法案件当事人名单、政府采购严重违法失信行为记录名单。</w:t>
      </w:r>
    </w:p>
    <w:p w14:paraId="4A6BFD93">
      <w:pPr>
        <w:snapToGrid w:val="0"/>
        <w:spacing w:line="360" w:lineRule="auto"/>
        <w:ind w:firstLine="480" w:firstLineChars="200"/>
        <w:rPr>
          <w:rFonts w:ascii="华文仿宋" w:hAnsi="华文仿宋" w:eastAsia="华文仿宋"/>
          <w:sz w:val="24"/>
        </w:rPr>
      </w:pPr>
      <w:r>
        <w:rPr>
          <w:rFonts w:hint="eastAsia" w:ascii="华文仿宋" w:hAnsi="华文仿宋" w:eastAsia="华文仿宋"/>
          <w:sz w:val="24"/>
        </w:rPr>
        <w:t>（三）不存在以下情况：</w:t>
      </w:r>
    </w:p>
    <w:p w14:paraId="2BEBD46F">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1、</w:t>
      </w:r>
      <w:r>
        <w:rPr>
          <w:rFonts w:ascii="华文仿宋" w:hAnsi="华文仿宋" w:eastAsia="华文仿宋" w:cs="仿宋_GB2312"/>
          <w:sz w:val="24"/>
        </w:rPr>
        <w:t>单位负责人为同一人或者存在直接控股、管理关系的不同供应商参加同一合同项下的政府采购活动的。</w:t>
      </w:r>
    </w:p>
    <w:p w14:paraId="11416C9C">
      <w:pPr>
        <w:snapToGrid w:val="0"/>
        <w:spacing w:line="360" w:lineRule="auto"/>
        <w:ind w:firstLine="442" w:firstLineChars="200"/>
        <w:rPr>
          <w:rFonts w:ascii="华文仿宋" w:hAnsi="华文仿宋" w:eastAsia="华文仿宋" w:cs="仿宋_GB2312"/>
          <w:sz w:val="24"/>
        </w:rPr>
      </w:pPr>
      <w:r>
        <w:rPr>
          <w:rFonts w:hint="eastAsia" w:ascii="宋体" w:cs="宋体"/>
          <w:b/>
          <w:szCs w:val="22"/>
        </w:rPr>
        <w:t>本公司所提交的声明和陈述均是真实的、准确的。若与真实情况不符，本公司愿意承担由此而产生的一切后果。</w:t>
      </w:r>
    </w:p>
    <w:p w14:paraId="15F05EB0">
      <w:pPr>
        <w:snapToGrid w:val="0"/>
        <w:spacing w:line="360" w:lineRule="auto"/>
        <w:ind w:firstLine="480" w:firstLineChars="200"/>
        <w:rPr>
          <w:rFonts w:ascii="华文仿宋" w:hAnsi="华文仿宋" w:eastAsia="华文仿宋" w:cs="仿宋_GB2312"/>
          <w:sz w:val="24"/>
        </w:rPr>
      </w:pPr>
      <w:r>
        <w:rPr>
          <w:rFonts w:hint="eastAsia" w:ascii="华文仿宋" w:hAnsi="华文仿宋" w:eastAsia="华文仿宋" w:cs="仿宋_GB2312"/>
          <w:sz w:val="24"/>
        </w:rPr>
        <w:t xml:space="preserve">                                   </w:t>
      </w:r>
      <w:r>
        <w:rPr>
          <w:rFonts w:hint="eastAsia" w:ascii="华文仿宋" w:hAnsi="华文仿宋" w:eastAsia="华文仿宋" w:cs="仿宋_GB2312"/>
          <w:kern w:val="0"/>
          <w:sz w:val="24"/>
          <w:lang w:val="zh-CN"/>
        </w:rPr>
        <w:t>投标人名称</w:t>
      </w:r>
      <w:r>
        <w:rPr>
          <w:rFonts w:ascii="华文仿宋" w:hAnsi="华文仿宋" w:eastAsia="华文仿宋" w:cs="仿宋_GB2312"/>
          <w:kern w:val="0"/>
          <w:sz w:val="24"/>
          <w:lang w:val="zh-CN"/>
        </w:rPr>
        <w:t>(电子签名)：</w:t>
      </w:r>
    </w:p>
    <w:p w14:paraId="416D3A63">
      <w:pPr>
        <w:pStyle w:val="20"/>
        <w:adjustRightInd w:val="0"/>
        <w:snapToGrid w:val="0"/>
        <w:spacing w:before="156" w:beforeLines="50" w:after="156" w:afterLines="50" w:line="420" w:lineRule="exact"/>
        <w:jc w:val="center"/>
        <w:rPr>
          <w:rFonts w:ascii="华文仿宋" w:hAnsi="华文仿宋" w:eastAsia="华文仿宋" w:cs="仿宋_GB2312"/>
          <w:sz w:val="24"/>
        </w:rPr>
      </w:pPr>
      <w:r>
        <w:rPr>
          <w:rFonts w:ascii="华文仿宋" w:hAnsi="华文仿宋" w:eastAsia="华文仿宋" w:cs="仿宋_GB2312"/>
          <w:sz w:val="24"/>
        </w:rPr>
        <w:t xml:space="preserve">  </w:t>
      </w:r>
      <w:r>
        <w:rPr>
          <w:rFonts w:hint="eastAsia" w:ascii="华文仿宋" w:hAnsi="华文仿宋" w:eastAsia="华文仿宋" w:cs="仿宋_GB2312"/>
          <w:sz w:val="24"/>
        </w:rPr>
        <w:t xml:space="preserve">                </w:t>
      </w:r>
      <w:r>
        <w:rPr>
          <w:rFonts w:ascii="华文仿宋" w:hAnsi="华文仿宋" w:eastAsia="华文仿宋" w:cs="仿宋_GB2312"/>
          <w:sz w:val="24"/>
        </w:rPr>
        <w:t xml:space="preserve"> 日</w:t>
      </w:r>
      <w:r>
        <w:rPr>
          <w:rFonts w:hint="eastAsia" w:ascii="华文仿宋" w:hAnsi="华文仿宋" w:eastAsia="华文仿宋" w:cs="仿宋_GB2312"/>
          <w:sz w:val="24"/>
        </w:rPr>
        <w:t xml:space="preserve"> </w:t>
      </w:r>
      <w:r>
        <w:rPr>
          <w:rFonts w:ascii="华文仿宋" w:hAnsi="华文仿宋" w:eastAsia="华文仿宋" w:cs="仿宋_GB2312"/>
          <w:sz w:val="24"/>
        </w:rPr>
        <w:t>期：  年   月   日</w:t>
      </w:r>
    </w:p>
    <w:p w14:paraId="1665C780">
      <w:pPr>
        <w:pStyle w:val="21"/>
        <w:ind w:left="440"/>
      </w:pPr>
    </w:p>
    <w:p w14:paraId="59A343AE">
      <w:pPr>
        <w:pStyle w:val="7"/>
        <w:spacing w:line="420" w:lineRule="exact"/>
      </w:pPr>
      <w:r>
        <w:rPr>
          <w:rFonts w:hint="eastAsia"/>
          <w:kern w:val="0"/>
        </w:rPr>
        <w:t>1.3、</w:t>
      </w:r>
      <w:r>
        <w:rPr>
          <w:kern w:val="0"/>
        </w:rPr>
        <w:t>法定代表人授权书</w:t>
      </w:r>
    </w:p>
    <w:p w14:paraId="67683D4E">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cs="宋体" w:asciiTheme="minorEastAsia" w:hAnsiTheme="minorEastAsia"/>
          <w:b/>
          <w:kern w:val="0"/>
          <w:sz w:val="36"/>
          <w:szCs w:val="36"/>
        </w:rPr>
        <w:t>法定代表人授权书</w:t>
      </w:r>
    </w:p>
    <w:p w14:paraId="2504C409">
      <w:pPr>
        <w:tabs>
          <w:tab w:val="left" w:pos="1080"/>
        </w:tabs>
        <w:autoSpaceDE w:val="0"/>
        <w:autoSpaceDN w:val="0"/>
        <w:adjustRightInd w:val="0"/>
        <w:spacing w:line="420" w:lineRule="exact"/>
        <w:outlineLvl w:val="0"/>
        <w:rPr>
          <w:rFonts w:ascii="宋体"/>
          <w:b/>
          <w:sz w:val="24"/>
          <w:lang w:val="zh-CN"/>
        </w:rPr>
      </w:pPr>
    </w:p>
    <w:p w14:paraId="42E159EC">
      <w:pPr>
        <w:pStyle w:val="20"/>
        <w:adjustRightInd w:val="0"/>
        <w:snapToGrid w:val="0"/>
        <w:spacing w:line="420" w:lineRule="exact"/>
        <w:rPr>
          <w:rFonts w:hAnsi="宋体"/>
          <w:sz w:val="24"/>
          <w:szCs w:val="24"/>
        </w:rPr>
      </w:pPr>
      <w:r>
        <w:rPr>
          <w:rFonts w:hint="eastAsia" w:hAnsi="宋体"/>
          <w:sz w:val="24"/>
          <w:szCs w:val="24"/>
          <w:u w:val="single"/>
          <w:lang w:eastAsia="zh-CN"/>
        </w:rPr>
        <w:t>苍南县藻溪镇人民政府</w:t>
      </w:r>
      <w:r>
        <w:rPr>
          <w:rFonts w:hint="eastAsia" w:hAnsi="宋体"/>
          <w:sz w:val="24"/>
          <w:szCs w:val="24"/>
        </w:rPr>
        <w:t>：</w:t>
      </w:r>
    </w:p>
    <w:p w14:paraId="5A43859B">
      <w:pPr>
        <w:snapToGrid w:val="0"/>
        <w:spacing w:line="420" w:lineRule="exact"/>
        <w:ind w:firstLine="480" w:firstLineChars="200"/>
        <w:rPr>
          <w:rFonts w:ascii="宋体"/>
          <w:sz w:val="24"/>
        </w:rPr>
      </w:pPr>
      <w:r>
        <w:rPr>
          <w:rFonts w:hint="eastAsia" w:ascii="宋体"/>
          <w:sz w:val="24"/>
        </w:rPr>
        <w:t>本授权委托书声明：我</w:t>
      </w:r>
      <w:r>
        <w:rPr>
          <w:rFonts w:hint="eastAsia" w:ascii="宋体"/>
          <w:sz w:val="24"/>
          <w:u w:val="single"/>
        </w:rPr>
        <w:t xml:space="preserve">   （法定代表人姓名）   </w:t>
      </w:r>
      <w:r>
        <w:rPr>
          <w:rFonts w:hint="eastAsia" w:ascii="宋体"/>
          <w:sz w:val="24"/>
        </w:rPr>
        <w:t>系</w:t>
      </w:r>
      <w:r>
        <w:rPr>
          <w:rFonts w:hint="eastAsia" w:ascii="宋体"/>
          <w:sz w:val="24"/>
          <w:u w:val="single"/>
        </w:rPr>
        <w:t xml:space="preserve">   （供 应 商 名 称）  </w:t>
      </w:r>
      <w:r>
        <w:rPr>
          <w:rFonts w:hint="eastAsia" w:ascii="宋体"/>
          <w:sz w:val="24"/>
        </w:rPr>
        <w:t>的法定代表人，现授权委托本单位在职职工</w:t>
      </w:r>
      <w:r>
        <w:rPr>
          <w:rFonts w:hint="eastAsia" w:ascii="宋体"/>
          <w:sz w:val="24"/>
          <w:u w:val="single"/>
        </w:rPr>
        <w:t xml:space="preserve">  （授权代表姓名、身份证号）  </w:t>
      </w:r>
      <w:r>
        <w:rPr>
          <w:rFonts w:hint="eastAsia" w:ascii="宋体"/>
          <w:sz w:val="24"/>
        </w:rPr>
        <w:t>为我公司法定代表人授权代表，参加贵处组织的</w:t>
      </w:r>
      <w:r>
        <w:rPr>
          <w:rFonts w:hint="eastAsia" w:ascii="宋体"/>
          <w:sz w:val="24"/>
          <w:u w:val="single"/>
        </w:rPr>
        <w:t xml:space="preserve">  （招标项目名称，括号中填写项目编号）  </w:t>
      </w:r>
      <w:r>
        <w:rPr>
          <w:rFonts w:hint="eastAsia" w:ascii="宋体"/>
          <w:sz w:val="24"/>
        </w:rPr>
        <w:t>项目投标，全权处理本次招投标活动中的一切事宜，我承认授权代表全权代表我所签署的本项目的投标文件的内容。</w:t>
      </w:r>
    </w:p>
    <w:p w14:paraId="6B696119">
      <w:pPr>
        <w:snapToGrid w:val="0"/>
        <w:spacing w:line="420" w:lineRule="exact"/>
        <w:ind w:firstLine="480" w:firstLineChars="200"/>
        <w:rPr>
          <w:rFonts w:ascii="宋体"/>
          <w:sz w:val="24"/>
        </w:rPr>
      </w:pPr>
      <w:r>
        <w:rPr>
          <w:rFonts w:hint="eastAsia" w:ascii="宋体"/>
          <w:sz w:val="24"/>
        </w:rPr>
        <w:t>授权代表无转授权，特此授权。</w:t>
      </w:r>
    </w:p>
    <w:p w14:paraId="44BEFB76">
      <w:pPr>
        <w:snapToGrid w:val="0"/>
        <w:spacing w:line="420" w:lineRule="exact"/>
        <w:ind w:left="1260"/>
        <w:rPr>
          <w:rFonts w:ascii="宋体"/>
          <w:sz w:val="24"/>
        </w:rPr>
      </w:pPr>
    </w:p>
    <w:p w14:paraId="6DC1AF9D">
      <w:pPr>
        <w:snapToGrid w:val="0"/>
        <w:spacing w:line="420" w:lineRule="exact"/>
        <w:ind w:left="2124" w:leftChars="247" w:hanging="1581" w:hangingChars="659"/>
        <w:rPr>
          <w:rFonts w:ascii="宋体"/>
          <w:sz w:val="24"/>
        </w:rPr>
      </w:pPr>
      <w:r>
        <w:rPr>
          <w:rFonts w:hint="eastAsia" w:ascii="宋体"/>
          <w:sz w:val="24"/>
        </w:rPr>
        <w:t>授权代表：</w:t>
      </w:r>
      <w:r>
        <w:rPr>
          <w:rFonts w:hint="eastAsia" w:ascii="宋体"/>
          <w:sz w:val="24"/>
          <w:u w:val="single"/>
        </w:rPr>
        <w:t xml:space="preserve">   （签字）  </w:t>
      </w:r>
      <w:r>
        <w:rPr>
          <w:rFonts w:hint="eastAsia" w:ascii="宋体"/>
          <w:sz w:val="24"/>
        </w:rPr>
        <w:t xml:space="preserve"> 性别 ：</w:t>
      </w:r>
      <w:r>
        <w:rPr>
          <w:rFonts w:hint="eastAsia" w:ascii="宋体"/>
          <w:sz w:val="24"/>
          <w:u w:val="single"/>
        </w:rPr>
        <w:t xml:space="preserve">          </w:t>
      </w:r>
      <w:r>
        <w:rPr>
          <w:rFonts w:hint="eastAsia" w:ascii="宋体"/>
          <w:sz w:val="24"/>
        </w:rPr>
        <w:t xml:space="preserve"> </w:t>
      </w:r>
    </w:p>
    <w:p w14:paraId="3A7AFA65">
      <w:pPr>
        <w:snapToGrid w:val="0"/>
        <w:spacing w:line="420" w:lineRule="exact"/>
        <w:ind w:left="2124" w:leftChars="247" w:hanging="1581" w:hangingChars="659"/>
        <w:rPr>
          <w:rFonts w:ascii="宋体"/>
          <w:sz w:val="24"/>
          <w:u w:val="single"/>
        </w:rPr>
      </w:pPr>
      <w:r>
        <w:rPr>
          <w:rFonts w:hint="eastAsia" w:ascii="宋体"/>
          <w:sz w:val="24"/>
        </w:rPr>
        <w:t>年龄：</w:t>
      </w:r>
      <w:r>
        <w:rPr>
          <w:rFonts w:hint="eastAsia" w:ascii="宋体"/>
          <w:sz w:val="24"/>
          <w:u w:val="single"/>
        </w:rPr>
        <w:t xml:space="preserve">          </w:t>
      </w:r>
      <w:r>
        <w:rPr>
          <w:rFonts w:hint="eastAsia" w:ascii="宋体"/>
          <w:sz w:val="24"/>
        </w:rPr>
        <w:t xml:space="preserve"> 职务：</w:t>
      </w:r>
      <w:r>
        <w:rPr>
          <w:rFonts w:hint="eastAsia" w:ascii="宋体"/>
          <w:sz w:val="24"/>
          <w:u w:val="single"/>
        </w:rPr>
        <w:t xml:space="preserve">             </w:t>
      </w:r>
    </w:p>
    <w:p w14:paraId="1AE4BEF3">
      <w:pPr>
        <w:snapToGrid w:val="0"/>
        <w:spacing w:line="420" w:lineRule="exact"/>
        <w:ind w:left="2124" w:leftChars="247" w:hanging="1581" w:hangingChars="659"/>
        <w:rPr>
          <w:rFonts w:ascii="宋体"/>
          <w:sz w:val="24"/>
          <w:u w:val="single"/>
        </w:rPr>
      </w:pPr>
      <w:r>
        <w:rPr>
          <w:rFonts w:hint="eastAsia" w:ascii="宋体"/>
          <w:sz w:val="24"/>
        </w:rPr>
        <w:t>详细通讯地址：</w:t>
      </w:r>
      <w:r>
        <w:rPr>
          <w:rFonts w:hint="eastAsia" w:ascii="宋体"/>
          <w:sz w:val="24"/>
          <w:u w:val="single"/>
        </w:rPr>
        <w:t xml:space="preserve">                  </w:t>
      </w:r>
      <w:r>
        <w:rPr>
          <w:rFonts w:hint="eastAsia" w:ascii="宋体"/>
          <w:sz w:val="24"/>
        </w:rPr>
        <w:t xml:space="preserve"> 邮政编码：</w:t>
      </w:r>
      <w:r>
        <w:rPr>
          <w:rFonts w:hint="eastAsia" w:ascii="宋体"/>
          <w:sz w:val="24"/>
          <w:u w:val="single"/>
        </w:rPr>
        <w:t xml:space="preserve">           </w:t>
      </w:r>
    </w:p>
    <w:p w14:paraId="547E23FA">
      <w:pPr>
        <w:snapToGrid w:val="0"/>
        <w:spacing w:line="420" w:lineRule="exact"/>
        <w:ind w:left="2124" w:leftChars="247" w:hanging="1581" w:hangingChars="659"/>
        <w:rPr>
          <w:rFonts w:ascii="宋体"/>
          <w:sz w:val="24"/>
          <w:u w:val="single"/>
        </w:rPr>
      </w:pPr>
      <w:r>
        <w:rPr>
          <w:rFonts w:hint="eastAsia" w:ascii="宋体"/>
          <w:sz w:val="24"/>
        </w:rPr>
        <w:t>电话：</w:t>
      </w:r>
      <w:r>
        <w:rPr>
          <w:rFonts w:hint="eastAsia" w:ascii="宋体"/>
          <w:sz w:val="24"/>
          <w:u w:val="single"/>
        </w:rPr>
        <w:t xml:space="preserve">                   </w:t>
      </w:r>
      <w:r>
        <w:rPr>
          <w:rFonts w:hint="eastAsia" w:ascii="宋体"/>
          <w:sz w:val="24"/>
        </w:rPr>
        <w:t xml:space="preserve"> 传真：</w:t>
      </w:r>
      <w:r>
        <w:rPr>
          <w:rFonts w:hint="eastAsia" w:ascii="宋体"/>
          <w:sz w:val="24"/>
          <w:u w:val="single"/>
        </w:rPr>
        <w:t xml:space="preserve">                      </w:t>
      </w:r>
    </w:p>
    <w:p w14:paraId="06371467">
      <w:pPr>
        <w:snapToGrid w:val="0"/>
        <w:spacing w:line="420" w:lineRule="exact"/>
        <w:ind w:left="2124" w:leftChars="247" w:hanging="1581" w:hangingChars="659"/>
        <w:rPr>
          <w:rFonts w:ascii="宋体"/>
          <w:sz w:val="24"/>
          <w:u w:val="single"/>
        </w:rPr>
      </w:pPr>
      <w:r>
        <w:rPr>
          <w:rFonts w:hint="eastAsia" w:ascii="宋体"/>
          <w:sz w:val="24"/>
        </w:rPr>
        <w:t>供应商：</w:t>
      </w:r>
      <w:r>
        <w:rPr>
          <w:rFonts w:hint="eastAsia" w:ascii="宋体"/>
          <w:sz w:val="24"/>
          <w:u w:val="single"/>
        </w:rPr>
        <w:t xml:space="preserve">                                    （电子签章）</w:t>
      </w:r>
    </w:p>
    <w:p w14:paraId="0A165A16">
      <w:pPr>
        <w:snapToGrid w:val="0"/>
        <w:spacing w:line="420" w:lineRule="exact"/>
        <w:ind w:left="2124" w:leftChars="247" w:hanging="1581" w:hangingChars="659"/>
        <w:rPr>
          <w:rFonts w:ascii="宋体"/>
          <w:sz w:val="24"/>
        </w:rPr>
      </w:pPr>
      <w:r>
        <w:rPr>
          <w:rFonts w:hint="eastAsia" w:ascii="宋体"/>
          <w:sz w:val="24"/>
        </w:rPr>
        <w:t>法定代表人：</w:t>
      </w:r>
      <w:r>
        <w:rPr>
          <w:rFonts w:hint="eastAsia" w:ascii="宋体"/>
          <w:sz w:val="24"/>
          <w:u w:val="single"/>
        </w:rPr>
        <w:t xml:space="preserve">                            （签字）</w:t>
      </w:r>
    </w:p>
    <w:p w14:paraId="168AA6FB">
      <w:pPr>
        <w:snapToGrid w:val="0"/>
        <w:spacing w:line="420" w:lineRule="exact"/>
        <w:ind w:left="2968" w:leftChars="1349" w:firstLine="2400" w:firstLineChars="1000"/>
        <w:rPr>
          <w:rFonts w:ascii="宋体"/>
          <w:sz w:val="24"/>
        </w:rPr>
      </w:pPr>
    </w:p>
    <w:p w14:paraId="6034AC5F">
      <w:pPr>
        <w:snapToGrid w:val="0"/>
        <w:spacing w:line="420" w:lineRule="exact"/>
        <w:ind w:firstLine="3600" w:firstLineChars="1500"/>
        <w:jc w:val="right"/>
        <w:rPr>
          <w:rFonts w:ascii="宋体"/>
          <w:sz w:val="24"/>
        </w:rPr>
      </w:pPr>
      <w:r>
        <w:rPr>
          <w:rFonts w:hint="eastAsia" w:ascii="宋体"/>
          <w:sz w:val="24"/>
        </w:rPr>
        <w:t>授权委托日期：</w:t>
      </w:r>
      <w:r>
        <w:rPr>
          <w:rFonts w:hint="eastAsia" w:ascii="宋体"/>
          <w:sz w:val="24"/>
          <w:u w:val="single"/>
        </w:rPr>
        <w:t xml:space="preserve">     </w:t>
      </w:r>
      <w:r>
        <w:rPr>
          <w:rFonts w:hint="eastAsia" w:ascii="宋体"/>
          <w:sz w:val="24"/>
        </w:rPr>
        <w:t xml:space="preserve">年 </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14:paraId="5FC59366">
      <w:pPr>
        <w:spacing w:line="420" w:lineRule="exact"/>
        <w:ind w:firstLine="3614" w:firstLineChars="1500"/>
        <w:jc w:val="right"/>
        <w:rPr>
          <w:rFonts w:ascii="宋体"/>
          <w:b/>
          <w:sz w:val="24"/>
        </w:rPr>
      </w:pPr>
    </w:p>
    <w:tbl>
      <w:tblPr>
        <w:tblStyle w:val="32"/>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072"/>
      </w:tblGrid>
      <w:tr w14:paraId="5F2A69B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224" w:hRule="atLeast"/>
        </w:trPr>
        <w:tc>
          <w:tcPr>
            <w:tcW w:w="9072" w:type="dxa"/>
          </w:tcPr>
          <w:p w14:paraId="39B4968F">
            <w:pPr>
              <w:pStyle w:val="20"/>
              <w:adjustRightInd w:val="0"/>
              <w:snapToGrid w:val="0"/>
              <w:spacing w:line="420" w:lineRule="exact"/>
              <w:rPr>
                <w:rFonts w:hAnsi="宋体"/>
                <w:iCs/>
                <w:sz w:val="36"/>
                <w:szCs w:val="24"/>
                <w:u w:val="single"/>
              </w:rPr>
            </w:pPr>
          </w:p>
          <w:p w14:paraId="6000B201">
            <w:pPr>
              <w:pStyle w:val="20"/>
              <w:adjustRightInd w:val="0"/>
              <w:snapToGrid w:val="0"/>
              <w:spacing w:line="420" w:lineRule="exact"/>
              <w:rPr>
                <w:rFonts w:hAnsi="宋体"/>
                <w:iCs/>
                <w:sz w:val="36"/>
                <w:szCs w:val="24"/>
                <w:u w:val="single"/>
              </w:rPr>
            </w:pPr>
          </w:p>
          <w:p w14:paraId="15B9CA33">
            <w:pPr>
              <w:pStyle w:val="20"/>
              <w:adjustRightInd w:val="0"/>
              <w:snapToGrid w:val="0"/>
              <w:spacing w:line="420" w:lineRule="exact"/>
              <w:jc w:val="center"/>
              <w:rPr>
                <w:rFonts w:hAnsi="宋体"/>
                <w:iCs/>
                <w:sz w:val="36"/>
                <w:szCs w:val="24"/>
                <w:u w:val="single"/>
              </w:rPr>
            </w:pPr>
            <w:r>
              <w:rPr>
                <w:rFonts w:hint="eastAsia"/>
                <w:b/>
                <w:iCs/>
                <w:sz w:val="24"/>
                <w:szCs w:val="24"/>
              </w:rPr>
              <w:t>法人代表身份证</w:t>
            </w:r>
          </w:p>
          <w:p w14:paraId="138EC758">
            <w:pPr>
              <w:pStyle w:val="20"/>
              <w:adjustRightInd w:val="0"/>
              <w:snapToGrid w:val="0"/>
              <w:spacing w:line="420" w:lineRule="exact"/>
              <w:jc w:val="center"/>
              <w:rPr>
                <w:b/>
                <w:iCs/>
                <w:sz w:val="24"/>
                <w:szCs w:val="24"/>
              </w:rPr>
            </w:pPr>
            <w:r>
              <w:rPr>
                <w:rFonts w:hint="eastAsia"/>
                <w:b/>
                <w:iCs/>
                <w:sz w:val="24"/>
                <w:szCs w:val="24"/>
              </w:rPr>
              <w:t>扫描件或复印件（正反面均须提供）</w:t>
            </w:r>
          </w:p>
          <w:p w14:paraId="08EBF533">
            <w:pPr>
              <w:pStyle w:val="52"/>
              <w:spacing w:line="420" w:lineRule="exact"/>
              <w:rPr>
                <w:rFonts w:ascii="宋体"/>
                <w:sz w:val="18"/>
                <w:szCs w:val="18"/>
              </w:rPr>
            </w:pPr>
          </w:p>
        </w:tc>
      </w:tr>
      <w:tr w14:paraId="46086B5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74" w:hRule="atLeast"/>
        </w:trPr>
        <w:tc>
          <w:tcPr>
            <w:tcW w:w="9072" w:type="dxa"/>
          </w:tcPr>
          <w:p w14:paraId="79265031">
            <w:pPr>
              <w:pStyle w:val="20"/>
              <w:adjustRightInd w:val="0"/>
              <w:snapToGrid w:val="0"/>
              <w:spacing w:line="420" w:lineRule="exact"/>
              <w:jc w:val="center"/>
              <w:rPr>
                <w:b/>
                <w:iCs/>
                <w:sz w:val="24"/>
                <w:szCs w:val="24"/>
              </w:rPr>
            </w:pPr>
          </w:p>
          <w:p w14:paraId="4DDF6947">
            <w:pPr>
              <w:pStyle w:val="20"/>
              <w:adjustRightInd w:val="0"/>
              <w:snapToGrid w:val="0"/>
              <w:spacing w:line="420" w:lineRule="exact"/>
              <w:jc w:val="center"/>
              <w:rPr>
                <w:b/>
                <w:iCs/>
                <w:sz w:val="24"/>
                <w:szCs w:val="24"/>
              </w:rPr>
            </w:pPr>
          </w:p>
          <w:p w14:paraId="0ED69DD7">
            <w:pPr>
              <w:pStyle w:val="20"/>
              <w:adjustRightInd w:val="0"/>
              <w:snapToGrid w:val="0"/>
              <w:spacing w:line="420" w:lineRule="exact"/>
              <w:jc w:val="center"/>
              <w:rPr>
                <w:rFonts w:hAnsi="宋体"/>
                <w:iCs/>
                <w:sz w:val="36"/>
                <w:szCs w:val="24"/>
                <w:u w:val="single"/>
              </w:rPr>
            </w:pPr>
            <w:r>
              <w:rPr>
                <w:rFonts w:hint="eastAsia"/>
                <w:b/>
                <w:iCs/>
                <w:sz w:val="24"/>
                <w:szCs w:val="24"/>
              </w:rPr>
              <w:t>被授权人（授权代表）身份证</w:t>
            </w:r>
          </w:p>
          <w:p w14:paraId="5A71FACD">
            <w:pPr>
              <w:pStyle w:val="20"/>
              <w:adjustRightInd w:val="0"/>
              <w:snapToGrid w:val="0"/>
              <w:spacing w:line="420" w:lineRule="exact"/>
              <w:jc w:val="center"/>
              <w:rPr>
                <w:b/>
                <w:iCs/>
                <w:sz w:val="24"/>
                <w:szCs w:val="24"/>
              </w:rPr>
            </w:pPr>
            <w:r>
              <w:rPr>
                <w:rFonts w:hint="eastAsia"/>
                <w:b/>
                <w:iCs/>
                <w:sz w:val="24"/>
                <w:szCs w:val="24"/>
              </w:rPr>
              <w:t>扫描件或复印件（正反面均须提供）</w:t>
            </w:r>
          </w:p>
          <w:p w14:paraId="61AF5F11">
            <w:pPr>
              <w:pStyle w:val="21"/>
              <w:spacing w:line="420" w:lineRule="exact"/>
              <w:ind w:left="440"/>
              <w:rPr>
                <w:rFonts w:ascii="宋体"/>
                <w:sz w:val="18"/>
                <w:szCs w:val="18"/>
              </w:rPr>
            </w:pPr>
          </w:p>
          <w:p w14:paraId="1FDEEBCA">
            <w:pPr>
              <w:pStyle w:val="52"/>
              <w:spacing w:line="420" w:lineRule="exact"/>
              <w:rPr>
                <w:rFonts w:ascii="宋体"/>
                <w:sz w:val="18"/>
                <w:szCs w:val="18"/>
              </w:rPr>
            </w:pPr>
          </w:p>
        </w:tc>
      </w:tr>
    </w:tbl>
    <w:p w14:paraId="4C0AC2F8">
      <w:pPr>
        <w:spacing w:before="312" w:beforeLines="100" w:line="420" w:lineRule="exact"/>
        <w:jc w:val="center"/>
        <w:rPr>
          <w:rFonts w:ascii="宋体" w:hAnsi="宋体" w:cs="宋体"/>
          <w:b/>
          <w:sz w:val="36"/>
          <w:szCs w:val="36"/>
          <w:lang w:val="zh-CN"/>
        </w:rPr>
      </w:pPr>
      <w:r>
        <w:rPr>
          <w:rFonts w:hint="eastAsia"/>
          <w:sz w:val="30"/>
        </w:rPr>
        <w:br w:type="page"/>
      </w:r>
      <w:r>
        <w:rPr>
          <w:rFonts w:hint="eastAsia" w:ascii="宋体" w:hAnsi="宋体" w:cs="宋体"/>
          <w:b/>
          <w:sz w:val="36"/>
          <w:szCs w:val="36"/>
        </w:rPr>
        <w:t>法定代表人身份证明</w:t>
      </w:r>
    </w:p>
    <w:p w14:paraId="53E6802E">
      <w:pPr>
        <w:spacing w:line="420" w:lineRule="exact"/>
        <w:rPr>
          <w:rFonts w:ascii="宋体" w:hAnsi="宋体" w:cs="宋体"/>
          <w:sz w:val="36"/>
          <w:szCs w:val="36"/>
          <w:lang w:val="zh-CN"/>
        </w:rPr>
      </w:pPr>
    </w:p>
    <w:p w14:paraId="4CD0479E">
      <w:pPr>
        <w:spacing w:line="420" w:lineRule="exact"/>
        <w:rPr>
          <w:rFonts w:ascii="宋体" w:hAnsi="宋体" w:cs="宋体"/>
          <w:sz w:val="24"/>
          <w:szCs w:val="24"/>
        </w:rPr>
      </w:pPr>
      <w:r>
        <w:rPr>
          <w:rFonts w:hint="eastAsia" w:ascii="宋体" w:hAnsi="宋体" w:cs="宋体"/>
          <w:sz w:val="24"/>
          <w:szCs w:val="24"/>
        </w:rPr>
        <w:t>供 应 商：</w:t>
      </w:r>
      <w:r>
        <w:rPr>
          <w:rFonts w:hint="eastAsia" w:ascii="宋体" w:hAnsi="宋体" w:cs="宋体"/>
          <w:sz w:val="24"/>
          <w:szCs w:val="24"/>
          <w:u w:val="single"/>
        </w:rPr>
        <w:t xml:space="preserve">                                                       </w:t>
      </w:r>
    </w:p>
    <w:p w14:paraId="6D58493E">
      <w:pPr>
        <w:spacing w:line="420" w:lineRule="exact"/>
        <w:rPr>
          <w:rFonts w:ascii="宋体" w:hAnsi="宋体" w:cs="宋体"/>
          <w:sz w:val="24"/>
          <w:szCs w:val="24"/>
          <w:u w:val="single"/>
        </w:rPr>
      </w:pPr>
      <w:r>
        <w:rPr>
          <w:rFonts w:hint="eastAsia" w:ascii="宋体" w:hAnsi="宋体" w:cs="宋体"/>
          <w:sz w:val="24"/>
          <w:szCs w:val="24"/>
        </w:rPr>
        <w:t>单位性质：</w:t>
      </w:r>
      <w:r>
        <w:rPr>
          <w:rFonts w:hint="eastAsia" w:ascii="宋体" w:hAnsi="宋体" w:cs="宋体"/>
          <w:sz w:val="24"/>
          <w:szCs w:val="24"/>
          <w:u w:val="single"/>
        </w:rPr>
        <w:t xml:space="preserve">                                                       </w:t>
      </w:r>
    </w:p>
    <w:p w14:paraId="6EFECF59">
      <w:pPr>
        <w:spacing w:line="420" w:lineRule="exac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4065850A">
      <w:pPr>
        <w:spacing w:line="420" w:lineRule="exact"/>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1ADA647">
      <w:pPr>
        <w:spacing w:line="420" w:lineRule="exact"/>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DD0BCDF">
      <w:pPr>
        <w:spacing w:line="420" w:lineRule="exact"/>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5BEA9100">
      <w:pPr>
        <w:spacing w:line="420" w:lineRule="exact"/>
        <w:rPr>
          <w:rFonts w:ascii="宋体" w:hAnsi="宋体" w:cs="宋体"/>
          <w:sz w:val="24"/>
          <w:szCs w:val="24"/>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50C98C9C">
      <w:pPr>
        <w:spacing w:line="420" w:lineRule="exact"/>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5F240DD1">
      <w:pPr>
        <w:spacing w:line="420" w:lineRule="exact"/>
        <w:rPr>
          <w:rFonts w:ascii="宋体" w:hAnsi="宋体" w:cs="宋体"/>
          <w:sz w:val="24"/>
          <w:szCs w:val="24"/>
        </w:rPr>
      </w:pPr>
      <w:r>
        <w:rPr>
          <w:rFonts w:hint="eastAsia" w:ascii="宋体" w:hAnsi="宋体" w:cs="宋体"/>
          <w:sz w:val="24"/>
          <w:szCs w:val="24"/>
        </w:rPr>
        <w:t>特此证明。</w:t>
      </w:r>
    </w:p>
    <w:p w14:paraId="05330044">
      <w:pPr>
        <w:spacing w:line="420" w:lineRule="exact"/>
        <w:rPr>
          <w:rFonts w:ascii="宋体" w:hAnsi="宋体" w:cs="宋体"/>
          <w:szCs w:val="21"/>
        </w:rPr>
      </w:pPr>
    </w:p>
    <w:tbl>
      <w:tblPr>
        <w:tblStyle w:val="3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14:paraId="043E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8" w:hRule="atLeast"/>
        </w:trPr>
        <w:tc>
          <w:tcPr>
            <w:tcW w:w="9072" w:type="dxa"/>
          </w:tcPr>
          <w:p w14:paraId="109DF56A">
            <w:pPr>
              <w:spacing w:line="420" w:lineRule="exact"/>
              <w:rPr>
                <w:rFonts w:ascii="宋体" w:hAnsi="宋体" w:cs="宋体"/>
                <w:szCs w:val="21"/>
              </w:rPr>
            </w:pPr>
          </w:p>
          <w:p w14:paraId="16DCACA4">
            <w:pPr>
              <w:spacing w:line="420" w:lineRule="exact"/>
              <w:rPr>
                <w:rFonts w:ascii="宋体" w:hAnsi="宋体" w:cs="宋体"/>
                <w:szCs w:val="21"/>
              </w:rPr>
            </w:pPr>
          </w:p>
          <w:p w14:paraId="2AD7CDD8">
            <w:pPr>
              <w:spacing w:line="420" w:lineRule="exact"/>
              <w:rPr>
                <w:rFonts w:ascii="宋体" w:hAnsi="宋体" w:cs="宋体"/>
                <w:szCs w:val="21"/>
              </w:rPr>
            </w:pPr>
          </w:p>
          <w:p w14:paraId="3400AF23">
            <w:pPr>
              <w:spacing w:line="420" w:lineRule="exact"/>
              <w:jc w:val="center"/>
              <w:rPr>
                <w:rFonts w:ascii="宋体" w:hAnsi="宋体" w:cs="宋体"/>
              </w:rPr>
            </w:pPr>
          </w:p>
          <w:p w14:paraId="194B9920">
            <w:pPr>
              <w:spacing w:line="420" w:lineRule="exact"/>
              <w:jc w:val="center"/>
              <w:rPr>
                <w:rFonts w:ascii="宋体" w:hAnsi="宋体" w:cs="宋体"/>
                <w:szCs w:val="21"/>
              </w:rPr>
            </w:pPr>
            <w:r>
              <w:rPr>
                <w:rFonts w:hint="eastAsia" w:ascii="宋体" w:hAnsi="宋体" w:cs="宋体"/>
              </w:rPr>
              <w:t>附法定代表人身份证复印件（正反两面）</w:t>
            </w:r>
          </w:p>
        </w:tc>
      </w:tr>
    </w:tbl>
    <w:p w14:paraId="5D2E5443">
      <w:pPr>
        <w:spacing w:line="420" w:lineRule="exact"/>
        <w:rPr>
          <w:rFonts w:ascii="宋体" w:hAnsi="宋体" w:cs="宋体"/>
          <w:szCs w:val="21"/>
        </w:rPr>
      </w:pPr>
    </w:p>
    <w:p w14:paraId="5563737E">
      <w:pPr>
        <w:spacing w:line="420" w:lineRule="exact"/>
        <w:rPr>
          <w:rFonts w:ascii="宋体" w:hAnsi="宋体" w:cs="宋体"/>
          <w:szCs w:val="21"/>
        </w:rPr>
      </w:pPr>
    </w:p>
    <w:p w14:paraId="63528ADA">
      <w:pPr>
        <w:spacing w:line="420" w:lineRule="exact"/>
        <w:rPr>
          <w:rFonts w:ascii="宋体" w:hAnsi="宋体" w:cs="宋体"/>
          <w:szCs w:val="21"/>
        </w:rPr>
      </w:pPr>
    </w:p>
    <w:p w14:paraId="70A5C47A">
      <w:pPr>
        <w:spacing w:line="420" w:lineRule="exact"/>
        <w:ind w:right="420"/>
        <w:jc w:val="center"/>
        <w:rPr>
          <w:rFonts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（盖单位公章）</w:t>
      </w:r>
    </w:p>
    <w:p w14:paraId="226F831E">
      <w:pPr>
        <w:spacing w:line="420" w:lineRule="exact"/>
        <w:jc w:val="right"/>
        <w:rPr>
          <w:rFonts w:ascii="宋体" w:hAnsi="宋体" w:cs="宋体"/>
          <w:szCs w:val="21"/>
        </w:rPr>
      </w:pPr>
    </w:p>
    <w:p w14:paraId="2B05E70C">
      <w:pPr>
        <w:spacing w:line="420" w:lineRule="exact"/>
        <w:jc w:val="righ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04EA6296">
      <w:pPr>
        <w:pStyle w:val="31"/>
      </w:pPr>
      <w:r>
        <w:br w:type="page"/>
      </w:r>
    </w:p>
    <w:p w14:paraId="2ED4BF5A">
      <w:pPr>
        <w:pStyle w:val="7"/>
        <w:spacing w:line="420" w:lineRule="exact"/>
        <w:rPr>
          <w:kern w:val="0"/>
        </w:rPr>
      </w:pPr>
      <w:r>
        <w:rPr>
          <w:kern w:val="0"/>
        </w:rPr>
        <w:t>1.4</w:t>
      </w:r>
      <w:r>
        <w:rPr>
          <w:rFonts w:hint="eastAsia"/>
          <w:kern w:val="0"/>
        </w:rPr>
        <w:t>、落实政府采购政策需满足的资格要求</w:t>
      </w:r>
    </w:p>
    <w:p w14:paraId="32BDB5A4">
      <w:pPr>
        <w:spacing w:line="420" w:lineRule="exact"/>
        <w:jc w:val="center"/>
        <w:rPr>
          <w:rFonts w:ascii="宋体" w:hAnsi="宋体" w:cs="宋体"/>
          <w:b/>
          <w:bCs/>
          <w:sz w:val="28"/>
          <w:szCs w:val="28"/>
        </w:rPr>
      </w:pPr>
      <w:r>
        <w:rPr>
          <w:rFonts w:hint="eastAsia" w:ascii="宋体" w:hAnsi="宋体" w:cs="宋体"/>
          <w:b/>
          <w:bCs/>
          <w:sz w:val="28"/>
          <w:szCs w:val="28"/>
        </w:rPr>
        <w:t>中小企业声明函（工程、服务）</w:t>
      </w:r>
    </w:p>
    <w:p w14:paraId="32EE152B">
      <w:pPr>
        <w:spacing w:line="420" w:lineRule="exact"/>
        <w:ind w:firstLine="440" w:firstLineChars="200"/>
        <w:jc w:val="left"/>
        <w:rPr>
          <w:rFonts w:ascii="宋体" w:hAnsi="宋体" w:cs="宋体"/>
          <w:bCs/>
          <w:szCs w:val="22"/>
        </w:rPr>
      </w:pPr>
      <w:r>
        <w:rPr>
          <w:rFonts w:hint="eastAsia" w:ascii="宋体" w:hAnsi="宋体" w:cs="宋体"/>
          <w:bCs/>
          <w:szCs w:val="22"/>
        </w:rPr>
        <w:t>本公司（联合体）郑重声明，根据《政府采购促进中小企业发展管理办法》（财库﹝2020﹞46号）的规定，本公司（联合体）参加</w:t>
      </w:r>
      <w:r>
        <w:rPr>
          <w:rFonts w:hint="eastAsia" w:ascii="宋体" w:hAnsi="宋体" w:cs="宋体"/>
          <w:bCs/>
          <w:szCs w:val="22"/>
          <w:u w:val="single"/>
        </w:rPr>
        <w:t xml:space="preserve"> （采购人）  </w:t>
      </w:r>
      <w:r>
        <w:rPr>
          <w:rFonts w:hint="eastAsia" w:ascii="宋体" w:hAnsi="宋体" w:cs="宋体"/>
          <w:bCs/>
          <w:szCs w:val="22"/>
        </w:rPr>
        <w:t>的</w:t>
      </w:r>
      <w:r>
        <w:rPr>
          <w:rFonts w:hint="eastAsia" w:ascii="宋体" w:hAnsi="宋体" w:cs="宋体"/>
          <w:bCs/>
          <w:szCs w:val="22"/>
          <w:u w:val="single"/>
        </w:rPr>
        <w:t>（项目名称）</w:t>
      </w:r>
      <w:r>
        <w:rPr>
          <w:rFonts w:hint="eastAsia" w:ascii="宋体" w:hAnsi="宋体" w:cs="宋体"/>
          <w:bCs/>
          <w:szCs w:val="22"/>
        </w:rPr>
        <w:t>采购活动，工程的施工单位全部为符合政策要求的中小企业（或者：服务全部由符合政策要求的中小企业承接） 。相关企业（含联合体中的中小企业、签订分包意向协议的中小企业）的具体情况如下：</w:t>
      </w:r>
    </w:p>
    <w:p w14:paraId="72AEDC1F">
      <w:pPr>
        <w:spacing w:line="420" w:lineRule="exact"/>
        <w:jc w:val="left"/>
        <w:rPr>
          <w:rFonts w:ascii="宋体" w:hAnsi="宋体" w:cs="宋体"/>
          <w:bCs/>
          <w:szCs w:val="22"/>
        </w:rPr>
      </w:pPr>
      <w:r>
        <w:rPr>
          <w:rFonts w:hint="eastAsia" w:ascii="宋体" w:hAnsi="宋体" w:cs="宋体"/>
          <w:bCs/>
          <w:szCs w:val="22"/>
        </w:rPr>
        <w:t>1.</w:t>
      </w:r>
      <w:r>
        <w:rPr>
          <w:rFonts w:hint="eastAsia" w:ascii="宋体" w:hAnsi="宋体" w:cs="宋体"/>
          <w:bCs/>
          <w:szCs w:val="22"/>
          <w:u w:val="single"/>
        </w:rPr>
        <w:t>（标的名称）</w:t>
      </w:r>
      <w:r>
        <w:rPr>
          <w:rFonts w:hint="eastAsia" w:ascii="宋体" w:hAnsi="宋体" w:cs="宋体"/>
          <w:bCs/>
          <w:szCs w:val="22"/>
        </w:rPr>
        <w:t>，属于</w:t>
      </w:r>
      <w:r>
        <w:rPr>
          <w:rFonts w:hint="eastAsia" w:ascii="宋体" w:hAnsi="宋体" w:cs="宋体"/>
          <w:bCs/>
          <w:szCs w:val="22"/>
          <w:u w:val="single"/>
        </w:rPr>
        <w:t>（</w:t>
      </w:r>
      <w:r>
        <w:rPr>
          <w:rFonts w:hint="eastAsia" w:ascii="宋体" w:hAnsi="宋体" w:cs="宋体"/>
          <w:bCs/>
          <w:color w:val="0000FF"/>
          <w:szCs w:val="22"/>
          <w:u w:val="single"/>
        </w:rPr>
        <w:t>其他未列明行业</w:t>
      </w:r>
      <w:r>
        <w:rPr>
          <w:rFonts w:hint="eastAsia" w:ascii="宋体" w:hAnsi="宋体" w:cs="宋体"/>
          <w:bCs/>
          <w:szCs w:val="22"/>
          <w:u w:val="single"/>
        </w:rPr>
        <w:t>）</w:t>
      </w:r>
      <w:r>
        <w:rPr>
          <w:rFonts w:hint="eastAsia" w:ascii="宋体" w:hAnsi="宋体" w:cs="宋体"/>
          <w:bCs/>
          <w:szCs w:val="22"/>
        </w:rPr>
        <w:t>；承建（承接）企业为</w:t>
      </w:r>
      <w:r>
        <w:rPr>
          <w:rFonts w:hint="eastAsia" w:ascii="宋体" w:hAnsi="宋体" w:cs="宋体"/>
          <w:bCs/>
          <w:szCs w:val="22"/>
          <w:u w:val="single"/>
        </w:rPr>
        <w:t xml:space="preserve">（企业名称） </w:t>
      </w:r>
      <w:r>
        <w:rPr>
          <w:rFonts w:hint="eastAsia" w:ascii="宋体" w:hAnsi="宋体" w:cs="宋体"/>
          <w:bCs/>
          <w:szCs w:val="22"/>
        </w:rPr>
        <w:t>，从业人员</w:t>
      </w:r>
      <w:r>
        <w:rPr>
          <w:rFonts w:hint="eastAsia" w:ascii="宋体" w:hAnsi="宋体" w:cs="宋体"/>
          <w:bCs/>
          <w:szCs w:val="22"/>
          <w:u w:val="single"/>
        </w:rPr>
        <w:t xml:space="preserve">   </w:t>
      </w:r>
      <w:r>
        <w:rPr>
          <w:rFonts w:hint="eastAsia" w:ascii="宋体" w:hAnsi="宋体" w:cs="宋体"/>
          <w:bCs/>
          <w:szCs w:val="22"/>
        </w:rPr>
        <w:t>人，营业收入为</w:t>
      </w:r>
      <w:r>
        <w:rPr>
          <w:rFonts w:hint="eastAsia" w:ascii="宋体" w:hAnsi="宋体" w:cs="宋体"/>
          <w:bCs/>
          <w:szCs w:val="22"/>
          <w:u w:val="single"/>
        </w:rPr>
        <w:t xml:space="preserve">  </w:t>
      </w:r>
      <w:r>
        <w:rPr>
          <w:rFonts w:hint="eastAsia" w:ascii="宋体" w:hAnsi="宋体" w:cs="宋体"/>
          <w:bCs/>
          <w:szCs w:val="22"/>
        </w:rPr>
        <w:t>万元，资产总额为</w:t>
      </w:r>
      <w:r>
        <w:rPr>
          <w:rFonts w:hint="eastAsia" w:ascii="宋体" w:hAnsi="宋体" w:cs="宋体"/>
          <w:bCs/>
          <w:szCs w:val="22"/>
          <w:u w:val="single"/>
        </w:rPr>
        <w:t xml:space="preserve">  </w:t>
      </w:r>
      <w:r>
        <w:rPr>
          <w:rFonts w:hint="eastAsia" w:ascii="宋体" w:hAnsi="宋体" w:cs="宋体"/>
          <w:bCs/>
          <w:szCs w:val="22"/>
        </w:rPr>
        <w:t>万元 ，属于</w:t>
      </w:r>
      <w:r>
        <w:rPr>
          <w:rFonts w:hint="eastAsia" w:ascii="宋体" w:hAnsi="宋体" w:cs="宋体"/>
          <w:bCs/>
          <w:szCs w:val="22"/>
          <w:u w:val="single"/>
        </w:rPr>
        <w:t>（中型企业、小型企业、微型企业）</w:t>
      </w:r>
      <w:r>
        <w:rPr>
          <w:rFonts w:hint="eastAsia" w:ascii="宋体" w:hAnsi="宋体" w:cs="宋体"/>
          <w:bCs/>
          <w:szCs w:val="22"/>
        </w:rPr>
        <w:t xml:space="preserve"> ；</w:t>
      </w:r>
    </w:p>
    <w:p w14:paraId="393F98BC">
      <w:pPr>
        <w:spacing w:line="420" w:lineRule="exact"/>
        <w:jc w:val="left"/>
        <w:rPr>
          <w:rFonts w:ascii="宋体" w:hAnsi="宋体" w:cs="宋体"/>
          <w:bCs/>
          <w:szCs w:val="22"/>
        </w:rPr>
      </w:pPr>
      <w:r>
        <w:rPr>
          <w:rFonts w:hint="eastAsia" w:ascii="宋体" w:hAnsi="宋体" w:cs="宋体"/>
          <w:bCs/>
          <w:szCs w:val="22"/>
        </w:rPr>
        <w:t>2.</w:t>
      </w:r>
      <w:r>
        <w:rPr>
          <w:rFonts w:hint="eastAsia" w:ascii="宋体" w:hAnsi="宋体" w:cs="宋体"/>
          <w:bCs/>
          <w:szCs w:val="22"/>
          <w:u w:val="single"/>
        </w:rPr>
        <w:t>（标的名称）</w:t>
      </w:r>
      <w:r>
        <w:rPr>
          <w:rFonts w:hint="eastAsia" w:ascii="宋体" w:hAnsi="宋体" w:cs="宋体"/>
          <w:bCs/>
          <w:szCs w:val="22"/>
        </w:rPr>
        <w:t>，属于</w:t>
      </w:r>
      <w:r>
        <w:rPr>
          <w:rFonts w:hint="eastAsia" w:ascii="宋体" w:hAnsi="宋体" w:cs="宋体"/>
          <w:bCs/>
          <w:szCs w:val="22"/>
          <w:u w:val="single"/>
        </w:rPr>
        <w:t>（</w:t>
      </w:r>
      <w:r>
        <w:rPr>
          <w:rFonts w:hint="eastAsia" w:ascii="宋体" w:hAnsi="宋体" w:cs="宋体"/>
          <w:bCs/>
          <w:color w:val="0000FF"/>
          <w:szCs w:val="22"/>
          <w:u w:val="single"/>
        </w:rPr>
        <w:t>其他未列明行业</w:t>
      </w:r>
      <w:r>
        <w:rPr>
          <w:rFonts w:hint="eastAsia" w:ascii="宋体" w:hAnsi="宋体" w:cs="宋体"/>
          <w:bCs/>
          <w:szCs w:val="22"/>
          <w:u w:val="single"/>
        </w:rPr>
        <w:t>）</w:t>
      </w:r>
      <w:r>
        <w:rPr>
          <w:rFonts w:hint="eastAsia" w:ascii="宋体" w:hAnsi="宋体" w:cs="宋体"/>
          <w:bCs/>
          <w:szCs w:val="22"/>
        </w:rPr>
        <w:t>；承建（承接）企业为</w:t>
      </w:r>
      <w:r>
        <w:rPr>
          <w:rFonts w:hint="eastAsia" w:ascii="宋体" w:hAnsi="宋体" w:cs="宋体"/>
          <w:bCs/>
          <w:szCs w:val="22"/>
          <w:u w:val="single"/>
        </w:rPr>
        <w:t xml:space="preserve">（企业名称） </w:t>
      </w:r>
      <w:r>
        <w:rPr>
          <w:rFonts w:hint="eastAsia" w:ascii="宋体" w:hAnsi="宋体" w:cs="宋体"/>
          <w:bCs/>
          <w:szCs w:val="22"/>
        </w:rPr>
        <w:t>，从业人员</w:t>
      </w:r>
      <w:r>
        <w:rPr>
          <w:rFonts w:hint="eastAsia" w:ascii="宋体" w:hAnsi="宋体" w:cs="宋体"/>
          <w:bCs/>
          <w:szCs w:val="22"/>
          <w:u w:val="single"/>
        </w:rPr>
        <w:t xml:space="preserve">   </w:t>
      </w:r>
      <w:r>
        <w:rPr>
          <w:rFonts w:hint="eastAsia" w:ascii="宋体" w:hAnsi="宋体" w:cs="宋体"/>
          <w:bCs/>
          <w:szCs w:val="22"/>
        </w:rPr>
        <w:t>人，营业收入为</w:t>
      </w:r>
      <w:r>
        <w:rPr>
          <w:rFonts w:hint="eastAsia" w:ascii="宋体" w:hAnsi="宋体" w:cs="宋体"/>
          <w:bCs/>
          <w:szCs w:val="22"/>
          <w:u w:val="single"/>
        </w:rPr>
        <w:t xml:space="preserve">  </w:t>
      </w:r>
      <w:r>
        <w:rPr>
          <w:rFonts w:hint="eastAsia" w:ascii="宋体" w:hAnsi="宋体" w:cs="宋体"/>
          <w:bCs/>
          <w:szCs w:val="22"/>
        </w:rPr>
        <w:t>万元，资产总额为</w:t>
      </w:r>
      <w:r>
        <w:rPr>
          <w:rFonts w:hint="eastAsia" w:ascii="宋体" w:hAnsi="宋体" w:cs="宋体"/>
          <w:bCs/>
          <w:szCs w:val="22"/>
          <w:u w:val="single"/>
        </w:rPr>
        <w:t xml:space="preserve">  </w:t>
      </w:r>
      <w:r>
        <w:rPr>
          <w:rFonts w:hint="eastAsia" w:ascii="宋体" w:hAnsi="宋体" w:cs="宋体"/>
          <w:bCs/>
          <w:szCs w:val="22"/>
        </w:rPr>
        <w:t>万元 ，属于</w:t>
      </w:r>
      <w:r>
        <w:rPr>
          <w:rFonts w:hint="eastAsia" w:ascii="宋体" w:hAnsi="宋体" w:cs="宋体"/>
          <w:bCs/>
          <w:szCs w:val="22"/>
          <w:u w:val="single"/>
        </w:rPr>
        <w:t>（中型企业、小型企业、微型企业）</w:t>
      </w:r>
      <w:r>
        <w:rPr>
          <w:rFonts w:hint="eastAsia" w:ascii="宋体" w:hAnsi="宋体" w:cs="宋体"/>
          <w:bCs/>
          <w:szCs w:val="22"/>
        </w:rPr>
        <w:t xml:space="preserve"> ；</w:t>
      </w:r>
    </w:p>
    <w:p w14:paraId="57D3275B">
      <w:pPr>
        <w:spacing w:line="420" w:lineRule="exact"/>
        <w:ind w:firstLine="440" w:firstLineChars="200"/>
        <w:jc w:val="left"/>
        <w:rPr>
          <w:rFonts w:ascii="宋体" w:hAnsi="宋体" w:cs="宋体"/>
          <w:bCs/>
          <w:szCs w:val="22"/>
        </w:rPr>
      </w:pPr>
      <w:r>
        <w:rPr>
          <w:rFonts w:hint="eastAsia" w:ascii="宋体" w:hAnsi="宋体" w:cs="宋体"/>
          <w:bCs/>
          <w:szCs w:val="22"/>
        </w:rPr>
        <w:t xml:space="preserve">…… </w:t>
      </w:r>
    </w:p>
    <w:p w14:paraId="5A99BDB3">
      <w:pPr>
        <w:spacing w:line="420" w:lineRule="exact"/>
        <w:ind w:firstLine="440" w:firstLineChars="200"/>
        <w:jc w:val="left"/>
        <w:rPr>
          <w:rFonts w:ascii="宋体" w:hAnsi="宋体" w:cs="宋体"/>
          <w:bCs/>
          <w:szCs w:val="22"/>
        </w:rPr>
      </w:pPr>
      <w:r>
        <w:rPr>
          <w:rFonts w:hint="eastAsia" w:ascii="宋体" w:hAnsi="宋体" w:cs="宋体"/>
          <w:bCs/>
          <w:szCs w:val="22"/>
        </w:rPr>
        <w:t>以上企业，不属于大企业的分支机构，不存在控股股东为大企业的情形，也不存在与大企业的负责人为同一人的情形。</w:t>
      </w:r>
    </w:p>
    <w:p w14:paraId="570F6E97">
      <w:pPr>
        <w:spacing w:line="420" w:lineRule="exact"/>
        <w:ind w:firstLine="440" w:firstLineChars="200"/>
        <w:jc w:val="left"/>
        <w:rPr>
          <w:rFonts w:ascii="宋体" w:hAnsi="宋体" w:cs="宋体"/>
          <w:bCs/>
          <w:szCs w:val="22"/>
        </w:rPr>
      </w:pPr>
      <w:r>
        <w:rPr>
          <w:rFonts w:hint="eastAsia" w:ascii="宋体" w:hAnsi="宋体" w:cs="宋体"/>
          <w:bCs/>
          <w:szCs w:val="22"/>
        </w:rPr>
        <w:t>本企业对上述声明内容的真实性负责。如有虚假，将依法承担相应责任。</w:t>
      </w:r>
    </w:p>
    <w:p w14:paraId="06128CA6">
      <w:pPr>
        <w:spacing w:line="420" w:lineRule="exact"/>
        <w:ind w:firstLine="5390" w:firstLineChars="2450"/>
        <w:jc w:val="left"/>
        <w:rPr>
          <w:rFonts w:ascii="宋体" w:hAnsi="宋体" w:cs="宋体"/>
          <w:bCs/>
          <w:szCs w:val="22"/>
        </w:rPr>
      </w:pPr>
    </w:p>
    <w:p w14:paraId="10AA5E1A">
      <w:pPr>
        <w:spacing w:line="420" w:lineRule="exact"/>
        <w:rPr>
          <w:rFonts w:ascii="宋体" w:hAnsi="宋体" w:cs="宋体"/>
          <w:bCs/>
          <w:szCs w:val="22"/>
        </w:rPr>
      </w:pPr>
      <w:r>
        <w:rPr>
          <w:rFonts w:hint="eastAsia" w:ascii="宋体" w:hAnsi="宋体" w:cs="宋体"/>
          <w:bCs/>
          <w:szCs w:val="22"/>
        </w:rPr>
        <w:t xml:space="preserve">   </w:t>
      </w:r>
      <w:r>
        <w:rPr>
          <w:rFonts w:ascii="宋体" w:hAnsi="宋体" w:cs="宋体"/>
          <w:bCs/>
          <w:szCs w:val="22"/>
        </w:rPr>
        <w:t xml:space="preserve">                                     </w:t>
      </w:r>
      <w:r>
        <w:rPr>
          <w:rFonts w:hint="eastAsia" w:ascii="宋体" w:hAnsi="宋体" w:cs="宋体"/>
          <w:bCs/>
          <w:szCs w:val="22"/>
        </w:rPr>
        <w:t xml:space="preserve"> 企业名称（盖章）： </w:t>
      </w:r>
    </w:p>
    <w:p w14:paraId="72E8BBD9">
      <w:pPr>
        <w:widowControl/>
        <w:spacing w:line="420" w:lineRule="exact"/>
        <w:ind w:firstLine="4510" w:firstLineChars="2050"/>
        <w:jc w:val="left"/>
        <w:rPr>
          <w:rFonts w:ascii="宋体" w:hAnsi="宋体" w:cs="宋体"/>
          <w:bCs/>
          <w:szCs w:val="22"/>
        </w:rPr>
      </w:pPr>
      <w:r>
        <w:rPr>
          <w:rFonts w:hint="eastAsia" w:ascii="宋体" w:hAnsi="宋体" w:cs="宋体"/>
          <w:bCs/>
          <w:szCs w:val="22"/>
        </w:rPr>
        <w:t>日期：</w:t>
      </w:r>
      <w:r>
        <w:rPr>
          <w:rFonts w:hint="eastAsia" w:ascii="宋体" w:hAnsi="宋体" w:cs="宋体"/>
          <w:bCs/>
          <w:szCs w:val="22"/>
          <w:u w:val="single"/>
        </w:rPr>
        <w:t xml:space="preserve">     </w:t>
      </w:r>
      <w:r>
        <w:rPr>
          <w:rFonts w:hint="eastAsia" w:ascii="宋体" w:hAnsi="宋体" w:cs="宋体"/>
          <w:bCs/>
          <w:szCs w:val="22"/>
        </w:rPr>
        <w:t>年</w:t>
      </w:r>
      <w:r>
        <w:rPr>
          <w:rFonts w:hint="eastAsia" w:ascii="宋体" w:hAnsi="宋体" w:cs="宋体"/>
          <w:bCs/>
          <w:szCs w:val="22"/>
          <w:u w:val="single"/>
        </w:rPr>
        <w:t xml:space="preserve">   </w:t>
      </w:r>
      <w:r>
        <w:rPr>
          <w:rFonts w:hint="eastAsia" w:ascii="宋体" w:hAnsi="宋体" w:cs="宋体"/>
          <w:bCs/>
          <w:szCs w:val="22"/>
        </w:rPr>
        <w:t>月</w:t>
      </w:r>
      <w:r>
        <w:rPr>
          <w:rFonts w:hint="eastAsia" w:ascii="宋体" w:hAnsi="宋体" w:cs="宋体"/>
          <w:bCs/>
          <w:szCs w:val="22"/>
          <w:u w:val="single"/>
        </w:rPr>
        <w:t xml:space="preserve">   </w:t>
      </w:r>
      <w:r>
        <w:rPr>
          <w:rFonts w:hint="eastAsia" w:ascii="宋体" w:hAnsi="宋体" w:cs="宋体"/>
          <w:bCs/>
          <w:szCs w:val="22"/>
        </w:rPr>
        <w:t>日</w:t>
      </w:r>
    </w:p>
    <w:p w14:paraId="46E239D0">
      <w:pPr>
        <w:spacing w:line="420" w:lineRule="exact"/>
        <w:rPr>
          <w:rFonts w:ascii="宋体" w:hAnsi="宋体" w:cs="宋体"/>
          <w:b/>
          <w:color w:val="000000"/>
          <w:szCs w:val="22"/>
        </w:rPr>
      </w:pPr>
    </w:p>
    <w:p w14:paraId="4F2F5DC4">
      <w:pPr>
        <w:spacing w:line="420" w:lineRule="exact"/>
        <w:rPr>
          <w:rFonts w:ascii="宋体" w:hAnsi="宋体" w:cs="宋体"/>
          <w:b/>
          <w:color w:val="000000"/>
          <w:szCs w:val="22"/>
        </w:rPr>
      </w:pPr>
      <w:r>
        <w:rPr>
          <w:rFonts w:hint="eastAsia" w:ascii="宋体" w:hAnsi="宋体" w:cs="宋体"/>
          <w:b/>
          <w:color w:val="000000"/>
          <w:szCs w:val="22"/>
        </w:rPr>
        <w:t>从业人员、营业收入、资产总额填报上一年度数据，无上一年度数据的新成立企业可不填报。</w:t>
      </w:r>
    </w:p>
    <w:p w14:paraId="7FD44E45">
      <w:pPr>
        <w:spacing w:line="360" w:lineRule="auto"/>
        <w:ind w:right="420"/>
        <w:rPr>
          <w:rFonts w:ascii="宋体" w:hAnsi="宋体" w:cs="宋体"/>
          <w:szCs w:val="22"/>
        </w:rPr>
      </w:pPr>
      <w:r>
        <w:rPr>
          <w:rFonts w:hint="eastAsia" w:ascii="宋体" w:hAnsi="宋体" w:cs="宋体"/>
          <w:szCs w:val="22"/>
        </w:rPr>
        <w:t>注：</w:t>
      </w:r>
    </w:p>
    <w:p w14:paraId="0ECB99CA">
      <w:pPr>
        <w:spacing w:line="360" w:lineRule="auto"/>
        <w:ind w:right="420" w:firstLine="440" w:firstLineChars="200"/>
        <w:rPr>
          <w:rFonts w:ascii="宋体" w:hAnsi="宋体" w:cs="宋体"/>
          <w:szCs w:val="22"/>
        </w:rPr>
      </w:pPr>
      <w:r>
        <w:rPr>
          <w:rFonts w:hint="eastAsia" w:ascii="宋体" w:hAnsi="宋体" w:cs="宋体"/>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D63BD4">
      <w:pPr>
        <w:pStyle w:val="2"/>
        <w:spacing w:line="420" w:lineRule="exact"/>
        <w:rPr>
          <w:rFonts w:ascii="宋体" w:hAnsi="宋体" w:cs="宋体"/>
          <w:szCs w:val="22"/>
        </w:rPr>
      </w:pPr>
      <w:r>
        <w:rPr>
          <w:rFonts w:hint="eastAsia" w:ascii="宋体" w:hAnsi="宋体" w:cs="宋体"/>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2C7A7">
      <w:pPr>
        <w:pStyle w:val="2"/>
        <w:spacing w:line="420" w:lineRule="exact"/>
        <w:rPr>
          <w:rFonts w:hAnsi="宋体" w:cs="宋体"/>
          <w:szCs w:val="22"/>
        </w:rPr>
      </w:pPr>
    </w:p>
    <w:p w14:paraId="4C97422E">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 xml:space="preserve"> </w:t>
      </w:r>
      <w:bookmarkStart w:id="192" w:name="_Toc25928"/>
      <w:bookmarkStart w:id="193" w:name="_Toc32178"/>
      <w:bookmarkStart w:id="194" w:name="_Toc27994"/>
      <w:bookmarkStart w:id="195" w:name="_Toc1729"/>
      <w:r>
        <w:rPr>
          <w:rFonts w:hint="eastAsia" w:cs="宋体" w:asciiTheme="minorEastAsia" w:hAnsiTheme="minorEastAsia"/>
          <w:b/>
          <w:kern w:val="0"/>
          <w:sz w:val="36"/>
          <w:szCs w:val="36"/>
        </w:rPr>
        <w:t>残疾人福利性单位声明函（如是）</w:t>
      </w:r>
      <w:bookmarkEnd w:id="192"/>
      <w:bookmarkEnd w:id="193"/>
      <w:bookmarkEnd w:id="194"/>
      <w:bookmarkEnd w:id="195"/>
    </w:p>
    <w:p w14:paraId="61D2B600">
      <w:pPr>
        <w:widowControl/>
        <w:spacing w:before="100" w:beforeAutospacing="1" w:after="100" w:afterAutospacing="1" w:line="420" w:lineRule="exact"/>
        <w:ind w:firstLine="770" w:firstLineChars="350"/>
        <w:jc w:val="left"/>
        <w:rPr>
          <w:rFonts w:ascii="宋体" w:hAnsi="宋体" w:cs="宋体"/>
          <w:bCs/>
          <w:szCs w:val="22"/>
        </w:rPr>
      </w:pPr>
      <w:r>
        <w:rPr>
          <w:rFonts w:hint="eastAsia" w:ascii="宋体" w:hAnsi="宋体" w:cs="宋体"/>
          <w:bCs/>
          <w:szCs w:val="22"/>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bCs/>
          <w:szCs w:val="22"/>
          <w:u w:val="single"/>
        </w:rPr>
        <w:t xml:space="preserve">    （项目名称）（项目编号） </w:t>
      </w:r>
      <w:r>
        <w:rPr>
          <w:rFonts w:hint="eastAsia" w:ascii="宋体" w:hAnsi="宋体" w:cs="宋体"/>
          <w:bCs/>
          <w:szCs w:val="22"/>
        </w:rPr>
        <w:t>采购活动提供本单位制造的货物（由本单位承担工程/提供服务），或者提供其他残疾人福利性单位制造的货物（不包括使用非残疾人福利性单位注册商标的货物）。</w:t>
      </w:r>
    </w:p>
    <w:p w14:paraId="6B9D0F4A">
      <w:pPr>
        <w:widowControl/>
        <w:spacing w:before="100" w:beforeAutospacing="1" w:after="100" w:afterAutospacing="1" w:line="420" w:lineRule="exact"/>
        <w:ind w:firstLine="330" w:firstLineChars="150"/>
        <w:jc w:val="left"/>
        <w:rPr>
          <w:rFonts w:ascii="宋体" w:hAnsi="宋体" w:cs="宋体"/>
          <w:bCs/>
          <w:szCs w:val="22"/>
        </w:rPr>
      </w:pPr>
      <w:r>
        <w:rPr>
          <w:rFonts w:hint="eastAsia" w:ascii="宋体" w:hAnsi="宋体" w:cs="宋体"/>
          <w:bCs/>
          <w:szCs w:val="22"/>
        </w:rPr>
        <w:t>本单位对上述声明的真实性负责。如有虚假，将依法承担相应责任。</w:t>
      </w:r>
    </w:p>
    <w:p w14:paraId="03607C4D">
      <w:pPr>
        <w:pStyle w:val="2"/>
        <w:spacing w:line="420" w:lineRule="exact"/>
        <w:rPr>
          <w:rFonts w:ascii="宋体" w:hAnsi="宋体" w:cs="宋体"/>
          <w:bCs/>
          <w:szCs w:val="22"/>
          <w:u w:val="single"/>
        </w:rPr>
      </w:pPr>
      <w:r>
        <w:rPr>
          <w:rFonts w:hint="eastAsia" w:ascii="宋体" w:hAnsi="宋体" w:cs="宋体"/>
          <w:bCs/>
          <w:szCs w:val="22"/>
        </w:rPr>
        <w:t>投标供应商名称（电子签章）：</w:t>
      </w:r>
      <w:r>
        <w:rPr>
          <w:rFonts w:ascii="宋体" w:hAnsi="宋体" w:cs="宋体"/>
          <w:bCs/>
          <w:szCs w:val="22"/>
        </w:rPr>
        <w:t>____________________________________________</w:t>
      </w:r>
    </w:p>
    <w:p w14:paraId="278D5789">
      <w:pPr>
        <w:pStyle w:val="2"/>
        <w:spacing w:line="420" w:lineRule="exact"/>
        <w:rPr>
          <w:rFonts w:ascii="宋体" w:hAnsi="宋体" w:cs="宋体"/>
          <w:bCs/>
          <w:szCs w:val="22"/>
          <w:u w:val="single"/>
        </w:rPr>
      </w:pPr>
      <w:r>
        <w:rPr>
          <w:rFonts w:hint="eastAsia" w:ascii="宋体" w:hAnsi="宋体" w:cs="宋体"/>
          <w:bCs/>
          <w:szCs w:val="22"/>
        </w:rPr>
        <w:t>日期：</w:t>
      </w:r>
      <w:r>
        <w:rPr>
          <w:rFonts w:ascii="宋体" w:hAnsi="宋体" w:cs="宋体"/>
          <w:bCs/>
          <w:szCs w:val="22"/>
        </w:rPr>
        <w:t>________</w:t>
      </w:r>
      <w:r>
        <w:rPr>
          <w:rFonts w:hint="eastAsia" w:ascii="宋体" w:hAnsi="宋体" w:cs="宋体"/>
          <w:bCs/>
          <w:szCs w:val="22"/>
        </w:rPr>
        <w:t>年</w:t>
      </w:r>
      <w:r>
        <w:rPr>
          <w:rFonts w:ascii="宋体" w:hAnsi="宋体" w:cs="宋体"/>
          <w:bCs/>
          <w:szCs w:val="22"/>
        </w:rPr>
        <w:t>____</w:t>
      </w:r>
      <w:r>
        <w:rPr>
          <w:rFonts w:hint="eastAsia" w:ascii="宋体" w:hAnsi="宋体" w:cs="宋体"/>
          <w:bCs/>
          <w:szCs w:val="22"/>
        </w:rPr>
        <w:t>月</w:t>
      </w:r>
      <w:r>
        <w:rPr>
          <w:rFonts w:ascii="宋体" w:hAnsi="宋体" w:cs="宋体"/>
          <w:bCs/>
          <w:szCs w:val="22"/>
        </w:rPr>
        <w:t>____</w:t>
      </w:r>
      <w:r>
        <w:rPr>
          <w:rFonts w:hint="eastAsia" w:ascii="宋体" w:hAnsi="宋体" w:cs="宋体"/>
          <w:bCs/>
          <w:szCs w:val="22"/>
        </w:rPr>
        <w:t>日</w:t>
      </w:r>
    </w:p>
    <w:p w14:paraId="7463FA22">
      <w:pPr>
        <w:pStyle w:val="2"/>
        <w:spacing w:line="420" w:lineRule="exact"/>
        <w:rPr>
          <w:rFonts w:hAnsi="宋体" w:cs="宋体"/>
          <w:szCs w:val="22"/>
        </w:rPr>
      </w:pPr>
    </w:p>
    <w:p w14:paraId="3A7FE29D">
      <w:pPr>
        <w:pStyle w:val="2"/>
        <w:spacing w:line="420" w:lineRule="exact"/>
        <w:rPr>
          <w:rFonts w:hAnsi="宋体" w:cs="宋体"/>
          <w:b/>
          <w:szCs w:val="22"/>
        </w:rPr>
      </w:pPr>
      <w:r>
        <w:rPr>
          <w:rFonts w:hint="eastAsia" w:hAnsi="宋体" w:cs="宋体"/>
          <w:b/>
          <w:szCs w:val="22"/>
        </w:rPr>
        <w:t>注：</w:t>
      </w:r>
    </w:p>
    <w:p w14:paraId="5725690A">
      <w:pPr>
        <w:pStyle w:val="2"/>
        <w:spacing w:after="0" w:line="420" w:lineRule="exact"/>
        <w:rPr>
          <w:rFonts w:hAnsi="宋体" w:cs="宋体"/>
          <w:b/>
          <w:szCs w:val="22"/>
        </w:rPr>
      </w:pPr>
      <w:r>
        <w:rPr>
          <w:rFonts w:hint="eastAsia" w:hAnsi="宋体" w:cs="宋体"/>
          <w:b/>
          <w:szCs w:val="22"/>
        </w:rPr>
        <w:t xml:space="preserve">   1、如中标，将在中标公示中将此残疾人福利性单位声明函予以公示，接受社会监督；</w:t>
      </w:r>
    </w:p>
    <w:p w14:paraId="513B93D3">
      <w:pPr>
        <w:pStyle w:val="2"/>
        <w:spacing w:after="0" w:line="420" w:lineRule="exact"/>
        <w:rPr>
          <w:rFonts w:hAnsi="宋体" w:cs="宋体"/>
          <w:b/>
          <w:szCs w:val="22"/>
        </w:rPr>
      </w:pPr>
      <w:r>
        <w:rPr>
          <w:rFonts w:hint="eastAsia" w:hAnsi="宋体" w:cs="宋体"/>
          <w:b/>
          <w:szCs w:val="22"/>
        </w:rPr>
        <w:t xml:space="preserve">   </w:t>
      </w:r>
      <w:r>
        <w:rPr>
          <w:rFonts w:hAnsi="宋体" w:cs="宋体"/>
          <w:b/>
          <w:szCs w:val="22"/>
        </w:rPr>
        <w:t>2</w:t>
      </w:r>
      <w:r>
        <w:rPr>
          <w:rFonts w:hint="eastAsia" w:hAnsi="宋体" w:cs="宋体"/>
          <w:b/>
          <w:szCs w:val="22"/>
        </w:rPr>
        <w:t>、供应商提供的《残疾人福利性单位声明函》与事实不符的，依照《政府采购法》第七十七条第一款的规定追究法律责任。</w:t>
      </w:r>
    </w:p>
    <w:p w14:paraId="75A2F4C5">
      <w:pPr>
        <w:pStyle w:val="2"/>
        <w:spacing w:line="420" w:lineRule="exact"/>
        <w:rPr>
          <w:rFonts w:hAnsi="宋体" w:cs="宋体"/>
          <w:szCs w:val="22"/>
        </w:rPr>
      </w:pPr>
    </w:p>
    <w:p w14:paraId="0163673F">
      <w:pPr>
        <w:pStyle w:val="2"/>
        <w:spacing w:line="420" w:lineRule="exact"/>
        <w:rPr>
          <w:rFonts w:hAnsi="宋体" w:cs="宋体"/>
          <w:szCs w:val="22"/>
        </w:rPr>
      </w:pPr>
    </w:p>
    <w:p w14:paraId="079511B8">
      <w:pPr>
        <w:pStyle w:val="2"/>
        <w:spacing w:line="420" w:lineRule="exact"/>
        <w:rPr>
          <w:rFonts w:hAnsi="宋体" w:cs="宋体"/>
          <w:szCs w:val="22"/>
        </w:rPr>
      </w:pPr>
    </w:p>
    <w:p w14:paraId="7CD585E6">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bookmarkStart w:id="196" w:name="_Toc24042"/>
      <w:bookmarkStart w:id="197" w:name="_Toc5599"/>
      <w:bookmarkStart w:id="198" w:name="_Toc695"/>
      <w:bookmarkStart w:id="199" w:name="_Toc29279"/>
      <w:r>
        <w:rPr>
          <w:rFonts w:hint="eastAsia" w:cs="宋体" w:asciiTheme="minorEastAsia" w:hAnsiTheme="minorEastAsia"/>
          <w:b/>
          <w:kern w:val="0"/>
          <w:sz w:val="36"/>
          <w:szCs w:val="36"/>
        </w:rPr>
        <w:t>监狱企业证明文件</w:t>
      </w:r>
      <w:bookmarkEnd w:id="196"/>
      <w:bookmarkEnd w:id="197"/>
      <w:bookmarkEnd w:id="198"/>
      <w:bookmarkEnd w:id="199"/>
    </w:p>
    <w:p w14:paraId="267EC264">
      <w:pPr>
        <w:spacing w:line="420" w:lineRule="exact"/>
        <w:ind w:firstLine="440" w:firstLineChars="200"/>
        <w:rPr>
          <w:rFonts w:ascii="宋体" w:hAnsi="宋体" w:cs="宋体"/>
          <w:bCs/>
          <w:szCs w:val="22"/>
          <w:u w:val="single"/>
        </w:rPr>
      </w:pPr>
      <w:r>
        <w:rPr>
          <w:rFonts w:hint="eastAsia" w:ascii="宋体" w:hAnsi="宋体" w:cs="宋体"/>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hint="eastAsia" w:ascii="宋体" w:hAnsi="宋体" w:cs="宋体"/>
          <w:b/>
          <w:szCs w:val="22"/>
          <w:u w:val="single"/>
        </w:rPr>
        <w:t>（需上传原件扫描件，扫描件需电子签章）</w:t>
      </w:r>
    </w:p>
    <w:p w14:paraId="67F4374A">
      <w:pPr>
        <w:spacing w:line="420" w:lineRule="exact"/>
      </w:pPr>
    </w:p>
    <w:p w14:paraId="1EF9FE3B">
      <w:pPr>
        <w:spacing w:line="420" w:lineRule="exact"/>
      </w:pPr>
    </w:p>
    <w:p w14:paraId="1C7D8656">
      <w:pPr>
        <w:spacing w:line="420" w:lineRule="exact"/>
        <w:rPr>
          <w:sz w:val="24"/>
        </w:rPr>
      </w:pPr>
    </w:p>
    <w:p w14:paraId="169755F4">
      <w:pPr>
        <w:pStyle w:val="7"/>
        <w:spacing w:line="420" w:lineRule="exact"/>
        <w:rPr>
          <w:kern w:val="0"/>
        </w:rPr>
      </w:pPr>
      <w:r>
        <w:rPr>
          <w:rFonts w:hint="eastAsia"/>
          <w:sz w:val="30"/>
        </w:rPr>
        <w:t>二</w:t>
      </w:r>
      <w:r>
        <w:rPr>
          <w:rFonts w:hint="eastAsia"/>
          <w:kern w:val="0"/>
        </w:rPr>
        <w:t>、“商务技术文件”部分格式</w:t>
      </w:r>
    </w:p>
    <w:p w14:paraId="46C93AC5">
      <w:pPr>
        <w:pStyle w:val="7"/>
        <w:spacing w:line="420" w:lineRule="exact"/>
        <w:rPr>
          <w:kern w:val="0"/>
        </w:rPr>
      </w:pPr>
      <w:r>
        <w:rPr>
          <w:rFonts w:hint="eastAsia"/>
          <w:kern w:val="0"/>
        </w:rPr>
        <w:t>2.1、“商务技术文件”封面</w:t>
      </w:r>
    </w:p>
    <w:p w14:paraId="30E07C32">
      <w:pPr>
        <w:pStyle w:val="52"/>
        <w:spacing w:line="420" w:lineRule="exact"/>
        <w:rPr>
          <w:rFonts w:ascii="宋体"/>
          <w:sz w:val="18"/>
          <w:szCs w:val="18"/>
        </w:rPr>
      </w:pPr>
    </w:p>
    <w:p w14:paraId="2F0961D5">
      <w:pPr>
        <w:autoSpaceDE w:val="0"/>
        <w:autoSpaceDN w:val="0"/>
        <w:adjustRightInd w:val="0"/>
        <w:spacing w:line="420" w:lineRule="exact"/>
        <w:jc w:val="center"/>
        <w:rPr>
          <w:rFonts w:hint="eastAsia" w:ascii="宋体" w:hAnsi="宋体" w:eastAsia="宋体" w:cs="宋体"/>
          <w:b/>
          <w:spacing w:val="-4"/>
          <w:kern w:val="0"/>
          <w:sz w:val="36"/>
          <w:szCs w:val="36"/>
          <w:lang w:eastAsia="zh-CN"/>
        </w:rPr>
      </w:pPr>
      <w:r>
        <w:rPr>
          <w:rFonts w:hint="eastAsia" w:ascii="宋体" w:hAnsi="宋体" w:cs="宋体"/>
          <w:b/>
          <w:spacing w:val="-4"/>
          <w:kern w:val="0"/>
          <w:sz w:val="36"/>
          <w:szCs w:val="36"/>
          <w:lang w:eastAsia="zh-CN"/>
        </w:rPr>
        <w:t>2025年度苍南县藻溪镇保洁及绿化养护服务项目</w:t>
      </w:r>
    </w:p>
    <w:p w14:paraId="15FAEFCA">
      <w:pPr>
        <w:autoSpaceDE w:val="0"/>
        <w:autoSpaceDN w:val="0"/>
        <w:adjustRightInd w:val="0"/>
        <w:spacing w:line="420" w:lineRule="exact"/>
        <w:jc w:val="center"/>
        <w:rPr>
          <w:kern w:val="0"/>
          <w:sz w:val="44"/>
          <w:szCs w:val="44"/>
        </w:rPr>
      </w:pPr>
    </w:p>
    <w:p w14:paraId="56CDCFD4">
      <w:pPr>
        <w:pStyle w:val="52"/>
        <w:spacing w:line="360" w:lineRule="auto"/>
      </w:pPr>
    </w:p>
    <w:p w14:paraId="30AAE1BE">
      <w:pPr>
        <w:spacing w:line="720" w:lineRule="auto"/>
        <w:jc w:val="center"/>
        <w:rPr>
          <w:rFonts w:ascii="宋体" w:hAnsi="宋体" w:cs="Arial"/>
          <w:b/>
          <w:color w:val="000000"/>
          <w:sz w:val="72"/>
          <w:szCs w:val="72"/>
        </w:rPr>
      </w:pPr>
      <w:r>
        <w:rPr>
          <w:rFonts w:hint="eastAsia" w:ascii="宋体" w:hAnsi="宋体" w:cs="Arial"/>
          <w:b/>
          <w:color w:val="000000"/>
          <w:sz w:val="72"/>
          <w:szCs w:val="72"/>
        </w:rPr>
        <w:t>投 标</w:t>
      </w:r>
      <w:r>
        <w:rPr>
          <w:rFonts w:ascii="宋体" w:hAnsi="宋体" w:cs="Arial"/>
          <w:b/>
          <w:color w:val="000000"/>
          <w:sz w:val="72"/>
          <w:szCs w:val="72"/>
        </w:rPr>
        <w:t xml:space="preserve"> </w:t>
      </w:r>
      <w:r>
        <w:rPr>
          <w:rFonts w:hint="eastAsia" w:ascii="宋体" w:hAnsi="宋体" w:cs="Arial"/>
          <w:b/>
          <w:color w:val="000000"/>
          <w:sz w:val="72"/>
          <w:szCs w:val="72"/>
        </w:rPr>
        <w:t>文</w:t>
      </w:r>
      <w:r>
        <w:rPr>
          <w:rFonts w:ascii="宋体" w:hAnsi="宋体" w:cs="Arial"/>
          <w:b/>
          <w:color w:val="000000"/>
          <w:sz w:val="72"/>
          <w:szCs w:val="72"/>
        </w:rPr>
        <w:t xml:space="preserve"> </w:t>
      </w:r>
      <w:r>
        <w:rPr>
          <w:rFonts w:hint="eastAsia" w:ascii="宋体" w:hAnsi="宋体" w:cs="Arial"/>
          <w:b/>
          <w:color w:val="000000"/>
          <w:sz w:val="72"/>
          <w:szCs w:val="72"/>
        </w:rPr>
        <w:t>件</w:t>
      </w:r>
    </w:p>
    <w:p w14:paraId="26A2F4D1">
      <w:pPr>
        <w:spacing w:line="720" w:lineRule="auto"/>
        <w:jc w:val="center"/>
        <w:rPr>
          <w:rFonts w:ascii="宋体" w:hAnsi="宋体" w:cs="Arial"/>
          <w:b/>
          <w:color w:val="000000"/>
          <w:sz w:val="52"/>
          <w:szCs w:val="22"/>
        </w:rPr>
      </w:pPr>
      <w:r>
        <w:rPr>
          <w:rFonts w:hint="eastAsia" w:ascii="宋体" w:hAnsi="宋体" w:cs="Arial"/>
          <w:b/>
          <w:color w:val="000000"/>
          <w:sz w:val="52"/>
          <w:szCs w:val="22"/>
        </w:rPr>
        <w:t>（商务技术文件）</w:t>
      </w:r>
    </w:p>
    <w:p w14:paraId="5496B1A5">
      <w:pPr>
        <w:spacing w:line="420" w:lineRule="exact"/>
        <w:jc w:val="center"/>
        <w:rPr>
          <w:rFonts w:ascii="宋体" w:hAnsi="宋体" w:cs="Arial"/>
          <w:b/>
          <w:color w:val="000000"/>
          <w:sz w:val="44"/>
          <w:szCs w:val="44"/>
        </w:rPr>
      </w:pPr>
    </w:p>
    <w:p w14:paraId="3429D7DD">
      <w:pPr>
        <w:spacing w:line="420" w:lineRule="exact"/>
        <w:jc w:val="center"/>
        <w:rPr>
          <w:rFonts w:ascii="宋体" w:hAnsi="宋体" w:cs="宋体"/>
          <w:kern w:val="0"/>
          <w:sz w:val="40"/>
          <w:szCs w:val="40"/>
        </w:rPr>
      </w:pPr>
    </w:p>
    <w:p w14:paraId="444B19B8">
      <w:pPr>
        <w:pStyle w:val="52"/>
        <w:spacing w:line="420" w:lineRule="exact"/>
        <w:rPr>
          <w:rFonts w:ascii="宋体"/>
          <w:sz w:val="18"/>
          <w:szCs w:val="18"/>
        </w:rPr>
      </w:pPr>
    </w:p>
    <w:p w14:paraId="102678EB">
      <w:pPr>
        <w:spacing w:line="420" w:lineRule="exact"/>
        <w:jc w:val="center"/>
        <w:rPr>
          <w:rFonts w:ascii="宋体" w:hAnsi="宋体" w:cs="宋体"/>
          <w:kern w:val="0"/>
          <w:sz w:val="68"/>
          <w:szCs w:val="68"/>
        </w:rPr>
      </w:pPr>
    </w:p>
    <w:p w14:paraId="2EF99761">
      <w:pPr>
        <w:spacing w:line="600" w:lineRule="auto"/>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38312D12">
      <w:pPr>
        <w:spacing w:line="600" w:lineRule="auto"/>
        <w:rPr>
          <w:rFonts w:ascii="宋体" w:hAnsi="宋体" w:cs="宋体"/>
          <w:kern w:val="0"/>
          <w:sz w:val="32"/>
          <w:szCs w:val="32"/>
          <w:u w:val="single"/>
        </w:rPr>
      </w:pPr>
      <w:r>
        <w:rPr>
          <w:rFonts w:hint="eastAsia" w:ascii="宋体" w:hAnsi="宋体" w:cs="宋体"/>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519AD44B">
      <w:pPr>
        <w:spacing w:line="600" w:lineRule="auto"/>
        <w:rPr>
          <w:rFonts w:ascii="宋体" w:hAnsi="宋体" w:cs="宋体"/>
          <w:kern w:val="0"/>
          <w:sz w:val="32"/>
          <w:szCs w:val="32"/>
          <w:u w:val="single"/>
        </w:rPr>
      </w:pPr>
      <w:r>
        <w:rPr>
          <w:rFonts w:hint="eastAsia" w:ascii="宋体" w:hAnsi="宋体" w:cs="宋体"/>
          <w:kern w:val="0"/>
          <w:sz w:val="32"/>
          <w:szCs w:val="32"/>
        </w:rPr>
        <w:t>地址：</w:t>
      </w:r>
      <w:r>
        <w:rPr>
          <w:rFonts w:hint="eastAsia" w:ascii="宋体" w:hAnsi="宋体" w:cs="宋体"/>
          <w:kern w:val="0"/>
          <w:sz w:val="32"/>
          <w:szCs w:val="32"/>
          <w:u w:val="single"/>
        </w:rPr>
        <w:t xml:space="preserve">                                             </w:t>
      </w:r>
    </w:p>
    <w:p w14:paraId="3BCF2966">
      <w:pPr>
        <w:spacing w:line="600" w:lineRule="auto"/>
        <w:rPr>
          <w:rFonts w:ascii="宋体" w:hAnsi="宋体" w:cs="宋体"/>
          <w:kern w:val="0"/>
          <w:sz w:val="32"/>
          <w:szCs w:val="32"/>
        </w:rPr>
      </w:pPr>
      <w:r>
        <w:rPr>
          <w:rFonts w:hint="eastAsia" w:ascii="宋体" w:hAnsi="宋体" w:cs="宋体"/>
          <w:kern w:val="0"/>
          <w:sz w:val="32"/>
          <w:szCs w:val="32"/>
        </w:rPr>
        <w:t>法定代表人或其授权代表（签字或盖章）：</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1573F3F7">
      <w:pPr>
        <w:spacing w:line="600" w:lineRule="auto"/>
        <w:rPr>
          <w:rFonts w:ascii="宋体" w:hAnsi="宋体" w:cs="宋体"/>
          <w:kern w:val="0"/>
          <w:sz w:val="32"/>
          <w:szCs w:val="32"/>
        </w:rPr>
      </w:pPr>
      <w:r>
        <w:rPr>
          <w:rFonts w:hint="eastAsia" w:ascii="宋体" w:hAnsi="宋体" w:cs="宋体"/>
          <w:kern w:val="0"/>
          <w:sz w:val="32"/>
          <w:szCs w:val="32"/>
        </w:rPr>
        <w:t>日期：</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1C631044">
      <w:pPr>
        <w:pStyle w:val="20"/>
        <w:adjustRightInd w:val="0"/>
        <w:snapToGrid w:val="0"/>
        <w:spacing w:line="360" w:lineRule="auto"/>
        <w:rPr>
          <w:rFonts w:hAnsi="宋体" w:cs="宋体"/>
          <w:sz w:val="30"/>
        </w:rPr>
      </w:pPr>
    </w:p>
    <w:p w14:paraId="1F73C9C3">
      <w:pPr>
        <w:pStyle w:val="20"/>
        <w:adjustRightInd w:val="0"/>
        <w:snapToGrid w:val="0"/>
        <w:spacing w:line="420" w:lineRule="exact"/>
        <w:rPr>
          <w:rFonts w:hAnsi="宋体" w:cs="宋体"/>
          <w:sz w:val="30"/>
        </w:rPr>
      </w:pPr>
    </w:p>
    <w:p w14:paraId="380FF523">
      <w:pPr>
        <w:pStyle w:val="20"/>
        <w:adjustRightInd w:val="0"/>
        <w:snapToGrid w:val="0"/>
        <w:spacing w:line="420" w:lineRule="exact"/>
        <w:rPr>
          <w:rFonts w:hAnsi="宋体" w:cs="宋体"/>
          <w:sz w:val="30"/>
        </w:rPr>
      </w:pPr>
    </w:p>
    <w:p w14:paraId="573C1B80">
      <w:pPr>
        <w:spacing w:line="420" w:lineRule="exact"/>
      </w:pPr>
    </w:p>
    <w:p w14:paraId="37F7EAE5">
      <w:pPr>
        <w:widowControl/>
        <w:jc w:val="left"/>
      </w:pPr>
      <w:r>
        <w:br w:type="page"/>
      </w:r>
    </w:p>
    <w:p w14:paraId="3CFB3486">
      <w:pPr>
        <w:spacing w:line="420" w:lineRule="exact"/>
      </w:pPr>
    </w:p>
    <w:p w14:paraId="0C1AD0A6">
      <w:pPr>
        <w:pStyle w:val="7"/>
        <w:spacing w:line="420" w:lineRule="exact"/>
        <w:rPr>
          <w:kern w:val="0"/>
        </w:rPr>
      </w:pPr>
      <w:r>
        <w:rPr>
          <w:rFonts w:hint="eastAsia"/>
          <w:kern w:val="0"/>
        </w:rPr>
        <w:t>2.3、评分索引表</w:t>
      </w:r>
    </w:p>
    <w:p w14:paraId="7BC32D38">
      <w:pPr>
        <w:spacing w:line="420" w:lineRule="exact"/>
      </w:pPr>
    </w:p>
    <w:tbl>
      <w:tblPr>
        <w:tblStyle w:val="32"/>
        <w:tblW w:w="9180" w:type="dxa"/>
        <w:tblInd w:w="0" w:type="dxa"/>
        <w:tblLayout w:type="fixed"/>
        <w:tblCellMar>
          <w:top w:w="0" w:type="dxa"/>
          <w:left w:w="0" w:type="dxa"/>
          <w:bottom w:w="0" w:type="dxa"/>
          <w:right w:w="0" w:type="dxa"/>
        </w:tblCellMar>
      </w:tblPr>
      <w:tblGrid>
        <w:gridCol w:w="1095"/>
        <w:gridCol w:w="6384"/>
        <w:gridCol w:w="1701"/>
      </w:tblGrid>
      <w:tr w14:paraId="0E33F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AB109">
            <w:pPr>
              <w:widowControl/>
              <w:snapToGrid w:val="0"/>
              <w:spacing w:line="420" w:lineRule="exact"/>
              <w:jc w:val="center"/>
              <w:rPr>
                <w:color w:val="000000"/>
              </w:rPr>
            </w:pPr>
            <w:r>
              <w:rPr>
                <w:color w:val="000000"/>
              </w:rPr>
              <w:t>序号</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66B20">
            <w:pPr>
              <w:widowControl/>
              <w:snapToGrid w:val="0"/>
              <w:spacing w:line="420" w:lineRule="exact"/>
              <w:jc w:val="center"/>
              <w:rPr>
                <w:color w:val="000000"/>
              </w:rPr>
            </w:pPr>
            <w:r>
              <w:rPr>
                <w:color w:val="000000"/>
              </w:rPr>
              <w:t>评分项目</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8A80E">
            <w:pPr>
              <w:widowControl/>
              <w:snapToGrid w:val="0"/>
              <w:spacing w:line="420" w:lineRule="exact"/>
              <w:jc w:val="center"/>
              <w:rPr>
                <w:color w:val="000000"/>
              </w:rPr>
            </w:pPr>
            <w:r>
              <w:rPr>
                <w:color w:val="000000"/>
              </w:rPr>
              <w:t>投标文件索引（页码）</w:t>
            </w:r>
          </w:p>
        </w:tc>
      </w:tr>
      <w:tr w14:paraId="1D7AAE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5A31C">
            <w:pPr>
              <w:widowControl/>
              <w:snapToGrid w:val="0"/>
              <w:spacing w:line="420" w:lineRule="exact"/>
              <w:jc w:val="center"/>
              <w:rPr>
                <w:color w:val="000000"/>
              </w:rPr>
            </w:pPr>
            <w:r>
              <w:rPr>
                <w:color w:val="000000"/>
              </w:rPr>
              <w:t>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F6E05">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4C919B">
            <w:pPr>
              <w:widowControl/>
              <w:snapToGrid w:val="0"/>
              <w:spacing w:line="420" w:lineRule="exact"/>
              <w:jc w:val="center"/>
              <w:rPr>
                <w:color w:val="000000"/>
              </w:rPr>
            </w:pPr>
          </w:p>
        </w:tc>
      </w:tr>
      <w:tr w14:paraId="5D4F1F1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F20F1">
            <w:pPr>
              <w:widowControl/>
              <w:snapToGrid w:val="0"/>
              <w:spacing w:line="420" w:lineRule="exact"/>
              <w:jc w:val="center"/>
              <w:rPr>
                <w:color w:val="000000"/>
              </w:rPr>
            </w:pPr>
            <w:r>
              <w:rPr>
                <w:color w:val="000000"/>
              </w:rPr>
              <w:t>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1F6F27">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80E74">
            <w:pPr>
              <w:widowControl/>
              <w:snapToGrid w:val="0"/>
              <w:spacing w:line="420" w:lineRule="exact"/>
              <w:jc w:val="center"/>
              <w:rPr>
                <w:color w:val="000000"/>
              </w:rPr>
            </w:pPr>
          </w:p>
        </w:tc>
      </w:tr>
      <w:tr w14:paraId="6856FE1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6913AB">
            <w:pPr>
              <w:widowControl/>
              <w:snapToGrid w:val="0"/>
              <w:spacing w:line="420" w:lineRule="exact"/>
              <w:jc w:val="center"/>
              <w:rPr>
                <w:color w:val="000000"/>
              </w:rPr>
            </w:pPr>
            <w:r>
              <w:rPr>
                <w:color w:val="000000"/>
              </w:rPr>
              <w:t>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245E30">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3E33D3">
            <w:pPr>
              <w:widowControl/>
              <w:snapToGrid w:val="0"/>
              <w:spacing w:line="420" w:lineRule="exact"/>
              <w:jc w:val="center"/>
              <w:rPr>
                <w:color w:val="000000"/>
              </w:rPr>
            </w:pPr>
          </w:p>
        </w:tc>
      </w:tr>
      <w:tr w14:paraId="50FC5A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5DB8E6">
            <w:pPr>
              <w:widowControl/>
              <w:snapToGrid w:val="0"/>
              <w:spacing w:line="420" w:lineRule="exact"/>
              <w:jc w:val="center"/>
              <w:rPr>
                <w:color w:val="000000"/>
              </w:rPr>
            </w:pPr>
            <w:r>
              <w:rPr>
                <w:color w:val="000000"/>
              </w:rPr>
              <w:t>4</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B50E1">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AB55C">
            <w:pPr>
              <w:widowControl/>
              <w:snapToGrid w:val="0"/>
              <w:spacing w:line="420" w:lineRule="exact"/>
              <w:jc w:val="center"/>
              <w:rPr>
                <w:color w:val="000000"/>
              </w:rPr>
            </w:pPr>
          </w:p>
        </w:tc>
      </w:tr>
      <w:tr w14:paraId="4B093A5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0E135">
            <w:pPr>
              <w:widowControl/>
              <w:snapToGrid w:val="0"/>
              <w:spacing w:line="420" w:lineRule="exact"/>
              <w:jc w:val="center"/>
              <w:rPr>
                <w:color w:val="000000"/>
              </w:rPr>
            </w:pPr>
            <w:r>
              <w:rPr>
                <w:color w:val="000000"/>
              </w:rPr>
              <w:t>5</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6CB906">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2DDF1">
            <w:pPr>
              <w:widowControl/>
              <w:snapToGrid w:val="0"/>
              <w:spacing w:line="420" w:lineRule="exact"/>
              <w:jc w:val="center"/>
              <w:rPr>
                <w:color w:val="000000"/>
              </w:rPr>
            </w:pPr>
          </w:p>
        </w:tc>
      </w:tr>
      <w:tr w14:paraId="2165F77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F387A">
            <w:pPr>
              <w:widowControl/>
              <w:snapToGrid w:val="0"/>
              <w:spacing w:line="420" w:lineRule="exact"/>
              <w:jc w:val="center"/>
              <w:rPr>
                <w:color w:val="000000"/>
              </w:rPr>
            </w:pPr>
            <w:r>
              <w:rPr>
                <w:color w:val="000000"/>
              </w:rPr>
              <w:t>6</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66E3F">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03D21">
            <w:pPr>
              <w:widowControl/>
              <w:snapToGrid w:val="0"/>
              <w:spacing w:line="420" w:lineRule="exact"/>
              <w:jc w:val="center"/>
              <w:rPr>
                <w:color w:val="000000"/>
              </w:rPr>
            </w:pPr>
          </w:p>
        </w:tc>
      </w:tr>
      <w:tr w14:paraId="368FED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2D629">
            <w:pPr>
              <w:widowControl/>
              <w:snapToGrid w:val="0"/>
              <w:spacing w:line="420" w:lineRule="exact"/>
              <w:jc w:val="center"/>
              <w:rPr>
                <w:color w:val="000000"/>
              </w:rPr>
            </w:pPr>
            <w:r>
              <w:rPr>
                <w:color w:val="000000"/>
              </w:rPr>
              <w:t>7</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EC580">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B9AD6">
            <w:pPr>
              <w:widowControl/>
              <w:snapToGrid w:val="0"/>
              <w:spacing w:line="420" w:lineRule="exact"/>
              <w:jc w:val="center"/>
              <w:rPr>
                <w:color w:val="000000"/>
              </w:rPr>
            </w:pPr>
          </w:p>
        </w:tc>
      </w:tr>
      <w:tr w14:paraId="142408A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9E72FF">
            <w:pPr>
              <w:widowControl/>
              <w:snapToGrid w:val="0"/>
              <w:spacing w:line="420" w:lineRule="exact"/>
              <w:jc w:val="center"/>
              <w:rPr>
                <w:color w:val="000000"/>
              </w:rPr>
            </w:pPr>
            <w:r>
              <w:rPr>
                <w:color w:val="000000"/>
              </w:rPr>
              <w:t>8</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E765B">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F531B">
            <w:pPr>
              <w:widowControl/>
              <w:snapToGrid w:val="0"/>
              <w:spacing w:line="420" w:lineRule="exact"/>
              <w:jc w:val="center"/>
              <w:rPr>
                <w:color w:val="000000"/>
              </w:rPr>
            </w:pPr>
          </w:p>
        </w:tc>
      </w:tr>
      <w:tr w14:paraId="2B4CD5A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DB4D5">
            <w:pPr>
              <w:widowControl/>
              <w:snapToGrid w:val="0"/>
              <w:spacing w:line="420" w:lineRule="exact"/>
              <w:jc w:val="center"/>
              <w:rPr>
                <w:color w:val="000000"/>
              </w:rPr>
            </w:pPr>
            <w:r>
              <w:rPr>
                <w:color w:val="000000"/>
              </w:rPr>
              <w:t>9</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F1D02">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89018">
            <w:pPr>
              <w:widowControl/>
              <w:snapToGrid w:val="0"/>
              <w:spacing w:line="420" w:lineRule="exact"/>
              <w:jc w:val="center"/>
              <w:rPr>
                <w:color w:val="000000"/>
              </w:rPr>
            </w:pPr>
          </w:p>
        </w:tc>
      </w:tr>
      <w:tr w14:paraId="7E75D5F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DB8CB">
            <w:pPr>
              <w:widowControl/>
              <w:snapToGrid w:val="0"/>
              <w:spacing w:line="420" w:lineRule="exact"/>
              <w:jc w:val="center"/>
              <w:rPr>
                <w:color w:val="000000"/>
              </w:rPr>
            </w:pPr>
            <w:r>
              <w:rPr>
                <w:color w:val="000000"/>
              </w:rPr>
              <w:t>10</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71C03">
            <w:pPr>
              <w:widowControl/>
              <w:snapToGrid w:val="0"/>
              <w:spacing w:line="420" w:lineRule="exact"/>
              <w:jc w:val="center"/>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A77E1">
            <w:pPr>
              <w:widowControl/>
              <w:snapToGrid w:val="0"/>
              <w:spacing w:line="420" w:lineRule="exact"/>
              <w:jc w:val="center"/>
              <w:rPr>
                <w:color w:val="000000"/>
              </w:rPr>
            </w:pPr>
          </w:p>
        </w:tc>
      </w:tr>
      <w:tr w14:paraId="2B1F72B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D6B46">
            <w:pPr>
              <w:widowControl/>
              <w:snapToGrid w:val="0"/>
              <w:spacing w:line="420" w:lineRule="exact"/>
              <w:jc w:val="center"/>
              <w:rPr>
                <w:color w:val="000000"/>
              </w:rPr>
            </w:pPr>
            <w:r>
              <w:rPr>
                <w:color w:val="000000"/>
              </w:rPr>
              <w:t>11</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9257B">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FE3B6">
            <w:pPr>
              <w:widowControl/>
              <w:snapToGrid w:val="0"/>
              <w:spacing w:line="420" w:lineRule="exact"/>
              <w:jc w:val="center"/>
              <w:rPr>
                <w:color w:val="000000"/>
              </w:rPr>
            </w:pPr>
          </w:p>
        </w:tc>
      </w:tr>
      <w:tr w14:paraId="7320BF3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FC545">
            <w:pPr>
              <w:widowControl/>
              <w:snapToGrid w:val="0"/>
              <w:spacing w:line="420" w:lineRule="exact"/>
              <w:jc w:val="center"/>
              <w:rPr>
                <w:color w:val="000000"/>
              </w:rPr>
            </w:pPr>
            <w:r>
              <w:rPr>
                <w:rFonts w:hint="eastAsia"/>
                <w:color w:val="000000"/>
              </w:rPr>
              <w:t>12</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FCCA8">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B3083">
            <w:pPr>
              <w:widowControl/>
              <w:snapToGrid w:val="0"/>
              <w:spacing w:line="420" w:lineRule="exact"/>
              <w:jc w:val="center"/>
              <w:rPr>
                <w:color w:val="000000"/>
              </w:rPr>
            </w:pPr>
          </w:p>
        </w:tc>
      </w:tr>
      <w:tr w14:paraId="0AFD6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4B8EF">
            <w:pPr>
              <w:widowControl/>
              <w:snapToGrid w:val="0"/>
              <w:spacing w:line="420" w:lineRule="exact"/>
              <w:jc w:val="center"/>
              <w:rPr>
                <w:color w:val="000000"/>
              </w:rPr>
            </w:pPr>
            <w:r>
              <w:rPr>
                <w:rFonts w:hint="eastAsia"/>
                <w:color w:val="000000"/>
              </w:rPr>
              <w:t>13</w:t>
            </w:r>
          </w:p>
        </w:tc>
        <w:tc>
          <w:tcPr>
            <w:tcW w:w="6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790C0">
            <w:pPr>
              <w:widowControl/>
              <w:snapToGrid w:val="0"/>
              <w:spacing w:line="420" w:lineRule="exact"/>
              <w:jc w:val="left"/>
              <w:rPr>
                <w:color w:val="000000"/>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8ED1D">
            <w:pPr>
              <w:widowControl/>
              <w:snapToGrid w:val="0"/>
              <w:spacing w:line="420" w:lineRule="exact"/>
              <w:jc w:val="center"/>
              <w:rPr>
                <w:color w:val="000000"/>
              </w:rPr>
            </w:pPr>
          </w:p>
        </w:tc>
      </w:tr>
    </w:tbl>
    <w:p w14:paraId="36D07F0B">
      <w:pPr>
        <w:spacing w:line="420" w:lineRule="exact"/>
        <w:rPr>
          <w:color w:val="000000"/>
        </w:rPr>
      </w:pPr>
    </w:p>
    <w:p w14:paraId="77A68ADB">
      <w:pPr>
        <w:spacing w:line="420" w:lineRule="exact"/>
        <w:rPr>
          <w:color w:val="000000"/>
          <w:sz w:val="32"/>
        </w:rPr>
      </w:pPr>
    </w:p>
    <w:p w14:paraId="4B29E6CC">
      <w:pPr>
        <w:pStyle w:val="31"/>
        <w:spacing w:line="420" w:lineRule="exact"/>
      </w:pPr>
    </w:p>
    <w:p w14:paraId="21880809">
      <w:pPr>
        <w:spacing w:line="420" w:lineRule="exact"/>
      </w:pPr>
    </w:p>
    <w:p w14:paraId="7AA918A2">
      <w:pPr>
        <w:pStyle w:val="31"/>
        <w:spacing w:line="420" w:lineRule="exact"/>
      </w:pPr>
    </w:p>
    <w:p w14:paraId="4422F71D">
      <w:pPr>
        <w:spacing w:line="420" w:lineRule="exact"/>
      </w:pPr>
    </w:p>
    <w:p w14:paraId="0C6EDB8B">
      <w:pPr>
        <w:pStyle w:val="31"/>
        <w:spacing w:line="420" w:lineRule="exact"/>
      </w:pPr>
    </w:p>
    <w:p w14:paraId="13E92C54">
      <w:pPr>
        <w:pStyle w:val="7"/>
        <w:spacing w:line="420" w:lineRule="exact"/>
        <w:rPr>
          <w:kern w:val="0"/>
        </w:rPr>
      </w:pPr>
      <w:r>
        <w:rPr>
          <w:rFonts w:hint="eastAsia"/>
          <w:kern w:val="0"/>
        </w:rPr>
        <w:t>2.4、投标函</w:t>
      </w:r>
    </w:p>
    <w:p w14:paraId="73565B45">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投标函</w:t>
      </w:r>
    </w:p>
    <w:p w14:paraId="52F84E37">
      <w:pPr>
        <w:autoSpaceDE w:val="0"/>
        <w:autoSpaceDN w:val="0"/>
        <w:adjustRightInd w:val="0"/>
        <w:spacing w:line="420" w:lineRule="exact"/>
        <w:jc w:val="left"/>
        <w:rPr>
          <w:b/>
          <w:kern w:val="0"/>
          <w:sz w:val="24"/>
          <w:u w:val="single"/>
        </w:rPr>
      </w:pPr>
      <w:r>
        <w:rPr>
          <w:rFonts w:hint="eastAsia" w:ascii="宋体" w:hAnsi="宋体" w:cs="宋体"/>
          <w:b/>
          <w:kern w:val="0"/>
          <w:sz w:val="24"/>
          <w:u w:val="single"/>
          <w:lang w:eastAsia="zh-CN"/>
        </w:rPr>
        <w:t>苍南县藻溪镇人民政府</w:t>
      </w:r>
      <w:r>
        <w:rPr>
          <w:rFonts w:hint="eastAsia" w:ascii="宋体" w:hAnsi="宋体" w:cs="宋体"/>
          <w:b/>
          <w:kern w:val="0"/>
          <w:sz w:val="24"/>
          <w:u w:val="single"/>
        </w:rPr>
        <w:t>：</w:t>
      </w:r>
    </w:p>
    <w:p w14:paraId="1ADD8068">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根据贵方组织的</w:t>
      </w:r>
      <w:r>
        <w:rPr>
          <w:rFonts w:hint="eastAsia" w:ascii="宋体" w:hAnsi="宋体" w:cs="宋体"/>
          <w:kern w:val="0"/>
          <w:sz w:val="24"/>
          <w:u w:val="single"/>
        </w:rPr>
        <w:t xml:space="preserve"> </w:t>
      </w:r>
      <w:r>
        <w:rPr>
          <w:rFonts w:hint="eastAsia" w:ascii="宋体" w:hAnsi="宋体" w:cs="宋体"/>
          <w:b/>
          <w:kern w:val="0"/>
          <w:sz w:val="24"/>
          <w:u w:val="single"/>
          <w:lang w:eastAsia="zh-CN"/>
        </w:rPr>
        <w:t>2025年度苍南县藻溪镇保洁及绿化养护服务项目</w:t>
      </w:r>
      <w:r>
        <w:rPr>
          <w:rFonts w:hint="eastAsia" w:ascii="宋体" w:hAnsi="宋体" w:cs="宋体"/>
          <w:b/>
          <w:kern w:val="0"/>
          <w:sz w:val="24"/>
          <w:u w:val="single"/>
        </w:rPr>
        <w:t xml:space="preserve"> </w:t>
      </w:r>
      <w:r>
        <w:rPr>
          <w:rFonts w:hint="eastAsia" w:ascii="宋体" w:hAnsi="宋体" w:cs="宋体"/>
          <w:kern w:val="0"/>
          <w:sz w:val="24"/>
        </w:rPr>
        <w:t>（</w:t>
      </w:r>
      <w:r>
        <w:rPr>
          <w:rFonts w:hint="eastAsia" w:ascii="宋体" w:hAnsi="宋体" w:cs="宋体"/>
          <w:b/>
          <w:kern w:val="0"/>
          <w:sz w:val="24"/>
        </w:rPr>
        <w:t>项目编号：</w:t>
      </w:r>
      <w:r>
        <w:rPr>
          <w:rFonts w:hint="eastAsia" w:ascii="宋体" w:hAnsi="宋体" w:cs="宋体"/>
          <w:b/>
          <w:kern w:val="0"/>
          <w:sz w:val="24"/>
          <w:lang w:val="en-US" w:eastAsia="zh-CN"/>
        </w:rPr>
        <w:t xml:space="preserve">   </w:t>
      </w:r>
      <w:r>
        <w:rPr>
          <w:rFonts w:hint="eastAsia" w:ascii="宋体" w:hAnsi="宋体" w:cs="宋体"/>
          <w:kern w:val="0"/>
          <w:sz w:val="24"/>
        </w:rPr>
        <w:t>）招标项目，</w:t>
      </w:r>
      <w:r>
        <w:rPr>
          <w:rFonts w:hint="eastAsia" w:ascii="宋体" w:hAnsi="宋体" w:cs="宋体"/>
          <w:kern w:val="0"/>
          <w:sz w:val="24"/>
          <w:u w:val="single"/>
        </w:rPr>
        <w:t xml:space="preserve">  （投标供应商名称）    </w:t>
      </w:r>
      <w:r>
        <w:rPr>
          <w:rFonts w:hint="eastAsia" w:ascii="宋体" w:hAnsi="宋体" w:cs="宋体"/>
          <w:kern w:val="0"/>
          <w:sz w:val="24"/>
        </w:rPr>
        <w:t>正式授权</w:t>
      </w:r>
      <w:r>
        <w:rPr>
          <w:rFonts w:hint="eastAsia" w:ascii="宋体" w:hAnsi="宋体" w:cs="宋体"/>
          <w:kern w:val="0"/>
          <w:sz w:val="24"/>
          <w:u w:val="single"/>
        </w:rPr>
        <w:t xml:space="preserve">    （被授权人名字）  </w:t>
      </w:r>
      <w:r>
        <w:rPr>
          <w:rFonts w:hint="eastAsia" w:ascii="宋体" w:hAnsi="宋体" w:cs="宋体"/>
          <w:kern w:val="0"/>
          <w:sz w:val="24"/>
        </w:rPr>
        <w:t>为全权代表，代表本公司参加贵方组织的此次招标的有关活动，并提交按“供应商须知”要求编制的投标文件。</w:t>
      </w:r>
    </w:p>
    <w:p w14:paraId="3E93C2E3">
      <w:pPr>
        <w:autoSpaceDE w:val="0"/>
        <w:autoSpaceDN w:val="0"/>
        <w:adjustRightInd w:val="0"/>
        <w:spacing w:line="420" w:lineRule="exact"/>
        <w:ind w:firstLine="602" w:firstLineChars="250"/>
        <w:jc w:val="left"/>
        <w:rPr>
          <w:b/>
          <w:kern w:val="0"/>
          <w:sz w:val="24"/>
        </w:rPr>
      </w:pPr>
      <w:r>
        <w:rPr>
          <w:rFonts w:hint="eastAsia" w:ascii="宋体" w:hAnsi="宋体" w:cs="宋体"/>
          <w:b/>
          <w:kern w:val="0"/>
          <w:sz w:val="24"/>
        </w:rPr>
        <w:t>据此函，签字代表宣布同意如下：</w:t>
      </w:r>
      <w:r>
        <w:rPr>
          <w:rFonts w:ascii="宋体" w:hAnsi="宋体" w:cs="宋体"/>
          <w:b/>
          <w:kern w:val="0"/>
          <w:sz w:val="24"/>
        </w:rPr>
        <w:t xml:space="preserve"> </w:t>
      </w:r>
    </w:p>
    <w:p w14:paraId="45A865A4">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1、我方提供的投标文件资料真实可靠，凡存在欺骗、隐瞒等行为的，贵方可取消其中标资格或中止合同的执行，我方对此不会提出异议；</w:t>
      </w:r>
    </w:p>
    <w:p w14:paraId="685022FC">
      <w:pPr>
        <w:autoSpaceDE w:val="0"/>
        <w:autoSpaceDN w:val="0"/>
        <w:adjustRightInd w:val="0"/>
        <w:spacing w:line="420" w:lineRule="exact"/>
        <w:jc w:val="left"/>
        <w:rPr>
          <w:kern w:val="0"/>
          <w:sz w:val="24"/>
        </w:rPr>
      </w:pPr>
      <w:r>
        <w:rPr>
          <w:rFonts w:hint="eastAsia" w:ascii="宋体" w:hAnsi="宋体" w:cs="宋体"/>
          <w:kern w:val="0"/>
          <w:sz w:val="24"/>
        </w:rPr>
        <w:t xml:space="preserve">    2、我方在投标之前已经与贵方进行了充分的沟通，完全理解并接受《招标文件》的各项规定和要求，对《招标文件》的合理性、合法性不再有异议；</w:t>
      </w:r>
      <w:r>
        <w:rPr>
          <w:rFonts w:ascii="宋体" w:hAnsi="宋体" w:cs="宋体"/>
          <w:kern w:val="0"/>
          <w:sz w:val="24"/>
        </w:rPr>
        <w:t xml:space="preserve"> </w:t>
      </w:r>
    </w:p>
    <w:p w14:paraId="655B18A7">
      <w:pPr>
        <w:autoSpaceDE w:val="0"/>
        <w:autoSpaceDN w:val="0"/>
        <w:adjustRightInd w:val="0"/>
        <w:spacing w:line="420" w:lineRule="exact"/>
        <w:jc w:val="left"/>
        <w:rPr>
          <w:kern w:val="0"/>
          <w:sz w:val="24"/>
        </w:rPr>
      </w:pPr>
      <w:r>
        <w:rPr>
          <w:rFonts w:hint="eastAsia" w:ascii="宋体" w:hAnsi="宋体" w:cs="宋体"/>
          <w:kern w:val="0"/>
          <w:sz w:val="24"/>
        </w:rPr>
        <w:t xml:space="preserve">    3、我方将按《招标文件》的规定履行合同责任和义务；</w:t>
      </w:r>
    </w:p>
    <w:p w14:paraId="72CDA937">
      <w:pPr>
        <w:autoSpaceDE w:val="0"/>
        <w:autoSpaceDN w:val="0"/>
        <w:adjustRightInd w:val="0"/>
        <w:spacing w:line="420" w:lineRule="exact"/>
        <w:jc w:val="left"/>
        <w:rPr>
          <w:kern w:val="0"/>
          <w:sz w:val="24"/>
        </w:rPr>
      </w:pPr>
      <w:r>
        <w:rPr>
          <w:rFonts w:hint="eastAsia" w:ascii="宋体" w:hAnsi="宋体" w:cs="宋体"/>
          <w:kern w:val="0"/>
          <w:sz w:val="24"/>
        </w:rPr>
        <w:t xml:space="preserve">    4、我方项目报价以</w:t>
      </w:r>
      <w:r>
        <w:rPr>
          <w:rFonts w:ascii="宋体" w:hAnsi="宋体" w:cs="宋体"/>
          <w:kern w:val="0"/>
          <w:sz w:val="24"/>
        </w:rPr>
        <w:t>“</w:t>
      </w:r>
      <w:r>
        <w:rPr>
          <w:rFonts w:hint="eastAsia" w:ascii="宋体" w:hAnsi="宋体" w:cs="宋体"/>
          <w:kern w:val="0"/>
          <w:sz w:val="24"/>
        </w:rPr>
        <w:t>报价文件</w:t>
      </w:r>
      <w:r>
        <w:rPr>
          <w:rFonts w:ascii="宋体" w:hAnsi="宋体" w:cs="宋体"/>
          <w:kern w:val="0"/>
          <w:sz w:val="24"/>
        </w:rPr>
        <w:t>”</w:t>
      </w:r>
      <w:r>
        <w:rPr>
          <w:rFonts w:hint="eastAsia" w:ascii="宋体" w:hAnsi="宋体" w:cs="宋体"/>
          <w:kern w:val="0"/>
          <w:sz w:val="24"/>
        </w:rPr>
        <w:t>中《投标一览表》所列投标报价（大写）为准；</w:t>
      </w:r>
    </w:p>
    <w:p w14:paraId="56E1880F">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5、我方报价包含履行合同所有相关服务所需的服务费用和所有的税费；</w:t>
      </w:r>
    </w:p>
    <w:p w14:paraId="252D82A4">
      <w:pPr>
        <w:autoSpaceDE w:val="0"/>
        <w:autoSpaceDN w:val="0"/>
        <w:adjustRightInd w:val="0"/>
        <w:spacing w:line="420" w:lineRule="exact"/>
        <w:jc w:val="left"/>
        <w:rPr>
          <w:kern w:val="0"/>
          <w:sz w:val="24"/>
        </w:rPr>
      </w:pPr>
      <w:r>
        <w:rPr>
          <w:rFonts w:hint="eastAsia" w:ascii="宋体" w:hAnsi="宋体" w:cs="宋体"/>
          <w:kern w:val="0"/>
          <w:sz w:val="24"/>
        </w:rPr>
        <w:t xml:space="preserve">    6、本投标文件有效期为自投标截止之日起120个日历日；如中标，有效期将延至合同终止日为止。</w:t>
      </w:r>
      <w:r>
        <w:rPr>
          <w:rFonts w:ascii="宋体" w:hAnsi="宋体" w:cs="宋体"/>
          <w:kern w:val="0"/>
          <w:sz w:val="24"/>
        </w:rPr>
        <w:t xml:space="preserve"> </w:t>
      </w:r>
    </w:p>
    <w:p w14:paraId="5DF9833A">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    7、我方已详细研究了招标文件的所有内容包括补充（更正）文件（如有）和所有已提供的参考资料以及有关附件并完全明白</w:t>
      </w:r>
      <w:r>
        <w:rPr>
          <w:rFonts w:ascii="宋体" w:hAnsi="宋体" w:cs="宋体"/>
          <w:kern w:val="0"/>
          <w:sz w:val="24"/>
        </w:rPr>
        <w:t xml:space="preserve">, </w:t>
      </w:r>
      <w:r>
        <w:rPr>
          <w:rFonts w:hint="eastAsia" w:ascii="宋体" w:hAnsi="宋体" w:cs="宋体"/>
          <w:kern w:val="0"/>
          <w:sz w:val="24"/>
        </w:rPr>
        <w:t>我方放弃在此方面提出含糊意见或误解的一切权力。</w:t>
      </w:r>
    </w:p>
    <w:p w14:paraId="482C2402">
      <w:pPr>
        <w:autoSpaceDE w:val="0"/>
        <w:autoSpaceDN w:val="0"/>
        <w:adjustRightInd w:val="0"/>
        <w:spacing w:line="420" w:lineRule="exact"/>
        <w:jc w:val="left"/>
        <w:rPr>
          <w:kern w:val="0"/>
          <w:sz w:val="24"/>
        </w:rPr>
      </w:pPr>
      <w:r>
        <w:rPr>
          <w:rFonts w:hint="eastAsia" w:ascii="宋体" w:hAnsi="宋体" w:cs="宋体"/>
          <w:kern w:val="0"/>
          <w:sz w:val="24"/>
        </w:rPr>
        <w:t xml:space="preserve">    8、我方如果中标，将保证履行招标文件以及补充（更正）文件（如有）中的全部责任和义务，按质、按量、按期完成《合同》中的全部任务。</w:t>
      </w:r>
    </w:p>
    <w:p w14:paraId="606E35B2">
      <w:pPr>
        <w:autoSpaceDE w:val="0"/>
        <w:autoSpaceDN w:val="0"/>
        <w:adjustRightInd w:val="0"/>
        <w:spacing w:line="420" w:lineRule="exact"/>
        <w:jc w:val="left"/>
        <w:rPr>
          <w:kern w:val="0"/>
          <w:sz w:val="24"/>
        </w:rPr>
      </w:pPr>
      <w:r>
        <w:rPr>
          <w:rFonts w:hint="eastAsia" w:ascii="宋体" w:hAnsi="宋体" w:cs="宋体"/>
          <w:kern w:val="0"/>
          <w:sz w:val="24"/>
        </w:rPr>
        <w:t xml:space="preserve">    9、我方同意按照贵方要求提供与投标有关的一切数据或资料。</w:t>
      </w:r>
    </w:p>
    <w:p w14:paraId="7F0EC6C0">
      <w:pPr>
        <w:pStyle w:val="20"/>
        <w:adjustRightInd w:val="0"/>
        <w:snapToGrid w:val="0"/>
        <w:spacing w:line="420" w:lineRule="exact"/>
        <w:rPr>
          <w:rFonts w:hAnsi="宋体" w:cs="宋体"/>
          <w:kern w:val="0"/>
          <w:sz w:val="24"/>
          <w:szCs w:val="24"/>
        </w:rPr>
      </w:pPr>
    </w:p>
    <w:p w14:paraId="74EBB2D3">
      <w:pPr>
        <w:autoSpaceDE w:val="0"/>
        <w:autoSpaceDN w:val="0"/>
        <w:adjustRightInd w:val="0"/>
        <w:spacing w:line="420" w:lineRule="exact"/>
        <w:jc w:val="left"/>
        <w:rPr>
          <w:kern w:val="0"/>
          <w:sz w:val="24"/>
        </w:rPr>
      </w:pPr>
      <w:r>
        <w:rPr>
          <w:rFonts w:hint="eastAsia" w:ascii="宋体" w:hAnsi="宋体" w:cs="宋体"/>
          <w:kern w:val="0"/>
          <w:sz w:val="24"/>
        </w:rPr>
        <w:t>投标供应商名称（电子签章）：</w:t>
      </w:r>
      <w:r>
        <w:rPr>
          <w:rFonts w:hint="eastAsia" w:ascii="宋体" w:hAnsi="宋体" w:cs="宋体"/>
          <w:kern w:val="0"/>
          <w:sz w:val="24"/>
          <w:u w:val="single"/>
        </w:rPr>
        <w:t xml:space="preserve">                                                </w:t>
      </w:r>
      <w:r>
        <w:rPr>
          <w:rFonts w:hint="eastAsia" w:ascii="宋体" w:hAnsi="宋体" w:cs="宋体"/>
          <w:kern w:val="0"/>
          <w:sz w:val="24"/>
        </w:rPr>
        <w:t xml:space="preserve">  </w:t>
      </w:r>
    </w:p>
    <w:p w14:paraId="11384B41">
      <w:pPr>
        <w:autoSpaceDE w:val="0"/>
        <w:autoSpaceDN w:val="0"/>
        <w:adjustRightInd w:val="0"/>
        <w:spacing w:line="420" w:lineRule="exact"/>
        <w:jc w:val="left"/>
        <w:rPr>
          <w:kern w:val="0"/>
          <w:sz w:val="24"/>
        </w:rPr>
      </w:pPr>
      <w:r>
        <w:rPr>
          <w:rFonts w:hint="eastAsia" w:ascii="宋体" w:hAnsi="宋体" w:cs="宋体"/>
          <w:kern w:val="0"/>
          <w:sz w:val="24"/>
        </w:rPr>
        <w:t>法定代表人或授权代表姓名：</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37ABC72B">
      <w:pPr>
        <w:pStyle w:val="20"/>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法定代表人或授权代表签字（或盖章）：</w:t>
      </w:r>
      <w:r>
        <w:rPr>
          <w:rFonts w:hint="eastAsia" w:hAnsi="宋体" w:cs="宋体"/>
          <w:kern w:val="0"/>
          <w:sz w:val="24"/>
          <w:szCs w:val="24"/>
          <w:u w:val="single"/>
        </w:rPr>
        <w:t xml:space="preserve">                        </w:t>
      </w:r>
    </w:p>
    <w:p w14:paraId="54048C32">
      <w:pPr>
        <w:pStyle w:val="20"/>
        <w:adjustRightInd w:val="0"/>
        <w:snapToGrid w:val="0"/>
        <w:spacing w:line="420" w:lineRule="exact"/>
        <w:rPr>
          <w:rFonts w:hAnsi="宋体" w:cs="宋体"/>
          <w:kern w:val="0"/>
          <w:sz w:val="24"/>
          <w:szCs w:val="24"/>
        </w:rPr>
      </w:pPr>
      <w:r>
        <w:rPr>
          <w:rFonts w:hint="eastAsia" w:hAnsi="宋体" w:cs="宋体"/>
          <w:kern w:val="0"/>
          <w:sz w:val="24"/>
          <w:szCs w:val="24"/>
        </w:rPr>
        <w:t>法定代表人或授权代表手机号码：</w:t>
      </w:r>
      <w:r>
        <w:rPr>
          <w:rFonts w:hint="eastAsia" w:hAnsi="宋体" w:cs="宋体"/>
          <w:kern w:val="0"/>
          <w:sz w:val="24"/>
          <w:szCs w:val="24"/>
          <w:u w:val="single"/>
        </w:rPr>
        <w:t xml:space="preserve">                              </w:t>
      </w:r>
      <w:r>
        <w:rPr>
          <w:rFonts w:hint="eastAsia" w:hAnsi="宋体" w:cs="宋体"/>
          <w:kern w:val="0"/>
          <w:sz w:val="24"/>
          <w:szCs w:val="24"/>
        </w:rPr>
        <w:t xml:space="preserve"> </w:t>
      </w:r>
    </w:p>
    <w:p w14:paraId="4D833042">
      <w:pPr>
        <w:autoSpaceDE w:val="0"/>
        <w:autoSpaceDN w:val="0"/>
        <w:adjustRightInd w:val="0"/>
        <w:spacing w:line="420" w:lineRule="exact"/>
        <w:jc w:val="left"/>
        <w:rPr>
          <w:kern w:val="0"/>
          <w:sz w:val="24"/>
        </w:rPr>
      </w:pPr>
      <w:r>
        <w:rPr>
          <w:rFonts w:hint="eastAsia" w:ascii="宋体" w:hAnsi="宋体" w:cs="宋体"/>
          <w:kern w:val="0"/>
          <w:sz w:val="24"/>
        </w:rPr>
        <w:t>单位地址：</w:t>
      </w:r>
      <w:r>
        <w:rPr>
          <w:rFonts w:hint="eastAsia" w:ascii="宋体" w:hAnsi="宋体" w:cs="宋体"/>
          <w:kern w:val="0"/>
          <w:sz w:val="24"/>
          <w:u w:val="single"/>
        </w:rPr>
        <w:t xml:space="preserve">                                     </w:t>
      </w:r>
    </w:p>
    <w:p w14:paraId="3CDF2280">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单位电话： </w:t>
      </w:r>
      <w:r>
        <w:rPr>
          <w:rFonts w:hint="eastAsia" w:ascii="宋体" w:hAnsi="宋体" w:cs="宋体"/>
          <w:kern w:val="0"/>
          <w:sz w:val="24"/>
          <w:u w:val="single"/>
        </w:rPr>
        <w:t xml:space="preserve">                                    </w:t>
      </w:r>
    </w:p>
    <w:p w14:paraId="573B7020">
      <w:pPr>
        <w:pStyle w:val="20"/>
        <w:adjustRightInd w:val="0"/>
        <w:snapToGrid w:val="0"/>
        <w:spacing w:line="420" w:lineRule="exact"/>
        <w:rPr>
          <w:rFonts w:hAnsi="宋体" w:cs="宋体"/>
          <w:kern w:val="0"/>
          <w:sz w:val="24"/>
          <w:szCs w:val="24"/>
        </w:rPr>
      </w:pPr>
      <w:r>
        <w:rPr>
          <w:rFonts w:hint="eastAsia" w:hAnsi="宋体" w:cs="宋体"/>
          <w:kern w:val="0"/>
          <w:sz w:val="24"/>
          <w:szCs w:val="24"/>
        </w:rPr>
        <w:t>开户银行：</w:t>
      </w:r>
      <w:r>
        <w:rPr>
          <w:rFonts w:hint="eastAsia" w:hAnsi="宋体" w:cs="宋体"/>
          <w:kern w:val="0"/>
          <w:sz w:val="24"/>
          <w:szCs w:val="24"/>
          <w:u w:val="single"/>
        </w:rPr>
        <w:t xml:space="preserve">                                 </w:t>
      </w:r>
      <w:r>
        <w:rPr>
          <w:rFonts w:hint="eastAsia" w:hAnsi="宋体" w:cs="宋体"/>
          <w:kern w:val="0"/>
          <w:sz w:val="24"/>
          <w:szCs w:val="24"/>
        </w:rPr>
        <w:t>银行帐号：</w:t>
      </w:r>
      <w:r>
        <w:rPr>
          <w:rFonts w:hint="eastAsia" w:hAnsi="宋体" w:cs="宋体"/>
          <w:kern w:val="0"/>
          <w:sz w:val="24"/>
          <w:szCs w:val="24"/>
          <w:u w:val="single"/>
        </w:rPr>
        <w:t xml:space="preserve">                        </w:t>
      </w:r>
    </w:p>
    <w:p w14:paraId="1E495D7C">
      <w:pPr>
        <w:pStyle w:val="20"/>
        <w:adjustRightInd w:val="0"/>
        <w:snapToGrid w:val="0"/>
        <w:spacing w:line="420" w:lineRule="exact"/>
        <w:rPr>
          <w:rFonts w:hAnsi="宋体" w:cs="宋体"/>
          <w:kern w:val="0"/>
          <w:sz w:val="24"/>
          <w:szCs w:val="24"/>
        </w:rPr>
      </w:pPr>
      <w:r>
        <w:rPr>
          <w:rFonts w:hint="eastAsia" w:hAnsi="宋体" w:cs="宋体"/>
          <w:kern w:val="0"/>
          <w:sz w:val="24"/>
          <w:szCs w:val="24"/>
        </w:rPr>
        <w:t>日</w:t>
      </w:r>
      <w:r>
        <w:rPr>
          <w:rFonts w:hAnsi="宋体" w:cs="宋体"/>
          <w:kern w:val="0"/>
          <w:sz w:val="24"/>
          <w:szCs w:val="24"/>
        </w:rPr>
        <w:t xml:space="preserve">    </w:t>
      </w:r>
      <w:r>
        <w:rPr>
          <w:rFonts w:hint="eastAsia" w:hAnsi="宋体" w:cs="宋体"/>
          <w:kern w:val="0"/>
          <w:sz w:val="24"/>
          <w:szCs w:val="24"/>
        </w:rPr>
        <w:t>期：</w:t>
      </w:r>
      <w:r>
        <w:rPr>
          <w:rFonts w:hint="eastAsia" w:hAnsi="宋体" w:cs="宋体"/>
          <w:kern w:val="0"/>
          <w:sz w:val="24"/>
          <w:szCs w:val="24"/>
          <w:u w:val="single"/>
        </w:rPr>
        <w:t xml:space="preserve">     </w:t>
      </w:r>
      <w:r>
        <w:rPr>
          <w:rFonts w:hint="eastAsia" w:hAnsi="宋体" w:cs="宋体"/>
          <w:kern w:val="0"/>
          <w:sz w:val="24"/>
          <w:szCs w:val="24"/>
        </w:rPr>
        <w:t>年</w:t>
      </w:r>
      <w:r>
        <w:rPr>
          <w:rFonts w:hint="eastAsia" w:hAnsi="宋体" w:cs="宋体"/>
          <w:kern w:val="0"/>
          <w:sz w:val="24"/>
          <w:szCs w:val="24"/>
          <w:u w:val="single"/>
        </w:rPr>
        <w:t xml:space="preserve">     </w:t>
      </w:r>
      <w:r>
        <w:rPr>
          <w:rFonts w:hint="eastAsia" w:hAnsi="宋体" w:cs="宋体"/>
          <w:kern w:val="0"/>
          <w:sz w:val="24"/>
          <w:szCs w:val="24"/>
        </w:rPr>
        <w:t>月</w:t>
      </w:r>
      <w:r>
        <w:rPr>
          <w:rFonts w:hint="eastAsia" w:hAnsi="宋体" w:cs="宋体"/>
          <w:kern w:val="0"/>
          <w:sz w:val="24"/>
          <w:szCs w:val="24"/>
          <w:u w:val="single"/>
        </w:rPr>
        <w:t xml:space="preserve">     </w:t>
      </w:r>
      <w:r>
        <w:rPr>
          <w:rFonts w:hint="eastAsia" w:hAnsi="宋体" w:cs="宋体"/>
          <w:kern w:val="0"/>
          <w:sz w:val="24"/>
          <w:szCs w:val="24"/>
        </w:rPr>
        <w:t>日</w:t>
      </w:r>
    </w:p>
    <w:p w14:paraId="7F941A10">
      <w:pPr>
        <w:pStyle w:val="7"/>
        <w:spacing w:line="420" w:lineRule="exact"/>
        <w:rPr>
          <w:kern w:val="0"/>
        </w:rPr>
      </w:pPr>
      <w:r>
        <w:rPr>
          <w:rFonts w:hint="eastAsia"/>
          <w:kern w:val="0"/>
        </w:rPr>
        <w:t>2.5、</w:t>
      </w:r>
      <w:bookmarkStart w:id="200" w:name="_Toc14578"/>
      <w:bookmarkStart w:id="201" w:name="_Toc338075726"/>
      <w:r>
        <w:rPr>
          <w:rFonts w:hint="eastAsia"/>
          <w:szCs w:val="24"/>
        </w:rPr>
        <w:t>环卫保洁承诺书</w:t>
      </w:r>
      <w:bookmarkEnd w:id="200"/>
      <w:bookmarkEnd w:id="201"/>
    </w:p>
    <w:p w14:paraId="6FB8C49B">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环卫保洁承诺书</w:t>
      </w:r>
    </w:p>
    <w:p w14:paraId="1E5B649F">
      <w:pPr>
        <w:autoSpaceDE w:val="0"/>
        <w:autoSpaceDN w:val="0"/>
        <w:adjustRightInd w:val="0"/>
        <w:spacing w:line="420" w:lineRule="exact"/>
        <w:jc w:val="left"/>
        <w:rPr>
          <w:b/>
          <w:kern w:val="0"/>
          <w:sz w:val="24"/>
          <w:u w:val="single"/>
        </w:rPr>
      </w:pPr>
      <w:r>
        <w:rPr>
          <w:rFonts w:hint="eastAsia" w:ascii="宋体" w:hAnsi="宋体" w:cs="宋体"/>
          <w:b/>
          <w:kern w:val="0"/>
          <w:sz w:val="24"/>
          <w:u w:val="single"/>
          <w:lang w:eastAsia="zh-CN"/>
        </w:rPr>
        <w:t>苍南县藻溪镇人民政府</w:t>
      </w:r>
      <w:r>
        <w:rPr>
          <w:rFonts w:hint="eastAsia" w:ascii="宋体" w:hAnsi="宋体" w:cs="宋体"/>
          <w:b/>
          <w:kern w:val="0"/>
          <w:sz w:val="24"/>
          <w:u w:val="single"/>
        </w:rPr>
        <w:t>：</w:t>
      </w:r>
    </w:p>
    <w:p w14:paraId="332FFA6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我方全面阅读和研究了本服务项目</w:t>
      </w:r>
      <w:r>
        <w:rPr>
          <w:rFonts w:hint="eastAsia" w:ascii="宋体" w:hAnsi="宋体" w:cs="宋体"/>
          <w:kern w:val="0"/>
          <w:sz w:val="24"/>
          <w:u w:val="single"/>
        </w:rPr>
        <w:t>[项目名称：       ；采购编号：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已充分理解和掌握本次招标的全部有关情况，充分理解服务项目的重要性，同意接受采购文件的全部内容和条件，如果我公司中标，承诺如下：</w:t>
      </w:r>
    </w:p>
    <w:p w14:paraId="52A64F08">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1、按采购文件要求做好清扫保洁工作。</w:t>
      </w:r>
    </w:p>
    <w:p w14:paraId="5132CB4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2、对员工做好安全教育，消除事故隐患，并承担安全责任及发生的费用。</w:t>
      </w:r>
    </w:p>
    <w:p w14:paraId="24AD8025">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3、自行解决员工食宿、机械车辆停车、洗车场地。</w:t>
      </w:r>
    </w:p>
    <w:p w14:paraId="2F19D001">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4、在合同期内，出现新增道路，新增小区或因改造、改建新增清扫保洁面积时，全部纳入服务服务，采购人可根据实际情况对作业量做出调整，</w:t>
      </w:r>
      <w:r>
        <w:rPr>
          <w:rFonts w:hint="eastAsia" w:ascii="宋体" w:hAnsi="宋体" w:cs="宋体"/>
          <w:bCs/>
          <w:kern w:val="0"/>
          <w:sz w:val="24"/>
        </w:rPr>
        <w:t>我方无条件服从，费用包含在总价中，不再调整。</w:t>
      </w:r>
    </w:p>
    <w:p w14:paraId="0C4D718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5、本清扫保洁作业除在招投标文件中列明并经招标单位同意外，同意不得将本项目分包与转包，一经发现立即取消承包资格，并承担由此引起的法律责任及一切经济损失。</w:t>
      </w:r>
    </w:p>
    <w:p w14:paraId="120A4176">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6、按采购文件的要求和投标承诺配备人员。擅自减少清扫保洁人员的，采购人有权收回缺位人员工资及所有费用并终止采购合同，保留向违规供应商进一步索赔的权利，将违规供应商列入不诚信供应商黑名单，三年内不得参加苍南县清扫保洁投标活动。</w:t>
      </w:r>
    </w:p>
    <w:p w14:paraId="2E7DFC6C">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7、作业机械车辆船只（含增配）弄虚作假没有实际作业的，一经发现，扣除作业机械车辆船只全年清扫费用，并终止采购合同，保留向违规供应商进一步索赔的权利，将违规供应商列入不诚信供应商黑名单，三年内不得参加苍南县清扫保洁投标活动。</w:t>
      </w:r>
    </w:p>
    <w:p w14:paraId="324989A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8、提供用于本项目的机动车辆、船只如出安全事故，则由我公司自行负责处理并承担相应责任和费用，并根据驾驶员责任大小处以500元-2000元的罚款，罚款从承包费中扣除。</w:t>
      </w:r>
    </w:p>
    <w:p w14:paraId="4A33DF3B">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9、本项目专用的机械设备（车辆、船只）建立使用台账，做好使用记录。采购人有权进行检查。</w:t>
      </w:r>
    </w:p>
    <w:p w14:paraId="4307C069">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10、如果我公司不遵守承诺，采购人有权解除合同，并接受政府采购有关法规处罚，我方没有异议。</w:t>
      </w:r>
    </w:p>
    <w:p w14:paraId="2E2A74C1">
      <w:pPr>
        <w:pStyle w:val="31"/>
      </w:pPr>
    </w:p>
    <w:p w14:paraId="1B6D5E27">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承诺单位（公章）：</w:t>
      </w:r>
    </w:p>
    <w:p w14:paraId="4DC1C81F">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法定代表人或授权代表人（签字或盖章）：</w:t>
      </w:r>
    </w:p>
    <w:p w14:paraId="1E2731D1">
      <w:pPr>
        <w:autoSpaceDE w:val="0"/>
        <w:autoSpaceDN w:val="0"/>
        <w:adjustRightInd w:val="0"/>
        <w:spacing w:line="420" w:lineRule="exact"/>
        <w:ind w:firstLine="600" w:firstLineChars="250"/>
        <w:jc w:val="left"/>
        <w:rPr>
          <w:rFonts w:ascii="宋体" w:hAnsi="宋体" w:cs="宋体"/>
          <w:kern w:val="0"/>
          <w:sz w:val="24"/>
        </w:rPr>
      </w:pPr>
      <w:r>
        <w:rPr>
          <w:rFonts w:hint="eastAsia" w:ascii="宋体" w:hAnsi="宋体" w:cs="宋体"/>
          <w:kern w:val="0"/>
          <w:sz w:val="24"/>
        </w:rPr>
        <w:t xml:space="preserve">                               年   月   日</w:t>
      </w:r>
    </w:p>
    <w:p w14:paraId="60AEEF9F">
      <w:pPr>
        <w:pStyle w:val="7"/>
        <w:spacing w:line="420" w:lineRule="exact"/>
      </w:pPr>
      <w:r>
        <w:rPr>
          <w:rFonts w:hint="eastAsia"/>
          <w:kern w:val="0"/>
        </w:rPr>
        <w:t>2.6、</w:t>
      </w:r>
      <w:r>
        <w:rPr>
          <w:rFonts w:hint="eastAsia"/>
        </w:rPr>
        <w:t>投标供应商基本情况说明</w:t>
      </w:r>
    </w:p>
    <w:p w14:paraId="322B98A7">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投标供应商基本情况说明</w:t>
      </w:r>
    </w:p>
    <w:p w14:paraId="4D8C1C1A">
      <w:pPr>
        <w:pStyle w:val="20"/>
        <w:adjustRightInd w:val="0"/>
        <w:snapToGrid w:val="0"/>
        <w:spacing w:line="420" w:lineRule="exact"/>
        <w:rPr>
          <w:rFonts w:hAnsi="宋体" w:cs="宋体"/>
          <w:b/>
          <w:kern w:val="0"/>
          <w:sz w:val="36"/>
          <w:szCs w:val="36"/>
        </w:rPr>
      </w:pPr>
    </w:p>
    <w:p w14:paraId="131EFEB2">
      <w:pPr>
        <w:spacing w:line="420" w:lineRule="exact"/>
        <w:outlineLvl w:val="0"/>
        <w:rPr>
          <w:rFonts w:ascii="宋体"/>
          <w:b/>
          <w:sz w:val="24"/>
          <w:szCs w:val="24"/>
        </w:rPr>
      </w:pPr>
      <w:r>
        <w:rPr>
          <w:rFonts w:hint="eastAsia" w:ascii="宋体"/>
          <w:b/>
          <w:sz w:val="24"/>
          <w:szCs w:val="24"/>
        </w:rPr>
        <w:t>1. 名称及概况：</w:t>
      </w:r>
    </w:p>
    <w:p w14:paraId="271D9FB3">
      <w:pPr>
        <w:spacing w:line="420" w:lineRule="exact"/>
        <w:rPr>
          <w:rFonts w:ascii="宋体"/>
          <w:sz w:val="24"/>
          <w:szCs w:val="24"/>
        </w:rPr>
      </w:pPr>
      <w:r>
        <w:rPr>
          <w:rFonts w:hint="eastAsia" w:ascii="宋体"/>
          <w:sz w:val="24"/>
          <w:szCs w:val="24"/>
        </w:rPr>
        <w:t>（1）投标供应商名称：</w:t>
      </w:r>
      <w:r>
        <w:rPr>
          <w:rFonts w:hint="eastAsia" w:ascii="宋体"/>
          <w:sz w:val="24"/>
          <w:szCs w:val="24"/>
          <w:u w:val="single"/>
        </w:rPr>
        <w:t xml:space="preserve">                                 </w:t>
      </w:r>
    </w:p>
    <w:p w14:paraId="36844FDF">
      <w:pPr>
        <w:spacing w:line="420" w:lineRule="exact"/>
        <w:rPr>
          <w:rFonts w:ascii="宋体"/>
          <w:sz w:val="24"/>
          <w:szCs w:val="24"/>
        </w:rPr>
      </w:pPr>
      <w:r>
        <w:rPr>
          <w:rFonts w:hint="eastAsia" w:ascii="宋体"/>
          <w:sz w:val="24"/>
          <w:szCs w:val="24"/>
        </w:rPr>
        <w:t>（2）单位组织形式：</w:t>
      </w:r>
      <w:r>
        <w:rPr>
          <w:rFonts w:hint="eastAsia" w:ascii="宋体"/>
          <w:sz w:val="24"/>
          <w:szCs w:val="24"/>
          <w:u w:val="single"/>
        </w:rPr>
        <w:t xml:space="preserve">                                       </w:t>
      </w:r>
    </w:p>
    <w:p w14:paraId="0CF9008C">
      <w:pPr>
        <w:spacing w:line="420" w:lineRule="exact"/>
        <w:rPr>
          <w:rFonts w:ascii="宋体"/>
          <w:sz w:val="24"/>
          <w:szCs w:val="24"/>
        </w:rPr>
      </w:pPr>
      <w:r>
        <w:rPr>
          <w:rFonts w:hint="eastAsia" w:ascii="宋体"/>
          <w:sz w:val="24"/>
          <w:szCs w:val="24"/>
        </w:rPr>
        <w:t>（3）法定代表人姓名：</w:t>
      </w:r>
      <w:r>
        <w:rPr>
          <w:rFonts w:hint="eastAsia" w:ascii="宋体"/>
          <w:sz w:val="24"/>
          <w:szCs w:val="24"/>
          <w:u w:val="single"/>
        </w:rPr>
        <w:t xml:space="preserve">                                 </w:t>
      </w:r>
    </w:p>
    <w:p w14:paraId="4796A8DD">
      <w:pPr>
        <w:spacing w:line="420" w:lineRule="exact"/>
        <w:rPr>
          <w:rFonts w:ascii="宋体"/>
          <w:sz w:val="24"/>
          <w:szCs w:val="24"/>
        </w:rPr>
      </w:pPr>
      <w:r>
        <w:rPr>
          <w:rFonts w:hint="eastAsia" w:ascii="宋体"/>
          <w:sz w:val="24"/>
          <w:szCs w:val="24"/>
        </w:rPr>
        <w:t>（4）单位地址：</w:t>
      </w:r>
      <w:r>
        <w:rPr>
          <w:rFonts w:hint="eastAsia" w:ascii="宋体"/>
          <w:sz w:val="24"/>
          <w:szCs w:val="24"/>
          <w:u w:val="single"/>
        </w:rPr>
        <w:t xml:space="preserve">                                       </w:t>
      </w:r>
    </w:p>
    <w:p w14:paraId="79D9145A">
      <w:pPr>
        <w:spacing w:line="420" w:lineRule="exact"/>
        <w:rPr>
          <w:rFonts w:ascii="宋体"/>
          <w:sz w:val="24"/>
          <w:szCs w:val="24"/>
          <w:u w:val="single"/>
        </w:rPr>
      </w:pPr>
      <w:r>
        <w:rPr>
          <w:rFonts w:hint="eastAsia" w:ascii="宋体"/>
          <w:sz w:val="24"/>
          <w:szCs w:val="24"/>
        </w:rPr>
        <w:t>（5）单位传真/电话号码：</w:t>
      </w:r>
      <w:r>
        <w:rPr>
          <w:rFonts w:hint="eastAsia" w:ascii="宋体"/>
          <w:sz w:val="24"/>
          <w:szCs w:val="24"/>
          <w:u w:val="single"/>
        </w:rPr>
        <w:t xml:space="preserve">                              </w:t>
      </w:r>
    </w:p>
    <w:p w14:paraId="17EEBA62">
      <w:pPr>
        <w:spacing w:line="420" w:lineRule="exact"/>
        <w:rPr>
          <w:rFonts w:ascii="宋体"/>
          <w:sz w:val="24"/>
          <w:szCs w:val="24"/>
          <w:u w:val="single"/>
        </w:rPr>
      </w:pPr>
      <w:r>
        <w:rPr>
          <w:rFonts w:hint="eastAsia" w:ascii="宋体"/>
          <w:sz w:val="24"/>
          <w:szCs w:val="24"/>
        </w:rPr>
        <w:t>（6）成立或工商注册日期：</w:t>
      </w:r>
      <w:r>
        <w:rPr>
          <w:rFonts w:hint="eastAsia" w:ascii="宋体"/>
          <w:sz w:val="24"/>
          <w:szCs w:val="24"/>
          <w:u w:val="single"/>
        </w:rPr>
        <w:t xml:space="preserve">                             </w:t>
      </w:r>
    </w:p>
    <w:p w14:paraId="3C70F47A">
      <w:pPr>
        <w:spacing w:line="420" w:lineRule="exact"/>
        <w:rPr>
          <w:rFonts w:ascii="宋体"/>
          <w:sz w:val="24"/>
          <w:szCs w:val="24"/>
        </w:rPr>
      </w:pPr>
      <w:r>
        <w:rPr>
          <w:rFonts w:hint="eastAsia" w:ascii="宋体"/>
          <w:sz w:val="24"/>
          <w:szCs w:val="24"/>
        </w:rPr>
        <w:t>（7）营业执照编号（事业单位法人证书）：</w:t>
      </w:r>
      <w:r>
        <w:rPr>
          <w:rFonts w:hint="eastAsia" w:ascii="宋体"/>
          <w:sz w:val="24"/>
          <w:szCs w:val="24"/>
          <w:u w:val="single"/>
        </w:rPr>
        <w:t xml:space="preserve">                 </w:t>
      </w:r>
    </w:p>
    <w:p w14:paraId="545FD2F9">
      <w:pPr>
        <w:spacing w:line="420" w:lineRule="exact"/>
        <w:rPr>
          <w:rFonts w:ascii="宋体"/>
          <w:sz w:val="24"/>
          <w:szCs w:val="24"/>
        </w:rPr>
      </w:pPr>
      <w:r>
        <w:rPr>
          <w:rFonts w:hint="eastAsia" w:ascii="宋体"/>
          <w:sz w:val="24"/>
          <w:szCs w:val="24"/>
        </w:rPr>
        <w:t>（8）实收资本：</w:t>
      </w:r>
      <w:r>
        <w:rPr>
          <w:rFonts w:hint="eastAsia" w:ascii="宋体"/>
          <w:sz w:val="24"/>
          <w:szCs w:val="24"/>
          <w:u w:val="single"/>
        </w:rPr>
        <w:t xml:space="preserve">                                       </w:t>
      </w:r>
    </w:p>
    <w:p w14:paraId="7B2D6E73">
      <w:pPr>
        <w:spacing w:line="420" w:lineRule="exact"/>
        <w:rPr>
          <w:rFonts w:ascii="宋体"/>
          <w:sz w:val="24"/>
          <w:szCs w:val="24"/>
        </w:rPr>
      </w:pPr>
      <w:r>
        <w:rPr>
          <w:rFonts w:hint="eastAsia" w:ascii="宋体"/>
          <w:sz w:val="24"/>
          <w:szCs w:val="24"/>
        </w:rPr>
        <w:t>（9）近期资产负债表（到</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日止）</w:t>
      </w:r>
    </w:p>
    <w:p w14:paraId="18F3235F">
      <w:pPr>
        <w:spacing w:line="420" w:lineRule="exact"/>
        <w:rPr>
          <w:rFonts w:ascii="宋体"/>
          <w:sz w:val="24"/>
          <w:szCs w:val="24"/>
        </w:rPr>
      </w:pPr>
      <w:r>
        <w:rPr>
          <w:rFonts w:hint="eastAsia" w:ascii="宋体"/>
          <w:sz w:val="24"/>
          <w:szCs w:val="24"/>
        </w:rPr>
        <w:t xml:space="preserve">  1）固定资产：</w:t>
      </w:r>
      <w:r>
        <w:rPr>
          <w:rFonts w:hint="eastAsia" w:ascii="宋体"/>
          <w:sz w:val="24"/>
          <w:szCs w:val="24"/>
          <w:u w:val="single"/>
        </w:rPr>
        <w:t xml:space="preserve">               </w:t>
      </w:r>
    </w:p>
    <w:p w14:paraId="42A0B513">
      <w:pPr>
        <w:spacing w:line="420" w:lineRule="exact"/>
        <w:rPr>
          <w:rFonts w:ascii="宋体"/>
          <w:sz w:val="24"/>
          <w:szCs w:val="24"/>
        </w:rPr>
      </w:pPr>
      <w:r>
        <w:rPr>
          <w:rFonts w:hint="eastAsia" w:ascii="宋体"/>
          <w:sz w:val="24"/>
          <w:szCs w:val="24"/>
        </w:rPr>
        <w:t xml:space="preserve">  2）流动资产：</w:t>
      </w:r>
      <w:r>
        <w:rPr>
          <w:rFonts w:hint="eastAsia" w:ascii="宋体"/>
          <w:sz w:val="24"/>
          <w:szCs w:val="24"/>
          <w:u w:val="single"/>
        </w:rPr>
        <w:t xml:space="preserve">               </w:t>
      </w:r>
    </w:p>
    <w:p w14:paraId="2A4F7145">
      <w:pPr>
        <w:spacing w:line="420" w:lineRule="exact"/>
        <w:rPr>
          <w:rFonts w:ascii="宋体"/>
          <w:sz w:val="24"/>
          <w:szCs w:val="24"/>
        </w:rPr>
      </w:pPr>
      <w:r>
        <w:rPr>
          <w:rFonts w:hint="eastAsia" w:ascii="宋体"/>
          <w:sz w:val="24"/>
          <w:szCs w:val="24"/>
        </w:rPr>
        <w:t xml:space="preserve">  3）长期负债：</w:t>
      </w:r>
      <w:r>
        <w:rPr>
          <w:rFonts w:hint="eastAsia" w:ascii="宋体"/>
          <w:sz w:val="24"/>
          <w:szCs w:val="24"/>
          <w:u w:val="single"/>
        </w:rPr>
        <w:t xml:space="preserve">               </w:t>
      </w:r>
    </w:p>
    <w:p w14:paraId="44B935F7">
      <w:pPr>
        <w:spacing w:line="420" w:lineRule="exact"/>
        <w:rPr>
          <w:rFonts w:ascii="宋体"/>
          <w:sz w:val="24"/>
          <w:szCs w:val="24"/>
        </w:rPr>
      </w:pPr>
      <w:r>
        <w:rPr>
          <w:rFonts w:hint="eastAsia" w:ascii="宋体"/>
          <w:sz w:val="24"/>
          <w:szCs w:val="24"/>
        </w:rPr>
        <w:t xml:space="preserve">  4）流动负债：</w:t>
      </w:r>
      <w:r>
        <w:rPr>
          <w:rFonts w:hint="eastAsia" w:ascii="宋体"/>
          <w:sz w:val="24"/>
          <w:szCs w:val="24"/>
          <w:u w:val="single"/>
        </w:rPr>
        <w:t xml:space="preserve">               </w:t>
      </w:r>
    </w:p>
    <w:p w14:paraId="10580CAA">
      <w:pPr>
        <w:spacing w:line="420" w:lineRule="exact"/>
        <w:rPr>
          <w:rFonts w:ascii="宋体"/>
          <w:sz w:val="24"/>
          <w:szCs w:val="24"/>
        </w:rPr>
      </w:pPr>
      <w:r>
        <w:rPr>
          <w:rFonts w:hint="eastAsia" w:ascii="宋体"/>
          <w:sz w:val="24"/>
          <w:szCs w:val="24"/>
        </w:rPr>
        <w:t xml:space="preserve">  5）净    值：</w:t>
      </w:r>
      <w:r>
        <w:rPr>
          <w:rFonts w:hint="eastAsia" w:ascii="宋体"/>
          <w:sz w:val="24"/>
          <w:szCs w:val="24"/>
          <w:u w:val="single"/>
        </w:rPr>
        <w:t xml:space="preserve">               </w:t>
      </w:r>
    </w:p>
    <w:p w14:paraId="1CEA979F">
      <w:pPr>
        <w:spacing w:line="420" w:lineRule="exact"/>
        <w:rPr>
          <w:rFonts w:ascii="宋体"/>
          <w:sz w:val="24"/>
          <w:szCs w:val="24"/>
        </w:rPr>
      </w:pPr>
      <w:r>
        <w:rPr>
          <w:rFonts w:hint="eastAsia" w:ascii="宋体"/>
          <w:sz w:val="24"/>
          <w:szCs w:val="24"/>
        </w:rPr>
        <w:t>（10）联系人姓名：</w:t>
      </w:r>
      <w:r>
        <w:rPr>
          <w:rFonts w:hint="eastAsia" w:ascii="宋体"/>
          <w:sz w:val="24"/>
          <w:szCs w:val="24"/>
          <w:u w:val="single"/>
        </w:rPr>
        <w:t xml:space="preserve">                      </w:t>
      </w:r>
      <w:r>
        <w:rPr>
          <w:rFonts w:hint="eastAsia" w:ascii="宋体"/>
          <w:sz w:val="24"/>
          <w:szCs w:val="24"/>
        </w:rPr>
        <w:t>；联系电话：</w:t>
      </w:r>
      <w:r>
        <w:rPr>
          <w:rFonts w:hint="eastAsia" w:ascii="宋体"/>
          <w:sz w:val="24"/>
          <w:szCs w:val="24"/>
          <w:u w:val="single"/>
        </w:rPr>
        <w:t xml:space="preserve">              </w:t>
      </w:r>
    </w:p>
    <w:p w14:paraId="6EC77BA3">
      <w:pPr>
        <w:spacing w:line="420" w:lineRule="exact"/>
        <w:ind w:left="723" w:hanging="723" w:hangingChars="300"/>
        <w:jc w:val="left"/>
        <w:rPr>
          <w:rFonts w:ascii="宋体"/>
          <w:sz w:val="24"/>
          <w:szCs w:val="24"/>
        </w:rPr>
      </w:pPr>
      <w:r>
        <w:rPr>
          <w:rFonts w:hint="eastAsia" w:ascii="宋体"/>
          <w:b/>
          <w:sz w:val="24"/>
          <w:szCs w:val="24"/>
        </w:rPr>
        <w:t xml:space="preserve">2．企业现有环卫专用作业车辆、设备情况： </w:t>
      </w:r>
      <w:r>
        <w:rPr>
          <w:rFonts w:hint="eastAsia" w:ascii="宋体"/>
          <w:sz w:val="24"/>
          <w:szCs w:val="24"/>
          <w:u w:val="single"/>
        </w:rPr>
        <w:t xml:space="preserve">        可附页说明</w:t>
      </w:r>
      <w:r>
        <w:rPr>
          <w:rFonts w:ascii="宋体"/>
          <w:sz w:val="24"/>
          <w:szCs w:val="24"/>
          <w:u w:val="single"/>
        </w:rPr>
        <w:t xml:space="preserve"> </w:t>
      </w:r>
      <w:r>
        <w:rPr>
          <w:rFonts w:hint="eastAsia" w:ascii="宋体"/>
          <w:sz w:val="24"/>
          <w:szCs w:val="24"/>
          <w:u w:val="single"/>
        </w:rPr>
        <w:t xml:space="preserve">         </w:t>
      </w:r>
    </w:p>
    <w:p w14:paraId="75DF03FD">
      <w:pPr>
        <w:spacing w:line="420" w:lineRule="exact"/>
        <w:ind w:left="723" w:hanging="723" w:hangingChars="300"/>
        <w:jc w:val="left"/>
        <w:rPr>
          <w:rFonts w:ascii="宋体"/>
          <w:sz w:val="24"/>
          <w:szCs w:val="24"/>
        </w:rPr>
      </w:pPr>
      <w:r>
        <w:rPr>
          <w:rFonts w:hint="eastAsia" w:ascii="宋体"/>
          <w:b/>
          <w:sz w:val="24"/>
          <w:szCs w:val="24"/>
        </w:rPr>
        <w:t>3．企业现有职工总数：</w:t>
      </w:r>
      <w:r>
        <w:rPr>
          <w:rFonts w:ascii="宋体"/>
          <w:sz w:val="24"/>
          <w:szCs w:val="24"/>
        </w:rPr>
        <w:t xml:space="preserve"> ____________</w:t>
      </w:r>
      <w:r>
        <w:rPr>
          <w:rFonts w:hint="eastAsia" w:ascii="宋体"/>
          <w:sz w:val="24"/>
          <w:szCs w:val="24"/>
        </w:rPr>
        <w:t>人。</w:t>
      </w:r>
    </w:p>
    <w:p w14:paraId="07A8F0C8">
      <w:pPr>
        <w:spacing w:line="420" w:lineRule="exact"/>
        <w:ind w:left="723" w:hanging="723" w:hangingChars="300"/>
        <w:jc w:val="left"/>
        <w:outlineLvl w:val="0"/>
        <w:rPr>
          <w:rFonts w:ascii="宋体"/>
          <w:b/>
          <w:sz w:val="24"/>
          <w:szCs w:val="24"/>
        </w:rPr>
      </w:pPr>
      <w:r>
        <w:rPr>
          <w:rFonts w:hint="eastAsia" w:ascii="宋体"/>
          <w:b/>
          <w:sz w:val="24"/>
          <w:szCs w:val="24"/>
        </w:rPr>
        <w:t>4. 近三年的年营业总额：</w:t>
      </w:r>
      <w:r>
        <w:rPr>
          <w:rFonts w:hint="eastAsia" w:ascii="宋体"/>
          <w:b/>
          <w:sz w:val="24"/>
          <w:szCs w:val="24"/>
          <w:u w:val="single"/>
        </w:rPr>
        <w:t xml:space="preserve">                       </w:t>
      </w:r>
    </w:p>
    <w:p w14:paraId="7729E379">
      <w:pPr>
        <w:spacing w:line="420" w:lineRule="exact"/>
        <w:ind w:left="723" w:hanging="723" w:hangingChars="300"/>
        <w:jc w:val="left"/>
        <w:rPr>
          <w:rFonts w:ascii="宋体"/>
          <w:b/>
          <w:color w:val="0000FF"/>
          <w:sz w:val="24"/>
          <w:szCs w:val="24"/>
        </w:rPr>
      </w:pPr>
    </w:p>
    <w:p w14:paraId="1D08895A">
      <w:pPr>
        <w:pStyle w:val="20"/>
        <w:adjustRightInd w:val="0"/>
        <w:snapToGrid w:val="0"/>
        <w:spacing w:line="420" w:lineRule="exact"/>
        <w:rPr>
          <w:rFonts w:hAnsi="宋体" w:cs="宋体"/>
          <w:b/>
          <w:kern w:val="0"/>
          <w:sz w:val="24"/>
          <w:szCs w:val="24"/>
        </w:rPr>
      </w:pPr>
      <w:r>
        <w:rPr>
          <w:rFonts w:hint="eastAsia" w:hAnsi="宋体" w:cs="宋体"/>
          <w:b/>
          <w:kern w:val="0"/>
          <w:sz w:val="24"/>
          <w:szCs w:val="24"/>
        </w:rPr>
        <w:t>注：后附</w:t>
      </w:r>
      <w:r>
        <w:rPr>
          <w:rFonts w:hint="eastAsia"/>
          <w:b/>
          <w:sz w:val="24"/>
          <w:szCs w:val="24"/>
        </w:rPr>
        <w:t>投标供应商体系认证证书等，</w:t>
      </w:r>
      <w:r>
        <w:rPr>
          <w:rFonts w:hint="eastAsia" w:hAnsi="宋体" w:cs="宋体"/>
          <w:b/>
          <w:kern w:val="0"/>
          <w:sz w:val="24"/>
          <w:szCs w:val="24"/>
        </w:rPr>
        <w:t>证书及证明材料按</w:t>
      </w:r>
      <w:r>
        <w:rPr>
          <w:rFonts w:hAnsi="宋体" w:cs="Arial"/>
          <w:b/>
          <w:color w:val="000000"/>
        </w:rPr>
        <w:t>第</w:t>
      </w:r>
      <w:r>
        <w:rPr>
          <w:rFonts w:hint="eastAsia" w:hAnsi="宋体" w:cs="Arial"/>
          <w:b/>
          <w:color w:val="000000"/>
        </w:rPr>
        <w:t xml:space="preserve">六部分 </w:t>
      </w:r>
      <w:r>
        <w:rPr>
          <w:rFonts w:hAnsi="宋体" w:cs="Arial"/>
          <w:b/>
          <w:color w:val="000000"/>
        </w:rPr>
        <w:t>评</w:t>
      </w:r>
      <w:r>
        <w:rPr>
          <w:rFonts w:hint="eastAsia" w:hAnsi="宋体" w:cs="Arial"/>
          <w:b/>
          <w:color w:val="000000"/>
        </w:rPr>
        <w:t>审</w:t>
      </w:r>
      <w:r>
        <w:rPr>
          <w:rFonts w:hAnsi="宋体" w:cs="Arial"/>
          <w:b/>
          <w:color w:val="000000"/>
        </w:rPr>
        <w:t>办法</w:t>
      </w:r>
      <w:r>
        <w:rPr>
          <w:rFonts w:hint="eastAsia" w:hAnsi="宋体" w:cs="Arial"/>
          <w:b/>
          <w:color w:val="000000"/>
        </w:rPr>
        <w:t>要求提供。</w:t>
      </w:r>
    </w:p>
    <w:p w14:paraId="6B8A06DA">
      <w:pPr>
        <w:pStyle w:val="20"/>
        <w:adjustRightInd w:val="0"/>
        <w:snapToGrid w:val="0"/>
        <w:spacing w:line="420" w:lineRule="exact"/>
        <w:rPr>
          <w:rFonts w:hAnsi="宋体" w:cs="宋体"/>
          <w:kern w:val="0"/>
          <w:sz w:val="24"/>
          <w:szCs w:val="24"/>
        </w:rPr>
      </w:pPr>
    </w:p>
    <w:p w14:paraId="2935CC23">
      <w:pPr>
        <w:pStyle w:val="20"/>
        <w:adjustRightInd w:val="0"/>
        <w:snapToGrid w:val="0"/>
        <w:spacing w:line="420" w:lineRule="exact"/>
        <w:rPr>
          <w:rFonts w:hAnsi="宋体" w:cs="宋体"/>
          <w:kern w:val="0"/>
          <w:sz w:val="24"/>
          <w:szCs w:val="24"/>
        </w:rPr>
      </w:pPr>
      <w:r>
        <w:rPr>
          <w:rFonts w:hint="eastAsia" w:hAnsi="宋体" w:cs="宋体"/>
          <w:kern w:val="0"/>
          <w:sz w:val="24"/>
          <w:szCs w:val="24"/>
        </w:rPr>
        <w:t>投标供应商名称（盖章）：</w:t>
      </w:r>
      <w:r>
        <w:rPr>
          <w:rFonts w:hint="eastAsia" w:hAnsi="宋体" w:cs="宋体"/>
          <w:kern w:val="0"/>
          <w:sz w:val="24"/>
          <w:szCs w:val="24"/>
          <w:u w:val="single"/>
        </w:rPr>
        <w:t xml:space="preserve">                    </w:t>
      </w:r>
      <w:r>
        <w:rPr>
          <w:rFonts w:hint="eastAsia" w:hAnsi="宋体" w:cs="宋体"/>
          <w:kern w:val="0"/>
          <w:sz w:val="24"/>
          <w:szCs w:val="24"/>
        </w:rPr>
        <w:t xml:space="preserve"> </w:t>
      </w:r>
    </w:p>
    <w:p w14:paraId="0FE526C5">
      <w:pPr>
        <w:pStyle w:val="20"/>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法定代表人或其授权代表（签字或盖章）：</w:t>
      </w:r>
      <w:r>
        <w:rPr>
          <w:rFonts w:hint="eastAsia" w:hAnsi="宋体" w:cs="宋体"/>
          <w:kern w:val="0"/>
          <w:sz w:val="24"/>
          <w:szCs w:val="24"/>
          <w:u w:val="single"/>
        </w:rPr>
        <w:t xml:space="preserve">              </w:t>
      </w:r>
    </w:p>
    <w:p w14:paraId="650D150D">
      <w:pPr>
        <w:pStyle w:val="20"/>
        <w:adjustRightInd w:val="0"/>
        <w:snapToGrid w:val="0"/>
        <w:spacing w:line="420" w:lineRule="exact"/>
        <w:rPr>
          <w:rFonts w:hAnsi="宋体" w:cs="宋体"/>
          <w:kern w:val="0"/>
          <w:sz w:val="24"/>
          <w:szCs w:val="24"/>
        </w:rPr>
      </w:pPr>
      <w:r>
        <w:rPr>
          <w:rFonts w:hint="eastAsia" w:hAnsi="宋体" w:cs="宋体"/>
          <w:kern w:val="0"/>
          <w:sz w:val="24"/>
          <w:szCs w:val="24"/>
        </w:rPr>
        <w:t xml:space="preserve">日期： </w:t>
      </w:r>
      <w:r>
        <w:rPr>
          <w:rFonts w:hint="eastAsia" w:hAnsi="宋体" w:cs="宋体"/>
          <w:kern w:val="0"/>
          <w:sz w:val="24"/>
          <w:szCs w:val="24"/>
          <w:u w:val="single"/>
        </w:rPr>
        <w:t xml:space="preserve">                 </w:t>
      </w:r>
      <w:r>
        <w:rPr>
          <w:rFonts w:hint="eastAsia" w:hAnsi="宋体" w:cs="宋体"/>
          <w:kern w:val="0"/>
          <w:sz w:val="24"/>
          <w:szCs w:val="24"/>
        </w:rPr>
        <w:t xml:space="preserve">   </w:t>
      </w:r>
    </w:p>
    <w:p w14:paraId="41ED8A7C">
      <w:pPr>
        <w:pStyle w:val="20"/>
        <w:snapToGrid w:val="0"/>
        <w:spacing w:line="420" w:lineRule="exact"/>
        <w:rPr>
          <w:rFonts w:hAnsi="宋体" w:cs="宋体"/>
          <w:kern w:val="0"/>
          <w:sz w:val="28"/>
          <w:szCs w:val="28"/>
        </w:rPr>
      </w:pPr>
    </w:p>
    <w:p w14:paraId="50E68D10">
      <w:pPr>
        <w:pStyle w:val="21"/>
        <w:ind w:left="440"/>
      </w:pPr>
    </w:p>
    <w:p w14:paraId="37BE8CBC">
      <w:pPr>
        <w:pStyle w:val="7"/>
        <w:spacing w:line="420" w:lineRule="exact"/>
        <w:rPr>
          <w:kern w:val="0"/>
        </w:rPr>
      </w:pPr>
      <w:r>
        <w:rPr>
          <w:rFonts w:hint="eastAsia"/>
          <w:kern w:val="0"/>
        </w:rPr>
        <w:t>2.7、拟投入人员一览表</w:t>
      </w:r>
    </w:p>
    <w:p w14:paraId="2429CDAF">
      <w:pPr>
        <w:pStyle w:val="7"/>
        <w:spacing w:line="420" w:lineRule="exact"/>
        <w:rPr>
          <w:kern w:val="0"/>
        </w:rPr>
      </w:pPr>
      <w:r>
        <w:rPr>
          <w:rFonts w:hint="eastAsia"/>
          <w:kern w:val="0"/>
        </w:rPr>
        <w:t>2.7.1、拟派项目管理团队汇总表</w:t>
      </w:r>
    </w:p>
    <w:p w14:paraId="72C46DB1">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拟派项目管理团队汇总表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18"/>
        <w:gridCol w:w="908"/>
        <w:gridCol w:w="851"/>
        <w:gridCol w:w="992"/>
        <w:gridCol w:w="992"/>
        <w:gridCol w:w="1134"/>
        <w:gridCol w:w="1276"/>
        <w:gridCol w:w="1276"/>
      </w:tblGrid>
      <w:tr w14:paraId="6724C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74B10533">
            <w:pPr>
              <w:autoSpaceDE w:val="0"/>
              <w:autoSpaceDN w:val="0"/>
              <w:adjustRightInd w:val="0"/>
              <w:spacing w:line="420" w:lineRule="exact"/>
              <w:jc w:val="center"/>
              <w:rPr>
                <w:kern w:val="0"/>
                <w:sz w:val="24"/>
              </w:rPr>
            </w:pPr>
            <w:r>
              <w:rPr>
                <w:rFonts w:hint="eastAsia"/>
                <w:kern w:val="0"/>
                <w:sz w:val="24"/>
              </w:rPr>
              <w:t>序号</w:t>
            </w:r>
          </w:p>
        </w:tc>
        <w:tc>
          <w:tcPr>
            <w:tcW w:w="1218" w:type="dxa"/>
            <w:vAlign w:val="center"/>
          </w:tcPr>
          <w:p w14:paraId="462176EE">
            <w:pPr>
              <w:autoSpaceDE w:val="0"/>
              <w:autoSpaceDN w:val="0"/>
              <w:adjustRightInd w:val="0"/>
              <w:spacing w:line="420" w:lineRule="exact"/>
              <w:jc w:val="center"/>
              <w:rPr>
                <w:kern w:val="0"/>
                <w:sz w:val="24"/>
              </w:rPr>
            </w:pPr>
            <w:r>
              <w:rPr>
                <w:rFonts w:hint="eastAsia"/>
                <w:kern w:val="0"/>
                <w:sz w:val="24"/>
              </w:rPr>
              <w:t>姓名</w:t>
            </w:r>
          </w:p>
        </w:tc>
        <w:tc>
          <w:tcPr>
            <w:tcW w:w="908" w:type="dxa"/>
            <w:vAlign w:val="center"/>
          </w:tcPr>
          <w:p w14:paraId="0CDC569D">
            <w:pPr>
              <w:autoSpaceDE w:val="0"/>
              <w:autoSpaceDN w:val="0"/>
              <w:adjustRightInd w:val="0"/>
              <w:spacing w:line="420" w:lineRule="exact"/>
              <w:jc w:val="center"/>
              <w:rPr>
                <w:kern w:val="0"/>
                <w:sz w:val="24"/>
              </w:rPr>
            </w:pPr>
            <w:r>
              <w:rPr>
                <w:rFonts w:hint="eastAsia"/>
                <w:kern w:val="0"/>
                <w:sz w:val="24"/>
              </w:rPr>
              <w:t>性别</w:t>
            </w:r>
          </w:p>
        </w:tc>
        <w:tc>
          <w:tcPr>
            <w:tcW w:w="851" w:type="dxa"/>
            <w:vAlign w:val="center"/>
          </w:tcPr>
          <w:p w14:paraId="7BF389D1">
            <w:pPr>
              <w:autoSpaceDE w:val="0"/>
              <w:autoSpaceDN w:val="0"/>
              <w:adjustRightInd w:val="0"/>
              <w:spacing w:line="420" w:lineRule="exact"/>
              <w:jc w:val="center"/>
              <w:rPr>
                <w:kern w:val="0"/>
                <w:sz w:val="24"/>
              </w:rPr>
            </w:pPr>
            <w:r>
              <w:rPr>
                <w:rFonts w:hint="eastAsia"/>
                <w:kern w:val="0"/>
                <w:sz w:val="24"/>
              </w:rPr>
              <w:t>年龄</w:t>
            </w:r>
          </w:p>
        </w:tc>
        <w:tc>
          <w:tcPr>
            <w:tcW w:w="992" w:type="dxa"/>
            <w:vAlign w:val="center"/>
          </w:tcPr>
          <w:p w14:paraId="48FB0D63">
            <w:pPr>
              <w:autoSpaceDE w:val="0"/>
              <w:autoSpaceDN w:val="0"/>
              <w:adjustRightInd w:val="0"/>
              <w:spacing w:line="420" w:lineRule="exact"/>
              <w:jc w:val="center"/>
              <w:rPr>
                <w:kern w:val="0"/>
                <w:sz w:val="24"/>
              </w:rPr>
            </w:pPr>
            <w:r>
              <w:rPr>
                <w:rFonts w:hint="eastAsia" w:ascii="宋体" w:hAnsi="宋体"/>
                <w:szCs w:val="21"/>
              </w:rPr>
              <w:t>学历</w:t>
            </w:r>
          </w:p>
        </w:tc>
        <w:tc>
          <w:tcPr>
            <w:tcW w:w="992" w:type="dxa"/>
            <w:tcBorders>
              <w:right w:val="single" w:color="auto" w:sz="4" w:space="0"/>
            </w:tcBorders>
            <w:vAlign w:val="center"/>
          </w:tcPr>
          <w:p w14:paraId="623D6F8C">
            <w:pPr>
              <w:autoSpaceDE w:val="0"/>
              <w:autoSpaceDN w:val="0"/>
              <w:adjustRightInd w:val="0"/>
              <w:spacing w:line="420" w:lineRule="exact"/>
              <w:jc w:val="center"/>
              <w:rPr>
                <w:kern w:val="0"/>
                <w:sz w:val="24"/>
              </w:rPr>
            </w:pPr>
            <w:r>
              <w:rPr>
                <w:rFonts w:hint="eastAsia"/>
                <w:kern w:val="0"/>
                <w:sz w:val="24"/>
              </w:rPr>
              <w:t>职称/证书</w:t>
            </w:r>
          </w:p>
        </w:tc>
        <w:tc>
          <w:tcPr>
            <w:tcW w:w="1134" w:type="dxa"/>
            <w:tcBorders>
              <w:left w:val="single" w:color="auto" w:sz="4" w:space="0"/>
            </w:tcBorders>
            <w:vAlign w:val="center"/>
          </w:tcPr>
          <w:p w14:paraId="69ED2CDE">
            <w:pPr>
              <w:autoSpaceDE w:val="0"/>
              <w:autoSpaceDN w:val="0"/>
              <w:adjustRightInd w:val="0"/>
              <w:spacing w:line="420" w:lineRule="exact"/>
              <w:jc w:val="center"/>
              <w:rPr>
                <w:kern w:val="0"/>
                <w:sz w:val="24"/>
              </w:rPr>
            </w:pPr>
            <w:r>
              <w:rPr>
                <w:rFonts w:hint="eastAsia"/>
                <w:kern w:val="0"/>
                <w:sz w:val="24"/>
              </w:rPr>
              <w:t>专业</w:t>
            </w:r>
          </w:p>
          <w:p w14:paraId="4ADF26C6">
            <w:pPr>
              <w:autoSpaceDE w:val="0"/>
              <w:autoSpaceDN w:val="0"/>
              <w:adjustRightInd w:val="0"/>
              <w:spacing w:line="420" w:lineRule="exact"/>
              <w:jc w:val="center"/>
              <w:rPr>
                <w:kern w:val="0"/>
                <w:sz w:val="24"/>
              </w:rPr>
            </w:pPr>
            <w:r>
              <w:rPr>
                <w:rFonts w:hint="eastAsia"/>
                <w:kern w:val="0"/>
                <w:sz w:val="24"/>
              </w:rPr>
              <w:t>年限</w:t>
            </w:r>
          </w:p>
        </w:tc>
        <w:tc>
          <w:tcPr>
            <w:tcW w:w="1276" w:type="dxa"/>
            <w:vAlign w:val="center"/>
          </w:tcPr>
          <w:p w14:paraId="6DDF69DF">
            <w:pPr>
              <w:autoSpaceDE w:val="0"/>
              <w:autoSpaceDN w:val="0"/>
              <w:adjustRightInd w:val="0"/>
              <w:spacing w:line="420" w:lineRule="exact"/>
              <w:jc w:val="center"/>
              <w:rPr>
                <w:kern w:val="0"/>
                <w:sz w:val="24"/>
              </w:rPr>
            </w:pPr>
            <w:r>
              <w:rPr>
                <w:rFonts w:hint="eastAsia"/>
                <w:kern w:val="0"/>
                <w:sz w:val="24"/>
              </w:rPr>
              <w:t>拟任岗位</w:t>
            </w:r>
          </w:p>
        </w:tc>
        <w:tc>
          <w:tcPr>
            <w:tcW w:w="1276" w:type="dxa"/>
            <w:vAlign w:val="center"/>
          </w:tcPr>
          <w:p w14:paraId="2EED7817">
            <w:pPr>
              <w:autoSpaceDE w:val="0"/>
              <w:autoSpaceDN w:val="0"/>
              <w:adjustRightInd w:val="0"/>
              <w:spacing w:line="420" w:lineRule="exact"/>
              <w:jc w:val="center"/>
              <w:rPr>
                <w:kern w:val="0"/>
                <w:sz w:val="24"/>
              </w:rPr>
            </w:pPr>
            <w:r>
              <w:rPr>
                <w:rFonts w:hint="eastAsia"/>
                <w:kern w:val="0"/>
                <w:sz w:val="24"/>
              </w:rPr>
              <w:t>类似经历</w:t>
            </w:r>
          </w:p>
        </w:tc>
      </w:tr>
      <w:tr w14:paraId="4FEE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94E1223">
            <w:pPr>
              <w:autoSpaceDE w:val="0"/>
              <w:autoSpaceDN w:val="0"/>
              <w:adjustRightInd w:val="0"/>
              <w:spacing w:line="420" w:lineRule="exact"/>
              <w:jc w:val="center"/>
              <w:rPr>
                <w:kern w:val="0"/>
                <w:sz w:val="24"/>
              </w:rPr>
            </w:pPr>
          </w:p>
        </w:tc>
        <w:tc>
          <w:tcPr>
            <w:tcW w:w="1218" w:type="dxa"/>
            <w:vAlign w:val="center"/>
          </w:tcPr>
          <w:p w14:paraId="131A8D47">
            <w:pPr>
              <w:autoSpaceDE w:val="0"/>
              <w:autoSpaceDN w:val="0"/>
              <w:adjustRightInd w:val="0"/>
              <w:spacing w:line="420" w:lineRule="exact"/>
              <w:jc w:val="center"/>
              <w:rPr>
                <w:kern w:val="0"/>
                <w:sz w:val="24"/>
              </w:rPr>
            </w:pPr>
          </w:p>
        </w:tc>
        <w:tc>
          <w:tcPr>
            <w:tcW w:w="908" w:type="dxa"/>
            <w:vAlign w:val="center"/>
          </w:tcPr>
          <w:p w14:paraId="7CAA97FC">
            <w:pPr>
              <w:autoSpaceDE w:val="0"/>
              <w:autoSpaceDN w:val="0"/>
              <w:adjustRightInd w:val="0"/>
              <w:spacing w:line="420" w:lineRule="exact"/>
              <w:jc w:val="center"/>
              <w:rPr>
                <w:kern w:val="0"/>
                <w:sz w:val="24"/>
              </w:rPr>
            </w:pPr>
          </w:p>
        </w:tc>
        <w:tc>
          <w:tcPr>
            <w:tcW w:w="851" w:type="dxa"/>
            <w:vAlign w:val="center"/>
          </w:tcPr>
          <w:p w14:paraId="37958B6B">
            <w:pPr>
              <w:autoSpaceDE w:val="0"/>
              <w:autoSpaceDN w:val="0"/>
              <w:adjustRightInd w:val="0"/>
              <w:spacing w:line="420" w:lineRule="exact"/>
              <w:jc w:val="center"/>
              <w:rPr>
                <w:kern w:val="0"/>
                <w:sz w:val="24"/>
              </w:rPr>
            </w:pPr>
          </w:p>
        </w:tc>
        <w:tc>
          <w:tcPr>
            <w:tcW w:w="992" w:type="dxa"/>
            <w:vAlign w:val="center"/>
          </w:tcPr>
          <w:p w14:paraId="7F125EDC">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ECE19B3">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3BCEAED">
            <w:pPr>
              <w:autoSpaceDE w:val="0"/>
              <w:autoSpaceDN w:val="0"/>
              <w:adjustRightInd w:val="0"/>
              <w:spacing w:line="420" w:lineRule="exact"/>
              <w:jc w:val="center"/>
              <w:rPr>
                <w:kern w:val="0"/>
                <w:sz w:val="24"/>
              </w:rPr>
            </w:pPr>
          </w:p>
        </w:tc>
        <w:tc>
          <w:tcPr>
            <w:tcW w:w="1276" w:type="dxa"/>
            <w:vAlign w:val="center"/>
          </w:tcPr>
          <w:p w14:paraId="418D6C86">
            <w:pPr>
              <w:autoSpaceDE w:val="0"/>
              <w:autoSpaceDN w:val="0"/>
              <w:adjustRightInd w:val="0"/>
              <w:spacing w:line="420" w:lineRule="exact"/>
              <w:jc w:val="center"/>
              <w:rPr>
                <w:kern w:val="0"/>
                <w:sz w:val="24"/>
              </w:rPr>
            </w:pPr>
          </w:p>
        </w:tc>
        <w:tc>
          <w:tcPr>
            <w:tcW w:w="1276" w:type="dxa"/>
            <w:vAlign w:val="center"/>
          </w:tcPr>
          <w:p w14:paraId="69893621">
            <w:pPr>
              <w:autoSpaceDE w:val="0"/>
              <w:autoSpaceDN w:val="0"/>
              <w:adjustRightInd w:val="0"/>
              <w:spacing w:line="420" w:lineRule="exact"/>
              <w:jc w:val="center"/>
              <w:rPr>
                <w:kern w:val="0"/>
                <w:sz w:val="24"/>
              </w:rPr>
            </w:pPr>
          </w:p>
        </w:tc>
      </w:tr>
      <w:tr w14:paraId="246E8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DC83D5B">
            <w:pPr>
              <w:autoSpaceDE w:val="0"/>
              <w:autoSpaceDN w:val="0"/>
              <w:adjustRightInd w:val="0"/>
              <w:spacing w:line="420" w:lineRule="exact"/>
              <w:jc w:val="center"/>
              <w:rPr>
                <w:kern w:val="0"/>
                <w:sz w:val="24"/>
              </w:rPr>
            </w:pPr>
          </w:p>
        </w:tc>
        <w:tc>
          <w:tcPr>
            <w:tcW w:w="1218" w:type="dxa"/>
            <w:vAlign w:val="center"/>
          </w:tcPr>
          <w:p w14:paraId="55E687A0">
            <w:pPr>
              <w:autoSpaceDE w:val="0"/>
              <w:autoSpaceDN w:val="0"/>
              <w:adjustRightInd w:val="0"/>
              <w:spacing w:line="420" w:lineRule="exact"/>
              <w:jc w:val="center"/>
              <w:rPr>
                <w:kern w:val="0"/>
                <w:sz w:val="24"/>
              </w:rPr>
            </w:pPr>
          </w:p>
        </w:tc>
        <w:tc>
          <w:tcPr>
            <w:tcW w:w="908" w:type="dxa"/>
            <w:vAlign w:val="center"/>
          </w:tcPr>
          <w:p w14:paraId="07EDEE7A">
            <w:pPr>
              <w:autoSpaceDE w:val="0"/>
              <w:autoSpaceDN w:val="0"/>
              <w:adjustRightInd w:val="0"/>
              <w:spacing w:line="420" w:lineRule="exact"/>
              <w:jc w:val="center"/>
              <w:rPr>
                <w:kern w:val="0"/>
                <w:sz w:val="24"/>
              </w:rPr>
            </w:pPr>
          </w:p>
        </w:tc>
        <w:tc>
          <w:tcPr>
            <w:tcW w:w="851" w:type="dxa"/>
            <w:vAlign w:val="center"/>
          </w:tcPr>
          <w:p w14:paraId="4DE280A2">
            <w:pPr>
              <w:autoSpaceDE w:val="0"/>
              <w:autoSpaceDN w:val="0"/>
              <w:adjustRightInd w:val="0"/>
              <w:spacing w:line="420" w:lineRule="exact"/>
              <w:jc w:val="center"/>
              <w:rPr>
                <w:kern w:val="0"/>
                <w:sz w:val="24"/>
              </w:rPr>
            </w:pPr>
          </w:p>
        </w:tc>
        <w:tc>
          <w:tcPr>
            <w:tcW w:w="992" w:type="dxa"/>
            <w:vAlign w:val="center"/>
          </w:tcPr>
          <w:p w14:paraId="056D972E">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584D6865">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2CAADCBC">
            <w:pPr>
              <w:autoSpaceDE w:val="0"/>
              <w:autoSpaceDN w:val="0"/>
              <w:adjustRightInd w:val="0"/>
              <w:spacing w:line="420" w:lineRule="exact"/>
              <w:jc w:val="center"/>
              <w:rPr>
                <w:kern w:val="0"/>
                <w:sz w:val="24"/>
              </w:rPr>
            </w:pPr>
          </w:p>
        </w:tc>
        <w:tc>
          <w:tcPr>
            <w:tcW w:w="1276" w:type="dxa"/>
            <w:vAlign w:val="center"/>
          </w:tcPr>
          <w:p w14:paraId="31E2DD4F">
            <w:pPr>
              <w:autoSpaceDE w:val="0"/>
              <w:autoSpaceDN w:val="0"/>
              <w:adjustRightInd w:val="0"/>
              <w:spacing w:line="420" w:lineRule="exact"/>
              <w:jc w:val="center"/>
              <w:rPr>
                <w:kern w:val="0"/>
                <w:sz w:val="24"/>
              </w:rPr>
            </w:pPr>
          </w:p>
        </w:tc>
        <w:tc>
          <w:tcPr>
            <w:tcW w:w="1276" w:type="dxa"/>
            <w:vAlign w:val="center"/>
          </w:tcPr>
          <w:p w14:paraId="6750DE56">
            <w:pPr>
              <w:autoSpaceDE w:val="0"/>
              <w:autoSpaceDN w:val="0"/>
              <w:adjustRightInd w:val="0"/>
              <w:spacing w:line="420" w:lineRule="exact"/>
              <w:jc w:val="center"/>
              <w:rPr>
                <w:kern w:val="0"/>
                <w:sz w:val="24"/>
              </w:rPr>
            </w:pPr>
          </w:p>
        </w:tc>
      </w:tr>
      <w:tr w14:paraId="3E242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3EC135EA">
            <w:pPr>
              <w:autoSpaceDE w:val="0"/>
              <w:autoSpaceDN w:val="0"/>
              <w:adjustRightInd w:val="0"/>
              <w:spacing w:line="420" w:lineRule="exact"/>
              <w:jc w:val="center"/>
              <w:rPr>
                <w:kern w:val="0"/>
                <w:sz w:val="24"/>
              </w:rPr>
            </w:pPr>
          </w:p>
        </w:tc>
        <w:tc>
          <w:tcPr>
            <w:tcW w:w="1218" w:type="dxa"/>
            <w:vAlign w:val="center"/>
          </w:tcPr>
          <w:p w14:paraId="153E31B2">
            <w:pPr>
              <w:autoSpaceDE w:val="0"/>
              <w:autoSpaceDN w:val="0"/>
              <w:adjustRightInd w:val="0"/>
              <w:spacing w:line="420" w:lineRule="exact"/>
              <w:jc w:val="center"/>
              <w:rPr>
                <w:kern w:val="0"/>
                <w:sz w:val="24"/>
              </w:rPr>
            </w:pPr>
          </w:p>
        </w:tc>
        <w:tc>
          <w:tcPr>
            <w:tcW w:w="908" w:type="dxa"/>
            <w:vAlign w:val="center"/>
          </w:tcPr>
          <w:p w14:paraId="0E052B6B">
            <w:pPr>
              <w:autoSpaceDE w:val="0"/>
              <w:autoSpaceDN w:val="0"/>
              <w:adjustRightInd w:val="0"/>
              <w:spacing w:line="420" w:lineRule="exact"/>
              <w:jc w:val="center"/>
              <w:rPr>
                <w:kern w:val="0"/>
                <w:sz w:val="24"/>
              </w:rPr>
            </w:pPr>
          </w:p>
        </w:tc>
        <w:tc>
          <w:tcPr>
            <w:tcW w:w="851" w:type="dxa"/>
            <w:vAlign w:val="center"/>
          </w:tcPr>
          <w:p w14:paraId="775F72B9">
            <w:pPr>
              <w:autoSpaceDE w:val="0"/>
              <w:autoSpaceDN w:val="0"/>
              <w:adjustRightInd w:val="0"/>
              <w:spacing w:line="420" w:lineRule="exact"/>
              <w:jc w:val="center"/>
              <w:rPr>
                <w:kern w:val="0"/>
                <w:sz w:val="24"/>
              </w:rPr>
            </w:pPr>
          </w:p>
        </w:tc>
        <w:tc>
          <w:tcPr>
            <w:tcW w:w="992" w:type="dxa"/>
            <w:vAlign w:val="center"/>
          </w:tcPr>
          <w:p w14:paraId="23C10EA8">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405C08C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25CA0B58">
            <w:pPr>
              <w:autoSpaceDE w:val="0"/>
              <w:autoSpaceDN w:val="0"/>
              <w:adjustRightInd w:val="0"/>
              <w:spacing w:line="420" w:lineRule="exact"/>
              <w:jc w:val="center"/>
              <w:rPr>
                <w:kern w:val="0"/>
                <w:sz w:val="24"/>
              </w:rPr>
            </w:pPr>
          </w:p>
        </w:tc>
        <w:tc>
          <w:tcPr>
            <w:tcW w:w="1276" w:type="dxa"/>
            <w:vAlign w:val="center"/>
          </w:tcPr>
          <w:p w14:paraId="53220044">
            <w:pPr>
              <w:autoSpaceDE w:val="0"/>
              <w:autoSpaceDN w:val="0"/>
              <w:adjustRightInd w:val="0"/>
              <w:spacing w:line="420" w:lineRule="exact"/>
              <w:jc w:val="center"/>
              <w:rPr>
                <w:kern w:val="0"/>
                <w:sz w:val="24"/>
              </w:rPr>
            </w:pPr>
          </w:p>
        </w:tc>
        <w:tc>
          <w:tcPr>
            <w:tcW w:w="1276" w:type="dxa"/>
            <w:vAlign w:val="center"/>
          </w:tcPr>
          <w:p w14:paraId="5A710D9D">
            <w:pPr>
              <w:autoSpaceDE w:val="0"/>
              <w:autoSpaceDN w:val="0"/>
              <w:adjustRightInd w:val="0"/>
              <w:spacing w:line="420" w:lineRule="exact"/>
              <w:jc w:val="center"/>
              <w:rPr>
                <w:kern w:val="0"/>
                <w:sz w:val="24"/>
              </w:rPr>
            </w:pPr>
          </w:p>
        </w:tc>
      </w:tr>
      <w:tr w14:paraId="7B134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B5A6888">
            <w:pPr>
              <w:autoSpaceDE w:val="0"/>
              <w:autoSpaceDN w:val="0"/>
              <w:adjustRightInd w:val="0"/>
              <w:spacing w:line="420" w:lineRule="exact"/>
              <w:jc w:val="center"/>
              <w:rPr>
                <w:kern w:val="0"/>
                <w:sz w:val="24"/>
              </w:rPr>
            </w:pPr>
          </w:p>
        </w:tc>
        <w:tc>
          <w:tcPr>
            <w:tcW w:w="1218" w:type="dxa"/>
            <w:vAlign w:val="center"/>
          </w:tcPr>
          <w:p w14:paraId="2668E0A1">
            <w:pPr>
              <w:autoSpaceDE w:val="0"/>
              <w:autoSpaceDN w:val="0"/>
              <w:adjustRightInd w:val="0"/>
              <w:spacing w:line="420" w:lineRule="exact"/>
              <w:jc w:val="center"/>
              <w:rPr>
                <w:kern w:val="0"/>
                <w:sz w:val="24"/>
              </w:rPr>
            </w:pPr>
          </w:p>
        </w:tc>
        <w:tc>
          <w:tcPr>
            <w:tcW w:w="908" w:type="dxa"/>
            <w:vAlign w:val="center"/>
          </w:tcPr>
          <w:p w14:paraId="207E554F">
            <w:pPr>
              <w:autoSpaceDE w:val="0"/>
              <w:autoSpaceDN w:val="0"/>
              <w:adjustRightInd w:val="0"/>
              <w:spacing w:line="420" w:lineRule="exact"/>
              <w:jc w:val="center"/>
              <w:rPr>
                <w:kern w:val="0"/>
                <w:sz w:val="24"/>
              </w:rPr>
            </w:pPr>
          </w:p>
        </w:tc>
        <w:tc>
          <w:tcPr>
            <w:tcW w:w="851" w:type="dxa"/>
            <w:vAlign w:val="center"/>
          </w:tcPr>
          <w:p w14:paraId="299B82DB">
            <w:pPr>
              <w:autoSpaceDE w:val="0"/>
              <w:autoSpaceDN w:val="0"/>
              <w:adjustRightInd w:val="0"/>
              <w:spacing w:line="420" w:lineRule="exact"/>
              <w:jc w:val="center"/>
              <w:rPr>
                <w:kern w:val="0"/>
                <w:sz w:val="24"/>
              </w:rPr>
            </w:pPr>
          </w:p>
        </w:tc>
        <w:tc>
          <w:tcPr>
            <w:tcW w:w="992" w:type="dxa"/>
            <w:vAlign w:val="center"/>
          </w:tcPr>
          <w:p w14:paraId="4DF7C627">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579A1A8">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63B7B8E">
            <w:pPr>
              <w:autoSpaceDE w:val="0"/>
              <w:autoSpaceDN w:val="0"/>
              <w:adjustRightInd w:val="0"/>
              <w:spacing w:line="420" w:lineRule="exact"/>
              <w:jc w:val="center"/>
              <w:rPr>
                <w:kern w:val="0"/>
                <w:sz w:val="24"/>
              </w:rPr>
            </w:pPr>
          </w:p>
        </w:tc>
        <w:tc>
          <w:tcPr>
            <w:tcW w:w="1276" w:type="dxa"/>
            <w:vAlign w:val="center"/>
          </w:tcPr>
          <w:p w14:paraId="02FFC20B">
            <w:pPr>
              <w:autoSpaceDE w:val="0"/>
              <w:autoSpaceDN w:val="0"/>
              <w:adjustRightInd w:val="0"/>
              <w:spacing w:line="420" w:lineRule="exact"/>
              <w:jc w:val="center"/>
              <w:rPr>
                <w:kern w:val="0"/>
                <w:sz w:val="24"/>
              </w:rPr>
            </w:pPr>
          </w:p>
        </w:tc>
        <w:tc>
          <w:tcPr>
            <w:tcW w:w="1276" w:type="dxa"/>
            <w:vAlign w:val="center"/>
          </w:tcPr>
          <w:p w14:paraId="28C3D01A">
            <w:pPr>
              <w:autoSpaceDE w:val="0"/>
              <w:autoSpaceDN w:val="0"/>
              <w:adjustRightInd w:val="0"/>
              <w:spacing w:line="420" w:lineRule="exact"/>
              <w:jc w:val="center"/>
              <w:rPr>
                <w:kern w:val="0"/>
                <w:sz w:val="24"/>
              </w:rPr>
            </w:pPr>
          </w:p>
        </w:tc>
      </w:tr>
      <w:tr w14:paraId="35655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C9C65CD">
            <w:pPr>
              <w:autoSpaceDE w:val="0"/>
              <w:autoSpaceDN w:val="0"/>
              <w:adjustRightInd w:val="0"/>
              <w:spacing w:line="420" w:lineRule="exact"/>
              <w:jc w:val="center"/>
              <w:rPr>
                <w:kern w:val="0"/>
                <w:sz w:val="24"/>
              </w:rPr>
            </w:pPr>
          </w:p>
        </w:tc>
        <w:tc>
          <w:tcPr>
            <w:tcW w:w="1218" w:type="dxa"/>
            <w:vAlign w:val="center"/>
          </w:tcPr>
          <w:p w14:paraId="06FA4437">
            <w:pPr>
              <w:autoSpaceDE w:val="0"/>
              <w:autoSpaceDN w:val="0"/>
              <w:adjustRightInd w:val="0"/>
              <w:spacing w:line="420" w:lineRule="exact"/>
              <w:jc w:val="center"/>
              <w:rPr>
                <w:kern w:val="0"/>
                <w:sz w:val="24"/>
              </w:rPr>
            </w:pPr>
          </w:p>
        </w:tc>
        <w:tc>
          <w:tcPr>
            <w:tcW w:w="908" w:type="dxa"/>
            <w:vAlign w:val="center"/>
          </w:tcPr>
          <w:p w14:paraId="4A17A42F">
            <w:pPr>
              <w:autoSpaceDE w:val="0"/>
              <w:autoSpaceDN w:val="0"/>
              <w:adjustRightInd w:val="0"/>
              <w:spacing w:line="420" w:lineRule="exact"/>
              <w:jc w:val="center"/>
              <w:rPr>
                <w:kern w:val="0"/>
                <w:sz w:val="24"/>
              </w:rPr>
            </w:pPr>
          </w:p>
        </w:tc>
        <w:tc>
          <w:tcPr>
            <w:tcW w:w="851" w:type="dxa"/>
            <w:vAlign w:val="center"/>
          </w:tcPr>
          <w:p w14:paraId="08026D61">
            <w:pPr>
              <w:autoSpaceDE w:val="0"/>
              <w:autoSpaceDN w:val="0"/>
              <w:adjustRightInd w:val="0"/>
              <w:spacing w:line="420" w:lineRule="exact"/>
              <w:jc w:val="center"/>
              <w:rPr>
                <w:kern w:val="0"/>
                <w:sz w:val="24"/>
              </w:rPr>
            </w:pPr>
          </w:p>
        </w:tc>
        <w:tc>
          <w:tcPr>
            <w:tcW w:w="992" w:type="dxa"/>
            <w:vAlign w:val="center"/>
          </w:tcPr>
          <w:p w14:paraId="602ACE98">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5448B70">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1A628F3">
            <w:pPr>
              <w:autoSpaceDE w:val="0"/>
              <w:autoSpaceDN w:val="0"/>
              <w:adjustRightInd w:val="0"/>
              <w:spacing w:line="420" w:lineRule="exact"/>
              <w:jc w:val="center"/>
              <w:rPr>
                <w:kern w:val="0"/>
                <w:sz w:val="24"/>
              </w:rPr>
            </w:pPr>
          </w:p>
        </w:tc>
        <w:tc>
          <w:tcPr>
            <w:tcW w:w="1276" w:type="dxa"/>
            <w:vAlign w:val="center"/>
          </w:tcPr>
          <w:p w14:paraId="2E7D9CEA">
            <w:pPr>
              <w:autoSpaceDE w:val="0"/>
              <w:autoSpaceDN w:val="0"/>
              <w:adjustRightInd w:val="0"/>
              <w:spacing w:line="420" w:lineRule="exact"/>
              <w:jc w:val="center"/>
              <w:rPr>
                <w:kern w:val="0"/>
                <w:sz w:val="24"/>
              </w:rPr>
            </w:pPr>
          </w:p>
        </w:tc>
        <w:tc>
          <w:tcPr>
            <w:tcW w:w="1276" w:type="dxa"/>
            <w:vAlign w:val="center"/>
          </w:tcPr>
          <w:p w14:paraId="23F97E0C">
            <w:pPr>
              <w:autoSpaceDE w:val="0"/>
              <w:autoSpaceDN w:val="0"/>
              <w:adjustRightInd w:val="0"/>
              <w:spacing w:line="420" w:lineRule="exact"/>
              <w:jc w:val="center"/>
              <w:rPr>
                <w:kern w:val="0"/>
                <w:sz w:val="24"/>
              </w:rPr>
            </w:pPr>
          </w:p>
        </w:tc>
      </w:tr>
      <w:tr w14:paraId="114D35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D064872">
            <w:pPr>
              <w:autoSpaceDE w:val="0"/>
              <w:autoSpaceDN w:val="0"/>
              <w:adjustRightInd w:val="0"/>
              <w:spacing w:line="420" w:lineRule="exact"/>
              <w:jc w:val="center"/>
              <w:rPr>
                <w:kern w:val="0"/>
                <w:sz w:val="24"/>
              </w:rPr>
            </w:pPr>
          </w:p>
        </w:tc>
        <w:tc>
          <w:tcPr>
            <w:tcW w:w="1218" w:type="dxa"/>
            <w:vAlign w:val="center"/>
          </w:tcPr>
          <w:p w14:paraId="451602B9">
            <w:pPr>
              <w:autoSpaceDE w:val="0"/>
              <w:autoSpaceDN w:val="0"/>
              <w:adjustRightInd w:val="0"/>
              <w:spacing w:line="420" w:lineRule="exact"/>
              <w:jc w:val="center"/>
              <w:rPr>
                <w:kern w:val="0"/>
                <w:sz w:val="24"/>
              </w:rPr>
            </w:pPr>
          </w:p>
        </w:tc>
        <w:tc>
          <w:tcPr>
            <w:tcW w:w="908" w:type="dxa"/>
            <w:vAlign w:val="center"/>
          </w:tcPr>
          <w:p w14:paraId="78734DB8">
            <w:pPr>
              <w:autoSpaceDE w:val="0"/>
              <w:autoSpaceDN w:val="0"/>
              <w:adjustRightInd w:val="0"/>
              <w:spacing w:line="420" w:lineRule="exact"/>
              <w:jc w:val="center"/>
              <w:rPr>
                <w:kern w:val="0"/>
                <w:sz w:val="24"/>
              </w:rPr>
            </w:pPr>
          </w:p>
        </w:tc>
        <w:tc>
          <w:tcPr>
            <w:tcW w:w="851" w:type="dxa"/>
            <w:vAlign w:val="center"/>
          </w:tcPr>
          <w:p w14:paraId="7A7975DD">
            <w:pPr>
              <w:autoSpaceDE w:val="0"/>
              <w:autoSpaceDN w:val="0"/>
              <w:adjustRightInd w:val="0"/>
              <w:spacing w:line="420" w:lineRule="exact"/>
              <w:jc w:val="center"/>
              <w:rPr>
                <w:kern w:val="0"/>
                <w:sz w:val="24"/>
              </w:rPr>
            </w:pPr>
          </w:p>
        </w:tc>
        <w:tc>
          <w:tcPr>
            <w:tcW w:w="992" w:type="dxa"/>
            <w:vAlign w:val="center"/>
          </w:tcPr>
          <w:p w14:paraId="20ABA06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334CE9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BE6E594">
            <w:pPr>
              <w:autoSpaceDE w:val="0"/>
              <w:autoSpaceDN w:val="0"/>
              <w:adjustRightInd w:val="0"/>
              <w:spacing w:line="420" w:lineRule="exact"/>
              <w:jc w:val="center"/>
              <w:rPr>
                <w:kern w:val="0"/>
                <w:sz w:val="24"/>
              </w:rPr>
            </w:pPr>
          </w:p>
        </w:tc>
        <w:tc>
          <w:tcPr>
            <w:tcW w:w="1276" w:type="dxa"/>
            <w:vAlign w:val="center"/>
          </w:tcPr>
          <w:p w14:paraId="74022D83">
            <w:pPr>
              <w:autoSpaceDE w:val="0"/>
              <w:autoSpaceDN w:val="0"/>
              <w:adjustRightInd w:val="0"/>
              <w:spacing w:line="420" w:lineRule="exact"/>
              <w:jc w:val="center"/>
              <w:rPr>
                <w:kern w:val="0"/>
                <w:sz w:val="24"/>
              </w:rPr>
            </w:pPr>
          </w:p>
        </w:tc>
        <w:tc>
          <w:tcPr>
            <w:tcW w:w="1276" w:type="dxa"/>
            <w:vAlign w:val="center"/>
          </w:tcPr>
          <w:p w14:paraId="1298F720">
            <w:pPr>
              <w:autoSpaceDE w:val="0"/>
              <w:autoSpaceDN w:val="0"/>
              <w:adjustRightInd w:val="0"/>
              <w:spacing w:line="420" w:lineRule="exact"/>
              <w:jc w:val="center"/>
              <w:rPr>
                <w:kern w:val="0"/>
                <w:sz w:val="24"/>
              </w:rPr>
            </w:pPr>
          </w:p>
        </w:tc>
      </w:tr>
    </w:tbl>
    <w:p w14:paraId="5A19D05C">
      <w:pPr>
        <w:autoSpaceDE w:val="0"/>
        <w:autoSpaceDN w:val="0"/>
        <w:adjustRightInd w:val="0"/>
        <w:spacing w:line="420" w:lineRule="exact"/>
        <w:jc w:val="left"/>
        <w:rPr>
          <w:kern w:val="0"/>
          <w:sz w:val="24"/>
        </w:rPr>
      </w:pPr>
    </w:p>
    <w:p w14:paraId="2B5B336A">
      <w:pPr>
        <w:autoSpaceDE w:val="0"/>
        <w:autoSpaceDN w:val="0"/>
        <w:adjustRightInd w:val="0"/>
        <w:spacing w:line="420" w:lineRule="exact"/>
        <w:jc w:val="left"/>
        <w:rPr>
          <w:kern w:val="0"/>
          <w:szCs w:val="22"/>
        </w:rPr>
      </w:pPr>
      <w:r>
        <w:rPr>
          <w:rFonts w:hint="eastAsia" w:ascii="宋体" w:hAnsi="宋体" w:cs="宋体"/>
          <w:kern w:val="0"/>
          <w:szCs w:val="22"/>
        </w:rPr>
        <w:t>备注：</w:t>
      </w:r>
      <w:r>
        <w:rPr>
          <w:rFonts w:ascii="宋体" w:hAnsi="宋体" w:cs="宋体"/>
          <w:kern w:val="0"/>
          <w:szCs w:val="22"/>
        </w:rPr>
        <w:t xml:space="preserve"> </w:t>
      </w:r>
    </w:p>
    <w:p w14:paraId="64D022C0">
      <w:pPr>
        <w:autoSpaceDE w:val="0"/>
        <w:autoSpaceDN w:val="0"/>
        <w:adjustRightInd w:val="0"/>
        <w:spacing w:line="420" w:lineRule="exact"/>
        <w:ind w:firstLine="220" w:firstLineChars="100"/>
        <w:jc w:val="left"/>
        <w:rPr>
          <w:kern w:val="0"/>
          <w:szCs w:val="22"/>
        </w:rPr>
      </w:pPr>
      <w:r>
        <w:rPr>
          <w:rFonts w:hint="eastAsia" w:ascii="宋体" w:hAnsi="宋体" w:cs="宋体"/>
          <w:kern w:val="0"/>
          <w:szCs w:val="22"/>
        </w:rPr>
        <w:t>（</w:t>
      </w:r>
      <w:r>
        <w:rPr>
          <w:rFonts w:ascii="宋体" w:hAnsi="宋体" w:cs="宋体"/>
          <w:kern w:val="0"/>
          <w:szCs w:val="22"/>
        </w:rPr>
        <w:t>1</w:t>
      </w:r>
      <w:r>
        <w:rPr>
          <w:rFonts w:hint="eastAsia" w:ascii="宋体" w:hAnsi="宋体" w:cs="宋体"/>
          <w:kern w:val="0"/>
          <w:szCs w:val="22"/>
        </w:rPr>
        <w:t>）</w:t>
      </w:r>
      <w:r>
        <w:rPr>
          <w:rFonts w:hint="eastAsia" w:ascii="宋体" w:hAnsi="宋体" w:cs="宋体"/>
          <w:kern w:val="0"/>
          <w:sz w:val="24"/>
        </w:rPr>
        <w:t>此表仅提供了表格形式，投标供应商可按此表格复制</w:t>
      </w:r>
      <w:r>
        <w:rPr>
          <w:rFonts w:hint="eastAsia" w:ascii="宋体" w:hAnsi="宋体" w:cs="宋体"/>
          <w:kern w:val="0"/>
          <w:szCs w:val="22"/>
        </w:rPr>
        <w:t>；</w:t>
      </w:r>
      <w:r>
        <w:rPr>
          <w:rFonts w:ascii="宋体" w:hAnsi="宋体" w:cs="宋体"/>
          <w:kern w:val="0"/>
          <w:szCs w:val="22"/>
        </w:rPr>
        <w:t xml:space="preserve"> </w:t>
      </w:r>
    </w:p>
    <w:p w14:paraId="1FD21743">
      <w:pPr>
        <w:autoSpaceDE w:val="0"/>
        <w:autoSpaceDN w:val="0"/>
        <w:adjustRightInd w:val="0"/>
        <w:spacing w:line="420" w:lineRule="exact"/>
        <w:ind w:firstLine="220" w:firstLineChars="100"/>
        <w:jc w:val="left"/>
        <w:rPr>
          <w:kern w:val="0"/>
          <w:szCs w:val="22"/>
        </w:rPr>
      </w:pPr>
      <w:r>
        <w:rPr>
          <w:rFonts w:hint="eastAsia" w:ascii="宋体" w:hAnsi="宋体" w:cs="宋体"/>
          <w:kern w:val="0"/>
          <w:szCs w:val="22"/>
        </w:rPr>
        <w:t>（</w:t>
      </w:r>
      <w:r>
        <w:rPr>
          <w:rFonts w:ascii="宋体" w:hAnsi="宋体" w:cs="宋体"/>
          <w:kern w:val="0"/>
          <w:szCs w:val="22"/>
        </w:rPr>
        <w:t>2</w:t>
      </w:r>
      <w:r>
        <w:rPr>
          <w:rFonts w:hint="eastAsia" w:ascii="宋体" w:hAnsi="宋体" w:cs="宋体"/>
          <w:kern w:val="0"/>
          <w:szCs w:val="22"/>
        </w:rPr>
        <w:t>）投标供应商拟投入的管理团队特定岗位人员均不得少于以下标准：项目负责人</w:t>
      </w:r>
      <w:r>
        <w:rPr>
          <w:rFonts w:ascii="宋体" w:hAnsi="宋体" w:cs="宋体"/>
          <w:kern w:val="0"/>
          <w:szCs w:val="22"/>
        </w:rPr>
        <w:t>1</w:t>
      </w:r>
      <w:r>
        <w:rPr>
          <w:rFonts w:hint="eastAsia" w:ascii="宋体" w:hAnsi="宋体" w:cs="宋体"/>
          <w:kern w:val="0"/>
          <w:szCs w:val="22"/>
        </w:rPr>
        <w:t>名、安全作业负责人</w:t>
      </w:r>
      <w:r>
        <w:rPr>
          <w:rFonts w:ascii="宋体" w:hAnsi="宋体" w:cs="宋体"/>
          <w:kern w:val="0"/>
          <w:szCs w:val="22"/>
        </w:rPr>
        <w:t>1</w:t>
      </w:r>
      <w:r>
        <w:rPr>
          <w:rFonts w:hint="eastAsia" w:ascii="宋体" w:hAnsi="宋体" w:cs="宋体"/>
          <w:kern w:val="0"/>
          <w:szCs w:val="22"/>
        </w:rPr>
        <w:t>名、内部服务质量考核负责人</w:t>
      </w:r>
      <w:r>
        <w:rPr>
          <w:rFonts w:ascii="宋体" w:hAnsi="宋体" w:cs="宋体"/>
          <w:kern w:val="0"/>
          <w:szCs w:val="22"/>
        </w:rPr>
        <w:t>1</w:t>
      </w:r>
      <w:r>
        <w:rPr>
          <w:rFonts w:hint="eastAsia" w:ascii="宋体" w:hAnsi="宋体" w:cs="宋体"/>
          <w:kern w:val="0"/>
          <w:szCs w:val="22"/>
        </w:rPr>
        <w:t>名；</w:t>
      </w:r>
      <w:r>
        <w:rPr>
          <w:rFonts w:ascii="宋体" w:hAnsi="宋体" w:cs="宋体"/>
          <w:kern w:val="0"/>
          <w:szCs w:val="22"/>
        </w:rPr>
        <w:t xml:space="preserve"> </w:t>
      </w:r>
    </w:p>
    <w:p w14:paraId="168ACC23">
      <w:pPr>
        <w:autoSpaceDE w:val="0"/>
        <w:autoSpaceDN w:val="0"/>
        <w:adjustRightInd w:val="0"/>
        <w:spacing w:line="420" w:lineRule="exact"/>
        <w:jc w:val="left"/>
        <w:rPr>
          <w:kern w:val="0"/>
          <w:szCs w:val="22"/>
        </w:rPr>
      </w:pPr>
      <w:r>
        <w:rPr>
          <w:rFonts w:hint="eastAsia"/>
          <w:kern w:val="0"/>
          <w:szCs w:val="22"/>
        </w:rPr>
        <w:t xml:space="preserve">  （</w:t>
      </w:r>
      <w:r>
        <w:rPr>
          <w:kern w:val="0"/>
          <w:szCs w:val="22"/>
        </w:rPr>
        <w:t>3</w:t>
      </w:r>
      <w:r>
        <w:rPr>
          <w:rFonts w:hint="eastAsia"/>
          <w:kern w:val="0"/>
          <w:szCs w:val="22"/>
        </w:rPr>
        <w:t>）按第六章评审办法提供证明材料。</w:t>
      </w:r>
    </w:p>
    <w:p w14:paraId="65C623D8">
      <w:pPr>
        <w:pStyle w:val="20"/>
        <w:adjustRightInd w:val="0"/>
        <w:snapToGrid w:val="0"/>
        <w:spacing w:line="420" w:lineRule="exact"/>
        <w:rPr>
          <w:rFonts w:hAnsi="宋体" w:cs="宋体"/>
          <w:b/>
          <w:kern w:val="0"/>
          <w:sz w:val="28"/>
          <w:szCs w:val="28"/>
        </w:rPr>
      </w:pPr>
    </w:p>
    <w:p w14:paraId="7D59FA18">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7FDC68BF">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45AB554E">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8F47D28">
      <w:pPr>
        <w:pStyle w:val="21"/>
        <w:ind w:left="440"/>
      </w:pPr>
    </w:p>
    <w:p w14:paraId="36724FFB"/>
    <w:p w14:paraId="5A7331F7">
      <w:pPr>
        <w:pStyle w:val="31"/>
      </w:pPr>
    </w:p>
    <w:p w14:paraId="1050AC25">
      <w:pPr>
        <w:pStyle w:val="7"/>
        <w:spacing w:line="420" w:lineRule="exact"/>
        <w:rPr>
          <w:kern w:val="0"/>
        </w:rPr>
      </w:pPr>
      <w:r>
        <w:rPr>
          <w:rFonts w:hint="eastAsia"/>
          <w:kern w:val="0"/>
        </w:rPr>
        <w:t>2.7.2岗位员工配置计划表</w:t>
      </w:r>
    </w:p>
    <w:p w14:paraId="01E8D200">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岗位员工配置计划表</w:t>
      </w:r>
    </w:p>
    <w:tbl>
      <w:tblPr>
        <w:tblStyle w:val="32"/>
        <w:tblW w:w="946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10"/>
        <w:gridCol w:w="2126"/>
        <w:gridCol w:w="2835"/>
        <w:gridCol w:w="1276"/>
      </w:tblGrid>
      <w:tr w14:paraId="5CFE9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817" w:type="dxa"/>
            <w:vAlign w:val="center"/>
          </w:tcPr>
          <w:p w14:paraId="5BCCF336">
            <w:pPr>
              <w:autoSpaceDE w:val="0"/>
              <w:autoSpaceDN w:val="0"/>
              <w:adjustRightInd w:val="0"/>
              <w:spacing w:line="420" w:lineRule="exact"/>
              <w:jc w:val="center"/>
              <w:rPr>
                <w:kern w:val="0"/>
                <w:sz w:val="24"/>
              </w:rPr>
            </w:pPr>
            <w:r>
              <w:rPr>
                <w:rFonts w:hint="eastAsia"/>
                <w:kern w:val="0"/>
                <w:sz w:val="24"/>
              </w:rPr>
              <w:t>序号</w:t>
            </w:r>
          </w:p>
        </w:tc>
        <w:tc>
          <w:tcPr>
            <w:tcW w:w="2410" w:type="dxa"/>
            <w:vAlign w:val="center"/>
          </w:tcPr>
          <w:p w14:paraId="609B34B6">
            <w:pPr>
              <w:autoSpaceDE w:val="0"/>
              <w:autoSpaceDN w:val="0"/>
              <w:adjustRightInd w:val="0"/>
              <w:spacing w:line="420" w:lineRule="exact"/>
              <w:jc w:val="center"/>
              <w:rPr>
                <w:kern w:val="0"/>
                <w:sz w:val="24"/>
              </w:rPr>
            </w:pPr>
            <w:r>
              <w:rPr>
                <w:rFonts w:hint="eastAsia"/>
                <w:kern w:val="0"/>
                <w:sz w:val="24"/>
              </w:rPr>
              <w:t>岗位</w:t>
            </w:r>
          </w:p>
        </w:tc>
        <w:tc>
          <w:tcPr>
            <w:tcW w:w="2126" w:type="dxa"/>
            <w:vAlign w:val="center"/>
          </w:tcPr>
          <w:p w14:paraId="3D420FA5">
            <w:pPr>
              <w:autoSpaceDE w:val="0"/>
              <w:autoSpaceDN w:val="0"/>
              <w:adjustRightInd w:val="0"/>
              <w:spacing w:line="420" w:lineRule="exact"/>
              <w:jc w:val="center"/>
              <w:rPr>
                <w:kern w:val="0"/>
                <w:sz w:val="24"/>
              </w:rPr>
            </w:pPr>
            <w:r>
              <w:rPr>
                <w:rFonts w:hint="eastAsia"/>
                <w:kern w:val="0"/>
                <w:sz w:val="24"/>
              </w:rPr>
              <w:t>人数</w:t>
            </w:r>
          </w:p>
        </w:tc>
        <w:tc>
          <w:tcPr>
            <w:tcW w:w="2835" w:type="dxa"/>
            <w:vAlign w:val="center"/>
          </w:tcPr>
          <w:p w14:paraId="2A5F0B81">
            <w:pPr>
              <w:autoSpaceDE w:val="0"/>
              <w:autoSpaceDN w:val="0"/>
              <w:adjustRightInd w:val="0"/>
              <w:spacing w:line="420" w:lineRule="exact"/>
              <w:jc w:val="center"/>
              <w:rPr>
                <w:kern w:val="0"/>
                <w:sz w:val="24"/>
              </w:rPr>
            </w:pPr>
            <w:r>
              <w:rPr>
                <w:rFonts w:hint="eastAsia"/>
                <w:kern w:val="0"/>
                <w:sz w:val="24"/>
              </w:rPr>
              <w:t>现场承担工作</w:t>
            </w:r>
          </w:p>
        </w:tc>
        <w:tc>
          <w:tcPr>
            <w:tcW w:w="1276" w:type="dxa"/>
            <w:vAlign w:val="center"/>
          </w:tcPr>
          <w:p w14:paraId="1B49102F">
            <w:pPr>
              <w:autoSpaceDE w:val="0"/>
              <w:autoSpaceDN w:val="0"/>
              <w:adjustRightInd w:val="0"/>
              <w:spacing w:line="420" w:lineRule="exact"/>
              <w:jc w:val="center"/>
              <w:rPr>
                <w:kern w:val="0"/>
                <w:sz w:val="24"/>
              </w:rPr>
            </w:pPr>
            <w:r>
              <w:rPr>
                <w:rFonts w:hint="eastAsia"/>
                <w:kern w:val="0"/>
                <w:sz w:val="24"/>
              </w:rPr>
              <w:t>备注</w:t>
            </w:r>
          </w:p>
        </w:tc>
      </w:tr>
      <w:tr w14:paraId="53EB5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DF45A48">
            <w:pPr>
              <w:autoSpaceDE w:val="0"/>
              <w:autoSpaceDN w:val="0"/>
              <w:adjustRightInd w:val="0"/>
              <w:spacing w:line="420" w:lineRule="exact"/>
              <w:jc w:val="center"/>
              <w:rPr>
                <w:kern w:val="0"/>
                <w:sz w:val="24"/>
              </w:rPr>
            </w:pPr>
          </w:p>
        </w:tc>
        <w:tc>
          <w:tcPr>
            <w:tcW w:w="2410" w:type="dxa"/>
            <w:vAlign w:val="center"/>
          </w:tcPr>
          <w:p w14:paraId="1238503B">
            <w:pPr>
              <w:autoSpaceDE w:val="0"/>
              <w:autoSpaceDN w:val="0"/>
              <w:adjustRightInd w:val="0"/>
              <w:spacing w:line="420" w:lineRule="exact"/>
              <w:jc w:val="center"/>
              <w:rPr>
                <w:kern w:val="0"/>
                <w:sz w:val="24"/>
              </w:rPr>
            </w:pPr>
          </w:p>
        </w:tc>
        <w:tc>
          <w:tcPr>
            <w:tcW w:w="2126" w:type="dxa"/>
            <w:vAlign w:val="center"/>
          </w:tcPr>
          <w:p w14:paraId="156A9345">
            <w:pPr>
              <w:autoSpaceDE w:val="0"/>
              <w:autoSpaceDN w:val="0"/>
              <w:adjustRightInd w:val="0"/>
              <w:spacing w:line="420" w:lineRule="exact"/>
              <w:jc w:val="center"/>
              <w:rPr>
                <w:kern w:val="0"/>
                <w:sz w:val="24"/>
              </w:rPr>
            </w:pPr>
          </w:p>
        </w:tc>
        <w:tc>
          <w:tcPr>
            <w:tcW w:w="2835" w:type="dxa"/>
            <w:vAlign w:val="center"/>
          </w:tcPr>
          <w:p w14:paraId="34A07B82">
            <w:pPr>
              <w:autoSpaceDE w:val="0"/>
              <w:autoSpaceDN w:val="0"/>
              <w:adjustRightInd w:val="0"/>
              <w:spacing w:line="420" w:lineRule="exact"/>
              <w:jc w:val="center"/>
              <w:rPr>
                <w:kern w:val="0"/>
                <w:sz w:val="24"/>
              </w:rPr>
            </w:pPr>
          </w:p>
        </w:tc>
        <w:tc>
          <w:tcPr>
            <w:tcW w:w="1276" w:type="dxa"/>
            <w:vAlign w:val="center"/>
          </w:tcPr>
          <w:p w14:paraId="0BAF01F9">
            <w:pPr>
              <w:autoSpaceDE w:val="0"/>
              <w:autoSpaceDN w:val="0"/>
              <w:adjustRightInd w:val="0"/>
              <w:spacing w:line="420" w:lineRule="exact"/>
              <w:jc w:val="center"/>
              <w:rPr>
                <w:kern w:val="0"/>
                <w:sz w:val="24"/>
              </w:rPr>
            </w:pPr>
          </w:p>
        </w:tc>
      </w:tr>
      <w:tr w14:paraId="5D5B9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63AB649">
            <w:pPr>
              <w:autoSpaceDE w:val="0"/>
              <w:autoSpaceDN w:val="0"/>
              <w:adjustRightInd w:val="0"/>
              <w:spacing w:line="420" w:lineRule="exact"/>
              <w:jc w:val="center"/>
              <w:rPr>
                <w:kern w:val="0"/>
                <w:sz w:val="24"/>
              </w:rPr>
            </w:pPr>
          </w:p>
        </w:tc>
        <w:tc>
          <w:tcPr>
            <w:tcW w:w="2410" w:type="dxa"/>
            <w:vAlign w:val="center"/>
          </w:tcPr>
          <w:p w14:paraId="156FD242">
            <w:pPr>
              <w:autoSpaceDE w:val="0"/>
              <w:autoSpaceDN w:val="0"/>
              <w:adjustRightInd w:val="0"/>
              <w:spacing w:line="420" w:lineRule="exact"/>
              <w:jc w:val="center"/>
              <w:rPr>
                <w:kern w:val="0"/>
                <w:sz w:val="24"/>
              </w:rPr>
            </w:pPr>
          </w:p>
        </w:tc>
        <w:tc>
          <w:tcPr>
            <w:tcW w:w="2126" w:type="dxa"/>
            <w:vAlign w:val="center"/>
          </w:tcPr>
          <w:p w14:paraId="7DE1E93E">
            <w:pPr>
              <w:autoSpaceDE w:val="0"/>
              <w:autoSpaceDN w:val="0"/>
              <w:adjustRightInd w:val="0"/>
              <w:spacing w:line="420" w:lineRule="exact"/>
              <w:jc w:val="center"/>
              <w:rPr>
                <w:kern w:val="0"/>
                <w:sz w:val="24"/>
              </w:rPr>
            </w:pPr>
          </w:p>
        </w:tc>
        <w:tc>
          <w:tcPr>
            <w:tcW w:w="2835" w:type="dxa"/>
            <w:vAlign w:val="center"/>
          </w:tcPr>
          <w:p w14:paraId="5EBDE35C">
            <w:pPr>
              <w:autoSpaceDE w:val="0"/>
              <w:autoSpaceDN w:val="0"/>
              <w:adjustRightInd w:val="0"/>
              <w:spacing w:line="420" w:lineRule="exact"/>
              <w:jc w:val="center"/>
              <w:rPr>
                <w:kern w:val="0"/>
                <w:sz w:val="24"/>
              </w:rPr>
            </w:pPr>
          </w:p>
        </w:tc>
        <w:tc>
          <w:tcPr>
            <w:tcW w:w="1276" w:type="dxa"/>
            <w:vAlign w:val="center"/>
          </w:tcPr>
          <w:p w14:paraId="35C839BB">
            <w:pPr>
              <w:autoSpaceDE w:val="0"/>
              <w:autoSpaceDN w:val="0"/>
              <w:adjustRightInd w:val="0"/>
              <w:spacing w:line="420" w:lineRule="exact"/>
              <w:jc w:val="center"/>
              <w:rPr>
                <w:kern w:val="0"/>
                <w:sz w:val="24"/>
              </w:rPr>
            </w:pPr>
          </w:p>
        </w:tc>
      </w:tr>
      <w:tr w14:paraId="05ACB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1DD75C8F">
            <w:pPr>
              <w:autoSpaceDE w:val="0"/>
              <w:autoSpaceDN w:val="0"/>
              <w:adjustRightInd w:val="0"/>
              <w:spacing w:line="420" w:lineRule="exact"/>
              <w:jc w:val="center"/>
              <w:rPr>
                <w:kern w:val="0"/>
                <w:sz w:val="24"/>
              </w:rPr>
            </w:pPr>
          </w:p>
        </w:tc>
        <w:tc>
          <w:tcPr>
            <w:tcW w:w="2410" w:type="dxa"/>
            <w:vAlign w:val="center"/>
          </w:tcPr>
          <w:p w14:paraId="6A06AC12">
            <w:pPr>
              <w:autoSpaceDE w:val="0"/>
              <w:autoSpaceDN w:val="0"/>
              <w:adjustRightInd w:val="0"/>
              <w:spacing w:line="420" w:lineRule="exact"/>
              <w:jc w:val="center"/>
              <w:rPr>
                <w:kern w:val="0"/>
                <w:sz w:val="24"/>
              </w:rPr>
            </w:pPr>
          </w:p>
        </w:tc>
        <w:tc>
          <w:tcPr>
            <w:tcW w:w="2126" w:type="dxa"/>
            <w:vAlign w:val="center"/>
          </w:tcPr>
          <w:p w14:paraId="1D040B61">
            <w:pPr>
              <w:autoSpaceDE w:val="0"/>
              <w:autoSpaceDN w:val="0"/>
              <w:adjustRightInd w:val="0"/>
              <w:spacing w:line="420" w:lineRule="exact"/>
              <w:jc w:val="center"/>
              <w:rPr>
                <w:kern w:val="0"/>
                <w:sz w:val="24"/>
              </w:rPr>
            </w:pPr>
          </w:p>
        </w:tc>
        <w:tc>
          <w:tcPr>
            <w:tcW w:w="2835" w:type="dxa"/>
            <w:vAlign w:val="center"/>
          </w:tcPr>
          <w:p w14:paraId="3F353DBD">
            <w:pPr>
              <w:autoSpaceDE w:val="0"/>
              <w:autoSpaceDN w:val="0"/>
              <w:adjustRightInd w:val="0"/>
              <w:spacing w:line="420" w:lineRule="exact"/>
              <w:jc w:val="center"/>
              <w:rPr>
                <w:kern w:val="0"/>
                <w:sz w:val="24"/>
              </w:rPr>
            </w:pPr>
          </w:p>
        </w:tc>
        <w:tc>
          <w:tcPr>
            <w:tcW w:w="1276" w:type="dxa"/>
            <w:vAlign w:val="center"/>
          </w:tcPr>
          <w:p w14:paraId="788E49A8">
            <w:pPr>
              <w:autoSpaceDE w:val="0"/>
              <w:autoSpaceDN w:val="0"/>
              <w:adjustRightInd w:val="0"/>
              <w:spacing w:line="420" w:lineRule="exact"/>
              <w:jc w:val="center"/>
              <w:rPr>
                <w:kern w:val="0"/>
                <w:sz w:val="24"/>
              </w:rPr>
            </w:pPr>
          </w:p>
        </w:tc>
      </w:tr>
      <w:tr w14:paraId="1652F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4DBFD3A6">
            <w:pPr>
              <w:autoSpaceDE w:val="0"/>
              <w:autoSpaceDN w:val="0"/>
              <w:adjustRightInd w:val="0"/>
              <w:spacing w:line="420" w:lineRule="exact"/>
              <w:jc w:val="center"/>
              <w:rPr>
                <w:kern w:val="0"/>
                <w:sz w:val="24"/>
              </w:rPr>
            </w:pPr>
          </w:p>
        </w:tc>
        <w:tc>
          <w:tcPr>
            <w:tcW w:w="2410" w:type="dxa"/>
            <w:vAlign w:val="center"/>
          </w:tcPr>
          <w:p w14:paraId="53276710">
            <w:pPr>
              <w:autoSpaceDE w:val="0"/>
              <w:autoSpaceDN w:val="0"/>
              <w:adjustRightInd w:val="0"/>
              <w:spacing w:line="420" w:lineRule="exact"/>
              <w:jc w:val="center"/>
              <w:rPr>
                <w:kern w:val="0"/>
                <w:sz w:val="24"/>
              </w:rPr>
            </w:pPr>
          </w:p>
        </w:tc>
        <w:tc>
          <w:tcPr>
            <w:tcW w:w="2126" w:type="dxa"/>
            <w:vAlign w:val="center"/>
          </w:tcPr>
          <w:p w14:paraId="29A9AFE6">
            <w:pPr>
              <w:autoSpaceDE w:val="0"/>
              <w:autoSpaceDN w:val="0"/>
              <w:adjustRightInd w:val="0"/>
              <w:spacing w:line="420" w:lineRule="exact"/>
              <w:jc w:val="center"/>
              <w:rPr>
                <w:kern w:val="0"/>
                <w:sz w:val="24"/>
              </w:rPr>
            </w:pPr>
          </w:p>
        </w:tc>
        <w:tc>
          <w:tcPr>
            <w:tcW w:w="2835" w:type="dxa"/>
            <w:vAlign w:val="center"/>
          </w:tcPr>
          <w:p w14:paraId="6DCDD149">
            <w:pPr>
              <w:autoSpaceDE w:val="0"/>
              <w:autoSpaceDN w:val="0"/>
              <w:adjustRightInd w:val="0"/>
              <w:spacing w:line="420" w:lineRule="exact"/>
              <w:jc w:val="center"/>
              <w:rPr>
                <w:kern w:val="0"/>
                <w:sz w:val="24"/>
              </w:rPr>
            </w:pPr>
          </w:p>
        </w:tc>
        <w:tc>
          <w:tcPr>
            <w:tcW w:w="1276" w:type="dxa"/>
            <w:vAlign w:val="center"/>
          </w:tcPr>
          <w:p w14:paraId="0BE2C958">
            <w:pPr>
              <w:autoSpaceDE w:val="0"/>
              <w:autoSpaceDN w:val="0"/>
              <w:adjustRightInd w:val="0"/>
              <w:spacing w:line="420" w:lineRule="exact"/>
              <w:jc w:val="center"/>
              <w:rPr>
                <w:kern w:val="0"/>
                <w:sz w:val="24"/>
              </w:rPr>
            </w:pPr>
          </w:p>
        </w:tc>
      </w:tr>
      <w:tr w14:paraId="0DE85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07DF95BE">
            <w:pPr>
              <w:autoSpaceDE w:val="0"/>
              <w:autoSpaceDN w:val="0"/>
              <w:adjustRightInd w:val="0"/>
              <w:spacing w:line="420" w:lineRule="exact"/>
              <w:jc w:val="center"/>
              <w:rPr>
                <w:kern w:val="0"/>
                <w:sz w:val="24"/>
              </w:rPr>
            </w:pPr>
          </w:p>
        </w:tc>
        <w:tc>
          <w:tcPr>
            <w:tcW w:w="2410" w:type="dxa"/>
            <w:vAlign w:val="center"/>
          </w:tcPr>
          <w:p w14:paraId="27804AF4">
            <w:pPr>
              <w:autoSpaceDE w:val="0"/>
              <w:autoSpaceDN w:val="0"/>
              <w:adjustRightInd w:val="0"/>
              <w:spacing w:line="420" w:lineRule="exact"/>
              <w:jc w:val="center"/>
              <w:rPr>
                <w:kern w:val="0"/>
                <w:sz w:val="24"/>
              </w:rPr>
            </w:pPr>
          </w:p>
        </w:tc>
        <w:tc>
          <w:tcPr>
            <w:tcW w:w="2126" w:type="dxa"/>
            <w:vAlign w:val="center"/>
          </w:tcPr>
          <w:p w14:paraId="7FC83D91">
            <w:pPr>
              <w:autoSpaceDE w:val="0"/>
              <w:autoSpaceDN w:val="0"/>
              <w:adjustRightInd w:val="0"/>
              <w:spacing w:line="420" w:lineRule="exact"/>
              <w:jc w:val="center"/>
              <w:rPr>
                <w:kern w:val="0"/>
                <w:sz w:val="24"/>
              </w:rPr>
            </w:pPr>
          </w:p>
        </w:tc>
        <w:tc>
          <w:tcPr>
            <w:tcW w:w="2835" w:type="dxa"/>
            <w:vAlign w:val="center"/>
          </w:tcPr>
          <w:p w14:paraId="3FEED617">
            <w:pPr>
              <w:autoSpaceDE w:val="0"/>
              <w:autoSpaceDN w:val="0"/>
              <w:adjustRightInd w:val="0"/>
              <w:spacing w:line="420" w:lineRule="exact"/>
              <w:jc w:val="center"/>
              <w:rPr>
                <w:kern w:val="0"/>
                <w:sz w:val="24"/>
              </w:rPr>
            </w:pPr>
          </w:p>
        </w:tc>
        <w:tc>
          <w:tcPr>
            <w:tcW w:w="1276" w:type="dxa"/>
            <w:vAlign w:val="center"/>
          </w:tcPr>
          <w:p w14:paraId="48981848">
            <w:pPr>
              <w:autoSpaceDE w:val="0"/>
              <w:autoSpaceDN w:val="0"/>
              <w:adjustRightInd w:val="0"/>
              <w:spacing w:line="420" w:lineRule="exact"/>
              <w:jc w:val="center"/>
              <w:rPr>
                <w:kern w:val="0"/>
                <w:sz w:val="24"/>
              </w:rPr>
            </w:pPr>
          </w:p>
        </w:tc>
      </w:tr>
      <w:tr w14:paraId="74172E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vAlign w:val="center"/>
          </w:tcPr>
          <w:p w14:paraId="25BF3B94">
            <w:pPr>
              <w:autoSpaceDE w:val="0"/>
              <w:autoSpaceDN w:val="0"/>
              <w:adjustRightInd w:val="0"/>
              <w:spacing w:line="420" w:lineRule="exact"/>
              <w:jc w:val="center"/>
              <w:rPr>
                <w:kern w:val="0"/>
                <w:sz w:val="24"/>
              </w:rPr>
            </w:pPr>
          </w:p>
        </w:tc>
        <w:tc>
          <w:tcPr>
            <w:tcW w:w="2410" w:type="dxa"/>
            <w:vAlign w:val="center"/>
          </w:tcPr>
          <w:p w14:paraId="345D64B3">
            <w:pPr>
              <w:autoSpaceDE w:val="0"/>
              <w:autoSpaceDN w:val="0"/>
              <w:adjustRightInd w:val="0"/>
              <w:spacing w:line="420" w:lineRule="exact"/>
              <w:jc w:val="center"/>
              <w:rPr>
                <w:kern w:val="0"/>
                <w:sz w:val="24"/>
              </w:rPr>
            </w:pPr>
          </w:p>
        </w:tc>
        <w:tc>
          <w:tcPr>
            <w:tcW w:w="2126" w:type="dxa"/>
            <w:vAlign w:val="center"/>
          </w:tcPr>
          <w:p w14:paraId="7DECE8E3">
            <w:pPr>
              <w:autoSpaceDE w:val="0"/>
              <w:autoSpaceDN w:val="0"/>
              <w:adjustRightInd w:val="0"/>
              <w:spacing w:line="420" w:lineRule="exact"/>
              <w:jc w:val="center"/>
              <w:rPr>
                <w:kern w:val="0"/>
                <w:sz w:val="24"/>
              </w:rPr>
            </w:pPr>
          </w:p>
        </w:tc>
        <w:tc>
          <w:tcPr>
            <w:tcW w:w="2835" w:type="dxa"/>
            <w:vAlign w:val="center"/>
          </w:tcPr>
          <w:p w14:paraId="04AF3FB5">
            <w:pPr>
              <w:autoSpaceDE w:val="0"/>
              <w:autoSpaceDN w:val="0"/>
              <w:adjustRightInd w:val="0"/>
              <w:spacing w:line="420" w:lineRule="exact"/>
              <w:jc w:val="center"/>
              <w:rPr>
                <w:kern w:val="0"/>
                <w:sz w:val="24"/>
              </w:rPr>
            </w:pPr>
          </w:p>
        </w:tc>
        <w:tc>
          <w:tcPr>
            <w:tcW w:w="1276" w:type="dxa"/>
            <w:vAlign w:val="center"/>
          </w:tcPr>
          <w:p w14:paraId="522BC451">
            <w:pPr>
              <w:autoSpaceDE w:val="0"/>
              <w:autoSpaceDN w:val="0"/>
              <w:adjustRightInd w:val="0"/>
              <w:spacing w:line="420" w:lineRule="exact"/>
              <w:jc w:val="center"/>
              <w:rPr>
                <w:kern w:val="0"/>
                <w:sz w:val="24"/>
              </w:rPr>
            </w:pPr>
          </w:p>
        </w:tc>
      </w:tr>
    </w:tbl>
    <w:p w14:paraId="386AF3A5">
      <w:pPr>
        <w:autoSpaceDE w:val="0"/>
        <w:autoSpaceDN w:val="0"/>
        <w:adjustRightInd w:val="0"/>
        <w:spacing w:line="420" w:lineRule="exact"/>
        <w:jc w:val="left"/>
        <w:rPr>
          <w:kern w:val="0"/>
          <w:sz w:val="24"/>
        </w:rPr>
      </w:pPr>
    </w:p>
    <w:p w14:paraId="7A11C8F2">
      <w:pPr>
        <w:autoSpaceDE w:val="0"/>
        <w:autoSpaceDN w:val="0"/>
        <w:adjustRightInd w:val="0"/>
        <w:spacing w:line="420" w:lineRule="exact"/>
        <w:jc w:val="left"/>
        <w:rPr>
          <w:rFonts w:hAnsi="宋体" w:cs="宋体"/>
          <w:kern w:val="0"/>
          <w:sz w:val="24"/>
        </w:rPr>
      </w:pPr>
      <w:r>
        <w:rPr>
          <w:rFonts w:hint="eastAsia" w:ascii="宋体" w:hAnsi="宋体" w:cs="宋体"/>
          <w:kern w:val="0"/>
          <w:sz w:val="24"/>
        </w:rPr>
        <w:t>备注：1、此表仅提供了表格形式，投标供应商可按此表格复制。</w:t>
      </w:r>
    </w:p>
    <w:p w14:paraId="1756DB1C">
      <w:pPr>
        <w:pStyle w:val="20"/>
        <w:adjustRightInd w:val="0"/>
        <w:snapToGrid w:val="0"/>
        <w:spacing w:line="420" w:lineRule="exact"/>
        <w:rPr>
          <w:rFonts w:hAnsi="宋体" w:cs="宋体"/>
          <w:kern w:val="0"/>
          <w:sz w:val="28"/>
          <w:szCs w:val="28"/>
        </w:rPr>
      </w:pPr>
    </w:p>
    <w:p w14:paraId="7A2089ED">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D58313F">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4B662A4F">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2971EC2C">
      <w:pPr>
        <w:pStyle w:val="21"/>
        <w:ind w:left="440"/>
      </w:pPr>
    </w:p>
    <w:p w14:paraId="127E14CD">
      <w:pPr>
        <w:autoSpaceDE w:val="0"/>
        <w:autoSpaceDN w:val="0"/>
        <w:adjustRightInd w:val="0"/>
        <w:spacing w:line="420" w:lineRule="exact"/>
        <w:jc w:val="left"/>
        <w:rPr>
          <w:b/>
          <w:kern w:val="0"/>
          <w:sz w:val="24"/>
        </w:rPr>
      </w:pPr>
    </w:p>
    <w:p w14:paraId="09F0B486">
      <w:pPr>
        <w:pStyle w:val="20"/>
        <w:snapToGrid w:val="0"/>
        <w:spacing w:line="420" w:lineRule="exact"/>
        <w:rPr>
          <w:rFonts w:hAnsi="宋体" w:cs="宋体"/>
          <w:kern w:val="0"/>
          <w:sz w:val="28"/>
          <w:szCs w:val="28"/>
        </w:rPr>
      </w:pPr>
      <w:r>
        <w:rPr>
          <w:rFonts w:hint="eastAsia" w:hAnsi="宋体" w:cs="宋体"/>
          <w:kern w:val="0"/>
          <w:sz w:val="28"/>
          <w:szCs w:val="28"/>
        </w:rPr>
        <w:br w:type="page"/>
      </w:r>
    </w:p>
    <w:p w14:paraId="724A270F">
      <w:pPr>
        <w:pStyle w:val="7"/>
        <w:spacing w:line="420" w:lineRule="exact"/>
        <w:rPr>
          <w:kern w:val="0"/>
        </w:rPr>
      </w:pPr>
      <w:r>
        <w:rPr>
          <w:rFonts w:hint="eastAsia"/>
          <w:kern w:val="0"/>
        </w:rPr>
        <w:t>2.8、进场作业车辆、设备明细表</w:t>
      </w:r>
    </w:p>
    <w:p w14:paraId="21C95500">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进场作业车辆、设备明细表</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701"/>
        <w:gridCol w:w="1275"/>
        <w:gridCol w:w="1276"/>
        <w:gridCol w:w="992"/>
        <w:gridCol w:w="1276"/>
        <w:gridCol w:w="992"/>
        <w:gridCol w:w="1134"/>
      </w:tblGrid>
      <w:tr w14:paraId="3BCF8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534" w:type="dxa"/>
            <w:vAlign w:val="center"/>
          </w:tcPr>
          <w:p w14:paraId="43CE9FDD">
            <w:pPr>
              <w:autoSpaceDE w:val="0"/>
              <w:autoSpaceDN w:val="0"/>
              <w:adjustRightInd w:val="0"/>
              <w:spacing w:line="420" w:lineRule="exact"/>
              <w:jc w:val="center"/>
              <w:rPr>
                <w:kern w:val="0"/>
                <w:sz w:val="24"/>
              </w:rPr>
            </w:pPr>
            <w:r>
              <w:rPr>
                <w:rFonts w:hint="eastAsia"/>
                <w:kern w:val="0"/>
                <w:sz w:val="24"/>
              </w:rPr>
              <w:t>序号</w:t>
            </w:r>
          </w:p>
        </w:tc>
        <w:tc>
          <w:tcPr>
            <w:tcW w:w="1701" w:type="dxa"/>
            <w:vAlign w:val="center"/>
          </w:tcPr>
          <w:p w14:paraId="68D7CA55">
            <w:pPr>
              <w:autoSpaceDE w:val="0"/>
              <w:autoSpaceDN w:val="0"/>
              <w:adjustRightInd w:val="0"/>
              <w:spacing w:line="420" w:lineRule="exact"/>
              <w:jc w:val="center"/>
              <w:rPr>
                <w:kern w:val="0"/>
                <w:sz w:val="24"/>
              </w:rPr>
            </w:pPr>
            <w:r>
              <w:rPr>
                <w:rFonts w:hint="eastAsia"/>
                <w:kern w:val="0"/>
                <w:sz w:val="24"/>
              </w:rPr>
              <w:t>设备名称</w:t>
            </w:r>
          </w:p>
        </w:tc>
        <w:tc>
          <w:tcPr>
            <w:tcW w:w="1275" w:type="dxa"/>
            <w:vAlign w:val="center"/>
          </w:tcPr>
          <w:p w14:paraId="397A120B">
            <w:pPr>
              <w:autoSpaceDE w:val="0"/>
              <w:autoSpaceDN w:val="0"/>
              <w:adjustRightInd w:val="0"/>
              <w:spacing w:line="420" w:lineRule="exact"/>
              <w:jc w:val="center"/>
              <w:rPr>
                <w:kern w:val="0"/>
                <w:sz w:val="24"/>
              </w:rPr>
            </w:pPr>
            <w:r>
              <w:rPr>
                <w:rFonts w:hint="eastAsia"/>
                <w:kern w:val="0"/>
                <w:sz w:val="24"/>
              </w:rPr>
              <w:t>规格型号</w:t>
            </w:r>
          </w:p>
        </w:tc>
        <w:tc>
          <w:tcPr>
            <w:tcW w:w="1276" w:type="dxa"/>
            <w:vAlign w:val="center"/>
          </w:tcPr>
          <w:p w14:paraId="1B1310CE">
            <w:pPr>
              <w:autoSpaceDE w:val="0"/>
              <w:autoSpaceDN w:val="0"/>
              <w:adjustRightInd w:val="0"/>
              <w:spacing w:line="420" w:lineRule="exact"/>
              <w:jc w:val="center"/>
              <w:rPr>
                <w:kern w:val="0"/>
                <w:sz w:val="24"/>
              </w:rPr>
            </w:pPr>
            <w:r>
              <w:rPr>
                <w:rFonts w:hint="eastAsia"/>
                <w:kern w:val="0"/>
                <w:sz w:val="24"/>
              </w:rPr>
              <w:t>品牌/产地</w:t>
            </w:r>
          </w:p>
        </w:tc>
        <w:tc>
          <w:tcPr>
            <w:tcW w:w="992" w:type="dxa"/>
            <w:vAlign w:val="center"/>
          </w:tcPr>
          <w:p w14:paraId="45787C63">
            <w:pPr>
              <w:autoSpaceDE w:val="0"/>
              <w:autoSpaceDN w:val="0"/>
              <w:adjustRightInd w:val="0"/>
              <w:spacing w:line="420" w:lineRule="exact"/>
              <w:jc w:val="center"/>
              <w:rPr>
                <w:kern w:val="0"/>
                <w:sz w:val="24"/>
              </w:rPr>
            </w:pPr>
            <w:r>
              <w:rPr>
                <w:rFonts w:hint="eastAsia"/>
                <w:kern w:val="0"/>
                <w:sz w:val="24"/>
              </w:rPr>
              <w:t>数量</w:t>
            </w:r>
          </w:p>
        </w:tc>
        <w:tc>
          <w:tcPr>
            <w:tcW w:w="1276" w:type="dxa"/>
            <w:vAlign w:val="center"/>
          </w:tcPr>
          <w:p w14:paraId="3A48BBBB">
            <w:pPr>
              <w:autoSpaceDE w:val="0"/>
              <w:autoSpaceDN w:val="0"/>
              <w:adjustRightInd w:val="0"/>
              <w:spacing w:line="420" w:lineRule="exact"/>
              <w:jc w:val="center"/>
              <w:rPr>
                <w:kern w:val="0"/>
                <w:sz w:val="24"/>
              </w:rPr>
            </w:pPr>
            <w:r>
              <w:rPr>
                <w:rFonts w:hint="eastAsia"/>
                <w:kern w:val="0"/>
                <w:sz w:val="24"/>
              </w:rPr>
              <w:t>核定载重量（kg）</w:t>
            </w:r>
          </w:p>
        </w:tc>
        <w:tc>
          <w:tcPr>
            <w:tcW w:w="992" w:type="dxa"/>
            <w:tcBorders>
              <w:right w:val="single" w:color="auto" w:sz="4" w:space="0"/>
            </w:tcBorders>
            <w:vAlign w:val="center"/>
          </w:tcPr>
          <w:p w14:paraId="1356BFA4">
            <w:pPr>
              <w:autoSpaceDE w:val="0"/>
              <w:autoSpaceDN w:val="0"/>
              <w:adjustRightInd w:val="0"/>
              <w:spacing w:line="420" w:lineRule="exact"/>
              <w:jc w:val="center"/>
              <w:rPr>
                <w:kern w:val="0"/>
                <w:sz w:val="24"/>
              </w:rPr>
            </w:pPr>
            <w:r>
              <w:rPr>
                <w:rFonts w:hint="eastAsia"/>
                <w:kern w:val="0"/>
                <w:sz w:val="24"/>
              </w:rPr>
              <w:t>已使用年限</w:t>
            </w:r>
          </w:p>
        </w:tc>
        <w:tc>
          <w:tcPr>
            <w:tcW w:w="1134" w:type="dxa"/>
            <w:tcBorders>
              <w:left w:val="single" w:color="auto" w:sz="4" w:space="0"/>
            </w:tcBorders>
            <w:vAlign w:val="center"/>
          </w:tcPr>
          <w:p w14:paraId="0202ADBB">
            <w:pPr>
              <w:autoSpaceDE w:val="0"/>
              <w:autoSpaceDN w:val="0"/>
              <w:adjustRightInd w:val="0"/>
              <w:spacing w:line="420" w:lineRule="exact"/>
              <w:jc w:val="center"/>
              <w:rPr>
                <w:kern w:val="0"/>
                <w:sz w:val="24"/>
              </w:rPr>
            </w:pPr>
            <w:r>
              <w:rPr>
                <w:rFonts w:hint="eastAsia" w:ascii="宋体" w:hAnsi="宋体"/>
                <w:szCs w:val="21"/>
              </w:rPr>
              <w:t>车辆持有形式</w:t>
            </w:r>
          </w:p>
        </w:tc>
      </w:tr>
      <w:tr w14:paraId="39630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2364AC83">
            <w:pPr>
              <w:autoSpaceDE w:val="0"/>
              <w:autoSpaceDN w:val="0"/>
              <w:adjustRightInd w:val="0"/>
              <w:spacing w:line="420" w:lineRule="exact"/>
              <w:jc w:val="center"/>
              <w:rPr>
                <w:kern w:val="0"/>
                <w:sz w:val="24"/>
              </w:rPr>
            </w:pPr>
          </w:p>
        </w:tc>
        <w:tc>
          <w:tcPr>
            <w:tcW w:w="1701" w:type="dxa"/>
            <w:vAlign w:val="center"/>
          </w:tcPr>
          <w:p w14:paraId="683AEECF">
            <w:pPr>
              <w:autoSpaceDE w:val="0"/>
              <w:autoSpaceDN w:val="0"/>
              <w:adjustRightInd w:val="0"/>
              <w:spacing w:line="420" w:lineRule="exact"/>
              <w:jc w:val="center"/>
              <w:rPr>
                <w:kern w:val="0"/>
                <w:sz w:val="24"/>
              </w:rPr>
            </w:pPr>
          </w:p>
        </w:tc>
        <w:tc>
          <w:tcPr>
            <w:tcW w:w="1275" w:type="dxa"/>
            <w:vAlign w:val="center"/>
          </w:tcPr>
          <w:p w14:paraId="37E87782">
            <w:pPr>
              <w:autoSpaceDE w:val="0"/>
              <w:autoSpaceDN w:val="0"/>
              <w:adjustRightInd w:val="0"/>
              <w:spacing w:line="420" w:lineRule="exact"/>
              <w:jc w:val="center"/>
              <w:rPr>
                <w:kern w:val="0"/>
                <w:sz w:val="24"/>
              </w:rPr>
            </w:pPr>
          </w:p>
        </w:tc>
        <w:tc>
          <w:tcPr>
            <w:tcW w:w="1276" w:type="dxa"/>
            <w:vAlign w:val="center"/>
          </w:tcPr>
          <w:p w14:paraId="6C3D76D0">
            <w:pPr>
              <w:autoSpaceDE w:val="0"/>
              <w:autoSpaceDN w:val="0"/>
              <w:adjustRightInd w:val="0"/>
              <w:spacing w:line="420" w:lineRule="exact"/>
              <w:jc w:val="center"/>
              <w:rPr>
                <w:kern w:val="0"/>
                <w:sz w:val="24"/>
              </w:rPr>
            </w:pPr>
          </w:p>
        </w:tc>
        <w:tc>
          <w:tcPr>
            <w:tcW w:w="992" w:type="dxa"/>
            <w:vAlign w:val="center"/>
          </w:tcPr>
          <w:p w14:paraId="0D03F96F">
            <w:pPr>
              <w:autoSpaceDE w:val="0"/>
              <w:autoSpaceDN w:val="0"/>
              <w:adjustRightInd w:val="0"/>
              <w:spacing w:line="420" w:lineRule="exact"/>
              <w:jc w:val="center"/>
              <w:rPr>
                <w:kern w:val="0"/>
                <w:sz w:val="24"/>
              </w:rPr>
            </w:pPr>
          </w:p>
        </w:tc>
        <w:tc>
          <w:tcPr>
            <w:tcW w:w="1276" w:type="dxa"/>
            <w:vAlign w:val="center"/>
          </w:tcPr>
          <w:p w14:paraId="6C84D22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E7E9F79">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1AB8AA1E">
            <w:pPr>
              <w:autoSpaceDE w:val="0"/>
              <w:autoSpaceDN w:val="0"/>
              <w:adjustRightInd w:val="0"/>
              <w:spacing w:line="420" w:lineRule="exact"/>
              <w:jc w:val="center"/>
              <w:rPr>
                <w:kern w:val="0"/>
                <w:sz w:val="24"/>
              </w:rPr>
            </w:pPr>
          </w:p>
        </w:tc>
      </w:tr>
      <w:tr w14:paraId="3B0C1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2808CD39">
            <w:pPr>
              <w:autoSpaceDE w:val="0"/>
              <w:autoSpaceDN w:val="0"/>
              <w:adjustRightInd w:val="0"/>
              <w:spacing w:line="420" w:lineRule="exact"/>
              <w:jc w:val="center"/>
              <w:rPr>
                <w:kern w:val="0"/>
                <w:sz w:val="24"/>
              </w:rPr>
            </w:pPr>
          </w:p>
        </w:tc>
        <w:tc>
          <w:tcPr>
            <w:tcW w:w="1701" w:type="dxa"/>
            <w:vAlign w:val="center"/>
          </w:tcPr>
          <w:p w14:paraId="74B5DD9E">
            <w:pPr>
              <w:autoSpaceDE w:val="0"/>
              <w:autoSpaceDN w:val="0"/>
              <w:adjustRightInd w:val="0"/>
              <w:spacing w:line="420" w:lineRule="exact"/>
              <w:jc w:val="center"/>
              <w:rPr>
                <w:kern w:val="0"/>
                <w:sz w:val="24"/>
              </w:rPr>
            </w:pPr>
          </w:p>
        </w:tc>
        <w:tc>
          <w:tcPr>
            <w:tcW w:w="1275" w:type="dxa"/>
            <w:vAlign w:val="center"/>
          </w:tcPr>
          <w:p w14:paraId="0003F568">
            <w:pPr>
              <w:autoSpaceDE w:val="0"/>
              <w:autoSpaceDN w:val="0"/>
              <w:adjustRightInd w:val="0"/>
              <w:spacing w:line="420" w:lineRule="exact"/>
              <w:jc w:val="center"/>
              <w:rPr>
                <w:kern w:val="0"/>
                <w:sz w:val="24"/>
              </w:rPr>
            </w:pPr>
          </w:p>
        </w:tc>
        <w:tc>
          <w:tcPr>
            <w:tcW w:w="1276" w:type="dxa"/>
            <w:vAlign w:val="center"/>
          </w:tcPr>
          <w:p w14:paraId="32EA45C3">
            <w:pPr>
              <w:autoSpaceDE w:val="0"/>
              <w:autoSpaceDN w:val="0"/>
              <w:adjustRightInd w:val="0"/>
              <w:spacing w:line="420" w:lineRule="exact"/>
              <w:jc w:val="center"/>
              <w:rPr>
                <w:kern w:val="0"/>
                <w:sz w:val="24"/>
              </w:rPr>
            </w:pPr>
          </w:p>
        </w:tc>
        <w:tc>
          <w:tcPr>
            <w:tcW w:w="992" w:type="dxa"/>
            <w:vAlign w:val="center"/>
          </w:tcPr>
          <w:p w14:paraId="60831F68">
            <w:pPr>
              <w:autoSpaceDE w:val="0"/>
              <w:autoSpaceDN w:val="0"/>
              <w:adjustRightInd w:val="0"/>
              <w:spacing w:line="420" w:lineRule="exact"/>
              <w:jc w:val="center"/>
              <w:rPr>
                <w:kern w:val="0"/>
                <w:sz w:val="24"/>
              </w:rPr>
            </w:pPr>
          </w:p>
        </w:tc>
        <w:tc>
          <w:tcPr>
            <w:tcW w:w="1276" w:type="dxa"/>
            <w:vAlign w:val="center"/>
          </w:tcPr>
          <w:p w14:paraId="2158D115">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759CAD3">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AC6E354">
            <w:pPr>
              <w:autoSpaceDE w:val="0"/>
              <w:autoSpaceDN w:val="0"/>
              <w:adjustRightInd w:val="0"/>
              <w:spacing w:line="420" w:lineRule="exact"/>
              <w:jc w:val="center"/>
              <w:rPr>
                <w:kern w:val="0"/>
                <w:sz w:val="24"/>
              </w:rPr>
            </w:pPr>
          </w:p>
        </w:tc>
      </w:tr>
      <w:tr w14:paraId="5B5FD9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59BBEEE7">
            <w:pPr>
              <w:autoSpaceDE w:val="0"/>
              <w:autoSpaceDN w:val="0"/>
              <w:adjustRightInd w:val="0"/>
              <w:spacing w:line="420" w:lineRule="exact"/>
              <w:jc w:val="center"/>
              <w:rPr>
                <w:kern w:val="0"/>
                <w:sz w:val="24"/>
              </w:rPr>
            </w:pPr>
          </w:p>
        </w:tc>
        <w:tc>
          <w:tcPr>
            <w:tcW w:w="1701" w:type="dxa"/>
            <w:vAlign w:val="center"/>
          </w:tcPr>
          <w:p w14:paraId="19C8E7FD">
            <w:pPr>
              <w:autoSpaceDE w:val="0"/>
              <w:autoSpaceDN w:val="0"/>
              <w:adjustRightInd w:val="0"/>
              <w:spacing w:line="420" w:lineRule="exact"/>
              <w:jc w:val="center"/>
              <w:rPr>
                <w:kern w:val="0"/>
                <w:sz w:val="24"/>
              </w:rPr>
            </w:pPr>
          </w:p>
        </w:tc>
        <w:tc>
          <w:tcPr>
            <w:tcW w:w="1275" w:type="dxa"/>
            <w:vAlign w:val="center"/>
          </w:tcPr>
          <w:p w14:paraId="4B78A71B">
            <w:pPr>
              <w:autoSpaceDE w:val="0"/>
              <w:autoSpaceDN w:val="0"/>
              <w:adjustRightInd w:val="0"/>
              <w:spacing w:line="420" w:lineRule="exact"/>
              <w:jc w:val="center"/>
              <w:rPr>
                <w:kern w:val="0"/>
                <w:sz w:val="24"/>
              </w:rPr>
            </w:pPr>
          </w:p>
        </w:tc>
        <w:tc>
          <w:tcPr>
            <w:tcW w:w="1276" w:type="dxa"/>
            <w:vAlign w:val="center"/>
          </w:tcPr>
          <w:p w14:paraId="6EAF9A9C">
            <w:pPr>
              <w:autoSpaceDE w:val="0"/>
              <w:autoSpaceDN w:val="0"/>
              <w:adjustRightInd w:val="0"/>
              <w:spacing w:line="420" w:lineRule="exact"/>
              <w:jc w:val="center"/>
              <w:rPr>
                <w:kern w:val="0"/>
                <w:sz w:val="24"/>
              </w:rPr>
            </w:pPr>
          </w:p>
        </w:tc>
        <w:tc>
          <w:tcPr>
            <w:tcW w:w="992" w:type="dxa"/>
            <w:vAlign w:val="center"/>
          </w:tcPr>
          <w:p w14:paraId="61CB50C6">
            <w:pPr>
              <w:autoSpaceDE w:val="0"/>
              <w:autoSpaceDN w:val="0"/>
              <w:adjustRightInd w:val="0"/>
              <w:spacing w:line="420" w:lineRule="exact"/>
              <w:jc w:val="center"/>
              <w:rPr>
                <w:kern w:val="0"/>
                <w:sz w:val="24"/>
              </w:rPr>
            </w:pPr>
          </w:p>
        </w:tc>
        <w:tc>
          <w:tcPr>
            <w:tcW w:w="1276" w:type="dxa"/>
            <w:vAlign w:val="center"/>
          </w:tcPr>
          <w:p w14:paraId="4FE6B0BE">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01749AE">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8727E2F">
            <w:pPr>
              <w:autoSpaceDE w:val="0"/>
              <w:autoSpaceDN w:val="0"/>
              <w:adjustRightInd w:val="0"/>
              <w:spacing w:line="420" w:lineRule="exact"/>
              <w:jc w:val="center"/>
              <w:rPr>
                <w:kern w:val="0"/>
                <w:sz w:val="24"/>
              </w:rPr>
            </w:pPr>
          </w:p>
        </w:tc>
      </w:tr>
      <w:tr w14:paraId="13998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0725B45F">
            <w:pPr>
              <w:autoSpaceDE w:val="0"/>
              <w:autoSpaceDN w:val="0"/>
              <w:adjustRightInd w:val="0"/>
              <w:spacing w:line="420" w:lineRule="exact"/>
              <w:jc w:val="center"/>
              <w:rPr>
                <w:kern w:val="0"/>
                <w:sz w:val="24"/>
              </w:rPr>
            </w:pPr>
          </w:p>
        </w:tc>
        <w:tc>
          <w:tcPr>
            <w:tcW w:w="1701" w:type="dxa"/>
            <w:vAlign w:val="center"/>
          </w:tcPr>
          <w:p w14:paraId="4C855EB4">
            <w:pPr>
              <w:autoSpaceDE w:val="0"/>
              <w:autoSpaceDN w:val="0"/>
              <w:adjustRightInd w:val="0"/>
              <w:spacing w:line="420" w:lineRule="exact"/>
              <w:jc w:val="center"/>
              <w:rPr>
                <w:kern w:val="0"/>
                <w:sz w:val="24"/>
              </w:rPr>
            </w:pPr>
          </w:p>
        </w:tc>
        <w:tc>
          <w:tcPr>
            <w:tcW w:w="1275" w:type="dxa"/>
            <w:vAlign w:val="center"/>
          </w:tcPr>
          <w:p w14:paraId="338EF017">
            <w:pPr>
              <w:autoSpaceDE w:val="0"/>
              <w:autoSpaceDN w:val="0"/>
              <w:adjustRightInd w:val="0"/>
              <w:spacing w:line="420" w:lineRule="exact"/>
              <w:jc w:val="center"/>
              <w:rPr>
                <w:kern w:val="0"/>
                <w:sz w:val="24"/>
              </w:rPr>
            </w:pPr>
          </w:p>
        </w:tc>
        <w:tc>
          <w:tcPr>
            <w:tcW w:w="1276" w:type="dxa"/>
            <w:vAlign w:val="center"/>
          </w:tcPr>
          <w:p w14:paraId="0D9D6DE3">
            <w:pPr>
              <w:autoSpaceDE w:val="0"/>
              <w:autoSpaceDN w:val="0"/>
              <w:adjustRightInd w:val="0"/>
              <w:spacing w:line="420" w:lineRule="exact"/>
              <w:jc w:val="center"/>
              <w:rPr>
                <w:kern w:val="0"/>
                <w:sz w:val="24"/>
              </w:rPr>
            </w:pPr>
          </w:p>
        </w:tc>
        <w:tc>
          <w:tcPr>
            <w:tcW w:w="992" w:type="dxa"/>
            <w:vAlign w:val="center"/>
          </w:tcPr>
          <w:p w14:paraId="6B8D5489">
            <w:pPr>
              <w:autoSpaceDE w:val="0"/>
              <w:autoSpaceDN w:val="0"/>
              <w:adjustRightInd w:val="0"/>
              <w:spacing w:line="420" w:lineRule="exact"/>
              <w:jc w:val="center"/>
              <w:rPr>
                <w:kern w:val="0"/>
                <w:sz w:val="24"/>
              </w:rPr>
            </w:pPr>
          </w:p>
        </w:tc>
        <w:tc>
          <w:tcPr>
            <w:tcW w:w="1276" w:type="dxa"/>
            <w:vAlign w:val="center"/>
          </w:tcPr>
          <w:p w14:paraId="27F0F904">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628DE1FF">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823E1C7">
            <w:pPr>
              <w:autoSpaceDE w:val="0"/>
              <w:autoSpaceDN w:val="0"/>
              <w:adjustRightInd w:val="0"/>
              <w:spacing w:line="420" w:lineRule="exact"/>
              <w:jc w:val="center"/>
              <w:rPr>
                <w:kern w:val="0"/>
                <w:sz w:val="24"/>
              </w:rPr>
            </w:pPr>
          </w:p>
        </w:tc>
      </w:tr>
      <w:tr w14:paraId="7AC72D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05340C1D">
            <w:pPr>
              <w:autoSpaceDE w:val="0"/>
              <w:autoSpaceDN w:val="0"/>
              <w:adjustRightInd w:val="0"/>
              <w:spacing w:line="420" w:lineRule="exact"/>
              <w:jc w:val="center"/>
              <w:rPr>
                <w:kern w:val="0"/>
                <w:sz w:val="24"/>
              </w:rPr>
            </w:pPr>
          </w:p>
        </w:tc>
        <w:tc>
          <w:tcPr>
            <w:tcW w:w="1701" w:type="dxa"/>
            <w:vAlign w:val="center"/>
          </w:tcPr>
          <w:p w14:paraId="38C155CE">
            <w:pPr>
              <w:autoSpaceDE w:val="0"/>
              <w:autoSpaceDN w:val="0"/>
              <w:adjustRightInd w:val="0"/>
              <w:spacing w:line="420" w:lineRule="exact"/>
              <w:jc w:val="center"/>
              <w:rPr>
                <w:kern w:val="0"/>
                <w:sz w:val="24"/>
              </w:rPr>
            </w:pPr>
          </w:p>
        </w:tc>
        <w:tc>
          <w:tcPr>
            <w:tcW w:w="1275" w:type="dxa"/>
            <w:vAlign w:val="center"/>
          </w:tcPr>
          <w:p w14:paraId="6C058C2F">
            <w:pPr>
              <w:autoSpaceDE w:val="0"/>
              <w:autoSpaceDN w:val="0"/>
              <w:adjustRightInd w:val="0"/>
              <w:spacing w:line="420" w:lineRule="exact"/>
              <w:jc w:val="center"/>
              <w:rPr>
                <w:kern w:val="0"/>
                <w:sz w:val="24"/>
              </w:rPr>
            </w:pPr>
          </w:p>
        </w:tc>
        <w:tc>
          <w:tcPr>
            <w:tcW w:w="1276" w:type="dxa"/>
            <w:vAlign w:val="center"/>
          </w:tcPr>
          <w:p w14:paraId="2BDFEACD">
            <w:pPr>
              <w:autoSpaceDE w:val="0"/>
              <w:autoSpaceDN w:val="0"/>
              <w:adjustRightInd w:val="0"/>
              <w:spacing w:line="420" w:lineRule="exact"/>
              <w:jc w:val="center"/>
              <w:rPr>
                <w:kern w:val="0"/>
                <w:sz w:val="24"/>
              </w:rPr>
            </w:pPr>
          </w:p>
        </w:tc>
        <w:tc>
          <w:tcPr>
            <w:tcW w:w="992" w:type="dxa"/>
            <w:vAlign w:val="center"/>
          </w:tcPr>
          <w:p w14:paraId="483F7A89">
            <w:pPr>
              <w:autoSpaceDE w:val="0"/>
              <w:autoSpaceDN w:val="0"/>
              <w:adjustRightInd w:val="0"/>
              <w:spacing w:line="420" w:lineRule="exact"/>
              <w:jc w:val="center"/>
              <w:rPr>
                <w:kern w:val="0"/>
                <w:sz w:val="24"/>
              </w:rPr>
            </w:pPr>
          </w:p>
        </w:tc>
        <w:tc>
          <w:tcPr>
            <w:tcW w:w="1276" w:type="dxa"/>
            <w:vAlign w:val="center"/>
          </w:tcPr>
          <w:p w14:paraId="464CBF39">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0950C54D">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7AADDB68">
            <w:pPr>
              <w:autoSpaceDE w:val="0"/>
              <w:autoSpaceDN w:val="0"/>
              <w:adjustRightInd w:val="0"/>
              <w:spacing w:line="420" w:lineRule="exact"/>
              <w:jc w:val="center"/>
              <w:rPr>
                <w:kern w:val="0"/>
                <w:sz w:val="24"/>
              </w:rPr>
            </w:pPr>
          </w:p>
        </w:tc>
      </w:tr>
      <w:tr w14:paraId="4B7F6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46191B54">
            <w:pPr>
              <w:autoSpaceDE w:val="0"/>
              <w:autoSpaceDN w:val="0"/>
              <w:adjustRightInd w:val="0"/>
              <w:spacing w:line="420" w:lineRule="exact"/>
              <w:jc w:val="center"/>
              <w:rPr>
                <w:kern w:val="0"/>
                <w:sz w:val="24"/>
              </w:rPr>
            </w:pPr>
          </w:p>
        </w:tc>
        <w:tc>
          <w:tcPr>
            <w:tcW w:w="1701" w:type="dxa"/>
            <w:vAlign w:val="center"/>
          </w:tcPr>
          <w:p w14:paraId="4C3A2EDF">
            <w:pPr>
              <w:autoSpaceDE w:val="0"/>
              <w:autoSpaceDN w:val="0"/>
              <w:adjustRightInd w:val="0"/>
              <w:spacing w:line="420" w:lineRule="exact"/>
              <w:jc w:val="center"/>
              <w:rPr>
                <w:kern w:val="0"/>
                <w:sz w:val="24"/>
              </w:rPr>
            </w:pPr>
          </w:p>
        </w:tc>
        <w:tc>
          <w:tcPr>
            <w:tcW w:w="1275" w:type="dxa"/>
            <w:vAlign w:val="center"/>
          </w:tcPr>
          <w:p w14:paraId="6F24F42E">
            <w:pPr>
              <w:autoSpaceDE w:val="0"/>
              <w:autoSpaceDN w:val="0"/>
              <w:adjustRightInd w:val="0"/>
              <w:spacing w:line="420" w:lineRule="exact"/>
              <w:jc w:val="center"/>
              <w:rPr>
                <w:kern w:val="0"/>
                <w:sz w:val="24"/>
              </w:rPr>
            </w:pPr>
          </w:p>
        </w:tc>
        <w:tc>
          <w:tcPr>
            <w:tcW w:w="1276" w:type="dxa"/>
            <w:vAlign w:val="center"/>
          </w:tcPr>
          <w:p w14:paraId="77B87A60">
            <w:pPr>
              <w:autoSpaceDE w:val="0"/>
              <w:autoSpaceDN w:val="0"/>
              <w:adjustRightInd w:val="0"/>
              <w:spacing w:line="420" w:lineRule="exact"/>
              <w:jc w:val="center"/>
              <w:rPr>
                <w:kern w:val="0"/>
                <w:sz w:val="24"/>
              </w:rPr>
            </w:pPr>
          </w:p>
        </w:tc>
        <w:tc>
          <w:tcPr>
            <w:tcW w:w="992" w:type="dxa"/>
            <w:vAlign w:val="center"/>
          </w:tcPr>
          <w:p w14:paraId="7B3BA3D7">
            <w:pPr>
              <w:autoSpaceDE w:val="0"/>
              <w:autoSpaceDN w:val="0"/>
              <w:adjustRightInd w:val="0"/>
              <w:spacing w:line="420" w:lineRule="exact"/>
              <w:jc w:val="center"/>
              <w:rPr>
                <w:kern w:val="0"/>
                <w:sz w:val="24"/>
              </w:rPr>
            </w:pPr>
          </w:p>
        </w:tc>
        <w:tc>
          <w:tcPr>
            <w:tcW w:w="1276" w:type="dxa"/>
            <w:vAlign w:val="center"/>
          </w:tcPr>
          <w:p w14:paraId="3A096FC2">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17113AAC">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B04A01F">
            <w:pPr>
              <w:autoSpaceDE w:val="0"/>
              <w:autoSpaceDN w:val="0"/>
              <w:adjustRightInd w:val="0"/>
              <w:spacing w:line="420" w:lineRule="exact"/>
              <w:jc w:val="center"/>
              <w:rPr>
                <w:kern w:val="0"/>
                <w:sz w:val="24"/>
              </w:rPr>
            </w:pPr>
          </w:p>
        </w:tc>
      </w:tr>
      <w:tr w14:paraId="217B9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7242539C">
            <w:pPr>
              <w:autoSpaceDE w:val="0"/>
              <w:autoSpaceDN w:val="0"/>
              <w:adjustRightInd w:val="0"/>
              <w:spacing w:line="420" w:lineRule="exact"/>
              <w:jc w:val="center"/>
              <w:rPr>
                <w:kern w:val="0"/>
                <w:sz w:val="24"/>
              </w:rPr>
            </w:pPr>
          </w:p>
        </w:tc>
        <w:tc>
          <w:tcPr>
            <w:tcW w:w="1701" w:type="dxa"/>
            <w:vAlign w:val="center"/>
          </w:tcPr>
          <w:p w14:paraId="758E6DF2">
            <w:pPr>
              <w:autoSpaceDE w:val="0"/>
              <w:autoSpaceDN w:val="0"/>
              <w:adjustRightInd w:val="0"/>
              <w:spacing w:line="420" w:lineRule="exact"/>
              <w:jc w:val="center"/>
              <w:rPr>
                <w:kern w:val="0"/>
                <w:sz w:val="24"/>
              </w:rPr>
            </w:pPr>
          </w:p>
        </w:tc>
        <w:tc>
          <w:tcPr>
            <w:tcW w:w="1275" w:type="dxa"/>
            <w:vAlign w:val="center"/>
          </w:tcPr>
          <w:p w14:paraId="741CDADE">
            <w:pPr>
              <w:autoSpaceDE w:val="0"/>
              <w:autoSpaceDN w:val="0"/>
              <w:adjustRightInd w:val="0"/>
              <w:spacing w:line="420" w:lineRule="exact"/>
              <w:jc w:val="center"/>
              <w:rPr>
                <w:kern w:val="0"/>
                <w:sz w:val="24"/>
              </w:rPr>
            </w:pPr>
          </w:p>
        </w:tc>
        <w:tc>
          <w:tcPr>
            <w:tcW w:w="1276" w:type="dxa"/>
            <w:vAlign w:val="center"/>
          </w:tcPr>
          <w:p w14:paraId="12055D87">
            <w:pPr>
              <w:autoSpaceDE w:val="0"/>
              <w:autoSpaceDN w:val="0"/>
              <w:adjustRightInd w:val="0"/>
              <w:spacing w:line="420" w:lineRule="exact"/>
              <w:jc w:val="center"/>
              <w:rPr>
                <w:kern w:val="0"/>
                <w:sz w:val="24"/>
              </w:rPr>
            </w:pPr>
          </w:p>
        </w:tc>
        <w:tc>
          <w:tcPr>
            <w:tcW w:w="992" w:type="dxa"/>
            <w:vAlign w:val="center"/>
          </w:tcPr>
          <w:p w14:paraId="72E1C6A7">
            <w:pPr>
              <w:autoSpaceDE w:val="0"/>
              <w:autoSpaceDN w:val="0"/>
              <w:adjustRightInd w:val="0"/>
              <w:spacing w:line="420" w:lineRule="exact"/>
              <w:jc w:val="center"/>
              <w:rPr>
                <w:kern w:val="0"/>
                <w:sz w:val="24"/>
              </w:rPr>
            </w:pPr>
          </w:p>
        </w:tc>
        <w:tc>
          <w:tcPr>
            <w:tcW w:w="1276" w:type="dxa"/>
            <w:vAlign w:val="center"/>
          </w:tcPr>
          <w:p w14:paraId="5A8EE0DD">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36556337">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4CC0229">
            <w:pPr>
              <w:autoSpaceDE w:val="0"/>
              <w:autoSpaceDN w:val="0"/>
              <w:adjustRightInd w:val="0"/>
              <w:spacing w:line="420" w:lineRule="exact"/>
              <w:jc w:val="center"/>
              <w:rPr>
                <w:kern w:val="0"/>
                <w:sz w:val="24"/>
              </w:rPr>
            </w:pPr>
          </w:p>
        </w:tc>
      </w:tr>
      <w:tr w14:paraId="1030F2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1D2F523D">
            <w:pPr>
              <w:autoSpaceDE w:val="0"/>
              <w:autoSpaceDN w:val="0"/>
              <w:adjustRightInd w:val="0"/>
              <w:spacing w:line="420" w:lineRule="exact"/>
              <w:jc w:val="center"/>
              <w:rPr>
                <w:kern w:val="0"/>
                <w:sz w:val="24"/>
              </w:rPr>
            </w:pPr>
          </w:p>
        </w:tc>
        <w:tc>
          <w:tcPr>
            <w:tcW w:w="1701" w:type="dxa"/>
            <w:vAlign w:val="center"/>
          </w:tcPr>
          <w:p w14:paraId="3B72A36F">
            <w:pPr>
              <w:autoSpaceDE w:val="0"/>
              <w:autoSpaceDN w:val="0"/>
              <w:adjustRightInd w:val="0"/>
              <w:spacing w:line="420" w:lineRule="exact"/>
              <w:jc w:val="center"/>
              <w:rPr>
                <w:kern w:val="0"/>
                <w:sz w:val="24"/>
              </w:rPr>
            </w:pPr>
          </w:p>
        </w:tc>
        <w:tc>
          <w:tcPr>
            <w:tcW w:w="1275" w:type="dxa"/>
            <w:vAlign w:val="center"/>
          </w:tcPr>
          <w:p w14:paraId="37F4B8C9">
            <w:pPr>
              <w:autoSpaceDE w:val="0"/>
              <w:autoSpaceDN w:val="0"/>
              <w:adjustRightInd w:val="0"/>
              <w:spacing w:line="420" w:lineRule="exact"/>
              <w:jc w:val="center"/>
              <w:rPr>
                <w:kern w:val="0"/>
                <w:sz w:val="24"/>
              </w:rPr>
            </w:pPr>
          </w:p>
        </w:tc>
        <w:tc>
          <w:tcPr>
            <w:tcW w:w="1276" w:type="dxa"/>
            <w:vAlign w:val="center"/>
          </w:tcPr>
          <w:p w14:paraId="4261BA3B">
            <w:pPr>
              <w:autoSpaceDE w:val="0"/>
              <w:autoSpaceDN w:val="0"/>
              <w:adjustRightInd w:val="0"/>
              <w:spacing w:line="420" w:lineRule="exact"/>
              <w:jc w:val="center"/>
              <w:rPr>
                <w:kern w:val="0"/>
                <w:sz w:val="24"/>
              </w:rPr>
            </w:pPr>
          </w:p>
        </w:tc>
        <w:tc>
          <w:tcPr>
            <w:tcW w:w="992" w:type="dxa"/>
            <w:vAlign w:val="center"/>
          </w:tcPr>
          <w:p w14:paraId="3A3240A7">
            <w:pPr>
              <w:autoSpaceDE w:val="0"/>
              <w:autoSpaceDN w:val="0"/>
              <w:adjustRightInd w:val="0"/>
              <w:spacing w:line="420" w:lineRule="exact"/>
              <w:jc w:val="center"/>
              <w:rPr>
                <w:kern w:val="0"/>
                <w:sz w:val="24"/>
              </w:rPr>
            </w:pPr>
          </w:p>
        </w:tc>
        <w:tc>
          <w:tcPr>
            <w:tcW w:w="1276" w:type="dxa"/>
            <w:vAlign w:val="center"/>
          </w:tcPr>
          <w:p w14:paraId="34E70AA1">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1E8F92AA">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04FA44E0">
            <w:pPr>
              <w:autoSpaceDE w:val="0"/>
              <w:autoSpaceDN w:val="0"/>
              <w:adjustRightInd w:val="0"/>
              <w:spacing w:line="420" w:lineRule="exact"/>
              <w:jc w:val="center"/>
              <w:rPr>
                <w:kern w:val="0"/>
                <w:sz w:val="24"/>
              </w:rPr>
            </w:pPr>
          </w:p>
        </w:tc>
      </w:tr>
      <w:tr w14:paraId="6965E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34" w:type="dxa"/>
            <w:vAlign w:val="center"/>
          </w:tcPr>
          <w:p w14:paraId="40E47F16">
            <w:pPr>
              <w:autoSpaceDE w:val="0"/>
              <w:autoSpaceDN w:val="0"/>
              <w:adjustRightInd w:val="0"/>
              <w:spacing w:line="420" w:lineRule="exact"/>
              <w:jc w:val="center"/>
              <w:rPr>
                <w:kern w:val="0"/>
                <w:sz w:val="24"/>
              </w:rPr>
            </w:pPr>
          </w:p>
        </w:tc>
        <w:tc>
          <w:tcPr>
            <w:tcW w:w="1701" w:type="dxa"/>
            <w:vAlign w:val="center"/>
          </w:tcPr>
          <w:p w14:paraId="18EC34AE">
            <w:pPr>
              <w:autoSpaceDE w:val="0"/>
              <w:autoSpaceDN w:val="0"/>
              <w:adjustRightInd w:val="0"/>
              <w:spacing w:line="420" w:lineRule="exact"/>
              <w:jc w:val="center"/>
              <w:rPr>
                <w:kern w:val="0"/>
                <w:sz w:val="24"/>
              </w:rPr>
            </w:pPr>
          </w:p>
        </w:tc>
        <w:tc>
          <w:tcPr>
            <w:tcW w:w="1275" w:type="dxa"/>
            <w:vAlign w:val="center"/>
          </w:tcPr>
          <w:p w14:paraId="38ADA7D7">
            <w:pPr>
              <w:autoSpaceDE w:val="0"/>
              <w:autoSpaceDN w:val="0"/>
              <w:adjustRightInd w:val="0"/>
              <w:spacing w:line="420" w:lineRule="exact"/>
              <w:jc w:val="center"/>
              <w:rPr>
                <w:kern w:val="0"/>
                <w:sz w:val="24"/>
              </w:rPr>
            </w:pPr>
          </w:p>
        </w:tc>
        <w:tc>
          <w:tcPr>
            <w:tcW w:w="1276" w:type="dxa"/>
            <w:vAlign w:val="center"/>
          </w:tcPr>
          <w:p w14:paraId="790CB885">
            <w:pPr>
              <w:autoSpaceDE w:val="0"/>
              <w:autoSpaceDN w:val="0"/>
              <w:adjustRightInd w:val="0"/>
              <w:spacing w:line="420" w:lineRule="exact"/>
              <w:jc w:val="center"/>
              <w:rPr>
                <w:kern w:val="0"/>
                <w:sz w:val="24"/>
              </w:rPr>
            </w:pPr>
          </w:p>
        </w:tc>
        <w:tc>
          <w:tcPr>
            <w:tcW w:w="992" w:type="dxa"/>
            <w:vAlign w:val="center"/>
          </w:tcPr>
          <w:p w14:paraId="780FC937">
            <w:pPr>
              <w:autoSpaceDE w:val="0"/>
              <w:autoSpaceDN w:val="0"/>
              <w:adjustRightInd w:val="0"/>
              <w:spacing w:line="420" w:lineRule="exact"/>
              <w:jc w:val="center"/>
              <w:rPr>
                <w:kern w:val="0"/>
                <w:sz w:val="24"/>
              </w:rPr>
            </w:pPr>
          </w:p>
        </w:tc>
        <w:tc>
          <w:tcPr>
            <w:tcW w:w="1276" w:type="dxa"/>
            <w:vAlign w:val="center"/>
          </w:tcPr>
          <w:p w14:paraId="10A72969">
            <w:pPr>
              <w:autoSpaceDE w:val="0"/>
              <w:autoSpaceDN w:val="0"/>
              <w:adjustRightInd w:val="0"/>
              <w:spacing w:line="420" w:lineRule="exact"/>
              <w:jc w:val="center"/>
              <w:rPr>
                <w:kern w:val="0"/>
                <w:sz w:val="24"/>
              </w:rPr>
            </w:pPr>
          </w:p>
        </w:tc>
        <w:tc>
          <w:tcPr>
            <w:tcW w:w="992" w:type="dxa"/>
            <w:tcBorders>
              <w:right w:val="single" w:color="auto" w:sz="4" w:space="0"/>
            </w:tcBorders>
            <w:vAlign w:val="center"/>
          </w:tcPr>
          <w:p w14:paraId="77EC604E">
            <w:pPr>
              <w:autoSpaceDE w:val="0"/>
              <w:autoSpaceDN w:val="0"/>
              <w:adjustRightInd w:val="0"/>
              <w:spacing w:line="420" w:lineRule="exact"/>
              <w:jc w:val="center"/>
              <w:rPr>
                <w:kern w:val="0"/>
                <w:sz w:val="24"/>
              </w:rPr>
            </w:pPr>
          </w:p>
        </w:tc>
        <w:tc>
          <w:tcPr>
            <w:tcW w:w="1134" w:type="dxa"/>
            <w:tcBorders>
              <w:left w:val="single" w:color="auto" w:sz="4" w:space="0"/>
            </w:tcBorders>
            <w:vAlign w:val="center"/>
          </w:tcPr>
          <w:p w14:paraId="42379542">
            <w:pPr>
              <w:autoSpaceDE w:val="0"/>
              <w:autoSpaceDN w:val="0"/>
              <w:adjustRightInd w:val="0"/>
              <w:spacing w:line="420" w:lineRule="exact"/>
              <w:jc w:val="center"/>
              <w:rPr>
                <w:kern w:val="0"/>
                <w:sz w:val="24"/>
              </w:rPr>
            </w:pPr>
          </w:p>
        </w:tc>
      </w:tr>
    </w:tbl>
    <w:p w14:paraId="057ABA15">
      <w:pPr>
        <w:autoSpaceDE w:val="0"/>
        <w:autoSpaceDN w:val="0"/>
        <w:adjustRightInd w:val="0"/>
        <w:spacing w:line="380" w:lineRule="exact"/>
        <w:jc w:val="left"/>
        <w:rPr>
          <w:kern w:val="0"/>
          <w:szCs w:val="22"/>
        </w:rPr>
      </w:pPr>
      <w:r>
        <w:rPr>
          <w:rFonts w:hint="eastAsia"/>
          <w:kern w:val="0"/>
          <w:szCs w:val="22"/>
        </w:rPr>
        <w:t>注：1、本表所列为投标人拟投入本项目专用的作业车辆清单。</w:t>
      </w:r>
    </w:p>
    <w:p w14:paraId="50416EDA">
      <w:pPr>
        <w:autoSpaceDE w:val="0"/>
        <w:autoSpaceDN w:val="0"/>
        <w:adjustRightInd w:val="0"/>
        <w:spacing w:line="380" w:lineRule="exact"/>
        <w:jc w:val="left"/>
        <w:rPr>
          <w:kern w:val="0"/>
          <w:szCs w:val="22"/>
        </w:rPr>
      </w:pPr>
      <w:r>
        <w:rPr>
          <w:rFonts w:hint="eastAsia"/>
          <w:kern w:val="0"/>
          <w:szCs w:val="22"/>
        </w:rPr>
        <w:t>2、表格中必须注明车辆的持有形式（自有已上牌或购买、现已租赁、承诺中标后购买、承诺中标后租赁）</w:t>
      </w:r>
      <w:r>
        <w:rPr>
          <w:rFonts w:hint="eastAsia"/>
          <w:b/>
          <w:kern w:val="0"/>
          <w:szCs w:val="22"/>
        </w:rPr>
        <w:t>；</w:t>
      </w:r>
    </w:p>
    <w:p w14:paraId="79467603">
      <w:pPr>
        <w:autoSpaceDE w:val="0"/>
        <w:autoSpaceDN w:val="0"/>
        <w:adjustRightInd w:val="0"/>
        <w:spacing w:line="380" w:lineRule="exact"/>
        <w:jc w:val="left"/>
        <w:rPr>
          <w:kern w:val="0"/>
          <w:szCs w:val="22"/>
        </w:rPr>
      </w:pPr>
      <w:r>
        <w:rPr>
          <w:rFonts w:hint="eastAsia"/>
          <w:kern w:val="0"/>
          <w:szCs w:val="22"/>
        </w:rPr>
        <w:t>3、此表仅提供了表格形式，投标人可按此表格复制。</w:t>
      </w:r>
    </w:p>
    <w:p w14:paraId="1F2A429C">
      <w:pPr>
        <w:autoSpaceDE w:val="0"/>
        <w:autoSpaceDN w:val="0"/>
        <w:adjustRightInd w:val="0"/>
        <w:spacing w:line="420" w:lineRule="exact"/>
        <w:jc w:val="left"/>
        <w:rPr>
          <w:kern w:val="0"/>
          <w:sz w:val="24"/>
        </w:rPr>
      </w:pPr>
    </w:p>
    <w:p w14:paraId="334A1558">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3C218D10">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6E2D6C36">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F9D45CE">
      <w:pPr>
        <w:widowControl/>
        <w:jc w:val="left"/>
        <w:rPr>
          <w:kern w:val="0"/>
          <w:sz w:val="24"/>
        </w:rPr>
      </w:pPr>
      <w:r>
        <w:rPr>
          <w:kern w:val="0"/>
          <w:sz w:val="24"/>
        </w:rPr>
        <w:br w:type="page"/>
      </w:r>
    </w:p>
    <w:p w14:paraId="2F8BE925">
      <w:pPr>
        <w:pStyle w:val="7"/>
        <w:spacing w:line="420" w:lineRule="exact"/>
        <w:rPr>
          <w:kern w:val="0"/>
        </w:rPr>
      </w:pPr>
      <w:r>
        <w:rPr>
          <w:rFonts w:hint="eastAsia"/>
          <w:kern w:val="0"/>
        </w:rPr>
        <w:t>2.9、投标供应商类似项目业绩及证明材料</w:t>
      </w:r>
      <w:r>
        <w:rPr>
          <w:kern w:val="0"/>
        </w:rPr>
        <w:t xml:space="preserve"> </w:t>
      </w:r>
    </w:p>
    <w:p w14:paraId="257C0D34">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投标供应商类似项目业绩表</w:t>
      </w:r>
    </w:p>
    <w:p w14:paraId="231358C9">
      <w:pPr>
        <w:autoSpaceDE w:val="0"/>
        <w:autoSpaceDN w:val="0"/>
        <w:adjustRightInd w:val="0"/>
        <w:spacing w:line="420" w:lineRule="exact"/>
        <w:jc w:val="left"/>
        <w:rPr>
          <w:rFonts w:ascii="宋体" w:hAnsi="宋体" w:cs="宋体"/>
          <w:kern w:val="0"/>
          <w:sz w:val="24"/>
        </w:rPr>
      </w:pP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600"/>
        <w:gridCol w:w="1559"/>
        <w:gridCol w:w="1276"/>
        <w:gridCol w:w="1299"/>
        <w:gridCol w:w="1111"/>
        <w:gridCol w:w="1417"/>
      </w:tblGrid>
      <w:tr w14:paraId="475E4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918" w:type="dxa"/>
            <w:vAlign w:val="center"/>
          </w:tcPr>
          <w:p w14:paraId="3841E924">
            <w:pPr>
              <w:autoSpaceDE w:val="0"/>
              <w:autoSpaceDN w:val="0"/>
              <w:adjustRightInd w:val="0"/>
              <w:spacing w:line="420" w:lineRule="exact"/>
              <w:jc w:val="center"/>
              <w:rPr>
                <w:kern w:val="0"/>
                <w:sz w:val="24"/>
              </w:rPr>
            </w:pPr>
            <w:r>
              <w:rPr>
                <w:rFonts w:hint="eastAsia"/>
                <w:kern w:val="0"/>
                <w:sz w:val="24"/>
              </w:rPr>
              <w:t>序号</w:t>
            </w:r>
          </w:p>
        </w:tc>
        <w:tc>
          <w:tcPr>
            <w:tcW w:w="1600" w:type="dxa"/>
            <w:vAlign w:val="center"/>
          </w:tcPr>
          <w:p w14:paraId="5399E6EA">
            <w:pPr>
              <w:autoSpaceDE w:val="0"/>
              <w:autoSpaceDN w:val="0"/>
              <w:adjustRightInd w:val="0"/>
              <w:spacing w:line="420" w:lineRule="exact"/>
              <w:jc w:val="center"/>
              <w:rPr>
                <w:kern w:val="0"/>
                <w:sz w:val="24"/>
              </w:rPr>
            </w:pPr>
            <w:r>
              <w:rPr>
                <w:rFonts w:hint="eastAsia"/>
                <w:kern w:val="0"/>
                <w:sz w:val="24"/>
              </w:rPr>
              <w:t>甲方单位</w:t>
            </w:r>
          </w:p>
        </w:tc>
        <w:tc>
          <w:tcPr>
            <w:tcW w:w="1559" w:type="dxa"/>
            <w:vAlign w:val="center"/>
          </w:tcPr>
          <w:p w14:paraId="523C7ADE">
            <w:pPr>
              <w:autoSpaceDE w:val="0"/>
              <w:autoSpaceDN w:val="0"/>
              <w:adjustRightInd w:val="0"/>
              <w:spacing w:line="420" w:lineRule="exact"/>
              <w:jc w:val="center"/>
              <w:rPr>
                <w:kern w:val="0"/>
                <w:sz w:val="24"/>
              </w:rPr>
            </w:pPr>
            <w:r>
              <w:rPr>
                <w:rFonts w:hint="eastAsia"/>
                <w:kern w:val="0"/>
                <w:sz w:val="24"/>
              </w:rPr>
              <w:t>项目名称</w:t>
            </w:r>
          </w:p>
        </w:tc>
        <w:tc>
          <w:tcPr>
            <w:tcW w:w="1276" w:type="dxa"/>
            <w:vAlign w:val="center"/>
          </w:tcPr>
          <w:p w14:paraId="75428B02">
            <w:pPr>
              <w:autoSpaceDE w:val="0"/>
              <w:autoSpaceDN w:val="0"/>
              <w:adjustRightInd w:val="0"/>
              <w:spacing w:line="420" w:lineRule="exact"/>
              <w:jc w:val="center"/>
              <w:rPr>
                <w:kern w:val="0"/>
                <w:sz w:val="24"/>
              </w:rPr>
            </w:pPr>
            <w:r>
              <w:rPr>
                <w:rFonts w:hint="eastAsia"/>
                <w:kern w:val="0"/>
                <w:sz w:val="24"/>
              </w:rPr>
              <w:t>单个年度合同金额</w:t>
            </w:r>
          </w:p>
        </w:tc>
        <w:tc>
          <w:tcPr>
            <w:tcW w:w="1299" w:type="dxa"/>
            <w:vAlign w:val="center"/>
          </w:tcPr>
          <w:p w14:paraId="14DBCF4E">
            <w:pPr>
              <w:autoSpaceDE w:val="0"/>
              <w:autoSpaceDN w:val="0"/>
              <w:adjustRightInd w:val="0"/>
              <w:spacing w:line="420" w:lineRule="exact"/>
              <w:jc w:val="center"/>
              <w:rPr>
                <w:kern w:val="0"/>
                <w:sz w:val="24"/>
              </w:rPr>
            </w:pPr>
            <w:r>
              <w:rPr>
                <w:rFonts w:hint="eastAsia"/>
                <w:kern w:val="0"/>
                <w:sz w:val="24"/>
              </w:rPr>
              <w:t>合同主要内容</w:t>
            </w:r>
          </w:p>
        </w:tc>
        <w:tc>
          <w:tcPr>
            <w:tcW w:w="1111" w:type="dxa"/>
            <w:vAlign w:val="center"/>
          </w:tcPr>
          <w:p w14:paraId="4FAC9550">
            <w:pPr>
              <w:autoSpaceDE w:val="0"/>
              <w:autoSpaceDN w:val="0"/>
              <w:adjustRightInd w:val="0"/>
              <w:spacing w:line="420" w:lineRule="exact"/>
              <w:jc w:val="center"/>
              <w:rPr>
                <w:kern w:val="0"/>
                <w:sz w:val="24"/>
              </w:rPr>
            </w:pPr>
            <w:r>
              <w:rPr>
                <w:rFonts w:hint="eastAsia"/>
                <w:kern w:val="0"/>
                <w:sz w:val="24"/>
              </w:rPr>
              <w:t>合同讫止时间</w:t>
            </w:r>
          </w:p>
        </w:tc>
        <w:tc>
          <w:tcPr>
            <w:tcW w:w="1417" w:type="dxa"/>
            <w:vAlign w:val="center"/>
          </w:tcPr>
          <w:p w14:paraId="2AE8FDD3">
            <w:pPr>
              <w:autoSpaceDE w:val="0"/>
              <w:autoSpaceDN w:val="0"/>
              <w:adjustRightInd w:val="0"/>
              <w:spacing w:line="420" w:lineRule="exact"/>
              <w:jc w:val="center"/>
              <w:rPr>
                <w:kern w:val="0"/>
                <w:sz w:val="24"/>
              </w:rPr>
            </w:pPr>
            <w:r>
              <w:rPr>
                <w:rFonts w:hint="eastAsia"/>
                <w:kern w:val="0"/>
                <w:sz w:val="24"/>
              </w:rPr>
              <w:t>甲方联系人及联系电话</w:t>
            </w:r>
          </w:p>
        </w:tc>
      </w:tr>
      <w:tr w14:paraId="0911B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5D8699C">
            <w:pPr>
              <w:autoSpaceDE w:val="0"/>
              <w:autoSpaceDN w:val="0"/>
              <w:adjustRightInd w:val="0"/>
              <w:spacing w:line="420" w:lineRule="exact"/>
              <w:jc w:val="center"/>
              <w:rPr>
                <w:kern w:val="0"/>
                <w:sz w:val="24"/>
              </w:rPr>
            </w:pPr>
          </w:p>
        </w:tc>
        <w:tc>
          <w:tcPr>
            <w:tcW w:w="1600" w:type="dxa"/>
            <w:vAlign w:val="center"/>
          </w:tcPr>
          <w:p w14:paraId="5A584B21">
            <w:pPr>
              <w:autoSpaceDE w:val="0"/>
              <w:autoSpaceDN w:val="0"/>
              <w:adjustRightInd w:val="0"/>
              <w:spacing w:line="420" w:lineRule="exact"/>
              <w:jc w:val="center"/>
              <w:rPr>
                <w:kern w:val="0"/>
                <w:sz w:val="24"/>
              </w:rPr>
            </w:pPr>
          </w:p>
        </w:tc>
        <w:tc>
          <w:tcPr>
            <w:tcW w:w="1559" w:type="dxa"/>
            <w:vAlign w:val="center"/>
          </w:tcPr>
          <w:p w14:paraId="08471971">
            <w:pPr>
              <w:autoSpaceDE w:val="0"/>
              <w:autoSpaceDN w:val="0"/>
              <w:adjustRightInd w:val="0"/>
              <w:spacing w:line="420" w:lineRule="exact"/>
              <w:jc w:val="center"/>
              <w:rPr>
                <w:kern w:val="0"/>
                <w:sz w:val="24"/>
              </w:rPr>
            </w:pPr>
          </w:p>
        </w:tc>
        <w:tc>
          <w:tcPr>
            <w:tcW w:w="1276" w:type="dxa"/>
            <w:vAlign w:val="center"/>
          </w:tcPr>
          <w:p w14:paraId="2AA7BF78">
            <w:pPr>
              <w:autoSpaceDE w:val="0"/>
              <w:autoSpaceDN w:val="0"/>
              <w:adjustRightInd w:val="0"/>
              <w:spacing w:line="420" w:lineRule="exact"/>
              <w:jc w:val="center"/>
              <w:rPr>
                <w:kern w:val="0"/>
                <w:sz w:val="24"/>
              </w:rPr>
            </w:pPr>
          </w:p>
        </w:tc>
        <w:tc>
          <w:tcPr>
            <w:tcW w:w="1299" w:type="dxa"/>
            <w:vAlign w:val="center"/>
          </w:tcPr>
          <w:p w14:paraId="00693A03">
            <w:pPr>
              <w:autoSpaceDE w:val="0"/>
              <w:autoSpaceDN w:val="0"/>
              <w:adjustRightInd w:val="0"/>
              <w:spacing w:line="420" w:lineRule="exact"/>
              <w:jc w:val="center"/>
              <w:rPr>
                <w:kern w:val="0"/>
                <w:sz w:val="24"/>
              </w:rPr>
            </w:pPr>
          </w:p>
        </w:tc>
        <w:tc>
          <w:tcPr>
            <w:tcW w:w="1111" w:type="dxa"/>
            <w:vAlign w:val="center"/>
          </w:tcPr>
          <w:p w14:paraId="5FE32947">
            <w:pPr>
              <w:autoSpaceDE w:val="0"/>
              <w:autoSpaceDN w:val="0"/>
              <w:adjustRightInd w:val="0"/>
              <w:spacing w:line="420" w:lineRule="exact"/>
              <w:jc w:val="center"/>
              <w:rPr>
                <w:kern w:val="0"/>
                <w:sz w:val="24"/>
              </w:rPr>
            </w:pPr>
          </w:p>
        </w:tc>
        <w:tc>
          <w:tcPr>
            <w:tcW w:w="1417" w:type="dxa"/>
            <w:vAlign w:val="center"/>
          </w:tcPr>
          <w:p w14:paraId="28B37EBC">
            <w:pPr>
              <w:autoSpaceDE w:val="0"/>
              <w:autoSpaceDN w:val="0"/>
              <w:adjustRightInd w:val="0"/>
              <w:spacing w:line="420" w:lineRule="exact"/>
              <w:jc w:val="center"/>
              <w:rPr>
                <w:kern w:val="0"/>
                <w:sz w:val="24"/>
              </w:rPr>
            </w:pPr>
          </w:p>
        </w:tc>
      </w:tr>
      <w:tr w14:paraId="25608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6A99C3E">
            <w:pPr>
              <w:autoSpaceDE w:val="0"/>
              <w:autoSpaceDN w:val="0"/>
              <w:adjustRightInd w:val="0"/>
              <w:spacing w:line="420" w:lineRule="exact"/>
              <w:jc w:val="center"/>
              <w:rPr>
                <w:kern w:val="0"/>
                <w:sz w:val="24"/>
              </w:rPr>
            </w:pPr>
          </w:p>
        </w:tc>
        <w:tc>
          <w:tcPr>
            <w:tcW w:w="1600" w:type="dxa"/>
            <w:vAlign w:val="center"/>
          </w:tcPr>
          <w:p w14:paraId="33DB9FCF">
            <w:pPr>
              <w:autoSpaceDE w:val="0"/>
              <w:autoSpaceDN w:val="0"/>
              <w:adjustRightInd w:val="0"/>
              <w:spacing w:line="420" w:lineRule="exact"/>
              <w:jc w:val="center"/>
              <w:rPr>
                <w:kern w:val="0"/>
                <w:sz w:val="24"/>
              </w:rPr>
            </w:pPr>
          </w:p>
        </w:tc>
        <w:tc>
          <w:tcPr>
            <w:tcW w:w="1559" w:type="dxa"/>
            <w:vAlign w:val="center"/>
          </w:tcPr>
          <w:p w14:paraId="0B8EA544">
            <w:pPr>
              <w:autoSpaceDE w:val="0"/>
              <w:autoSpaceDN w:val="0"/>
              <w:adjustRightInd w:val="0"/>
              <w:spacing w:line="420" w:lineRule="exact"/>
              <w:jc w:val="center"/>
              <w:rPr>
                <w:kern w:val="0"/>
                <w:sz w:val="24"/>
              </w:rPr>
            </w:pPr>
          </w:p>
        </w:tc>
        <w:tc>
          <w:tcPr>
            <w:tcW w:w="1276" w:type="dxa"/>
            <w:vAlign w:val="center"/>
          </w:tcPr>
          <w:p w14:paraId="7A66C5BE">
            <w:pPr>
              <w:autoSpaceDE w:val="0"/>
              <w:autoSpaceDN w:val="0"/>
              <w:adjustRightInd w:val="0"/>
              <w:spacing w:line="420" w:lineRule="exact"/>
              <w:jc w:val="center"/>
              <w:rPr>
                <w:kern w:val="0"/>
                <w:sz w:val="24"/>
              </w:rPr>
            </w:pPr>
          </w:p>
        </w:tc>
        <w:tc>
          <w:tcPr>
            <w:tcW w:w="1299" w:type="dxa"/>
            <w:vAlign w:val="center"/>
          </w:tcPr>
          <w:p w14:paraId="53BCF206">
            <w:pPr>
              <w:autoSpaceDE w:val="0"/>
              <w:autoSpaceDN w:val="0"/>
              <w:adjustRightInd w:val="0"/>
              <w:spacing w:line="420" w:lineRule="exact"/>
              <w:jc w:val="center"/>
              <w:rPr>
                <w:kern w:val="0"/>
                <w:sz w:val="24"/>
              </w:rPr>
            </w:pPr>
          </w:p>
        </w:tc>
        <w:tc>
          <w:tcPr>
            <w:tcW w:w="1111" w:type="dxa"/>
            <w:vAlign w:val="center"/>
          </w:tcPr>
          <w:p w14:paraId="129DAE84">
            <w:pPr>
              <w:autoSpaceDE w:val="0"/>
              <w:autoSpaceDN w:val="0"/>
              <w:adjustRightInd w:val="0"/>
              <w:spacing w:line="420" w:lineRule="exact"/>
              <w:jc w:val="center"/>
              <w:rPr>
                <w:kern w:val="0"/>
                <w:sz w:val="24"/>
              </w:rPr>
            </w:pPr>
          </w:p>
        </w:tc>
        <w:tc>
          <w:tcPr>
            <w:tcW w:w="1417" w:type="dxa"/>
            <w:vAlign w:val="center"/>
          </w:tcPr>
          <w:p w14:paraId="463CCBBB">
            <w:pPr>
              <w:autoSpaceDE w:val="0"/>
              <w:autoSpaceDN w:val="0"/>
              <w:adjustRightInd w:val="0"/>
              <w:spacing w:line="420" w:lineRule="exact"/>
              <w:jc w:val="center"/>
              <w:rPr>
                <w:kern w:val="0"/>
                <w:sz w:val="24"/>
              </w:rPr>
            </w:pPr>
          </w:p>
        </w:tc>
      </w:tr>
      <w:tr w14:paraId="5DB48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041741DE">
            <w:pPr>
              <w:autoSpaceDE w:val="0"/>
              <w:autoSpaceDN w:val="0"/>
              <w:adjustRightInd w:val="0"/>
              <w:spacing w:line="420" w:lineRule="exact"/>
              <w:jc w:val="center"/>
              <w:rPr>
                <w:kern w:val="0"/>
                <w:sz w:val="24"/>
              </w:rPr>
            </w:pPr>
          </w:p>
        </w:tc>
        <w:tc>
          <w:tcPr>
            <w:tcW w:w="1600" w:type="dxa"/>
            <w:vAlign w:val="center"/>
          </w:tcPr>
          <w:p w14:paraId="0B4699EC">
            <w:pPr>
              <w:autoSpaceDE w:val="0"/>
              <w:autoSpaceDN w:val="0"/>
              <w:adjustRightInd w:val="0"/>
              <w:spacing w:line="420" w:lineRule="exact"/>
              <w:jc w:val="center"/>
              <w:rPr>
                <w:kern w:val="0"/>
                <w:sz w:val="24"/>
              </w:rPr>
            </w:pPr>
          </w:p>
        </w:tc>
        <w:tc>
          <w:tcPr>
            <w:tcW w:w="1559" w:type="dxa"/>
            <w:vAlign w:val="center"/>
          </w:tcPr>
          <w:p w14:paraId="2E8BB605">
            <w:pPr>
              <w:autoSpaceDE w:val="0"/>
              <w:autoSpaceDN w:val="0"/>
              <w:adjustRightInd w:val="0"/>
              <w:spacing w:line="420" w:lineRule="exact"/>
              <w:jc w:val="center"/>
              <w:rPr>
                <w:kern w:val="0"/>
                <w:sz w:val="24"/>
              </w:rPr>
            </w:pPr>
          </w:p>
        </w:tc>
        <w:tc>
          <w:tcPr>
            <w:tcW w:w="1276" w:type="dxa"/>
            <w:vAlign w:val="center"/>
          </w:tcPr>
          <w:p w14:paraId="40D2BC00">
            <w:pPr>
              <w:autoSpaceDE w:val="0"/>
              <w:autoSpaceDN w:val="0"/>
              <w:adjustRightInd w:val="0"/>
              <w:spacing w:line="420" w:lineRule="exact"/>
              <w:jc w:val="center"/>
              <w:rPr>
                <w:kern w:val="0"/>
                <w:sz w:val="24"/>
              </w:rPr>
            </w:pPr>
          </w:p>
        </w:tc>
        <w:tc>
          <w:tcPr>
            <w:tcW w:w="1299" w:type="dxa"/>
            <w:vAlign w:val="center"/>
          </w:tcPr>
          <w:p w14:paraId="6F833233">
            <w:pPr>
              <w:autoSpaceDE w:val="0"/>
              <w:autoSpaceDN w:val="0"/>
              <w:adjustRightInd w:val="0"/>
              <w:spacing w:line="420" w:lineRule="exact"/>
              <w:jc w:val="center"/>
              <w:rPr>
                <w:kern w:val="0"/>
                <w:sz w:val="24"/>
              </w:rPr>
            </w:pPr>
          </w:p>
        </w:tc>
        <w:tc>
          <w:tcPr>
            <w:tcW w:w="1111" w:type="dxa"/>
            <w:vAlign w:val="center"/>
          </w:tcPr>
          <w:p w14:paraId="1729C571">
            <w:pPr>
              <w:autoSpaceDE w:val="0"/>
              <w:autoSpaceDN w:val="0"/>
              <w:adjustRightInd w:val="0"/>
              <w:spacing w:line="420" w:lineRule="exact"/>
              <w:jc w:val="center"/>
              <w:rPr>
                <w:kern w:val="0"/>
                <w:sz w:val="24"/>
              </w:rPr>
            </w:pPr>
          </w:p>
        </w:tc>
        <w:tc>
          <w:tcPr>
            <w:tcW w:w="1417" w:type="dxa"/>
            <w:vAlign w:val="center"/>
          </w:tcPr>
          <w:p w14:paraId="38883DB8">
            <w:pPr>
              <w:autoSpaceDE w:val="0"/>
              <w:autoSpaceDN w:val="0"/>
              <w:adjustRightInd w:val="0"/>
              <w:spacing w:line="420" w:lineRule="exact"/>
              <w:jc w:val="center"/>
              <w:rPr>
                <w:kern w:val="0"/>
                <w:sz w:val="24"/>
              </w:rPr>
            </w:pPr>
          </w:p>
        </w:tc>
      </w:tr>
      <w:tr w14:paraId="13E85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70F0EDFF">
            <w:pPr>
              <w:autoSpaceDE w:val="0"/>
              <w:autoSpaceDN w:val="0"/>
              <w:adjustRightInd w:val="0"/>
              <w:spacing w:line="420" w:lineRule="exact"/>
              <w:jc w:val="center"/>
              <w:rPr>
                <w:kern w:val="0"/>
                <w:sz w:val="24"/>
              </w:rPr>
            </w:pPr>
          </w:p>
        </w:tc>
        <w:tc>
          <w:tcPr>
            <w:tcW w:w="1600" w:type="dxa"/>
            <w:vAlign w:val="center"/>
          </w:tcPr>
          <w:p w14:paraId="65E750D0">
            <w:pPr>
              <w:autoSpaceDE w:val="0"/>
              <w:autoSpaceDN w:val="0"/>
              <w:adjustRightInd w:val="0"/>
              <w:spacing w:line="420" w:lineRule="exact"/>
              <w:jc w:val="center"/>
              <w:rPr>
                <w:kern w:val="0"/>
                <w:sz w:val="24"/>
              </w:rPr>
            </w:pPr>
          </w:p>
        </w:tc>
        <w:tc>
          <w:tcPr>
            <w:tcW w:w="1559" w:type="dxa"/>
            <w:vAlign w:val="center"/>
          </w:tcPr>
          <w:p w14:paraId="76141B18">
            <w:pPr>
              <w:autoSpaceDE w:val="0"/>
              <w:autoSpaceDN w:val="0"/>
              <w:adjustRightInd w:val="0"/>
              <w:spacing w:line="420" w:lineRule="exact"/>
              <w:jc w:val="center"/>
              <w:rPr>
                <w:kern w:val="0"/>
                <w:sz w:val="24"/>
              </w:rPr>
            </w:pPr>
          </w:p>
        </w:tc>
        <w:tc>
          <w:tcPr>
            <w:tcW w:w="1276" w:type="dxa"/>
            <w:vAlign w:val="center"/>
          </w:tcPr>
          <w:p w14:paraId="7C605842">
            <w:pPr>
              <w:autoSpaceDE w:val="0"/>
              <w:autoSpaceDN w:val="0"/>
              <w:adjustRightInd w:val="0"/>
              <w:spacing w:line="420" w:lineRule="exact"/>
              <w:jc w:val="center"/>
              <w:rPr>
                <w:kern w:val="0"/>
                <w:sz w:val="24"/>
              </w:rPr>
            </w:pPr>
          </w:p>
        </w:tc>
        <w:tc>
          <w:tcPr>
            <w:tcW w:w="1299" w:type="dxa"/>
            <w:vAlign w:val="center"/>
          </w:tcPr>
          <w:p w14:paraId="1726D597">
            <w:pPr>
              <w:autoSpaceDE w:val="0"/>
              <w:autoSpaceDN w:val="0"/>
              <w:adjustRightInd w:val="0"/>
              <w:spacing w:line="420" w:lineRule="exact"/>
              <w:jc w:val="center"/>
              <w:rPr>
                <w:kern w:val="0"/>
                <w:sz w:val="24"/>
              </w:rPr>
            </w:pPr>
          </w:p>
        </w:tc>
        <w:tc>
          <w:tcPr>
            <w:tcW w:w="1111" w:type="dxa"/>
            <w:vAlign w:val="center"/>
          </w:tcPr>
          <w:p w14:paraId="47DCADD7">
            <w:pPr>
              <w:autoSpaceDE w:val="0"/>
              <w:autoSpaceDN w:val="0"/>
              <w:adjustRightInd w:val="0"/>
              <w:spacing w:line="420" w:lineRule="exact"/>
              <w:jc w:val="center"/>
              <w:rPr>
                <w:kern w:val="0"/>
                <w:sz w:val="24"/>
              </w:rPr>
            </w:pPr>
          </w:p>
        </w:tc>
        <w:tc>
          <w:tcPr>
            <w:tcW w:w="1417" w:type="dxa"/>
            <w:vAlign w:val="center"/>
          </w:tcPr>
          <w:p w14:paraId="7805DC7B">
            <w:pPr>
              <w:autoSpaceDE w:val="0"/>
              <w:autoSpaceDN w:val="0"/>
              <w:adjustRightInd w:val="0"/>
              <w:spacing w:line="420" w:lineRule="exact"/>
              <w:jc w:val="center"/>
              <w:rPr>
                <w:kern w:val="0"/>
                <w:sz w:val="24"/>
              </w:rPr>
            </w:pPr>
          </w:p>
        </w:tc>
      </w:tr>
      <w:tr w14:paraId="455AE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918" w:type="dxa"/>
            <w:vAlign w:val="center"/>
          </w:tcPr>
          <w:p w14:paraId="5266DA0F">
            <w:pPr>
              <w:autoSpaceDE w:val="0"/>
              <w:autoSpaceDN w:val="0"/>
              <w:adjustRightInd w:val="0"/>
              <w:spacing w:line="420" w:lineRule="exact"/>
              <w:jc w:val="center"/>
              <w:rPr>
                <w:kern w:val="0"/>
                <w:sz w:val="24"/>
              </w:rPr>
            </w:pPr>
          </w:p>
        </w:tc>
        <w:tc>
          <w:tcPr>
            <w:tcW w:w="1600" w:type="dxa"/>
            <w:vAlign w:val="center"/>
          </w:tcPr>
          <w:p w14:paraId="4EC84B10">
            <w:pPr>
              <w:autoSpaceDE w:val="0"/>
              <w:autoSpaceDN w:val="0"/>
              <w:adjustRightInd w:val="0"/>
              <w:spacing w:line="420" w:lineRule="exact"/>
              <w:jc w:val="center"/>
              <w:rPr>
                <w:kern w:val="0"/>
                <w:sz w:val="24"/>
              </w:rPr>
            </w:pPr>
          </w:p>
        </w:tc>
        <w:tc>
          <w:tcPr>
            <w:tcW w:w="1559" w:type="dxa"/>
            <w:vAlign w:val="center"/>
          </w:tcPr>
          <w:p w14:paraId="74F487F1">
            <w:pPr>
              <w:autoSpaceDE w:val="0"/>
              <w:autoSpaceDN w:val="0"/>
              <w:adjustRightInd w:val="0"/>
              <w:spacing w:line="420" w:lineRule="exact"/>
              <w:jc w:val="center"/>
              <w:rPr>
                <w:kern w:val="0"/>
                <w:sz w:val="24"/>
              </w:rPr>
            </w:pPr>
          </w:p>
        </w:tc>
        <w:tc>
          <w:tcPr>
            <w:tcW w:w="1276" w:type="dxa"/>
            <w:vAlign w:val="center"/>
          </w:tcPr>
          <w:p w14:paraId="64100E4D">
            <w:pPr>
              <w:autoSpaceDE w:val="0"/>
              <w:autoSpaceDN w:val="0"/>
              <w:adjustRightInd w:val="0"/>
              <w:spacing w:line="420" w:lineRule="exact"/>
              <w:jc w:val="center"/>
              <w:rPr>
                <w:kern w:val="0"/>
                <w:sz w:val="24"/>
              </w:rPr>
            </w:pPr>
          </w:p>
        </w:tc>
        <w:tc>
          <w:tcPr>
            <w:tcW w:w="1299" w:type="dxa"/>
            <w:vAlign w:val="center"/>
          </w:tcPr>
          <w:p w14:paraId="57019396">
            <w:pPr>
              <w:autoSpaceDE w:val="0"/>
              <w:autoSpaceDN w:val="0"/>
              <w:adjustRightInd w:val="0"/>
              <w:spacing w:line="420" w:lineRule="exact"/>
              <w:jc w:val="center"/>
              <w:rPr>
                <w:kern w:val="0"/>
                <w:sz w:val="24"/>
              </w:rPr>
            </w:pPr>
          </w:p>
        </w:tc>
        <w:tc>
          <w:tcPr>
            <w:tcW w:w="1111" w:type="dxa"/>
            <w:vAlign w:val="center"/>
          </w:tcPr>
          <w:p w14:paraId="7287C5BE">
            <w:pPr>
              <w:autoSpaceDE w:val="0"/>
              <w:autoSpaceDN w:val="0"/>
              <w:adjustRightInd w:val="0"/>
              <w:spacing w:line="420" w:lineRule="exact"/>
              <w:jc w:val="center"/>
              <w:rPr>
                <w:kern w:val="0"/>
                <w:sz w:val="24"/>
              </w:rPr>
            </w:pPr>
          </w:p>
        </w:tc>
        <w:tc>
          <w:tcPr>
            <w:tcW w:w="1417" w:type="dxa"/>
            <w:vAlign w:val="center"/>
          </w:tcPr>
          <w:p w14:paraId="5DBA0B93">
            <w:pPr>
              <w:autoSpaceDE w:val="0"/>
              <w:autoSpaceDN w:val="0"/>
              <w:adjustRightInd w:val="0"/>
              <w:spacing w:line="420" w:lineRule="exact"/>
              <w:jc w:val="center"/>
              <w:rPr>
                <w:kern w:val="0"/>
                <w:sz w:val="24"/>
              </w:rPr>
            </w:pPr>
          </w:p>
        </w:tc>
      </w:tr>
    </w:tbl>
    <w:p w14:paraId="4AAFB851">
      <w:pPr>
        <w:autoSpaceDE w:val="0"/>
        <w:autoSpaceDN w:val="0"/>
        <w:adjustRightInd w:val="0"/>
        <w:spacing w:line="420" w:lineRule="exact"/>
        <w:jc w:val="left"/>
        <w:rPr>
          <w:kern w:val="0"/>
          <w:sz w:val="24"/>
        </w:rPr>
      </w:pPr>
    </w:p>
    <w:p w14:paraId="523ECC46">
      <w:pPr>
        <w:autoSpaceDE w:val="0"/>
        <w:autoSpaceDN w:val="0"/>
        <w:adjustRightInd w:val="0"/>
        <w:spacing w:line="420" w:lineRule="exact"/>
        <w:ind w:firstLine="241" w:firstLineChars="100"/>
        <w:jc w:val="left"/>
        <w:rPr>
          <w:rFonts w:ascii="宋体" w:hAnsi="宋体" w:cs="宋体"/>
          <w:b/>
          <w:kern w:val="0"/>
          <w:sz w:val="24"/>
        </w:rPr>
      </w:pPr>
      <w:r>
        <w:rPr>
          <w:rFonts w:hint="eastAsia" w:ascii="宋体" w:hAnsi="宋体" w:cs="宋体"/>
          <w:b/>
          <w:kern w:val="0"/>
          <w:sz w:val="24"/>
        </w:rPr>
        <w:t>备注：</w:t>
      </w:r>
    </w:p>
    <w:p w14:paraId="4E2F72E5">
      <w:pPr>
        <w:autoSpaceDE w:val="0"/>
        <w:autoSpaceDN w:val="0"/>
        <w:adjustRightInd w:val="0"/>
        <w:spacing w:line="420" w:lineRule="exact"/>
        <w:ind w:firstLine="361" w:firstLineChars="150"/>
        <w:jc w:val="left"/>
        <w:rPr>
          <w:rFonts w:ascii="宋体" w:hAnsi="宋体" w:cs="宋体"/>
          <w:b/>
          <w:kern w:val="0"/>
          <w:sz w:val="24"/>
        </w:rPr>
      </w:pPr>
      <w:r>
        <w:rPr>
          <w:rFonts w:hint="eastAsia" w:ascii="宋体" w:hAnsi="宋体" w:cs="宋体"/>
          <w:b/>
          <w:kern w:val="0"/>
          <w:sz w:val="24"/>
        </w:rPr>
        <w:t>（1）按第六章评审办法提供证明材料；</w:t>
      </w:r>
    </w:p>
    <w:p w14:paraId="734AED98">
      <w:pPr>
        <w:pStyle w:val="20"/>
        <w:adjustRightInd w:val="0"/>
        <w:snapToGrid w:val="0"/>
        <w:spacing w:line="420" w:lineRule="exact"/>
        <w:ind w:firstLine="361" w:firstLineChars="150"/>
        <w:rPr>
          <w:rFonts w:hAnsi="宋体" w:cs="宋体"/>
          <w:b/>
          <w:kern w:val="0"/>
          <w:sz w:val="24"/>
          <w:szCs w:val="24"/>
        </w:rPr>
      </w:pPr>
      <w:r>
        <w:rPr>
          <w:rFonts w:hint="eastAsia" w:hAnsi="宋体" w:cs="宋体"/>
          <w:b/>
          <w:kern w:val="0"/>
          <w:sz w:val="24"/>
          <w:szCs w:val="24"/>
        </w:rPr>
        <w:t>（</w:t>
      </w:r>
      <w:r>
        <w:rPr>
          <w:rFonts w:hAnsi="宋体" w:cs="宋体"/>
          <w:b/>
          <w:kern w:val="0"/>
          <w:sz w:val="24"/>
          <w:szCs w:val="24"/>
        </w:rPr>
        <w:t>2</w:t>
      </w:r>
      <w:r>
        <w:rPr>
          <w:rFonts w:hint="eastAsia" w:hAnsi="宋体" w:cs="宋体"/>
          <w:b/>
          <w:kern w:val="0"/>
          <w:sz w:val="24"/>
          <w:szCs w:val="24"/>
        </w:rPr>
        <w:t>）没有类似业绩的，此表可以不提供。</w:t>
      </w:r>
    </w:p>
    <w:p w14:paraId="1C89D2F0">
      <w:pPr>
        <w:pStyle w:val="20"/>
        <w:adjustRightInd w:val="0"/>
        <w:snapToGrid w:val="0"/>
        <w:spacing w:line="420" w:lineRule="exact"/>
        <w:ind w:firstLine="482" w:firstLineChars="200"/>
        <w:rPr>
          <w:rFonts w:hAnsi="宋体" w:cs="宋体"/>
          <w:b/>
          <w:kern w:val="0"/>
          <w:sz w:val="24"/>
          <w:szCs w:val="24"/>
        </w:rPr>
      </w:pPr>
    </w:p>
    <w:p w14:paraId="6E6DF842">
      <w:pPr>
        <w:pStyle w:val="20"/>
        <w:adjustRightInd w:val="0"/>
        <w:snapToGrid w:val="0"/>
        <w:spacing w:line="420" w:lineRule="exact"/>
        <w:ind w:firstLine="482" w:firstLineChars="200"/>
        <w:rPr>
          <w:rFonts w:hAnsi="宋体" w:cs="宋体"/>
          <w:b/>
          <w:kern w:val="0"/>
          <w:sz w:val="24"/>
          <w:szCs w:val="24"/>
        </w:rPr>
      </w:pPr>
    </w:p>
    <w:p w14:paraId="0BD9E93A">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1D50341">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23EA9C66">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7A7EA8FA">
      <w:pPr>
        <w:autoSpaceDE w:val="0"/>
        <w:autoSpaceDN w:val="0"/>
        <w:adjustRightInd w:val="0"/>
        <w:spacing w:line="420" w:lineRule="exact"/>
        <w:jc w:val="left"/>
        <w:rPr>
          <w:kern w:val="0"/>
          <w:sz w:val="24"/>
        </w:rPr>
      </w:pPr>
    </w:p>
    <w:p w14:paraId="68257A4D">
      <w:pPr>
        <w:autoSpaceDE w:val="0"/>
        <w:autoSpaceDN w:val="0"/>
        <w:adjustRightInd w:val="0"/>
        <w:spacing w:line="420" w:lineRule="exact"/>
        <w:jc w:val="left"/>
        <w:rPr>
          <w:kern w:val="0"/>
          <w:sz w:val="24"/>
        </w:rPr>
      </w:pPr>
    </w:p>
    <w:p w14:paraId="00D1C301">
      <w:pPr>
        <w:autoSpaceDE w:val="0"/>
        <w:autoSpaceDN w:val="0"/>
        <w:adjustRightInd w:val="0"/>
        <w:spacing w:line="420" w:lineRule="exact"/>
        <w:jc w:val="left"/>
        <w:rPr>
          <w:kern w:val="0"/>
          <w:sz w:val="24"/>
        </w:rPr>
      </w:pPr>
    </w:p>
    <w:p w14:paraId="414C5E74">
      <w:pPr>
        <w:pStyle w:val="31"/>
      </w:pPr>
    </w:p>
    <w:p w14:paraId="0A32A77A">
      <w:pPr>
        <w:pStyle w:val="31"/>
      </w:pPr>
    </w:p>
    <w:p w14:paraId="6DDA5ECB">
      <w:pPr>
        <w:spacing w:line="420" w:lineRule="exact"/>
      </w:pPr>
    </w:p>
    <w:p w14:paraId="6D738A27">
      <w:pPr>
        <w:pStyle w:val="7"/>
        <w:spacing w:line="420" w:lineRule="exact"/>
        <w:rPr>
          <w:kern w:val="0"/>
        </w:rPr>
      </w:pPr>
      <w:r>
        <w:rPr>
          <w:rFonts w:hint="eastAsia"/>
          <w:kern w:val="0"/>
        </w:rPr>
        <w:t>2.1</w:t>
      </w:r>
      <w:r>
        <w:rPr>
          <w:kern w:val="0"/>
        </w:rPr>
        <w:t>0</w:t>
      </w:r>
      <w:r>
        <w:rPr>
          <w:rFonts w:hint="eastAsia"/>
          <w:kern w:val="0"/>
        </w:rPr>
        <w:t>、商务、技术偏离表</w:t>
      </w:r>
    </w:p>
    <w:p w14:paraId="0487F67A">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商务、技术偏离表</w:t>
      </w:r>
    </w:p>
    <w:p w14:paraId="6F0766FB">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hAnsi="宋体"/>
          <w:szCs w:val="21"/>
        </w:rPr>
        <w:t>（商务和技术也可分别填写）</w:t>
      </w:r>
    </w:p>
    <w:tbl>
      <w:tblPr>
        <w:tblStyle w:val="3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2808"/>
        <w:gridCol w:w="3388"/>
        <w:gridCol w:w="1984"/>
      </w:tblGrid>
      <w:tr w14:paraId="2EAA8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000" w:type="dxa"/>
            <w:vAlign w:val="center"/>
          </w:tcPr>
          <w:p w14:paraId="0A06A206">
            <w:pPr>
              <w:autoSpaceDE w:val="0"/>
              <w:autoSpaceDN w:val="0"/>
              <w:adjustRightInd w:val="0"/>
              <w:spacing w:line="420" w:lineRule="exact"/>
              <w:jc w:val="center"/>
              <w:rPr>
                <w:kern w:val="0"/>
                <w:sz w:val="24"/>
              </w:rPr>
            </w:pPr>
            <w:r>
              <w:rPr>
                <w:rFonts w:hint="eastAsia"/>
                <w:kern w:val="0"/>
                <w:sz w:val="24"/>
              </w:rPr>
              <w:t>序号</w:t>
            </w:r>
          </w:p>
        </w:tc>
        <w:tc>
          <w:tcPr>
            <w:tcW w:w="2808" w:type="dxa"/>
            <w:vAlign w:val="center"/>
          </w:tcPr>
          <w:p w14:paraId="3B8276F4">
            <w:pPr>
              <w:autoSpaceDE w:val="0"/>
              <w:autoSpaceDN w:val="0"/>
              <w:adjustRightInd w:val="0"/>
              <w:spacing w:line="420" w:lineRule="exact"/>
              <w:jc w:val="center"/>
              <w:rPr>
                <w:kern w:val="0"/>
                <w:sz w:val="24"/>
              </w:rPr>
            </w:pPr>
            <w:r>
              <w:rPr>
                <w:rFonts w:hint="eastAsia"/>
                <w:bCs/>
                <w:kern w:val="0"/>
                <w:sz w:val="24"/>
              </w:rPr>
              <w:t>招标文件重述</w:t>
            </w:r>
          </w:p>
        </w:tc>
        <w:tc>
          <w:tcPr>
            <w:tcW w:w="3388" w:type="dxa"/>
            <w:vAlign w:val="center"/>
          </w:tcPr>
          <w:p w14:paraId="171A4004">
            <w:pPr>
              <w:autoSpaceDE w:val="0"/>
              <w:autoSpaceDN w:val="0"/>
              <w:adjustRightInd w:val="0"/>
              <w:spacing w:line="420" w:lineRule="exact"/>
              <w:jc w:val="center"/>
              <w:rPr>
                <w:kern w:val="0"/>
                <w:sz w:val="24"/>
              </w:rPr>
            </w:pPr>
            <w:r>
              <w:rPr>
                <w:rFonts w:hint="eastAsia"/>
                <w:kern w:val="0"/>
                <w:sz w:val="24"/>
              </w:rPr>
              <w:t>偏离情况</w:t>
            </w:r>
          </w:p>
        </w:tc>
        <w:tc>
          <w:tcPr>
            <w:tcW w:w="1984" w:type="dxa"/>
            <w:vAlign w:val="center"/>
          </w:tcPr>
          <w:p w14:paraId="651696F8">
            <w:pPr>
              <w:autoSpaceDE w:val="0"/>
              <w:autoSpaceDN w:val="0"/>
              <w:adjustRightInd w:val="0"/>
              <w:spacing w:line="420" w:lineRule="exact"/>
              <w:jc w:val="center"/>
              <w:rPr>
                <w:kern w:val="0"/>
                <w:sz w:val="24"/>
              </w:rPr>
            </w:pPr>
            <w:r>
              <w:rPr>
                <w:rFonts w:hint="eastAsia"/>
                <w:kern w:val="0"/>
                <w:sz w:val="24"/>
              </w:rPr>
              <w:t>偏离说明</w:t>
            </w:r>
          </w:p>
        </w:tc>
      </w:tr>
      <w:tr w14:paraId="2A0DA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5F025717">
            <w:pPr>
              <w:autoSpaceDE w:val="0"/>
              <w:autoSpaceDN w:val="0"/>
              <w:adjustRightInd w:val="0"/>
              <w:spacing w:line="420" w:lineRule="exact"/>
              <w:jc w:val="center"/>
              <w:rPr>
                <w:kern w:val="0"/>
                <w:sz w:val="24"/>
              </w:rPr>
            </w:pPr>
          </w:p>
        </w:tc>
        <w:tc>
          <w:tcPr>
            <w:tcW w:w="2808" w:type="dxa"/>
            <w:vAlign w:val="center"/>
          </w:tcPr>
          <w:p w14:paraId="77D3E76B">
            <w:pPr>
              <w:autoSpaceDE w:val="0"/>
              <w:autoSpaceDN w:val="0"/>
              <w:adjustRightInd w:val="0"/>
              <w:spacing w:line="420" w:lineRule="exact"/>
              <w:jc w:val="center"/>
              <w:rPr>
                <w:kern w:val="0"/>
                <w:sz w:val="24"/>
              </w:rPr>
            </w:pPr>
          </w:p>
        </w:tc>
        <w:tc>
          <w:tcPr>
            <w:tcW w:w="3388" w:type="dxa"/>
            <w:vAlign w:val="center"/>
          </w:tcPr>
          <w:p w14:paraId="1761DA73">
            <w:pPr>
              <w:autoSpaceDE w:val="0"/>
              <w:autoSpaceDN w:val="0"/>
              <w:adjustRightInd w:val="0"/>
              <w:spacing w:line="420" w:lineRule="exact"/>
              <w:jc w:val="center"/>
              <w:rPr>
                <w:kern w:val="0"/>
                <w:sz w:val="24"/>
              </w:rPr>
            </w:pPr>
          </w:p>
        </w:tc>
        <w:tc>
          <w:tcPr>
            <w:tcW w:w="1984" w:type="dxa"/>
            <w:vAlign w:val="center"/>
          </w:tcPr>
          <w:p w14:paraId="20063AE1">
            <w:pPr>
              <w:autoSpaceDE w:val="0"/>
              <w:autoSpaceDN w:val="0"/>
              <w:adjustRightInd w:val="0"/>
              <w:spacing w:line="420" w:lineRule="exact"/>
              <w:jc w:val="center"/>
              <w:rPr>
                <w:kern w:val="0"/>
                <w:sz w:val="24"/>
              </w:rPr>
            </w:pPr>
          </w:p>
        </w:tc>
      </w:tr>
      <w:tr w14:paraId="47EEC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7C21C84">
            <w:pPr>
              <w:autoSpaceDE w:val="0"/>
              <w:autoSpaceDN w:val="0"/>
              <w:adjustRightInd w:val="0"/>
              <w:spacing w:line="420" w:lineRule="exact"/>
              <w:jc w:val="center"/>
              <w:rPr>
                <w:kern w:val="0"/>
                <w:sz w:val="24"/>
              </w:rPr>
            </w:pPr>
          </w:p>
        </w:tc>
        <w:tc>
          <w:tcPr>
            <w:tcW w:w="2808" w:type="dxa"/>
            <w:vAlign w:val="center"/>
          </w:tcPr>
          <w:p w14:paraId="1CCCCF38">
            <w:pPr>
              <w:autoSpaceDE w:val="0"/>
              <w:autoSpaceDN w:val="0"/>
              <w:adjustRightInd w:val="0"/>
              <w:spacing w:line="420" w:lineRule="exact"/>
              <w:jc w:val="center"/>
              <w:rPr>
                <w:kern w:val="0"/>
                <w:sz w:val="24"/>
              </w:rPr>
            </w:pPr>
          </w:p>
        </w:tc>
        <w:tc>
          <w:tcPr>
            <w:tcW w:w="3388" w:type="dxa"/>
            <w:vAlign w:val="center"/>
          </w:tcPr>
          <w:p w14:paraId="783653F5">
            <w:pPr>
              <w:autoSpaceDE w:val="0"/>
              <w:autoSpaceDN w:val="0"/>
              <w:adjustRightInd w:val="0"/>
              <w:spacing w:line="420" w:lineRule="exact"/>
              <w:jc w:val="center"/>
              <w:rPr>
                <w:kern w:val="0"/>
                <w:sz w:val="24"/>
              </w:rPr>
            </w:pPr>
          </w:p>
        </w:tc>
        <w:tc>
          <w:tcPr>
            <w:tcW w:w="1984" w:type="dxa"/>
            <w:vAlign w:val="center"/>
          </w:tcPr>
          <w:p w14:paraId="573FDC2F">
            <w:pPr>
              <w:autoSpaceDE w:val="0"/>
              <w:autoSpaceDN w:val="0"/>
              <w:adjustRightInd w:val="0"/>
              <w:spacing w:line="420" w:lineRule="exact"/>
              <w:jc w:val="center"/>
              <w:rPr>
                <w:kern w:val="0"/>
                <w:sz w:val="24"/>
              </w:rPr>
            </w:pPr>
          </w:p>
        </w:tc>
      </w:tr>
      <w:tr w14:paraId="47F38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2F24FA71">
            <w:pPr>
              <w:autoSpaceDE w:val="0"/>
              <w:autoSpaceDN w:val="0"/>
              <w:adjustRightInd w:val="0"/>
              <w:spacing w:line="420" w:lineRule="exact"/>
              <w:jc w:val="center"/>
              <w:rPr>
                <w:kern w:val="0"/>
                <w:sz w:val="24"/>
              </w:rPr>
            </w:pPr>
          </w:p>
        </w:tc>
        <w:tc>
          <w:tcPr>
            <w:tcW w:w="2808" w:type="dxa"/>
            <w:vAlign w:val="center"/>
          </w:tcPr>
          <w:p w14:paraId="38A88529">
            <w:pPr>
              <w:autoSpaceDE w:val="0"/>
              <w:autoSpaceDN w:val="0"/>
              <w:adjustRightInd w:val="0"/>
              <w:spacing w:line="420" w:lineRule="exact"/>
              <w:jc w:val="center"/>
              <w:rPr>
                <w:kern w:val="0"/>
                <w:sz w:val="24"/>
              </w:rPr>
            </w:pPr>
          </w:p>
        </w:tc>
        <w:tc>
          <w:tcPr>
            <w:tcW w:w="3388" w:type="dxa"/>
            <w:vAlign w:val="center"/>
          </w:tcPr>
          <w:p w14:paraId="34095401">
            <w:pPr>
              <w:autoSpaceDE w:val="0"/>
              <w:autoSpaceDN w:val="0"/>
              <w:adjustRightInd w:val="0"/>
              <w:spacing w:line="420" w:lineRule="exact"/>
              <w:jc w:val="center"/>
              <w:rPr>
                <w:kern w:val="0"/>
                <w:sz w:val="24"/>
              </w:rPr>
            </w:pPr>
          </w:p>
        </w:tc>
        <w:tc>
          <w:tcPr>
            <w:tcW w:w="1984" w:type="dxa"/>
            <w:vAlign w:val="center"/>
          </w:tcPr>
          <w:p w14:paraId="64E88998">
            <w:pPr>
              <w:autoSpaceDE w:val="0"/>
              <w:autoSpaceDN w:val="0"/>
              <w:adjustRightInd w:val="0"/>
              <w:spacing w:line="420" w:lineRule="exact"/>
              <w:jc w:val="center"/>
              <w:rPr>
                <w:kern w:val="0"/>
                <w:sz w:val="24"/>
              </w:rPr>
            </w:pPr>
          </w:p>
        </w:tc>
      </w:tr>
      <w:tr w14:paraId="2ECC3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49885D4">
            <w:pPr>
              <w:autoSpaceDE w:val="0"/>
              <w:autoSpaceDN w:val="0"/>
              <w:adjustRightInd w:val="0"/>
              <w:spacing w:line="420" w:lineRule="exact"/>
              <w:jc w:val="center"/>
              <w:rPr>
                <w:kern w:val="0"/>
                <w:sz w:val="24"/>
              </w:rPr>
            </w:pPr>
          </w:p>
        </w:tc>
        <w:tc>
          <w:tcPr>
            <w:tcW w:w="2808" w:type="dxa"/>
            <w:vAlign w:val="center"/>
          </w:tcPr>
          <w:p w14:paraId="4A52FF37">
            <w:pPr>
              <w:autoSpaceDE w:val="0"/>
              <w:autoSpaceDN w:val="0"/>
              <w:adjustRightInd w:val="0"/>
              <w:spacing w:line="420" w:lineRule="exact"/>
              <w:jc w:val="center"/>
              <w:rPr>
                <w:kern w:val="0"/>
                <w:sz w:val="24"/>
              </w:rPr>
            </w:pPr>
          </w:p>
        </w:tc>
        <w:tc>
          <w:tcPr>
            <w:tcW w:w="3388" w:type="dxa"/>
            <w:vAlign w:val="center"/>
          </w:tcPr>
          <w:p w14:paraId="6D15BBB7">
            <w:pPr>
              <w:autoSpaceDE w:val="0"/>
              <w:autoSpaceDN w:val="0"/>
              <w:adjustRightInd w:val="0"/>
              <w:spacing w:line="420" w:lineRule="exact"/>
              <w:jc w:val="center"/>
              <w:rPr>
                <w:kern w:val="0"/>
                <w:sz w:val="24"/>
              </w:rPr>
            </w:pPr>
          </w:p>
        </w:tc>
        <w:tc>
          <w:tcPr>
            <w:tcW w:w="1984" w:type="dxa"/>
            <w:vAlign w:val="center"/>
          </w:tcPr>
          <w:p w14:paraId="75CF5A68">
            <w:pPr>
              <w:autoSpaceDE w:val="0"/>
              <w:autoSpaceDN w:val="0"/>
              <w:adjustRightInd w:val="0"/>
              <w:spacing w:line="420" w:lineRule="exact"/>
              <w:jc w:val="center"/>
              <w:rPr>
                <w:kern w:val="0"/>
                <w:sz w:val="24"/>
              </w:rPr>
            </w:pPr>
          </w:p>
        </w:tc>
      </w:tr>
      <w:tr w14:paraId="05159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000" w:type="dxa"/>
            <w:vAlign w:val="center"/>
          </w:tcPr>
          <w:p w14:paraId="6C3D73F3">
            <w:pPr>
              <w:autoSpaceDE w:val="0"/>
              <w:autoSpaceDN w:val="0"/>
              <w:adjustRightInd w:val="0"/>
              <w:spacing w:line="420" w:lineRule="exact"/>
              <w:jc w:val="center"/>
              <w:rPr>
                <w:kern w:val="0"/>
                <w:sz w:val="24"/>
              </w:rPr>
            </w:pPr>
          </w:p>
        </w:tc>
        <w:tc>
          <w:tcPr>
            <w:tcW w:w="2808" w:type="dxa"/>
            <w:vAlign w:val="center"/>
          </w:tcPr>
          <w:p w14:paraId="0C961E3A">
            <w:pPr>
              <w:autoSpaceDE w:val="0"/>
              <w:autoSpaceDN w:val="0"/>
              <w:adjustRightInd w:val="0"/>
              <w:spacing w:line="420" w:lineRule="exact"/>
              <w:jc w:val="center"/>
              <w:rPr>
                <w:kern w:val="0"/>
                <w:sz w:val="24"/>
              </w:rPr>
            </w:pPr>
          </w:p>
        </w:tc>
        <w:tc>
          <w:tcPr>
            <w:tcW w:w="3388" w:type="dxa"/>
            <w:vAlign w:val="center"/>
          </w:tcPr>
          <w:p w14:paraId="76124EBD">
            <w:pPr>
              <w:autoSpaceDE w:val="0"/>
              <w:autoSpaceDN w:val="0"/>
              <w:adjustRightInd w:val="0"/>
              <w:spacing w:line="420" w:lineRule="exact"/>
              <w:jc w:val="center"/>
              <w:rPr>
                <w:kern w:val="0"/>
                <w:sz w:val="24"/>
              </w:rPr>
            </w:pPr>
          </w:p>
        </w:tc>
        <w:tc>
          <w:tcPr>
            <w:tcW w:w="1984" w:type="dxa"/>
            <w:vAlign w:val="center"/>
          </w:tcPr>
          <w:p w14:paraId="3763A74A">
            <w:pPr>
              <w:autoSpaceDE w:val="0"/>
              <w:autoSpaceDN w:val="0"/>
              <w:adjustRightInd w:val="0"/>
              <w:spacing w:line="420" w:lineRule="exact"/>
              <w:jc w:val="center"/>
              <w:rPr>
                <w:kern w:val="0"/>
                <w:sz w:val="24"/>
              </w:rPr>
            </w:pPr>
          </w:p>
        </w:tc>
      </w:tr>
      <w:tr w14:paraId="687D6F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9180" w:type="dxa"/>
            <w:gridSpan w:val="4"/>
            <w:vAlign w:val="center"/>
          </w:tcPr>
          <w:p w14:paraId="28E15B6F">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注：如不填写，则视为完全响应招标文件的技术及商务要求。</w:t>
            </w:r>
            <w:r>
              <w:rPr>
                <w:rFonts w:ascii="宋体" w:hAnsi="宋体" w:cs="宋体"/>
                <w:kern w:val="0"/>
                <w:sz w:val="24"/>
              </w:rPr>
              <w:t xml:space="preserve"> </w:t>
            </w:r>
          </w:p>
        </w:tc>
      </w:tr>
    </w:tbl>
    <w:p w14:paraId="2F290BC8">
      <w:pPr>
        <w:autoSpaceDE w:val="0"/>
        <w:autoSpaceDN w:val="0"/>
        <w:adjustRightInd w:val="0"/>
        <w:spacing w:line="420" w:lineRule="exact"/>
        <w:jc w:val="left"/>
        <w:rPr>
          <w:rFonts w:ascii="宋体" w:hAnsi="宋体" w:cs="宋体"/>
          <w:b/>
          <w:kern w:val="0"/>
          <w:sz w:val="24"/>
        </w:rPr>
      </w:pPr>
      <w:r>
        <w:rPr>
          <w:rFonts w:hint="eastAsia" w:ascii="宋体" w:hAnsi="宋体" w:cs="宋体"/>
          <w:b/>
          <w:kern w:val="0"/>
          <w:sz w:val="24"/>
        </w:rPr>
        <w:t>注：（</w:t>
      </w:r>
      <w:r>
        <w:rPr>
          <w:rFonts w:ascii="宋体" w:hAnsi="宋体" w:cs="宋体"/>
          <w:b/>
          <w:kern w:val="0"/>
          <w:sz w:val="24"/>
        </w:rPr>
        <w:t>1</w:t>
      </w:r>
      <w:r>
        <w:rPr>
          <w:rFonts w:hint="eastAsia" w:ascii="宋体" w:hAnsi="宋体" w:cs="宋体"/>
          <w:b/>
          <w:kern w:val="0"/>
          <w:sz w:val="24"/>
        </w:rPr>
        <w:t>）</w:t>
      </w:r>
      <w:r>
        <w:rPr>
          <w:rFonts w:ascii="宋体" w:hAnsi="宋体" w:cs="宋体"/>
          <w:b/>
          <w:kern w:val="0"/>
          <w:sz w:val="24"/>
        </w:rPr>
        <w:t>▲</w:t>
      </w:r>
      <w:r>
        <w:rPr>
          <w:rFonts w:hint="eastAsia" w:ascii="宋体" w:hAnsi="宋体" w:cs="宋体"/>
          <w:b/>
          <w:kern w:val="0"/>
          <w:sz w:val="24"/>
        </w:rPr>
        <w:t>投标供应商必须提供本表，否则投标无效。</w:t>
      </w:r>
    </w:p>
    <w:p w14:paraId="54B5C74E">
      <w:pPr>
        <w:autoSpaceDE w:val="0"/>
        <w:autoSpaceDN w:val="0"/>
        <w:adjustRightInd w:val="0"/>
        <w:spacing w:line="420" w:lineRule="exact"/>
        <w:jc w:val="left"/>
        <w:rPr>
          <w:b/>
          <w:kern w:val="0"/>
          <w:sz w:val="24"/>
        </w:rPr>
      </w:pPr>
      <w:r>
        <w:rPr>
          <w:rFonts w:hint="eastAsia" w:ascii="宋体" w:hAnsi="宋体" w:cs="宋体"/>
          <w:b/>
          <w:kern w:val="0"/>
          <w:sz w:val="24"/>
        </w:rPr>
        <w:t xml:space="preserve">    （2） “偏离情况”栏填写：“正偏离”或“负偏离”或“无偏离”。</w:t>
      </w:r>
      <w:r>
        <w:rPr>
          <w:rFonts w:ascii="宋体" w:hAnsi="宋体" w:cs="宋体"/>
          <w:b/>
          <w:kern w:val="0"/>
          <w:sz w:val="24"/>
        </w:rPr>
        <w:t xml:space="preserve"> </w:t>
      </w:r>
    </w:p>
    <w:p w14:paraId="5CABD865">
      <w:pPr>
        <w:autoSpaceDE w:val="0"/>
        <w:autoSpaceDN w:val="0"/>
        <w:adjustRightInd w:val="0"/>
        <w:spacing w:line="420" w:lineRule="exact"/>
        <w:jc w:val="left"/>
        <w:rPr>
          <w:kern w:val="0"/>
          <w:sz w:val="24"/>
        </w:rPr>
      </w:pPr>
    </w:p>
    <w:p w14:paraId="47998B75">
      <w:pPr>
        <w:pStyle w:val="20"/>
        <w:adjustRightInd w:val="0"/>
        <w:snapToGrid w:val="0"/>
        <w:spacing w:line="420" w:lineRule="exact"/>
        <w:rPr>
          <w:rFonts w:hAnsi="宋体" w:cs="宋体"/>
          <w:b/>
          <w:kern w:val="0"/>
          <w:sz w:val="24"/>
          <w:szCs w:val="24"/>
        </w:rPr>
      </w:pPr>
    </w:p>
    <w:p w14:paraId="6887EF81">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41FC0633">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7C86A04D">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53C098A4">
      <w:pPr>
        <w:pStyle w:val="20"/>
        <w:adjustRightInd w:val="0"/>
        <w:snapToGrid w:val="0"/>
        <w:spacing w:line="420" w:lineRule="exact"/>
        <w:rPr>
          <w:rFonts w:hAnsi="宋体" w:cs="宋体"/>
          <w:kern w:val="0"/>
          <w:sz w:val="28"/>
          <w:szCs w:val="28"/>
        </w:rPr>
      </w:pPr>
    </w:p>
    <w:p w14:paraId="1EACB05C">
      <w:pPr>
        <w:pStyle w:val="21"/>
        <w:ind w:left="440"/>
      </w:pPr>
    </w:p>
    <w:p w14:paraId="61F678A9"/>
    <w:p w14:paraId="477FD0EC">
      <w:pPr>
        <w:pStyle w:val="31"/>
      </w:pPr>
    </w:p>
    <w:p w14:paraId="0D7ECC4C"/>
    <w:p w14:paraId="0C07E98B"/>
    <w:p w14:paraId="269740E8">
      <w:pPr>
        <w:pStyle w:val="7"/>
        <w:rPr>
          <w:rFonts w:ascii="宋体" w:hAnsi="宋体"/>
        </w:rPr>
      </w:pPr>
      <w:r>
        <w:rPr>
          <w:rFonts w:hint="eastAsia"/>
          <w:kern w:val="0"/>
        </w:rPr>
        <w:t>2.1</w:t>
      </w:r>
      <w:r>
        <w:rPr>
          <w:kern w:val="0"/>
        </w:rPr>
        <w:t>9</w:t>
      </w:r>
      <w:r>
        <w:rPr>
          <w:rFonts w:hint="eastAsia"/>
          <w:kern w:val="0"/>
        </w:rPr>
        <w:t>、</w:t>
      </w:r>
      <w:r>
        <w:rPr>
          <w:kern w:val="0"/>
        </w:rPr>
        <w:t>政府采购活动现场确认声明书</w:t>
      </w:r>
    </w:p>
    <w:p w14:paraId="13A1BBBB">
      <w:pPr>
        <w:pStyle w:val="98"/>
        <w:widowControl w:val="0"/>
        <w:snapToGrid w:val="0"/>
        <w:spacing w:line="500" w:lineRule="exact"/>
        <w:jc w:val="center"/>
        <w:rPr>
          <w:rFonts w:hint="default" w:cs="方正小标宋简体" w:asciiTheme="minorEastAsia" w:hAnsiTheme="minorEastAsia" w:eastAsiaTheme="minorEastAsia"/>
          <w:b/>
          <w:bCs/>
          <w:color w:val="000000"/>
          <w:sz w:val="28"/>
          <w:szCs w:val="28"/>
        </w:rPr>
      </w:pPr>
      <w:r>
        <w:rPr>
          <w:rFonts w:cs="方正小标宋简体" w:asciiTheme="minorEastAsia" w:hAnsiTheme="minorEastAsia" w:eastAsiaTheme="minorEastAsia"/>
          <w:b/>
          <w:bCs/>
          <w:color w:val="000000"/>
          <w:sz w:val="28"/>
          <w:szCs w:val="28"/>
        </w:rPr>
        <w:t>政府采购活动现场确认声明书</w:t>
      </w:r>
    </w:p>
    <w:p w14:paraId="3EABB84B">
      <w:pPr>
        <w:pStyle w:val="98"/>
        <w:widowControl w:val="0"/>
        <w:snapToGrid w:val="0"/>
        <w:spacing w:line="500" w:lineRule="exact"/>
        <w:jc w:val="both"/>
        <w:rPr>
          <w:rFonts w:hint="default" w:ascii="仿宋" w:hAnsi="仿宋"/>
          <w:color w:val="000000"/>
          <w:kern w:val="0"/>
          <w:sz w:val="28"/>
        </w:rPr>
      </w:pPr>
    </w:p>
    <w:p w14:paraId="5CC9FA66">
      <w:pPr>
        <w:pStyle w:val="98"/>
        <w:widowControl w:val="0"/>
        <w:snapToGrid w:val="0"/>
        <w:spacing w:line="460" w:lineRule="exact"/>
        <w:jc w:val="both"/>
        <w:rPr>
          <w:rFonts w:hint="default" w:ascii="仿宋" w:hAnsi="仿宋"/>
          <w:color w:val="000000"/>
          <w:kern w:val="0"/>
          <w:sz w:val="22"/>
        </w:rPr>
      </w:pPr>
      <w:r>
        <w:rPr>
          <w:rFonts w:ascii="仿宋" w:hAnsi="仿宋"/>
          <w:color w:val="000000"/>
          <w:kern w:val="0"/>
          <w:sz w:val="22"/>
          <w:u w:val="single"/>
        </w:rPr>
        <w:t xml:space="preserve"> </w:t>
      </w:r>
      <w:r>
        <w:rPr>
          <w:rFonts w:hint="eastAsia" w:ascii="仿宋" w:hAnsi="仿宋"/>
          <w:color w:val="000000"/>
          <w:kern w:val="0"/>
          <w:sz w:val="22"/>
          <w:u w:val="single"/>
          <w:lang w:eastAsia="zh-CN"/>
        </w:rPr>
        <w:t>浙江中驰工程项目管理有限公司</w:t>
      </w:r>
      <w:r>
        <w:rPr>
          <w:rFonts w:ascii="仿宋" w:hAnsi="仿宋"/>
          <w:color w:val="000000"/>
          <w:kern w:val="0"/>
          <w:sz w:val="22"/>
        </w:rPr>
        <w:t>：</w:t>
      </w:r>
    </w:p>
    <w:p w14:paraId="4B97FD23">
      <w:pPr>
        <w:pStyle w:val="114"/>
        <w:wordWrap w:val="0"/>
        <w:overflowPunct w:val="0"/>
        <w:snapToGrid w:val="0"/>
        <w:spacing w:line="400" w:lineRule="exact"/>
        <w:ind w:left="20" w:leftChars="9" w:firstLine="433" w:firstLineChars="187"/>
        <w:rPr>
          <w:rFonts w:hint="default" w:hAnsi="宋体" w:cs="宋体"/>
          <w:spacing w:val="6"/>
          <w:sz w:val="22"/>
          <w:szCs w:val="22"/>
        </w:rPr>
      </w:pPr>
      <w:r>
        <w:rPr>
          <w:rFonts w:cs="宋体"/>
          <w:color w:val="000000"/>
          <w:spacing w:val="6"/>
          <w:sz w:val="22"/>
        </w:rPr>
        <w:t xml:space="preserve">    </w:t>
      </w:r>
      <w:r>
        <w:rPr>
          <w:rFonts w:hAnsi="宋体" w:cs="宋体"/>
          <w:spacing w:val="6"/>
          <w:sz w:val="22"/>
          <w:szCs w:val="22"/>
        </w:rPr>
        <w:t>本人</w:t>
      </w:r>
      <w:r>
        <w:rPr>
          <w:rFonts w:hAnsi="宋体" w:cs="宋体"/>
          <w:spacing w:val="6"/>
          <w:sz w:val="22"/>
          <w:szCs w:val="22"/>
          <w:u w:val="single"/>
        </w:rPr>
        <w:t xml:space="preserve">           </w:t>
      </w:r>
      <w:r>
        <w:rPr>
          <w:rFonts w:hAnsi="宋体" w:cs="宋体"/>
          <w:spacing w:val="6"/>
          <w:sz w:val="22"/>
          <w:szCs w:val="22"/>
        </w:rPr>
        <w:t>（授权代表姓名），经由</w:t>
      </w:r>
      <w:r>
        <w:rPr>
          <w:rFonts w:hAnsi="宋体" w:cs="宋体"/>
          <w:spacing w:val="6"/>
          <w:sz w:val="22"/>
          <w:szCs w:val="22"/>
          <w:u w:val="single"/>
        </w:rPr>
        <w:t xml:space="preserve">                        （单位）</w:t>
      </w:r>
      <w:r>
        <w:rPr>
          <w:rFonts w:hAnsi="宋体" w:cs="宋体"/>
          <w:spacing w:val="6"/>
          <w:sz w:val="22"/>
          <w:szCs w:val="22"/>
        </w:rPr>
        <w:t>负责人</w:t>
      </w:r>
      <w:r>
        <w:rPr>
          <w:rFonts w:hAnsi="宋体" w:cs="宋体"/>
          <w:spacing w:val="6"/>
          <w:sz w:val="22"/>
          <w:szCs w:val="22"/>
          <w:u w:val="single"/>
        </w:rPr>
        <w:t xml:space="preserve">          </w:t>
      </w:r>
      <w:r>
        <w:rPr>
          <w:rFonts w:hAnsi="宋体" w:cs="宋体"/>
          <w:spacing w:val="6"/>
          <w:sz w:val="22"/>
          <w:szCs w:val="22"/>
        </w:rPr>
        <w:t>（法定代表人）合法授权参加</w:t>
      </w:r>
      <w:r>
        <w:rPr>
          <w:rFonts w:hAnsi="宋体" w:cs="宋体"/>
          <w:spacing w:val="6"/>
          <w:sz w:val="22"/>
          <w:szCs w:val="22"/>
          <w:u w:val="single"/>
        </w:rPr>
        <w:t xml:space="preserve">               </w:t>
      </w:r>
      <w:r>
        <w:rPr>
          <w:rFonts w:hAnsi="宋体" w:cs="宋体"/>
          <w:spacing w:val="6"/>
          <w:sz w:val="22"/>
          <w:szCs w:val="22"/>
        </w:rPr>
        <w:t>（编号：</w:t>
      </w:r>
      <w:r>
        <w:rPr>
          <w:rFonts w:hAnsi="宋体" w:cs="宋体"/>
          <w:spacing w:val="6"/>
          <w:sz w:val="22"/>
          <w:szCs w:val="22"/>
          <w:u w:val="single"/>
        </w:rPr>
        <w:t xml:space="preserve">      </w:t>
      </w:r>
      <w:r>
        <w:rPr>
          <w:rFonts w:hAnsi="宋体" w:cs="宋体"/>
          <w:spacing w:val="6"/>
          <w:sz w:val="22"/>
          <w:szCs w:val="22"/>
        </w:rPr>
        <w:t xml:space="preserve">）政府采购活动，经与本单位法人代表（负责人）联系确认，现就有关公平竞争事项郑重声明如下： </w:t>
      </w:r>
    </w:p>
    <w:p w14:paraId="20D6F8A4">
      <w:pPr>
        <w:pStyle w:val="113"/>
        <w:widowControl/>
        <w:numPr>
          <w:ilvl w:val="0"/>
          <w:numId w:val="12"/>
        </w:numPr>
        <w:wordWrap w:val="0"/>
        <w:overflowPunct w:val="0"/>
        <w:snapToGrid w:val="0"/>
        <w:spacing w:line="400" w:lineRule="exact"/>
        <w:ind w:firstLine="415" w:firstLineChars="189"/>
        <w:rPr>
          <w:rFonts w:hint="default" w:ascii="宋体" w:hAnsi="宋体" w:cs="宋体"/>
          <w:kern w:val="0"/>
          <w:sz w:val="22"/>
          <w:szCs w:val="22"/>
        </w:rPr>
      </w:pPr>
      <w:r>
        <w:rPr>
          <w:rFonts w:ascii="宋体" w:hAnsi="宋体" w:cs="宋体"/>
          <w:kern w:val="0"/>
          <w:sz w:val="22"/>
          <w:szCs w:val="22"/>
        </w:rPr>
        <w:t xml:space="preserve">本单位与采购人之间 □不存在利害关系 </w:t>
      </w:r>
      <w:r>
        <w:rPr>
          <w:rFonts w:ascii="宋体" w:hAnsi="宋体" w:cs="宋体"/>
          <w:kern w:val="0"/>
          <w:sz w:val="22"/>
          <w:szCs w:val="22"/>
        </w:rPr>
        <w:sym w:font="Wingdings 2" w:char="00A3"/>
      </w:r>
      <w:r>
        <w:rPr>
          <w:rFonts w:ascii="宋体" w:hAnsi="宋体" w:cs="宋体"/>
          <w:kern w:val="0"/>
          <w:sz w:val="22"/>
          <w:szCs w:val="22"/>
        </w:rPr>
        <w:t>存在下列利害关系</w:t>
      </w:r>
      <w:r>
        <w:rPr>
          <w:rFonts w:ascii="宋体" w:hAnsi="宋体" w:cs="宋体"/>
          <w:kern w:val="0"/>
          <w:sz w:val="22"/>
          <w:szCs w:val="22"/>
          <w:u w:val="single"/>
        </w:rPr>
        <w:t xml:space="preserve">           </w:t>
      </w:r>
      <w:r>
        <w:rPr>
          <w:rFonts w:ascii="宋体" w:hAnsi="宋体" w:cs="宋体"/>
          <w:kern w:val="0"/>
          <w:sz w:val="22"/>
          <w:szCs w:val="22"/>
        </w:rPr>
        <w:t>：</w:t>
      </w:r>
    </w:p>
    <w:p w14:paraId="720D65A5">
      <w:pPr>
        <w:pStyle w:val="113"/>
        <w:widowControl/>
        <w:wordWrap w:val="0"/>
        <w:overflowPunct w:val="0"/>
        <w:snapToGrid w:val="0"/>
        <w:spacing w:line="400" w:lineRule="exact"/>
        <w:rPr>
          <w:rFonts w:hint="default" w:ascii="宋体" w:hAnsi="宋体" w:cs="宋体"/>
          <w:kern w:val="0"/>
          <w:sz w:val="22"/>
          <w:szCs w:val="22"/>
        </w:rPr>
      </w:pPr>
      <w:r>
        <w:rPr>
          <w:rFonts w:ascii="宋体" w:hAnsi="宋体" w:cs="宋体"/>
          <w:kern w:val="0"/>
          <w:sz w:val="22"/>
          <w:szCs w:val="22"/>
        </w:rPr>
        <w:t xml:space="preserve">  A.投资关系    B.行政隶属关系    C.业务指导关系</w:t>
      </w:r>
    </w:p>
    <w:p w14:paraId="07016262">
      <w:pPr>
        <w:pStyle w:val="113"/>
        <w:widowControl/>
        <w:wordWrap w:val="0"/>
        <w:overflowPunct w:val="0"/>
        <w:snapToGrid w:val="0"/>
        <w:spacing w:line="400" w:lineRule="exact"/>
        <w:rPr>
          <w:rFonts w:hint="default" w:ascii="宋体" w:hAnsi="宋体" w:cs="宋体"/>
          <w:kern w:val="0"/>
          <w:sz w:val="22"/>
          <w:szCs w:val="22"/>
        </w:rPr>
      </w:pPr>
      <w:r>
        <w:rPr>
          <w:rFonts w:ascii="宋体" w:hAnsi="宋体" w:cs="宋体"/>
          <w:kern w:val="0"/>
          <w:sz w:val="22"/>
          <w:szCs w:val="22"/>
        </w:rPr>
        <w:t xml:space="preserve">  D.其他可能</w:t>
      </w:r>
      <w:r>
        <w:rPr>
          <w:rFonts w:ascii="宋体" w:hAnsi="宋体" w:cs="宋体"/>
          <w:sz w:val="22"/>
          <w:szCs w:val="22"/>
        </w:rPr>
        <w:t>影响采购公正的</w:t>
      </w:r>
      <w:r>
        <w:rPr>
          <w:rFonts w:ascii="宋体" w:hAnsi="宋体" w:cs="宋体"/>
          <w:kern w:val="0"/>
          <w:sz w:val="22"/>
          <w:szCs w:val="22"/>
        </w:rPr>
        <w:t>利害关系</w:t>
      </w:r>
      <w:r>
        <w:rPr>
          <w:rFonts w:ascii="宋体" w:hAnsi="宋体" w:cs="宋体"/>
          <w:kern w:val="0"/>
          <w:sz w:val="22"/>
          <w:szCs w:val="22"/>
          <w:u w:val="single"/>
        </w:rPr>
        <w:t xml:space="preserve">（如有，请如实说明）                 </w:t>
      </w:r>
      <w:r>
        <w:rPr>
          <w:rFonts w:ascii="宋体" w:hAnsi="宋体" w:cs="宋体"/>
          <w:kern w:val="0"/>
          <w:sz w:val="22"/>
          <w:szCs w:val="22"/>
        </w:rPr>
        <w:t>。</w:t>
      </w:r>
    </w:p>
    <w:p w14:paraId="5B27EB65">
      <w:pPr>
        <w:pStyle w:val="113"/>
        <w:widowControl/>
        <w:wordWrap w:val="0"/>
        <w:overflowPunct w:val="0"/>
        <w:snapToGrid w:val="0"/>
        <w:spacing w:line="400" w:lineRule="exact"/>
        <w:rPr>
          <w:rFonts w:hint="default" w:ascii="宋体" w:hAnsi="宋体" w:cs="宋体"/>
          <w:kern w:val="0"/>
          <w:sz w:val="22"/>
          <w:szCs w:val="22"/>
        </w:rPr>
      </w:pPr>
      <w:r>
        <w:rPr>
          <w:rFonts w:ascii="宋体" w:hAnsi="宋体" w:cs="宋体"/>
          <w:spacing w:val="6"/>
          <w:sz w:val="22"/>
          <w:szCs w:val="22"/>
        </w:rPr>
        <w:t xml:space="preserve">   二、</w:t>
      </w:r>
      <w:r>
        <w:rPr>
          <w:rFonts w:ascii="宋体" w:hAnsi="宋体" w:cs="宋体"/>
          <w:kern w:val="0"/>
          <w:sz w:val="22"/>
          <w:szCs w:val="22"/>
        </w:rPr>
        <w:t>现已清楚知道参加本项目采购活动的其他所有供应商名称，本单位 □与其他所有供应商之间均不存在利害关系 □与</w:t>
      </w:r>
      <w:r>
        <w:rPr>
          <w:rFonts w:ascii="宋体" w:hAnsi="宋体" w:cs="宋体"/>
          <w:kern w:val="0"/>
          <w:sz w:val="22"/>
          <w:szCs w:val="22"/>
          <w:u w:val="single"/>
        </w:rPr>
        <w:t xml:space="preserve">           （供应商名称）</w:t>
      </w:r>
      <w:r>
        <w:rPr>
          <w:rFonts w:ascii="宋体" w:hAnsi="宋体" w:cs="宋体"/>
          <w:kern w:val="0"/>
          <w:sz w:val="22"/>
          <w:szCs w:val="22"/>
        </w:rPr>
        <w:t>之间存在下列利害关系</w:t>
      </w:r>
      <w:r>
        <w:rPr>
          <w:rFonts w:ascii="宋体" w:hAnsi="宋体" w:cs="宋体"/>
          <w:kern w:val="0"/>
          <w:sz w:val="22"/>
          <w:szCs w:val="22"/>
          <w:u w:val="single"/>
        </w:rPr>
        <w:t xml:space="preserve">          </w:t>
      </w:r>
      <w:r>
        <w:rPr>
          <w:rFonts w:ascii="宋体" w:hAnsi="宋体" w:cs="宋体"/>
          <w:kern w:val="0"/>
          <w:sz w:val="22"/>
          <w:szCs w:val="22"/>
        </w:rPr>
        <w:t>：</w:t>
      </w:r>
    </w:p>
    <w:p w14:paraId="257E5876">
      <w:pPr>
        <w:pStyle w:val="114"/>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A.法定代表人或负责人或实际控制人是同一人</w:t>
      </w:r>
    </w:p>
    <w:p w14:paraId="7B146761">
      <w:pPr>
        <w:pStyle w:val="114"/>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B.法定代表人或负责人或实际控制人是夫妻关系</w:t>
      </w:r>
    </w:p>
    <w:p w14:paraId="58CEDD23">
      <w:pPr>
        <w:pStyle w:val="114"/>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C.法定代表人或负责人或实际控制人是直系血亲关系</w:t>
      </w:r>
    </w:p>
    <w:p w14:paraId="13066CF2">
      <w:pPr>
        <w:pStyle w:val="114"/>
        <w:wordWrap w:val="0"/>
        <w:overflowPunct w:val="0"/>
        <w:snapToGrid w:val="0"/>
        <w:spacing w:line="400" w:lineRule="exact"/>
        <w:rPr>
          <w:rFonts w:hint="default" w:hAnsi="宋体" w:cs="宋体"/>
          <w:spacing w:val="6"/>
          <w:sz w:val="22"/>
          <w:szCs w:val="22"/>
        </w:rPr>
      </w:pPr>
      <w:r>
        <w:rPr>
          <w:rFonts w:hAnsi="宋体" w:cs="宋体"/>
          <w:kern w:val="0"/>
          <w:sz w:val="22"/>
          <w:szCs w:val="22"/>
        </w:rPr>
        <w:t xml:space="preserve">  D.法定代表人或负责人或实际控制人存在三代以内旁系血亲关系</w:t>
      </w:r>
    </w:p>
    <w:p w14:paraId="788E4299">
      <w:pPr>
        <w:pStyle w:val="114"/>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E.法定代表人或负责人或实际控制人存在近姻亲关系</w:t>
      </w:r>
    </w:p>
    <w:p w14:paraId="049DDAC0">
      <w:pPr>
        <w:pStyle w:val="114"/>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F.法定代表人或负责人或实际控制人存在股份控制或实际控制关系</w:t>
      </w:r>
    </w:p>
    <w:p w14:paraId="36DDB245">
      <w:pPr>
        <w:pStyle w:val="114"/>
        <w:wordWrap w:val="0"/>
        <w:overflowPunct w:val="0"/>
        <w:snapToGrid w:val="0"/>
        <w:spacing w:line="400" w:lineRule="exact"/>
        <w:rPr>
          <w:rFonts w:hint="default" w:hAnsi="宋体" w:cs="宋体"/>
          <w:kern w:val="0"/>
          <w:sz w:val="22"/>
          <w:szCs w:val="22"/>
        </w:rPr>
      </w:pPr>
      <w:r>
        <w:rPr>
          <w:rFonts w:hAnsi="宋体" w:cs="宋体"/>
          <w:kern w:val="0"/>
          <w:sz w:val="22"/>
          <w:szCs w:val="22"/>
        </w:rPr>
        <w:t xml:space="preserve">  G.存在共同直接或间接投资设立子公司、联营企业和合营企业情况</w:t>
      </w:r>
    </w:p>
    <w:p w14:paraId="720CD595">
      <w:pPr>
        <w:pStyle w:val="114"/>
        <w:wordWrap w:val="0"/>
        <w:overflowPunct w:val="0"/>
        <w:snapToGrid w:val="0"/>
        <w:spacing w:line="400" w:lineRule="exact"/>
        <w:rPr>
          <w:rFonts w:hint="default" w:hAnsi="宋体" w:cs="宋体"/>
          <w:sz w:val="22"/>
          <w:szCs w:val="22"/>
        </w:rPr>
      </w:pPr>
      <w:r>
        <w:rPr>
          <w:rFonts w:hAnsi="宋体" w:cs="宋体"/>
          <w:kern w:val="0"/>
          <w:sz w:val="22"/>
          <w:szCs w:val="22"/>
        </w:rPr>
        <w:t xml:space="preserve">  H.存在分级代理或代销关系、同一生产制造商关系、</w:t>
      </w:r>
      <w:r>
        <w:rPr>
          <w:rFonts w:hAnsi="宋体" w:cs="宋体"/>
          <w:sz w:val="22"/>
          <w:szCs w:val="22"/>
        </w:rPr>
        <w:t>管理关系、重要业务（占主营业务收入50%以上）或重要财务往来关系（如融资）等其他实质性控制关系</w:t>
      </w:r>
    </w:p>
    <w:p w14:paraId="716AB122">
      <w:pPr>
        <w:pStyle w:val="114"/>
        <w:wordWrap w:val="0"/>
        <w:overflowPunct w:val="0"/>
        <w:snapToGrid w:val="0"/>
        <w:spacing w:line="400" w:lineRule="exact"/>
        <w:rPr>
          <w:rFonts w:hint="default" w:hAnsi="宋体" w:cs="宋体"/>
          <w:spacing w:val="6"/>
          <w:sz w:val="22"/>
          <w:szCs w:val="22"/>
        </w:rPr>
      </w:pPr>
      <w:r>
        <w:rPr>
          <w:rFonts w:hAnsi="宋体" w:cs="宋体"/>
          <w:sz w:val="22"/>
          <w:szCs w:val="22"/>
        </w:rPr>
        <w:t xml:space="preserve">    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14:paraId="251A56DF">
      <w:pPr>
        <w:pStyle w:val="113"/>
        <w:widowControl/>
        <w:numPr>
          <w:ilvl w:val="0"/>
          <w:numId w:val="13"/>
        </w:numPr>
        <w:wordWrap w:val="0"/>
        <w:overflowPunct w:val="0"/>
        <w:snapToGrid w:val="0"/>
        <w:spacing w:line="400" w:lineRule="exact"/>
        <w:ind w:firstLine="415" w:firstLineChars="189"/>
        <w:rPr>
          <w:rFonts w:hint="default" w:ascii="宋体" w:hAnsi="宋体" w:cs="宋体"/>
          <w:kern w:val="0"/>
          <w:sz w:val="22"/>
          <w:szCs w:val="22"/>
        </w:rPr>
      </w:pPr>
      <w:r>
        <w:rPr>
          <w:rFonts w:ascii="宋体" w:hAnsi="宋体" w:cs="宋体"/>
          <w:sz w:val="22"/>
          <w:szCs w:val="22"/>
        </w:rPr>
        <w:t>现已清楚知道并</w:t>
      </w:r>
      <w:r>
        <w:rPr>
          <w:rFonts w:ascii="宋体" w:hAnsi="宋体" w:cs="宋体"/>
          <w:kern w:val="0"/>
          <w:sz w:val="22"/>
          <w:szCs w:val="22"/>
        </w:rPr>
        <w:t>严格遵守政府采购法律法规和现场纪律。</w:t>
      </w:r>
    </w:p>
    <w:p w14:paraId="7E8363AD">
      <w:pPr>
        <w:pStyle w:val="113"/>
        <w:widowControl/>
        <w:numPr>
          <w:ilvl w:val="0"/>
          <w:numId w:val="13"/>
        </w:numPr>
        <w:wordWrap w:val="0"/>
        <w:overflowPunct w:val="0"/>
        <w:snapToGrid w:val="0"/>
        <w:spacing w:line="400" w:lineRule="exact"/>
        <w:ind w:firstLine="415" w:firstLineChars="189"/>
        <w:rPr>
          <w:rFonts w:hint="default" w:hAnsi="宋体" w:cs="宋体"/>
          <w:sz w:val="22"/>
          <w:szCs w:val="22"/>
        </w:rPr>
      </w:pPr>
      <w:r>
        <w:rPr>
          <w:rFonts w:ascii="宋体" w:hAnsi="宋体" w:cs="宋体"/>
          <w:kern w:val="0"/>
          <w:sz w:val="22"/>
          <w:szCs w:val="22"/>
        </w:rPr>
        <w:t>我发现</w:t>
      </w:r>
      <w:r>
        <w:rPr>
          <w:rFonts w:ascii="宋体" w:hAnsi="宋体" w:cs="宋体"/>
          <w:kern w:val="0"/>
          <w:sz w:val="22"/>
          <w:szCs w:val="22"/>
          <w:u w:val="single"/>
        </w:rPr>
        <w:t xml:space="preserve">                    </w:t>
      </w:r>
      <w:r>
        <w:rPr>
          <w:rFonts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ascii="宋体" w:hAnsi="宋体" w:cs="宋体"/>
          <w:kern w:val="0"/>
          <w:sz w:val="22"/>
          <w:szCs w:val="22"/>
        </w:rPr>
        <w:t>项利害关系</w:t>
      </w:r>
      <w:r>
        <w:rPr>
          <w:rFonts w:hAnsi="宋体" w:cs="宋体"/>
          <w:sz w:val="22"/>
          <w:szCs w:val="22"/>
        </w:rPr>
        <w:t xml:space="preserve">                         </w:t>
      </w:r>
    </w:p>
    <w:p w14:paraId="1193ECAB">
      <w:pPr>
        <w:pStyle w:val="114"/>
        <w:wordWrap w:val="0"/>
        <w:overflowPunct w:val="0"/>
        <w:snapToGrid w:val="0"/>
        <w:spacing w:line="400" w:lineRule="exact"/>
        <w:ind w:firstLine="4620" w:firstLineChars="2100"/>
        <w:rPr>
          <w:rFonts w:hint="default" w:hAnsi="宋体" w:cs="宋体"/>
          <w:sz w:val="22"/>
          <w:szCs w:val="22"/>
        </w:rPr>
      </w:pPr>
    </w:p>
    <w:p w14:paraId="72EB29AB">
      <w:pPr>
        <w:pStyle w:val="114"/>
        <w:wordWrap w:val="0"/>
        <w:overflowPunct w:val="0"/>
        <w:snapToGrid w:val="0"/>
        <w:spacing w:line="400" w:lineRule="exact"/>
        <w:ind w:firstLine="4620" w:firstLineChars="2100"/>
        <w:rPr>
          <w:rFonts w:hint="default" w:hAnsi="宋体" w:cs="宋体"/>
          <w:sz w:val="22"/>
          <w:szCs w:val="22"/>
        </w:rPr>
      </w:pPr>
      <w:r>
        <w:rPr>
          <w:rFonts w:hAnsi="宋体" w:cs="宋体"/>
          <w:sz w:val="22"/>
          <w:szCs w:val="22"/>
        </w:rPr>
        <w:t>供应商代表签名：</w:t>
      </w:r>
    </w:p>
    <w:p w14:paraId="42AA8540">
      <w:pPr>
        <w:pStyle w:val="114"/>
        <w:wordWrap w:val="0"/>
        <w:overflowPunct w:val="0"/>
        <w:snapToGrid w:val="0"/>
        <w:spacing w:line="400" w:lineRule="exact"/>
        <w:ind w:firstLine="4620" w:firstLineChars="2100"/>
        <w:rPr>
          <w:rFonts w:hint="default" w:hAnsi="宋体" w:cs="宋体"/>
          <w:sz w:val="22"/>
          <w:szCs w:val="22"/>
        </w:rPr>
      </w:pPr>
      <w:r>
        <w:rPr>
          <w:rFonts w:hAnsi="宋体" w:cs="宋体"/>
          <w:sz w:val="22"/>
          <w:szCs w:val="22"/>
        </w:rPr>
        <w:t>2022年   月   日</w:t>
      </w:r>
    </w:p>
    <w:p w14:paraId="22C6B31B">
      <w:pPr>
        <w:pStyle w:val="19"/>
        <w:wordWrap w:val="0"/>
        <w:overflowPunct w:val="0"/>
        <w:spacing w:line="400" w:lineRule="exact"/>
        <w:ind w:left="0" w:leftChars="0"/>
        <w:rPr>
          <w:rFonts w:ascii="宋体" w:hAnsi="宋体" w:cs="宋体"/>
          <w:b/>
          <w:bCs/>
          <w:szCs w:val="21"/>
        </w:rPr>
      </w:pPr>
    </w:p>
    <w:p w14:paraId="3BD1D7E5">
      <w:pPr>
        <w:wordWrap w:val="0"/>
        <w:overflowPunct w:val="0"/>
        <w:spacing w:line="400" w:lineRule="exact"/>
        <w:ind w:firstLine="440" w:firstLineChars="200"/>
        <w:rPr>
          <w:rFonts w:ascii="宋体" w:hAnsi="宋体" w:cs="宋体"/>
          <w:bCs/>
          <w:szCs w:val="21"/>
        </w:rPr>
      </w:pPr>
      <w:r>
        <w:rPr>
          <w:rFonts w:hint="eastAsia" w:ascii="宋体" w:hAnsi="宋体" w:cs="宋体"/>
          <w:bCs/>
          <w:szCs w:val="21"/>
        </w:rPr>
        <w:t>注：投标文件解密结束后，各供应商签署《政府采购活动现场确认声明书》，并通过邮件形式发送至采购代理机构邮箱：</w:t>
      </w:r>
      <w:r>
        <w:fldChar w:fldCharType="begin"/>
      </w:r>
      <w:r>
        <w:instrText xml:space="preserve"> HYPERLINK "mailto:815743236@qq.com" </w:instrText>
      </w:r>
      <w:r>
        <w:fldChar w:fldCharType="separate"/>
      </w:r>
      <w:r>
        <w:rPr>
          <w:rFonts w:hint="eastAsia" w:ascii="宋体" w:hAnsi="宋体" w:cs="宋体"/>
          <w:bCs/>
          <w:szCs w:val="21"/>
          <w:lang w:val="en-US" w:eastAsia="zh-CN"/>
        </w:rPr>
        <w:t>517105534</w:t>
      </w:r>
      <w:r>
        <w:rPr>
          <w:rFonts w:hint="eastAsia" w:ascii="宋体" w:hAnsi="宋体" w:cs="宋体"/>
          <w:bCs/>
          <w:szCs w:val="21"/>
          <w:lang w:eastAsia="zh-CN"/>
        </w:rPr>
        <w:t>@qq.com</w:t>
      </w:r>
      <w:r>
        <w:rPr>
          <w:rFonts w:hint="eastAsia" w:ascii="宋体" w:hAnsi="宋体" w:cs="宋体"/>
          <w:bCs/>
          <w:szCs w:val="21"/>
        </w:rPr>
        <w:fldChar w:fldCharType="end"/>
      </w:r>
      <w:r>
        <w:rPr>
          <w:rFonts w:hint="eastAsia" w:ascii="宋体" w:hAnsi="宋体" w:cs="宋体"/>
          <w:bCs/>
          <w:szCs w:val="21"/>
        </w:rPr>
        <w:t>。</w:t>
      </w:r>
    </w:p>
    <w:p w14:paraId="7C5431CC">
      <w:pPr>
        <w:tabs>
          <w:tab w:val="left" w:pos="7457"/>
        </w:tabs>
        <w:autoSpaceDE w:val="0"/>
        <w:autoSpaceDN w:val="0"/>
        <w:adjustRightInd w:val="0"/>
        <w:spacing w:line="420" w:lineRule="exact"/>
        <w:jc w:val="left"/>
        <w:rPr>
          <w:rFonts w:ascii="宋体" w:hAnsi="宋体"/>
          <w:szCs w:val="22"/>
        </w:rPr>
      </w:pPr>
    </w:p>
    <w:p w14:paraId="4507557F">
      <w:pPr>
        <w:widowControl/>
        <w:jc w:val="left"/>
      </w:pPr>
    </w:p>
    <w:p w14:paraId="4567C2AD">
      <w:pPr>
        <w:pStyle w:val="7"/>
        <w:spacing w:line="420" w:lineRule="exact"/>
        <w:rPr>
          <w:kern w:val="0"/>
        </w:rPr>
      </w:pPr>
      <w:r>
        <w:rPr>
          <w:rFonts w:hint="eastAsia"/>
        </w:rPr>
        <w:t>三、“报价文件”部分格式</w:t>
      </w:r>
    </w:p>
    <w:p w14:paraId="38A44303">
      <w:pPr>
        <w:pStyle w:val="7"/>
        <w:spacing w:line="420" w:lineRule="exact"/>
        <w:rPr>
          <w:kern w:val="0"/>
        </w:rPr>
      </w:pPr>
      <w:r>
        <w:rPr>
          <w:rFonts w:hint="eastAsia"/>
          <w:kern w:val="0"/>
        </w:rPr>
        <w:t>3.1、“报价文件”封面</w:t>
      </w:r>
      <w:r>
        <w:rPr>
          <w:kern w:val="0"/>
        </w:rPr>
        <w:t xml:space="preserve"> </w:t>
      </w:r>
      <w:r>
        <w:rPr>
          <w:kern w:val="0"/>
        </w:rPr>
        <w:tab/>
      </w:r>
    </w:p>
    <w:p w14:paraId="10AB8D9A">
      <w:pPr>
        <w:autoSpaceDE w:val="0"/>
        <w:autoSpaceDN w:val="0"/>
        <w:adjustRightInd w:val="0"/>
        <w:spacing w:line="420" w:lineRule="exact"/>
        <w:jc w:val="center"/>
        <w:rPr>
          <w:rFonts w:hint="eastAsia" w:ascii="宋体" w:hAnsi="宋体" w:eastAsia="宋体" w:cs="宋体"/>
          <w:spacing w:val="-4"/>
          <w:kern w:val="0"/>
          <w:sz w:val="36"/>
          <w:szCs w:val="36"/>
          <w:lang w:eastAsia="zh-CN"/>
        </w:rPr>
      </w:pPr>
      <w:r>
        <w:rPr>
          <w:rFonts w:hint="eastAsia" w:ascii="宋体" w:hAnsi="宋体" w:cs="宋体"/>
          <w:spacing w:val="-4"/>
          <w:kern w:val="0"/>
          <w:sz w:val="36"/>
          <w:szCs w:val="36"/>
          <w:lang w:eastAsia="zh-CN"/>
        </w:rPr>
        <w:t>2025年度苍南县藻溪镇保洁及绿化养护服务项目</w:t>
      </w:r>
    </w:p>
    <w:p w14:paraId="206419AD">
      <w:pPr>
        <w:autoSpaceDE w:val="0"/>
        <w:autoSpaceDN w:val="0"/>
        <w:adjustRightInd w:val="0"/>
        <w:spacing w:line="420" w:lineRule="exact"/>
        <w:jc w:val="center"/>
        <w:rPr>
          <w:kern w:val="0"/>
          <w:sz w:val="36"/>
          <w:szCs w:val="36"/>
        </w:rPr>
      </w:pPr>
    </w:p>
    <w:p w14:paraId="3B39B553">
      <w:pPr>
        <w:pStyle w:val="52"/>
        <w:spacing w:line="420" w:lineRule="exact"/>
        <w:rPr>
          <w:kern w:val="0"/>
          <w:sz w:val="44"/>
          <w:szCs w:val="44"/>
        </w:rPr>
      </w:pPr>
    </w:p>
    <w:p w14:paraId="2FEE02D3">
      <w:pPr>
        <w:pStyle w:val="2"/>
        <w:spacing w:line="360" w:lineRule="auto"/>
      </w:pPr>
    </w:p>
    <w:p w14:paraId="58EF320A">
      <w:pPr>
        <w:spacing w:line="360" w:lineRule="auto"/>
        <w:jc w:val="center"/>
        <w:rPr>
          <w:rFonts w:ascii="宋体" w:hAnsi="宋体" w:cs="Arial"/>
          <w:b/>
          <w:color w:val="000000"/>
          <w:sz w:val="72"/>
          <w:szCs w:val="72"/>
        </w:rPr>
      </w:pPr>
      <w:r>
        <w:rPr>
          <w:rFonts w:hint="eastAsia" w:ascii="宋体" w:hAnsi="宋体" w:cs="Arial"/>
          <w:b/>
          <w:color w:val="000000"/>
          <w:sz w:val="72"/>
          <w:szCs w:val="72"/>
        </w:rPr>
        <w:t>投 标</w:t>
      </w:r>
      <w:r>
        <w:rPr>
          <w:rFonts w:ascii="宋体" w:hAnsi="宋体" w:cs="Arial"/>
          <w:b/>
          <w:color w:val="000000"/>
          <w:sz w:val="72"/>
          <w:szCs w:val="72"/>
        </w:rPr>
        <w:t xml:space="preserve"> </w:t>
      </w:r>
      <w:r>
        <w:rPr>
          <w:rFonts w:hint="eastAsia" w:ascii="宋体" w:hAnsi="宋体" w:cs="Arial"/>
          <w:b/>
          <w:color w:val="000000"/>
          <w:sz w:val="72"/>
          <w:szCs w:val="72"/>
        </w:rPr>
        <w:t>文</w:t>
      </w:r>
      <w:r>
        <w:rPr>
          <w:rFonts w:ascii="宋体" w:hAnsi="宋体" w:cs="Arial"/>
          <w:b/>
          <w:color w:val="000000"/>
          <w:sz w:val="72"/>
          <w:szCs w:val="72"/>
        </w:rPr>
        <w:t xml:space="preserve"> </w:t>
      </w:r>
      <w:r>
        <w:rPr>
          <w:rFonts w:hint="eastAsia" w:ascii="宋体" w:hAnsi="宋体" w:cs="Arial"/>
          <w:b/>
          <w:color w:val="000000"/>
          <w:sz w:val="72"/>
          <w:szCs w:val="72"/>
        </w:rPr>
        <w:t>件</w:t>
      </w:r>
    </w:p>
    <w:p w14:paraId="6B5F9E38">
      <w:pPr>
        <w:spacing w:line="360" w:lineRule="auto"/>
        <w:jc w:val="center"/>
        <w:rPr>
          <w:rFonts w:ascii="宋体" w:hAnsi="宋体" w:cs="Arial"/>
          <w:b/>
          <w:color w:val="000000"/>
          <w:sz w:val="52"/>
          <w:szCs w:val="22"/>
        </w:rPr>
      </w:pPr>
      <w:r>
        <w:rPr>
          <w:rFonts w:hint="eastAsia" w:ascii="宋体" w:hAnsi="宋体" w:cs="Arial"/>
          <w:b/>
          <w:color w:val="000000"/>
          <w:sz w:val="52"/>
          <w:szCs w:val="22"/>
        </w:rPr>
        <w:t>（报价文件）</w:t>
      </w:r>
    </w:p>
    <w:p w14:paraId="4E45BC76">
      <w:pPr>
        <w:spacing w:line="420" w:lineRule="exact"/>
        <w:jc w:val="center"/>
        <w:rPr>
          <w:rFonts w:ascii="宋体" w:hAnsi="宋体" w:cs="Arial"/>
          <w:b/>
          <w:color w:val="000000"/>
          <w:sz w:val="44"/>
          <w:szCs w:val="44"/>
        </w:rPr>
      </w:pPr>
    </w:p>
    <w:p w14:paraId="645BC6EB">
      <w:pPr>
        <w:spacing w:line="420" w:lineRule="exact"/>
        <w:jc w:val="center"/>
        <w:rPr>
          <w:rFonts w:ascii="宋体" w:hAnsi="宋体" w:cs="宋体"/>
          <w:kern w:val="0"/>
          <w:sz w:val="40"/>
          <w:szCs w:val="40"/>
        </w:rPr>
      </w:pPr>
    </w:p>
    <w:p w14:paraId="2FEB0D39">
      <w:pPr>
        <w:spacing w:line="420" w:lineRule="exact"/>
        <w:jc w:val="center"/>
        <w:rPr>
          <w:rFonts w:ascii="宋体" w:hAnsi="宋体" w:cs="宋体"/>
          <w:kern w:val="0"/>
          <w:sz w:val="68"/>
          <w:szCs w:val="68"/>
        </w:rPr>
      </w:pPr>
    </w:p>
    <w:p w14:paraId="6767141A">
      <w:pPr>
        <w:pStyle w:val="52"/>
        <w:spacing w:line="420" w:lineRule="exact"/>
      </w:pPr>
    </w:p>
    <w:p w14:paraId="787B25D3">
      <w:pPr>
        <w:spacing w:line="600" w:lineRule="auto"/>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2766FD93">
      <w:pPr>
        <w:spacing w:line="600" w:lineRule="auto"/>
        <w:rPr>
          <w:rFonts w:ascii="宋体" w:hAnsi="宋体" w:cs="宋体"/>
          <w:kern w:val="0"/>
          <w:sz w:val="32"/>
          <w:szCs w:val="32"/>
          <w:u w:val="single"/>
        </w:rPr>
      </w:pPr>
      <w:r>
        <w:rPr>
          <w:rFonts w:hint="eastAsia" w:ascii="宋体" w:hAnsi="宋体" w:cs="宋体"/>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351AB5DD">
      <w:pPr>
        <w:spacing w:line="600" w:lineRule="auto"/>
        <w:rPr>
          <w:rFonts w:ascii="宋体" w:hAnsi="宋体" w:cs="宋体"/>
          <w:kern w:val="0"/>
          <w:sz w:val="32"/>
          <w:szCs w:val="32"/>
          <w:u w:val="single"/>
        </w:rPr>
      </w:pPr>
      <w:r>
        <w:rPr>
          <w:rFonts w:hint="eastAsia" w:ascii="宋体" w:hAnsi="宋体" w:cs="宋体"/>
          <w:kern w:val="0"/>
          <w:sz w:val="32"/>
          <w:szCs w:val="32"/>
        </w:rPr>
        <w:t>地址：</w:t>
      </w:r>
      <w:r>
        <w:rPr>
          <w:rFonts w:hint="eastAsia" w:ascii="宋体" w:hAnsi="宋体" w:cs="宋体"/>
          <w:kern w:val="0"/>
          <w:sz w:val="32"/>
          <w:szCs w:val="32"/>
          <w:u w:val="single"/>
        </w:rPr>
        <w:t xml:space="preserve">                                              </w:t>
      </w:r>
    </w:p>
    <w:p w14:paraId="5CBFA15F">
      <w:pPr>
        <w:spacing w:line="600" w:lineRule="auto"/>
        <w:rPr>
          <w:rFonts w:ascii="宋体" w:hAnsi="宋体" w:cs="宋体"/>
          <w:kern w:val="0"/>
          <w:sz w:val="32"/>
          <w:szCs w:val="32"/>
        </w:rPr>
      </w:pPr>
      <w:r>
        <w:rPr>
          <w:rFonts w:hint="eastAsia" w:ascii="宋体" w:hAnsi="宋体" w:cs="宋体"/>
          <w:kern w:val="0"/>
          <w:sz w:val="32"/>
          <w:szCs w:val="32"/>
        </w:rPr>
        <w:t>法定代表人或其授权代表（签字或盖章）：</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14:paraId="3E9E9B4B">
      <w:pPr>
        <w:spacing w:line="600" w:lineRule="auto"/>
        <w:rPr>
          <w:rFonts w:ascii="宋体" w:hAnsi="宋体" w:cs="宋体"/>
          <w:kern w:val="0"/>
          <w:sz w:val="32"/>
          <w:szCs w:val="32"/>
        </w:rPr>
      </w:pPr>
      <w:r>
        <w:rPr>
          <w:rFonts w:hint="eastAsia" w:ascii="宋体" w:hAnsi="宋体" w:cs="宋体"/>
          <w:kern w:val="0"/>
          <w:sz w:val="32"/>
          <w:szCs w:val="32"/>
        </w:rPr>
        <w:t>日期：</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65B867A8">
      <w:pPr>
        <w:autoSpaceDE w:val="0"/>
        <w:autoSpaceDN w:val="0"/>
        <w:adjustRightInd w:val="0"/>
        <w:spacing w:line="600" w:lineRule="auto"/>
        <w:jc w:val="center"/>
        <w:rPr>
          <w:rFonts w:ascii="宋体" w:hAnsi="宋体" w:cs="宋体"/>
          <w:kern w:val="0"/>
          <w:sz w:val="36"/>
          <w:szCs w:val="36"/>
        </w:rPr>
      </w:pPr>
      <w:r>
        <w:rPr>
          <w:rFonts w:hint="eastAsia" w:ascii="宋体" w:hAnsi="宋体" w:cs="宋体"/>
          <w:kern w:val="0"/>
          <w:sz w:val="36"/>
          <w:szCs w:val="36"/>
        </w:rPr>
        <w:t xml:space="preserve"> </w:t>
      </w:r>
    </w:p>
    <w:p w14:paraId="6E6D88F2">
      <w:pPr>
        <w:autoSpaceDE w:val="0"/>
        <w:autoSpaceDN w:val="0"/>
        <w:adjustRightInd w:val="0"/>
        <w:spacing w:line="420" w:lineRule="exact"/>
        <w:jc w:val="left"/>
        <w:rPr>
          <w:kern w:val="0"/>
          <w:sz w:val="24"/>
        </w:rPr>
      </w:pPr>
    </w:p>
    <w:p w14:paraId="7B2BA1D9">
      <w:pPr>
        <w:pStyle w:val="20"/>
        <w:adjustRightInd w:val="0"/>
        <w:snapToGrid w:val="0"/>
        <w:spacing w:line="420" w:lineRule="exact"/>
        <w:rPr>
          <w:rFonts w:hAnsi="宋体" w:cs="宋体"/>
          <w:kern w:val="0"/>
          <w:sz w:val="28"/>
          <w:szCs w:val="28"/>
        </w:rPr>
      </w:pPr>
      <w:r>
        <w:rPr>
          <w:rFonts w:hint="eastAsia" w:hAnsi="宋体" w:cs="宋体"/>
          <w:kern w:val="0"/>
          <w:sz w:val="28"/>
          <w:szCs w:val="28"/>
        </w:rPr>
        <w:br w:type="page"/>
      </w:r>
    </w:p>
    <w:p w14:paraId="53ECFE70">
      <w:pPr>
        <w:pStyle w:val="7"/>
        <w:spacing w:line="420" w:lineRule="exact"/>
        <w:rPr>
          <w:kern w:val="0"/>
        </w:rPr>
      </w:pPr>
      <w:r>
        <w:rPr>
          <w:rFonts w:hint="eastAsia"/>
          <w:kern w:val="0"/>
        </w:rPr>
        <w:t>3.3、开标一览表</w:t>
      </w:r>
    </w:p>
    <w:p w14:paraId="45E9EB39">
      <w:pPr>
        <w:pStyle w:val="20"/>
        <w:adjustRightInd w:val="0"/>
        <w:snapToGrid w:val="0"/>
        <w:spacing w:before="156" w:beforeLines="50" w:after="156" w:afterLines="50" w:line="42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开标一览表</w:t>
      </w:r>
    </w:p>
    <w:p w14:paraId="39F1D00F">
      <w:pPr>
        <w:pStyle w:val="20"/>
        <w:adjustRightInd w:val="0"/>
        <w:snapToGrid w:val="0"/>
        <w:spacing w:line="420" w:lineRule="exact"/>
        <w:rPr>
          <w:rFonts w:hint="eastAsia" w:hAnsi="宋体" w:cs="宋体" w:eastAsiaTheme="minorEastAsia"/>
          <w:spacing w:val="-4"/>
          <w:kern w:val="0"/>
          <w:sz w:val="24"/>
          <w:szCs w:val="24"/>
          <w:lang w:eastAsia="zh-CN"/>
        </w:rPr>
      </w:pPr>
      <w:r>
        <w:rPr>
          <w:rFonts w:hint="eastAsia" w:hAnsi="宋体" w:cs="宋体"/>
          <w:kern w:val="0"/>
          <w:sz w:val="24"/>
          <w:szCs w:val="24"/>
        </w:rPr>
        <w:t>项目名称：</w:t>
      </w:r>
      <w:r>
        <w:rPr>
          <w:rFonts w:hint="eastAsia" w:hAnsi="宋体" w:cs="宋体"/>
          <w:spacing w:val="-4"/>
          <w:kern w:val="0"/>
          <w:sz w:val="24"/>
          <w:szCs w:val="24"/>
          <w:lang w:eastAsia="zh-CN"/>
        </w:rPr>
        <w:t>2025年度苍南县藻溪镇保洁及绿化养护服务项目</w:t>
      </w:r>
    </w:p>
    <w:p w14:paraId="0CC7ADF0">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项目编号：   </w:t>
      </w:r>
    </w:p>
    <w:p w14:paraId="63688589">
      <w:pPr>
        <w:autoSpaceDE w:val="0"/>
        <w:autoSpaceDN w:val="0"/>
        <w:adjustRightInd w:val="0"/>
        <w:spacing w:line="420" w:lineRule="exact"/>
        <w:jc w:val="left"/>
        <w:rPr>
          <w:rFonts w:ascii="宋体" w:hAnsi="宋体" w:cs="宋体"/>
          <w:kern w:val="0"/>
          <w:sz w:val="24"/>
        </w:rPr>
      </w:pP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826"/>
        <w:gridCol w:w="6496"/>
      </w:tblGrid>
      <w:tr w14:paraId="3DA672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 w:hRule="atLeast"/>
        </w:trPr>
        <w:tc>
          <w:tcPr>
            <w:tcW w:w="2826" w:type="dxa"/>
            <w:vAlign w:val="center"/>
          </w:tcPr>
          <w:p w14:paraId="3BD7BF32">
            <w:pPr>
              <w:pStyle w:val="20"/>
              <w:adjustRightInd w:val="0"/>
              <w:snapToGrid w:val="0"/>
              <w:spacing w:line="420" w:lineRule="exact"/>
              <w:jc w:val="center"/>
              <w:rPr>
                <w:rFonts w:hAnsi="宋体" w:cs="宋体"/>
                <w:b/>
                <w:kern w:val="0"/>
                <w:sz w:val="24"/>
                <w:szCs w:val="24"/>
              </w:rPr>
            </w:pPr>
            <w:r>
              <w:rPr>
                <w:rFonts w:hint="eastAsia" w:hAnsi="宋体" w:cs="宋体"/>
                <w:b/>
                <w:kern w:val="0"/>
                <w:sz w:val="24"/>
                <w:szCs w:val="24"/>
              </w:rPr>
              <w:t>项目名称</w:t>
            </w:r>
          </w:p>
        </w:tc>
        <w:tc>
          <w:tcPr>
            <w:tcW w:w="6496" w:type="dxa"/>
            <w:vAlign w:val="center"/>
          </w:tcPr>
          <w:p w14:paraId="5ECEC69E">
            <w:pPr>
              <w:pStyle w:val="20"/>
              <w:adjustRightInd w:val="0"/>
              <w:snapToGrid w:val="0"/>
              <w:spacing w:line="420" w:lineRule="exact"/>
              <w:jc w:val="center"/>
              <w:rPr>
                <w:rFonts w:hint="eastAsia" w:hAnsi="宋体" w:cs="宋体" w:eastAsiaTheme="minorEastAsia"/>
                <w:b/>
                <w:kern w:val="0"/>
                <w:sz w:val="24"/>
                <w:szCs w:val="24"/>
                <w:lang w:eastAsia="zh-CN"/>
              </w:rPr>
            </w:pPr>
            <w:r>
              <w:rPr>
                <w:rFonts w:hint="eastAsia" w:hAnsi="宋体" w:cs="宋体"/>
                <w:b/>
                <w:kern w:val="0"/>
                <w:sz w:val="24"/>
                <w:szCs w:val="24"/>
                <w:lang w:eastAsia="zh-CN"/>
              </w:rPr>
              <w:t>2025年度苍南县藻溪镇保洁及绿化养护服务项目</w:t>
            </w:r>
          </w:p>
        </w:tc>
      </w:tr>
      <w:tr w14:paraId="305AC7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Merge w:val="restart"/>
            <w:vAlign w:val="center"/>
          </w:tcPr>
          <w:p w14:paraId="35963AB6">
            <w:pPr>
              <w:pStyle w:val="20"/>
              <w:adjustRightInd w:val="0"/>
              <w:snapToGrid w:val="0"/>
              <w:spacing w:line="420" w:lineRule="exact"/>
              <w:jc w:val="center"/>
              <w:rPr>
                <w:rFonts w:hAnsi="宋体" w:cs="宋体"/>
                <w:b/>
                <w:kern w:val="0"/>
                <w:sz w:val="24"/>
                <w:szCs w:val="24"/>
              </w:rPr>
            </w:pPr>
            <w:r>
              <w:rPr>
                <w:rFonts w:hint="eastAsia" w:hAnsi="宋体" w:cs="宋体"/>
                <w:b/>
                <w:kern w:val="0"/>
                <w:sz w:val="24"/>
                <w:szCs w:val="24"/>
              </w:rPr>
              <w:t>投标总价</w:t>
            </w:r>
          </w:p>
        </w:tc>
        <w:tc>
          <w:tcPr>
            <w:tcW w:w="6496" w:type="dxa"/>
            <w:vAlign w:val="center"/>
          </w:tcPr>
          <w:p w14:paraId="5F573A0C">
            <w:pPr>
              <w:pStyle w:val="20"/>
              <w:adjustRightInd w:val="0"/>
              <w:snapToGrid w:val="0"/>
              <w:spacing w:line="420" w:lineRule="exact"/>
              <w:rPr>
                <w:rFonts w:hAnsi="宋体" w:cs="宋体"/>
                <w:b/>
                <w:kern w:val="0"/>
                <w:sz w:val="24"/>
                <w:szCs w:val="24"/>
              </w:rPr>
            </w:pPr>
            <w:r>
              <w:rPr>
                <w:rFonts w:hint="eastAsia" w:hAnsi="宋体" w:cs="宋体"/>
                <w:b/>
                <w:kern w:val="0"/>
                <w:sz w:val="24"/>
                <w:szCs w:val="24"/>
              </w:rPr>
              <w:t>（人民币，小写）：</w:t>
            </w:r>
          </w:p>
        </w:tc>
      </w:tr>
      <w:tr w14:paraId="08988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2826" w:type="dxa"/>
            <w:vMerge w:val="continue"/>
            <w:vAlign w:val="center"/>
          </w:tcPr>
          <w:p w14:paraId="25AC536E">
            <w:pPr>
              <w:pStyle w:val="20"/>
              <w:adjustRightInd w:val="0"/>
              <w:snapToGrid w:val="0"/>
              <w:spacing w:line="420" w:lineRule="exact"/>
              <w:jc w:val="center"/>
              <w:rPr>
                <w:rFonts w:hAnsi="宋体"/>
                <w:b/>
                <w:bCs/>
                <w:spacing w:val="20"/>
                <w:sz w:val="32"/>
                <w:szCs w:val="32"/>
              </w:rPr>
            </w:pPr>
          </w:p>
        </w:tc>
        <w:tc>
          <w:tcPr>
            <w:tcW w:w="6496" w:type="dxa"/>
            <w:vAlign w:val="center"/>
          </w:tcPr>
          <w:p w14:paraId="5F097348">
            <w:pPr>
              <w:pStyle w:val="20"/>
              <w:adjustRightInd w:val="0"/>
              <w:snapToGrid w:val="0"/>
              <w:spacing w:line="420" w:lineRule="exact"/>
              <w:rPr>
                <w:rFonts w:hAnsi="宋体"/>
                <w:b/>
                <w:bCs/>
                <w:spacing w:val="20"/>
                <w:sz w:val="32"/>
                <w:szCs w:val="32"/>
              </w:rPr>
            </w:pPr>
            <w:r>
              <w:rPr>
                <w:rFonts w:hint="eastAsia" w:hAnsi="宋体" w:cs="宋体"/>
                <w:b/>
                <w:kern w:val="0"/>
                <w:sz w:val="24"/>
                <w:szCs w:val="24"/>
              </w:rPr>
              <w:t>（人民币，大写）：</w:t>
            </w:r>
          </w:p>
        </w:tc>
      </w:tr>
      <w:tr w14:paraId="769ED5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826" w:type="dxa"/>
            <w:vAlign w:val="center"/>
          </w:tcPr>
          <w:p w14:paraId="5E6F5AB7">
            <w:pPr>
              <w:pStyle w:val="20"/>
              <w:adjustRightInd w:val="0"/>
              <w:snapToGrid w:val="0"/>
              <w:spacing w:line="420" w:lineRule="exact"/>
              <w:jc w:val="center"/>
              <w:rPr>
                <w:rFonts w:hAnsi="宋体" w:cs="宋体"/>
                <w:b/>
                <w:kern w:val="0"/>
                <w:sz w:val="24"/>
                <w:szCs w:val="24"/>
              </w:rPr>
            </w:pPr>
            <w:r>
              <w:rPr>
                <w:rFonts w:hint="eastAsia" w:hAnsi="宋体" w:cs="宋体"/>
                <w:b/>
                <w:kern w:val="0"/>
                <w:sz w:val="24"/>
                <w:szCs w:val="24"/>
              </w:rPr>
              <w:t>服务期限</w:t>
            </w:r>
          </w:p>
        </w:tc>
        <w:tc>
          <w:tcPr>
            <w:tcW w:w="6496" w:type="dxa"/>
            <w:vAlign w:val="center"/>
          </w:tcPr>
          <w:p w14:paraId="70F809DA">
            <w:pPr>
              <w:pStyle w:val="20"/>
              <w:adjustRightInd w:val="0"/>
              <w:snapToGrid w:val="0"/>
              <w:spacing w:line="420" w:lineRule="exact"/>
              <w:jc w:val="center"/>
              <w:rPr>
                <w:rFonts w:hAnsi="宋体" w:cs="宋体"/>
                <w:kern w:val="0"/>
                <w:sz w:val="24"/>
                <w:szCs w:val="24"/>
              </w:rPr>
            </w:pPr>
          </w:p>
        </w:tc>
      </w:tr>
      <w:tr w14:paraId="11DDC1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2826" w:type="dxa"/>
            <w:vAlign w:val="center"/>
          </w:tcPr>
          <w:p w14:paraId="42C4A2EB">
            <w:pPr>
              <w:pStyle w:val="20"/>
              <w:adjustRightInd w:val="0"/>
              <w:snapToGrid w:val="0"/>
              <w:spacing w:line="420" w:lineRule="exact"/>
              <w:jc w:val="center"/>
              <w:rPr>
                <w:rFonts w:hAnsi="宋体" w:cs="宋体"/>
                <w:b/>
                <w:kern w:val="0"/>
                <w:sz w:val="24"/>
                <w:szCs w:val="24"/>
              </w:rPr>
            </w:pPr>
            <w:r>
              <w:rPr>
                <w:rFonts w:hint="eastAsia" w:hAnsi="宋体" w:cs="宋体"/>
                <w:b/>
                <w:kern w:val="0"/>
                <w:sz w:val="24"/>
                <w:szCs w:val="24"/>
              </w:rPr>
              <w:t>备注</w:t>
            </w:r>
          </w:p>
        </w:tc>
        <w:tc>
          <w:tcPr>
            <w:tcW w:w="6496" w:type="dxa"/>
            <w:vAlign w:val="center"/>
          </w:tcPr>
          <w:p w14:paraId="0CAADC9A">
            <w:pPr>
              <w:pStyle w:val="20"/>
              <w:adjustRightInd w:val="0"/>
              <w:snapToGrid w:val="0"/>
              <w:spacing w:line="420" w:lineRule="exact"/>
              <w:jc w:val="center"/>
              <w:rPr>
                <w:rFonts w:hAnsi="宋体"/>
                <w:b/>
                <w:bCs/>
                <w:spacing w:val="20"/>
                <w:sz w:val="32"/>
                <w:szCs w:val="32"/>
              </w:rPr>
            </w:pPr>
          </w:p>
        </w:tc>
      </w:tr>
    </w:tbl>
    <w:p w14:paraId="03556F99">
      <w:pPr>
        <w:autoSpaceDE w:val="0"/>
        <w:autoSpaceDN w:val="0"/>
        <w:adjustRightInd w:val="0"/>
        <w:spacing w:line="420" w:lineRule="exact"/>
        <w:jc w:val="left"/>
        <w:rPr>
          <w:rFonts w:ascii="宋体" w:hAnsi="宋体" w:cs="宋体"/>
          <w:kern w:val="0"/>
          <w:szCs w:val="22"/>
        </w:rPr>
      </w:pPr>
      <w:r>
        <w:rPr>
          <w:rFonts w:hint="eastAsia" w:ascii="宋体" w:hAnsi="宋体" w:cs="宋体"/>
          <w:kern w:val="0"/>
          <w:szCs w:val="22"/>
        </w:rPr>
        <w:t>说明：</w:t>
      </w:r>
    </w:p>
    <w:p w14:paraId="7FA6EC1D">
      <w:pPr>
        <w:autoSpaceDE w:val="0"/>
        <w:autoSpaceDN w:val="0"/>
        <w:adjustRightInd w:val="0"/>
        <w:spacing w:line="420" w:lineRule="exact"/>
        <w:jc w:val="left"/>
        <w:rPr>
          <w:rFonts w:ascii="宋体" w:hAnsi="宋体" w:cs="宋体"/>
          <w:kern w:val="0"/>
          <w:szCs w:val="22"/>
        </w:rPr>
      </w:pPr>
      <w:r>
        <w:rPr>
          <w:rFonts w:ascii="宋体" w:hAnsi="宋体" w:cs="宋体"/>
          <w:kern w:val="0"/>
          <w:szCs w:val="22"/>
        </w:rPr>
        <w:t>1</w:t>
      </w:r>
      <w:r>
        <w:rPr>
          <w:rFonts w:hint="eastAsia" w:ascii="宋体" w:hAnsi="宋体" w:cs="宋体"/>
          <w:kern w:val="0"/>
          <w:szCs w:val="22"/>
        </w:rPr>
        <w:t>、报价一览表中报价为符合采购文件要求的项目投标价（含税、运保、随机工具、随机附件等费用），同时包括提供服务及其他所有服务所需的一切人员工资、奖金、各种加班费、各种社会保险、食宿（工作日的午餐）与交通、专用设备及工具、器械、消耗材料、服装、安全、管理费用、税费、利润、验收费（评审费）、完成合同所需的一切本身和不可或缺的所有工作开支、政策性文件规定，合同包含的所有风险、责任等相关各项其他可能产生的全部费用。</w:t>
      </w:r>
    </w:p>
    <w:p w14:paraId="41BD02D5">
      <w:pPr>
        <w:autoSpaceDE w:val="0"/>
        <w:autoSpaceDN w:val="0"/>
        <w:adjustRightInd w:val="0"/>
        <w:spacing w:line="420" w:lineRule="exact"/>
        <w:jc w:val="left"/>
        <w:rPr>
          <w:b/>
          <w:kern w:val="0"/>
          <w:szCs w:val="22"/>
        </w:rPr>
      </w:pPr>
      <w:r>
        <w:rPr>
          <w:rFonts w:ascii="宋体" w:hAnsi="宋体" w:cs="宋体"/>
          <w:b/>
          <w:kern w:val="0"/>
          <w:szCs w:val="22"/>
        </w:rPr>
        <w:t>2</w:t>
      </w:r>
      <w:r>
        <w:rPr>
          <w:rFonts w:hint="eastAsia" w:ascii="宋体" w:hAnsi="宋体" w:cs="宋体"/>
          <w:b/>
          <w:kern w:val="0"/>
          <w:szCs w:val="22"/>
        </w:rPr>
        <w:t>、本表报价大小写不一致以大写为准；本表投标总价和投标报价组成表合计总价不一致以本表为准。</w:t>
      </w:r>
    </w:p>
    <w:p w14:paraId="0B227E53">
      <w:pPr>
        <w:autoSpaceDE w:val="0"/>
        <w:autoSpaceDN w:val="0"/>
        <w:adjustRightInd w:val="0"/>
        <w:spacing w:line="420" w:lineRule="exact"/>
        <w:jc w:val="left"/>
        <w:rPr>
          <w:b/>
          <w:kern w:val="0"/>
          <w:szCs w:val="22"/>
        </w:rPr>
      </w:pPr>
      <w:r>
        <w:rPr>
          <w:rFonts w:ascii="宋体" w:hAnsi="宋体" w:cs="宋体"/>
          <w:b/>
          <w:kern w:val="0"/>
          <w:szCs w:val="22"/>
        </w:rPr>
        <w:t>3</w:t>
      </w:r>
      <w:r>
        <w:rPr>
          <w:rFonts w:hint="eastAsia" w:ascii="宋体" w:hAnsi="宋体" w:cs="宋体"/>
          <w:b/>
          <w:kern w:val="0"/>
          <w:szCs w:val="22"/>
        </w:rPr>
        <w:t>、</w:t>
      </w:r>
      <w:r>
        <w:rPr>
          <w:rFonts w:ascii="宋体" w:hAnsi="宋体" w:cs="宋体"/>
          <w:b/>
          <w:kern w:val="0"/>
          <w:szCs w:val="22"/>
        </w:rPr>
        <w:t>▲</w:t>
      </w:r>
      <w:r>
        <w:rPr>
          <w:rFonts w:hint="eastAsia" w:ascii="宋体" w:hAnsi="宋体" w:cs="宋体"/>
          <w:b/>
          <w:kern w:val="0"/>
          <w:szCs w:val="22"/>
        </w:rPr>
        <w:t>此表不得自行增减内容，不提供此表格将被视为没有实质性响应招标文件，其投标文件将被拒绝。</w:t>
      </w:r>
      <w:r>
        <w:rPr>
          <w:rFonts w:ascii="宋体" w:hAnsi="宋体" w:cs="宋体"/>
          <w:b/>
          <w:kern w:val="0"/>
          <w:szCs w:val="22"/>
        </w:rPr>
        <w:t xml:space="preserve"> </w:t>
      </w:r>
    </w:p>
    <w:p w14:paraId="4554DA91">
      <w:pPr>
        <w:pStyle w:val="20"/>
        <w:adjustRightInd w:val="0"/>
        <w:snapToGrid w:val="0"/>
        <w:spacing w:line="420" w:lineRule="exact"/>
        <w:rPr>
          <w:rFonts w:hAnsi="宋体" w:cs="宋体"/>
          <w:kern w:val="0"/>
          <w:sz w:val="28"/>
          <w:szCs w:val="28"/>
        </w:rPr>
      </w:pPr>
    </w:p>
    <w:p w14:paraId="6351D127">
      <w:pPr>
        <w:pStyle w:val="20"/>
        <w:adjustRightInd w:val="0"/>
        <w:snapToGrid w:val="0"/>
        <w:spacing w:line="420" w:lineRule="exact"/>
        <w:rPr>
          <w:rFonts w:hAnsi="宋体" w:cs="宋体"/>
          <w:kern w:val="0"/>
          <w:sz w:val="28"/>
          <w:szCs w:val="28"/>
        </w:rPr>
      </w:pPr>
      <w:r>
        <w:rPr>
          <w:rFonts w:hint="eastAsia" w:hAnsi="宋体" w:cs="宋体"/>
          <w:kern w:val="0"/>
          <w:sz w:val="28"/>
          <w:szCs w:val="28"/>
        </w:rPr>
        <w:t>投标供应商名称（电子签章）：</w:t>
      </w:r>
      <w:r>
        <w:rPr>
          <w:rFonts w:hint="eastAsia" w:hAnsi="宋体" w:cs="宋体"/>
          <w:kern w:val="0"/>
          <w:sz w:val="28"/>
          <w:szCs w:val="28"/>
          <w:u w:val="single"/>
        </w:rPr>
        <w:t xml:space="preserve">                    </w:t>
      </w:r>
      <w:r>
        <w:rPr>
          <w:rFonts w:hint="eastAsia" w:hAnsi="宋体" w:cs="宋体"/>
          <w:kern w:val="0"/>
          <w:sz w:val="28"/>
          <w:szCs w:val="28"/>
        </w:rPr>
        <w:t xml:space="preserve"> </w:t>
      </w:r>
    </w:p>
    <w:p w14:paraId="54D1B542">
      <w:pPr>
        <w:pStyle w:val="20"/>
        <w:adjustRightInd w:val="0"/>
        <w:snapToGrid w:val="0"/>
        <w:spacing w:line="420" w:lineRule="exact"/>
        <w:rPr>
          <w:rFonts w:hAnsi="宋体" w:cs="宋体"/>
          <w:kern w:val="0"/>
          <w:sz w:val="28"/>
          <w:szCs w:val="28"/>
          <w:u w:val="single"/>
        </w:rPr>
      </w:pPr>
      <w:r>
        <w:rPr>
          <w:rFonts w:hint="eastAsia" w:hAnsi="宋体" w:cs="宋体"/>
          <w:kern w:val="0"/>
          <w:sz w:val="28"/>
          <w:szCs w:val="28"/>
        </w:rPr>
        <w:t>法定代表人或其授权代表（签字或盖章）：</w:t>
      </w:r>
      <w:r>
        <w:rPr>
          <w:rFonts w:hint="eastAsia" w:hAnsi="宋体" w:cs="宋体"/>
          <w:kern w:val="0"/>
          <w:sz w:val="28"/>
          <w:szCs w:val="28"/>
          <w:u w:val="single"/>
        </w:rPr>
        <w:t xml:space="preserve">              </w:t>
      </w:r>
    </w:p>
    <w:p w14:paraId="0C239AFE">
      <w:pPr>
        <w:pStyle w:val="20"/>
        <w:adjustRightInd w:val="0"/>
        <w:snapToGrid w:val="0"/>
        <w:spacing w:line="420" w:lineRule="exact"/>
        <w:rPr>
          <w:rFonts w:hAnsi="宋体" w:cs="宋体"/>
          <w:kern w:val="0"/>
          <w:sz w:val="28"/>
          <w:szCs w:val="28"/>
        </w:rPr>
      </w:pPr>
      <w:r>
        <w:rPr>
          <w:rFonts w:hint="eastAsia" w:hAnsi="宋体" w:cs="宋体"/>
          <w:kern w:val="0"/>
          <w:sz w:val="28"/>
          <w:szCs w:val="28"/>
        </w:rPr>
        <w:t xml:space="preserve">日期： </w:t>
      </w:r>
      <w:r>
        <w:rPr>
          <w:rFonts w:hint="eastAsia" w:hAnsi="宋体" w:cs="宋体"/>
          <w:kern w:val="0"/>
          <w:sz w:val="28"/>
          <w:szCs w:val="28"/>
          <w:u w:val="single"/>
        </w:rPr>
        <w:t xml:space="preserve">                 </w:t>
      </w:r>
      <w:r>
        <w:rPr>
          <w:rFonts w:hint="eastAsia" w:hAnsi="宋体" w:cs="宋体"/>
          <w:kern w:val="0"/>
          <w:sz w:val="28"/>
          <w:szCs w:val="28"/>
        </w:rPr>
        <w:t xml:space="preserve">    </w:t>
      </w:r>
    </w:p>
    <w:p w14:paraId="4CFDB8F8">
      <w:pPr>
        <w:pStyle w:val="20"/>
        <w:adjustRightInd w:val="0"/>
        <w:snapToGrid w:val="0"/>
        <w:spacing w:line="420" w:lineRule="exact"/>
        <w:rPr>
          <w:rFonts w:hAnsi="宋体"/>
          <w:b/>
        </w:rPr>
      </w:pPr>
    </w:p>
    <w:p w14:paraId="3CADF2DD">
      <w:pPr>
        <w:pStyle w:val="20"/>
        <w:adjustRightInd w:val="0"/>
        <w:snapToGrid w:val="0"/>
        <w:spacing w:line="420" w:lineRule="exact"/>
        <w:rPr>
          <w:rFonts w:hAnsi="宋体" w:cs="宋体"/>
          <w:kern w:val="0"/>
          <w:sz w:val="28"/>
          <w:szCs w:val="28"/>
        </w:rPr>
      </w:pPr>
      <w:r>
        <w:rPr>
          <w:rFonts w:hAnsi="宋体" w:cs="宋体"/>
          <w:kern w:val="0"/>
          <w:sz w:val="28"/>
          <w:szCs w:val="28"/>
        </w:rPr>
        <w:br w:type="page"/>
      </w:r>
    </w:p>
    <w:p w14:paraId="784AC9EB">
      <w:pPr>
        <w:pStyle w:val="7"/>
        <w:spacing w:line="420" w:lineRule="exact"/>
        <w:rPr>
          <w:kern w:val="0"/>
        </w:rPr>
      </w:pPr>
      <w:r>
        <w:rPr>
          <w:rFonts w:hint="eastAsia"/>
          <w:kern w:val="0"/>
        </w:rPr>
        <w:t>3.4</w:t>
      </w:r>
      <w:r>
        <w:rPr>
          <w:kern w:val="0"/>
        </w:rPr>
        <w:t>.1</w:t>
      </w:r>
      <w:r>
        <w:rPr>
          <w:rFonts w:hint="eastAsia"/>
          <w:kern w:val="0"/>
        </w:rPr>
        <w:t>、投标报价组成表</w:t>
      </w:r>
    </w:p>
    <w:p w14:paraId="69800DD7">
      <w:pPr>
        <w:pStyle w:val="20"/>
        <w:adjustRightInd w:val="0"/>
        <w:snapToGrid w:val="0"/>
        <w:spacing w:before="156" w:beforeLines="50" w:after="156" w:afterLines="50" w:line="420" w:lineRule="exact"/>
        <w:jc w:val="center"/>
        <w:rPr>
          <w:rFonts w:hint="eastAsia" w:cs="宋体" w:asciiTheme="minorEastAsia" w:hAnsiTheme="minorEastAsia"/>
          <w:b/>
          <w:kern w:val="0"/>
          <w:sz w:val="36"/>
          <w:szCs w:val="36"/>
        </w:rPr>
      </w:pPr>
      <w:r>
        <w:rPr>
          <w:rFonts w:hint="eastAsia" w:cs="宋体" w:asciiTheme="minorEastAsia" w:hAnsiTheme="minorEastAsia"/>
          <w:b/>
          <w:kern w:val="0"/>
          <w:sz w:val="36"/>
          <w:szCs w:val="36"/>
        </w:rPr>
        <w:t>投标报价组成表</w:t>
      </w:r>
    </w:p>
    <w:p w14:paraId="449A1D64">
      <w:pPr>
        <w:pStyle w:val="20"/>
        <w:adjustRightInd w:val="0"/>
        <w:snapToGrid w:val="0"/>
        <w:spacing w:before="156" w:beforeLines="50" w:after="156" w:afterLines="50" w:line="420" w:lineRule="exact"/>
        <w:jc w:val="center"/>
        <w:rPr>
          <w:rFonts w:hint="eastAsia" w:hAnsi="宋体" w:cs="宋体" w:eastAsiaTheme="minorEastAsia"/>
          <w:spacing w:val="-4"/>
          <w:kern w:val="0"/>
          <w:sz w:val="24"/>
          <w:szCs w:val="24"/>
          <w:lang w:eastAsia="zh-CN"/>
        </w:rPr>
      </w:pPr>
      <w:r>
        <w:rPr>
          <w:rFonts w:hint="eastAsia" w:hAnsi="宋体" w:cs="宋体"/>
          <w:kern w:val="0"/>
          <w:sz w:val="24"/>
          <w:szCs w:val="24"/>
        </w:rPr>
        <w:t>项目名称：</w:t>
      </w:r>
      <w:r>
        <w:rPr>
          <w:rFonts w:hint="eastAsia" w:hAnsi="宋体" w:cs="宋体"/>
          <w:spacing w:val="-4"/>
          <w:kern w:val="0"/>
          <w:sz w:val="24"/>
          <w:szCs w:val="24"/>
          <w:lang w:eastAsia="zh-CN"/>
        </w:rPr>
        <w:t>2025年度苍南县藻溪镇保洁及绿化养护服务项目</w:t>
      </w:r>
    </w:p>
    <w:p w14:paraId="6766549A">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 xml:space="preserve">项目编号：                   </w:t>
      </w:r>
    </w:p>
    <w:tbl>
      <w:tblPr>
        <w:tblStyle w:val="32"/>
        <w:tblW w:w="9782" w:type="dxa"/>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4"/>
        <w:gridCol w:w="514"/>
        <w:gridCol w:w="3065"/>
        <w:gridCol w:w="1701"/>
        <w:gridCol w:w="851"/>
        <w:gridCol w:w="1276"/>
        <w:gridCol w:w="1701"/>
      </w:tblGrid>
      <w:tr w14:paraId="6A1ED6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674" w:type="dxa"/>
            <w:vAlign w:val="center"/>
          </w:tcPr>
          <w:p w14:paraId="5BC87887">
            <w:pPr>
              <w:spacing w:line="420" w:lineRule="exact"/>
              <w:jc w:val="center"/>
              <w:rPr>
                <w:b/>
                <w:szCs w:val="21"/>
              </w:rPr>
            </w:pPr>
            <w:r>
              <w:rPr>
                <w:rFonts w:hint="eastAsia"/>
                <w:b/>
                <w:szCs w:val="21"/>
              </w:rPr>
              <w:t>序号</w:t>
            </w:r>
          </w:p>
        </w:tc>
        <w:tc>
          <w:tcPr>
            <w:tcW w:w="3579" w:type="dxa"/>
            <w:gridSpan w:val="2"/>
            <w:vAlign w:val="center"/>
          </w:tcPr>
          <w:p w14:paraId="34C4B20E">
            <w:pPr>
              <w:spacing w:line="420" w:lineRule="exact"/>
              <w:jc w:val="center"/>
              <w:rPr>
                <w:b/>
                <w:szCs w:val="21"/>
              </w:rPr>
            </w:pPr>
            <w:r>
              <w:rPr>
                <w:rFonts w:hint="eastAsia"/>
                <w:b/>
                <w:szCs w:val="21"/>
              </w:rPr>
              <w:t>项目</w:t>
            </w:r>
          </w:p>
        </w:tc>
        <w:tc>
          <w:tcPr>
            <w:tcW w:w="1701" w:type="dxa"/>
            <w:vAlign w:val="center"/>
          </w:tcPr>
          <w:p w14:paraId="78EF82D9">
            <w:pPr>
              <w:spacing w:line="420" w:lineRule="exact"/>
              <w:jc w:val="center"/>
              <w:rPr>
                <w:b/>
                <w:szCs w:val="21"/>
              </w:rPr>
            </w:pPr>
            <w:r>
              <w:rPr>
                <w:rFonts w:hint="eastAsia"/>
                <w:b/>
                <w:szCs w:val="21"/>
              </w:rPr>
              <w:t>年费用</w:t>
            </w:r>
          </w:p>
        </w:tc>
        <w:tc>
          <w:tcPr>
            <w:tcW w:w="851" w:type="dxa"/>
            <w:vAlign w:val="center"/>
          </w:tcPr>
          <w:p w14:paraId="177BAEC7">
            <w:pPr>
              <w:spacing w:line="420" w:lineRule="exact"/>
              <w:jc w:val="center"/>
              <w:rPr>
                <w:b/>
                <w:szCs w:val="21"/>
              </w:rPr>
            </w:pPr>
            <w:r>
              <w:rPr>
                <w:rFonts w:hint="eastAsia"/>
                <w:b/>
                <w:szCs w:val="21"/>
              </w:rPr>
              <w:t>数量</w:t>
            </w:r>
          </w:p>
        </w:tc>
        <w:tc>
          <w:tcPr>
            <w:tcW w:w="1276" w:type="dxa"/>
            <w:vAlign w:val="center"/>
          </w:tcPr>
          <w:p w14:paraId="7EECCA27">
            <w:pPr>
              <w:spacing w:line="420" w:lineRule="exact"/>
              <w:jc w:val="center"/>
              <w:rPr>
                <w:b/>
                <w:szCs w:val="21"/>
              </w:rPr>
            </w:pPr>
            <w:r>
              <w:rPr>
                <w:rFonts w:hint="eastAsia"/>
                <w:b/>
                <w:szCs w:val="21"/>
              </w:rPr>
              <w:t>小计（元）</w:t>
            </w:r>
          </w:p>
        </w:tc>
        <w:tc>
          <w:tcPr>
            <w:tcW w:w="1701" w:type="dxa"/>
            <w:vAlign w:val="center"/>
          </w:tcPr>
          <w:p w14:paraId="5D142D68">
            <w:pPr>
              <w:spacing w:line="420" w:lineRule="exact"/>
              <w:jc w:val="center"/>
              <w:rPr>
                <w:b/>
                <w:szCs w:val="21"/>
              </w:rPr>
            </w:pPr>
            <w:r>
              <w:rPr>
                <w:rFonts w:hint="eastAsia"/>
                <w:b/>
                <w:szCs w:val="21"/>
              </w:rPr>
              <w:t>备注</w:t>
            </w:r>
          </w:p>
        </w:tc>
      </w:tr>
      <w:tr w14:paraId="7462B0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674" w:type="dxa"/>
            <w:vAlign w:val="center"/>
          </w:tcPr>
          <w:p w14:paraId="3C1FB51F">
            <w:pPr>
              <w:spacing w:line="420" w:lineRule="exact"/>
              <w:jc w:val="center"/>
              <w:rPr>
                <w:rFonts w:ascii="宋体" w:hAnsi="宋体" w:cs="宋体"/>
              </w:rPr>
            </w:pPr>
            <w:r>
              <w:rPr>
                <w:rFonts w:hint="eastAsia" w:ascii="宋体" w:hAnsi="宋体" w:cs="宋体"/>
              </w:rPr>
              <w:t>1</w:t>
            </w:r>
          </w:p>
        </w:tc>
        <w:tc>
          <w:tcPr>
            <w:tcW w:w="3579" w:type="dxa"/>
            <w:gridSpan w:val="2"/>
            <w:vAlign w:val="center"/>
          </w:tcPr>
          <w:p w14:paraId="27743829">
            <w:pPr>
              <w:spacing w:line="420" w:lineRule="exact"/>
              <w:jc w:val="center"/>
              <w:rPr>
                <w:szCs w:val="22"/>
              </w:rPr>
            </w:pPr>
            <w:r>
              <w:rPr>
                <w:rFonts w:hint="eastAsia" w:ascii="宋体" w:hAnsi="宋体" w:cs="宋体"/>
                <w:szCs w:val="22"/>
              </w:rPr>
              <w:t>人员成本费用</w:t>
            </w:r>
          </w:p>
        </w:tc>
        <w:tc>
          <w:tcPr>
            <w:tcW w:w="1701" w:type="dxa"/>
            <w:vAlign w:val="center"/>
          </w:tcPr>
          <w:p w14:paraId="309B44D4">
            <w:pPr>
              <w:spacing w:line="420" w:lineRule="exact"/>
              <w:jc w:val="right"/>
              <w:textAlignment w:val="center"/>
              <w:rPr>
                <w:rFonts w:ascii="宋体" w:hAnsi="宋体" w:cs="宋体"/>
                <w:szCs w:val="22"/>
              </w:rPr>
            </w:pPr>
            <w:r>
              <w:rPr>
                <w:rFonts w:hint="eastAsia" w:ascii="宋体" w:hAnsi="宋体" w:cs="宋体"/>
                <w:szCs w:val="22"/>
                <w:u w:val="single"/>
              </w:rPr>
              <w:t xml:space="preserve">    </w:t>
            </w:r>
            <w:r>
              <w:rPr>
                <w:rFonts w:hint="eastAsia" w:ascii="宋体" w:hAnsi="宋体" w:cs="宋体"/>
                <w:szCs w:val="22"/>
              </w:rPr>
              <w:t>元/人/年</w:t>
            </w:r>
          </w:p>
        </w:tc>
        <w:tc>
          <w:tcPr>
            <w:tcW w:w="851" w:type="dxa"/>
            <w:vAlign w:val="center"/>
          </w:tcPr>
          <w:p w14:paraId="4FAC3AE1">
            <w:pPr>
              <w:spacing w:line="420" w:lineRule="exact"/>
              <w:jc w:val="center"/>
              <w:rPr>
                <w:rFonts w:ascii="宋体" w:hAnsi="宋体" w:cs="宋体"/>
                <w:szCs w:val="22"/>
              </w:rPr>
            </w:pPr>
            <w:r>
              <w:rPr>
                <w:rFonts w:hint="eastAsia" w:ascii="宋体" w:hAnsi="宋体" w:cs="宋体"/>
                <w:szCs w:val="22"/>
                <w:u w:val="single"/>
              </w:rPr>
              <w:t xml:space="preserve">   </w:t>
            </w:r>
            <w:r>
              <w:rPr>
                <w:rFonts w:hint="eastAsia" w:ascii="宋体" w:hAnsi="宋体" w:cs="宋体"/>
                <w:szCs w:val="22"/>
              </w:rPr>
              <w:t>人</w:t>
            </w:r>
          </w:p>
        </w:tc>
        <w:tc>
          <w:tcPr>
            <w:tcW w:w="1276" w:type="dxa"/>
            <w:vAlign w:val="center"/>
          </w:tcPr>
          <w:p w14:paraId="1D5B969E">
            <w:pPr>
              <w:spacing w:line="420" w:lineRule="exact"/>
              <w:jc w:val="center"/>
              <w:rPr>
                <w:rFonts w:ascii="宋体" w:hAnsi="宋体" w:cs="宋体"/>
              </w:rPr>
            </w:pPr>
          </w:p>
        </w:tc>
        <w:tc>
          <w:tcPr>
            <w:tcW w:w="1701" w:type="dxa"/>
            <w:vAlign w:val="center"/>
          </w:tcPr>
          <w:p w14:paraId="5DADECCF">
            <w:pPr>
              <w:spacing w:line="420" w:lineRule="exact"/>
              <w:jc w:val="left"/>
              <w:rPr>
                <w:rFonts w:ascii="宋体" w:hAnsi="宋体" w:cs="宋体"/>
                <w:b/>
                <w:color w:val="0000FF"/>
                <w:sz w:val="20"/>
              </w:rPr>
            </w:pPr>
            <w:r>
              <w:rPr>
                <w:rFonts w:hint="eastAsia" w:ascii="宋体" w:hAnsi="宋体" w:cs="宋体"/>
                <w:b/>
                <w:color w:val="0000FF"/>
                <w:sz w:val="20"/>
              </w:rPr>
              <w:t>不得低于人员最低配置要求，否则作无效标处理。</w:t>
            </w:r>
          </w:p>
        </w:tc>
      </w:tr>
      <w:tr w14:paraId="54CC86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74" w:type="dxa"/>
            <w:vAlign w:val="center"/>
          </w:tcPr>
          <w:p w14:paraId="43E688F9">
            <w:pPr>
              <w:spacing w:line="420" w:lineRule="exact"/>
              <w:jc w:val="center"/>
              <w:rPr>
                <w:rFonts w:ascii="宋体" w:hAnsi="宋体" w:cs="宋体"/>
              </w:rPr>
            </w:pPr>
            <w:r>
              <w:rPr>
                <w:rFonts w:ascii="宋体" w:hAnsi="宋体" w:cs="宋体"/>
              </w:rPr>
              <w:t>2</w:t>
            </w:r>
          </w:p>
        </w:tc>
        <w:tc>
          <w:tcPr>
            <w:tcW w:w="3579" w:type="dxa"/>
            <w:gridSpan w:val="2"/>
            <w:vAlign w:val="center"/>
          </w:tcPr>
          <w:p w14:paraId="7E218C26">
            <w:pPr>
              <w:spacing w:line="420" w:lineRule="exact"/>
              <w:jc w:val="center"/>
              <w:rPr>
                <w:rFonts w:ascii="宋体" w:hAnsi="宋体" w:cs="宋体"/>
                <w:color w:val="0000FF"/>
                <w:szCs w:val="22"/>
              </w:rPr>
            </w:pPr>
            <w:r>
              <w:rPr>
                <w:rFonts w:hint="eastAsia" w:ascii="宋体" w:hAnsi="宋体" w:cs="宋体"/>
                <w:color w:val="0000FF"/>
                <w:szCs w:val="22"/>
              </w:rPr>
              <w:t>其他费用(含</w:t>
            </w:r>
            <w:r>
              <w:rPr>
                <w:rFonts w:hint="eastAsia" w:ascii="宋体" w:hAnsi="宋体" w:cs="宋体"/>
                <w:color w:val="0000FF"/>
                <w:szCs w:val="22"/>
                <w:lang w:val="en-US" w:eastAsia="zh-CN"/>
              </w:rPr>
              <w:t>绿化养护、</w:t>
            </w:r>
            <w:r>
              <w:rPr>
                <w:rFonts w:hint="eastAsia" w:ascii="宋体" w:hAnsi="宋体" w:cs="宋体"/>
                <w:color w:val="0000FF"/>
                <w:szCs w:val="22"/>
              </w:rPr>
              <w:t>车辆、设备、公厕运行、中转站运维、企业管理费税金、利润等所有费用)</w:t>
            </w:r>
          </w:p>
        </w:tc>
        <w:tc>
          <w:tcPr>
            <w:tcW w:w="1701" w:type="dxa"/>
            <w:vAlign w:val="center"/>
          </w:tcPr>
          <w:p w14:paraId="680A89E2">
            <w:pPr>
              <w:spacing w:line="420" w:lineRule="exact"/>
              <w:jc w:val="right"/>
              <w:textAlignment w:val="center"/>
              <w:rPr>
                <w:rFonts w:ascii="宋体" w:hAnsi="宋体" w:cs="宋体"/>
                <w:szCs w:val="22"/>
              </w:rPr>
            </w:pPr>
            <w:r>
              <w:rPr>
                <w:rFonts w:hint="eastAsia" w:ascii="宋体" w:hAnsi="宋体" w:cs="宋体"/>
                <w:szCs w:val="22"/>
                <w:u w:val="single"/>
              </w:rPr>
              <w:t xml:space="preserve"> </w:t>
            </w:r>
            <w:r>
              <w:rPr>
                <w:rFonts w:ascii="宋体" w:hAnsi="宋体" w:cs="宋体"/>
                <w:szCs w:val="22"/>
                <w:u w:val="single"/>
              </w:rPr>
              <w:t xml:space="preserve">   </w:t>
            </w:r>
            <w:r>
              <w:rPr>
                <w:rFonts w:hint="eastAsia" w:ascii="宋体" w:hAnsi="宋体" w:cs="宋体"/>
                <w:szCs w:val="22"/>
              </w:rPr>
              <w:t>元/年</w:t>
            </w:r>
          </w:p>
        </w:tc>
        <w:tc>
          <w:tcPr>
            <w:tcW w:w="851" w:type="dxa"/>
            <w:vAlign w:val="center"/>
          </w:tcPr>
          <w:p w14:paraId="77589B82">
            <w:pPr>
              <w:spacing w:line="420" w:lineRule="exact"/>
              <w:jc w:val="center"/>
              <w:rPr>
                <w:rFonts w:ascii="宋体" w:hAnsi="宋体" w:cs="宋体"/>
                <w:szCs w:val="22"/>
              </w:rPr>
            </w:pPr>
            <w:r>
              <w:rPr>
                <w:rFonts w:hint="eastAsia" w:ascii="宋体" w:hAnsi="宋体" w:cs="宋体"/>
                <w:szCs w:val="22"/>
              </w:rPr>
              <w:t xml:space="preserve">  1项</w:t>
            </w:r>
          </w:p>
        </w:tc>
        <w:tc>
          <w:tcPr>
            <w:tcW w:w="1276" w:type="dxa"/>
            <w:vAlign w:val="center"/>
          </w:tcPr>
          <w:p w14:paraId="1D52C676">
            <w:pPr>
              <w:spacing w:line="420" w:lineRule="exact"/>
              <w:jc w:val="right"/>
              <w:rPr>
                <w:rFonts w:ascii="宋体" w:hAnsi="宋体" w:cs="宋体"/>
              </w:rPr>
            </w:pPr>
          </w:p>
        </w:tc>
        <w:tc>
          <w:tcPr>
            <w:tcW w:w="1701" w:type="dxa"/>
            <w:vAlign w:val="center"/>
          </w:tcPr>
          <w:p w14:paraId="0B9456A4">
            <w:pPr>
              <w:jc w:val="center"/>
              <w:rPr>
                <w:rFonts w:ascii="宋体" w:hAnsi="宋体" w:cs="宋体"/>
                <w:color w:val="0000FF"/>
                <w:sz w:val="16"/>
                <w:szCs w:val="16"/>
              </w:rPr>
            </w:pPr>
            <w:r>
              <w:rPr>
                <w:rFonts w:hint="eastAsia" w:ascii="宋体" w:hAnsi="宋体" w:cs="宋体"/>
                <w:b/>
                <w:color w:val="0000FF"/>
                <w:sz w:val="20"/>
              </w:rPr>
              <w:t>除序号1以外的所有费用。</w:t>
            </w:r>
          </w:p>
        </w:tc>
      </w:tr>
      <w:tr w14:paraId="41166D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1188" w:type="dxa"/>
            <w:gridSpan w:val="2"/>
            <w:vAlign w:val="center"/>
          </w:tcPr>
          <w:p w14:paraId="335EEBAB">
            <w:pPr>
              <w:spacing w:line="420" w:lineRule="exact"/>
              <w:jc w:val="center"/>
              <w:rPr>
                <w:rFonts w:ascii="宋体" w:hAnsi="宋体" w:cs="宋体"/>
                <w:b/>
              </w:rPr>
            </w:pPr>
            <w:r>
              <w:rPr>
                <w:rFonts w:hint="eastAsia" w:ascii="宋体" w:hAnsi="宋体" w:cs="宋体"/>
                <w:b/>
              </w:rPr>
              <w:t>合计</w:t>
            </w:r>
          </w:p>
        </w:tc>
        <w:tc>
          <w:tcPr>
            <w:tcW w:w="6893" w:type="dxa"/>
            <w:gridSpan w:val="4"/>
            <w:vAlign w:val="center"/>
          </w:tcPr>
          <w:p w14:paraId="5B83D0CB">
            <w:pPr>
              <w:spacing w:line="420" w:lineRule="exact"/>
              <w:rPr>
                <w:rFonts w:ascii="宋体" w:hAnsi="宋体" w:cs="宋体"/>
                <w:b/>
              </w:rPr>
            </w:pPr>
            <w:r>
              <w:rPr>
                <w:rFonts w:hint="eastAsia" w:ascii="宋体" w:hAnsi="宋体" w:cs="宋体"/>
                <w:b/>
              </w:rPr>
              <w:t>小写：</w:t>
            </w:r>
            <w:r>
              <w:rPr>
                <w:rFonts w:hint="eastAsia" w:ascii="宋体" w:hAnsi="宋体" w:cs="宋体"/>
                <w:b/>
                <w:u w:val="single"/>
              </w:rPr>
              <w:t xml:space="preserve">              </w:t>
            </w:r>
            <w:r>
              <w:rPr>
                <w:rFonts w:hint="eastAsia" w:ascii="宋体" w:hAnsi="宋体" w:cs="宋体"/>
                <w:b/>
              </w:rPr>
              <w:t>元/年   大写：</w:t>
            </w:r>
            <w:r>
              <w:rPr>
                <w:rFonts w:hint="eastAsia" w:ascii="宋体" w:hAnsi="宋体" w:cs="宋体"/>
                <w:b/>
                <w:u w:val="single"/>
              </w:rPr>
              <w:t xml:space="preserve">                     </w:t>
            </w:r>
            <w:r>
              <w:rPr>
                <w:rFonts w:hint="eastAsia" w:ascii="宋体" w:hAnsi="宋体" w:cs="宋体"/>
                <w:b/>
              </w:rPr>
              <w:t>元/年</w:t>
            </w:r>
          </w:p>
        </w:tc>
        <w:tc>
          <w:tcPr>
            <w:tcW w:w="1701" w:type="dxa"/>
            <w:vAlign w:val="center"/>
          </w:tcPr>
          <w:p w14:paraId="6AEDD522">
            <w:pPr>
              <w:spacing w:line="420" w:lineRule="exact"/>
              <w:jc w:val="center"/>
              <w:rPr>
                <w:rFonts w:ascii="宋体" w:hAnsi="宋体" w:cs="宋体"/>
                <w:b/>
              </w:rPr>
            </w:pPr>
          </w:p>
        </w:tc>
      </w:tr>
      <w:tr w14:paraId="3A87B6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9782" w:type="dxa"/>
            <w:gridSpan w:val="7"/>
            <w:vAlign w:val="center"/>
          </w:tcPr>
          <w:p w14:paraId="1484824E">
            <w:pPr>
              <w:spacing w:line="420" w:lineRule="exact"/>
              <w:rPr>
                <w:rFonts w:ascii="宋体" w:hAnsi="宋体" w:cs="宋体"/>
                <w:b/>
              </w:rPr>
            </w:pPr>
            <w:r>
              <w:rPr>
                <w:rFonts w:hint="eastAsia" w:hAnsi="宋体" w:cs="宋体"/>
                <w:b/>
                <w:kern w:val="0"/>
                <w:sz w:val="24"/>
                <w:szCs w:val="24"/>
              </w:rPr>
              <w:t>▲1、本表序号1中的人员年费用不得低于</w:t>
            </w:r>
            <w:r>
              <w:rPr>
                <w:rFonts w:hint="eastAsia"/>
                <w:b/>
                <w:bCs/>
                <w:szCs w:val="22"/>
                <w:lang w:val="en-US" w:eastAsia="zh-CN"/>
              </w:rPr>
              <w:t>51405.23</w:t>
            </w:r>
            <w:r>
              <w:rPr>
                <w:rFonts w:hint="eastAsia" w:hAnsi="宋体" w:cs="宋体"/>
                <w:b/>
              </w:rPr>
              <w:t>元/人/年，否则作无效标处理。</w:t>
            </w:r>
          </w:p>
        </w:tc>
      </w:tr>
    </w:tbl>
    <w:p w14:paraId="770842F7">
      <w:pPr>
        <w:pStyle w:val="20"/>
        <w:adjustRightInd w:val="0"/>
        <w:snapToGrid w:val="0"/>
        <w:spacing w:line="420" w:lineRule="exact"/>
        <w:rPr>
          <w:rFonts w:hAnsi="宋体" w:cs="宋体"/>
          <w:kern w:val="0"/>
          <w:sz w:val="24"/>
          <w:szCs w:val="24"/>
        </w:rPr>
      </w:pPr>
      <w:r>
        <w:rPr>
          <w:rFonts w:hint="eastAsia" w:hAnsi="宋体" w:cs="宋体"/>
          <w:kern w:val="0"/>
          <w:sz w:val="24"/>
          <w:szCs w:val="24"/>
        </w:rPr>
        <w:t>投标供应商名称（电子签章）：</w:t>
      </w:r>
      <w:r>
        <w:rPr>
          <w:rFonts w:hint="eastAsia" w:hAnsi="宋体" w:cs="宋体"/>
          <w:kern w:val="0"/>
          <w:sz w:val="24"/>
          <w:szCs w:val="24"/>
          <w:u w:val="single"/>
        </w:rPr>
        <w:t xml:space="preserve">                    </w:t>
      </w:r>
      <w:r>
        <w:rPr>
          <w:rFonts w:hint="eastAsia" w:hAnsi="宋体" w:cs="宋体"/>
          <w:kern w:val="0"/>
          <w:sz w:val="24"/>
          <w:szCs w:val="24"/>
        </w:rPr>
        <w:t xml:space="preserve"> </w:t>
      </w:r>
    </w:p>
    <w:p w14:paraId="12FDEF2D">
      <w:pPr>
        <w:pStyle w:val="20"/>
        <w:adjustRightInd w:val="0"/>
        <w:snapToGrid w:val="0"/>
        <w:spacing w:line="420" w:lineRule="exact"/>
        <w:rPr>
          <w:rFonts w:hAnsi="宋体" w:cs="宋体"/>
          <w:kern w:val="0"/>
          <w:sz w:val="24"/>
          <w:szCs w:val="24"/>
          <w:u w:val="single"/>
        </w:rPr>
      </w:pPr>
      <w:r>
        <w:rPr>
          <w:rFonts w:hint="eastAsia" w:hAnsi="宋体" w:cs="宋体"/>
          <w:kern w:val="0"/>
          <w:sz w:val="24"/>
          <w:szCs w:val="24"/>
        </w:rPr>
        <w:t>法定代表人或其授权代表（签字或盖章）：</w:t>
      </w:r>
      <w:r>
        <w:rPr>
          <w:rFonts w:hint="eastAsia" w:hAnsi="宋体" w:cs="宋体"/>
          <w:kern w:val="0"/>
          <w:sz w:val="24"/>
          <w:szCs w:val="24"/>
          <w:u w:val="single"/>
        </w:rPr>
        <w:t xml:space="preserve">              </w:t>
      </w:r>
    </w:p>
    <w:p w14:paraId="32CD4520">
      <w:pPr>
        <w:pStyle w:val="20"/>
        <w:adjustRightInd w:val="0"/>
        <w:snapToGrid w:val="0"/>
        <w:spacing w:line="420" w:lineRule="exact"/>
        <w:rPr>
          <w:rFonts w:hAnsi="宋体" w:cs="宋体"/>
          <w:kern w:val="0"/>
          <w:sz w:val="24"/>
          <w:szCs w:val="24"/>
        </w:rPr>
      </w:pPr>
      <w:r>
        <w:rPr>
          <w:rFonts w:hint="eastAsia" w:hAnsi="宋体" w:cs="宋体"/>
          <w:kern w:val="0"/>
          <w:sz w:val="24"/>
          <w:szCs w:val="24"/>
        </w:rPr>
        <w:t xml:space="preserve">日期： </w:t>
      </w:r>
      <w:r>
        <w:rPr>
          <w:rFonts w:hint="eastAsia" w:hAnsi="宋体" w:cs="宋体"/>
          <w:kern w:val="0"/>
          <w:sz w:val="24"/>
          <w:szCs w:val="24"/>
          <w:u w:val="single"/>
        </w:rPr>
        <w:t xml:space="preserve">                 </w:t>
      </w:r>
      <w:r>
        <w:rPr>
          <w:rFonts w:hint="eastAsia" w:hAnsi="宋体" w:cs="宋体"/>
          <w:kern w:val="0"/>
          <w:sz w:val="24"/>
          <w:szCs w:val="24"/>
        </w:rPr>
        <w:t xml:space="preserve">    </w:t>
      </w:r>
    </w:p>
    <w:p w14:paraId="1591A39B">
      <w:pPr>
        <w:widowControl/>
        <w:jc w:val="left"/>
        <w:rPr>
          <w:rFonts w:asciiTheme="majorHAnsi" w:hAnsiTheme="majorHAnsi" w:cstheme="majorBidi"/>
          <w:b/>
          <w:bCs/>
          <w:sz w:val="32"/>
          <w:szCs w:val="32"/>
        </w:rPr>
      </w:pPr>
      <w:r>
        <w:rPr>
          <w:rFonts w:hAnsi="宋体" w:cs="宋体"/>
          <w:kern w:val="0"/>
          <w:sz w:val="28"/>
          <w:szCs w:val="28"/>
        </w:rPr>
        <w:br w:type="page"/>
      </w:r>
    </w:p>
    <w:p w14:paraId="73AA8A2D">
      <w:pPr>
        <w:pStyle w:val="5"/>
        <w:spacing w:line="420" w:lineRule="exact"/>
      </w:pPr>
      <w:r>
        <w:rPr>
          <w:rFonts w:hint="eastAsia"/>
        </w:rPr>
        <w:t>第六部分  评审办法</w:t>
      </w:r>
    </w:p>
    <w:p w14:paraId="7083C41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根据《中华人民共和国政府采购法》等有关政府采购法规，结合本次所要采购项目的实际，按照公平、公正、科学、择优的原则选择中标单位，特制定本评审办法。</w:t>
      </w:r>
      <w:r>
        <w:rPr>
          <w:rFonts w:ascii="宋体" w:hAnsi="宋体"/>
          <w:szCs w:val="22"/>
        </w:rPr>
        <w:t xml:space="preserve"> </w:t>
      </w:r>
    </w:p>
    <w:p w14:paraId="0A06041E">
      <w:pPr>
        <w:autoSpaceDE w:val="0"/>
        <w:autoSpaceDN w:val="0"/>
        <w:adjustRightInd w:val="0"/>
        <w:spacing w:before="156" w:beforeLines="50" w:after="156" w:afterLines="50" w:line="380" w:lineRule="exact"/>
        <w:jc w:val="center"/>
        <w:rPr>
          <w:rFonts w:ascii="宋体" w:hAnsi="宋体"/>
          <w:b/>
          <w:szCs w:val="22"/>
        </w:rPr>
      </w:pPr>
      <w:r>
        <w:rPr>
          <w:rFonts w:ascii="宋体" w:hAnsi="宋体"/>
          <w:b/>
          <w:szCs w:val="22"/>
        </w:rPr>
        <w:t>一、总则</w:t>
      </w:r>
    </w:p>
    <w:p w14:paraId="23D8A614">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评审工作遵循公平、公正、民主、科学的原则和诚实、信誉、效率的服务原则。本着科学、严谨的态度，认真进行评标。择优选定供应商，确保工程质量、服务期，最大限度的保护当事人权益，评审委员会严格按照采购文件的商务、技术要求，对投标文件进行</w:t>
      </w:r>
      <w:r>
        <w:rPr>
          <w:rFonts w:hint="eastAsia" w:ascii="宋体" w:hAnsi="宋体"/>
          <w:bCs/>
          <w:szCs w:val="22"/>
        </w:rPr>
        <w:t>综合分析、对比、评价</w:t>
      </w:r>
      <w:r>
        <w:rPr>
          <w:rFonts w:hint="eastAsia" w:ascii="宋体" w:hAnsi="宋体"/>
          <w:szCs w:val="22"/>
        </w:rPr>
        <w:t>，提出优选方案，编写评审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49680310">
      <w:pPr>
        <w:autoSpaceDE w:val="0"/>
        <w:autoSpaceDN w:val="0"/>
        <w:adjustRightInd w:val="0"/>
        <w:spacing w:before="156" w:beforeLines="50" w:after="156" w:afterLines="50" w:line="380" w:lineRule="exact"/>
        <w:jc w:val="center"/>
        <w:rPr>
          <w:rFonts w:ascii="宋体" w:hAnsi="宋体"/>
          <w:b/>
          <w:szCs w:val="22"/>
        </w:rPr>
      </w:pPr>
      <w:bookmarkStart w:id="202" w:name="_Toc14369"/>
      <w:bookmarkStart w:id="203" w:name="_Toc24599"/>
      <w:bookmarkStart w:id="204" w:name="_Toc3961"/>
      <w:bookmarkStart w:id="205" w:name="_Toc2457"/>
      <w:bookmarkStart w:id="206" w:name="_Toc2254"/>
      <w:r>
        <w:rPr>
          <w:rFonts w:hint="eastAsia" w:ascii="宋体" w:hAnsi="宋体"/>
          <w:b/>
          <w:szCs w:val="22"/>
        </w:rPr>
        <w:t>二、评标组织</w:t>
      </w:r>
      <w:bookmarkEnd w:id="202"/>
      <w:bookmarkEnd w:id="203"/>
      <w:bookmarkEnd w:id="204"/>
      <w:bookmarkEnd w:id="205"/>
      <w:bookmarkEnd w:id="206"/>
    </w:p>
    <w:p w14:paraId="364A66B0">
      <w:pPr>
        <w:pStyle w:val="52"/>
        <w:spacing w:line="380" w:lineRule="exact"/>
        <w:rPr>
          <w:rFonts w:ascii="宋体"/>
          <w:sz w:val="18"/>
          <w:szCs w:val="18"/>
        </w:rPr>
      </w:pPr>
      <w:r>
        <w:rPr>
          <w:rFonts w:hint="eastAsia" w:ascii="宋体" w:hAnsi="宋体"/>
          <w:szCs w:val="22"/>
        </w:rPr>
        <w:t xml:space="preserve">   </w:t>
      </w:r>
      <w:r>
        <w:rPr>
          <w:rFonts w:ascii="宋体" w:hAnsi="宋体"/>
          <w:szCs w:val="22"/>
        </w:rPr>
        <w:t>评审工作由采购人依法组建的</w:t>
      </w:r>
      <w:r>
        <w:rPr>
          <w:rFonts w:hint="eastAsia" w:ascii="宋体" w:hAnsi="宋体"/>
          <w:szCs w:val="22"/>
        </w:rPr>
        <w:t>评审委员会</w:t>
      </w:r>
      <w:r>
        <w:rPr>
          <w:rFonts w:ascii="宋体" w:hAnsi="宋体"/>
          <w:szCs w:val="22"/>
        </w:rPr>
        <w:t>负责，</w:t>
      </w:r>
      <w:r>
        <w:rPr>
          <w:rFonts w:hint="eastAsia" w:ascii="宋体" w:hAnsi="宋体"/>
          <w:szCs w:val="22"/>
        </w:rPr>
        <w:t>评审委员会</w:t>
      </w:r>
      <w:r>
        <w:rPr>
          <w:rFonts w:ascii="宋体" w:hAnsi="宋体"/>
          <w:szCs w:val="22"/>
        </w:rPr>
        <w:t>由评审专家库中随机抽取的有关技术、经济专家共同组成。评审全过程由采购管理部门全程监督。</w:t>
      </w:r>
    </w:p>
    <w:p w14:paraId="5F523AAA">
      <w:pPr>
        <w:autoSpaceDE w:val="0"/>
        <w:autoSpaceDN w:val="0"/>
        <w:adjustRightInd w:val="0"/>
        <w:spacing w:before="156" w:beforeLines="50" w:after="156" w:afterLines="50" w:line="380" w:lineRule="exact"/>
        <w:jc w:val="center"/>
        <w:rPr>
          <w:rFonts w:ascii="宋体" w:hAnsi="宋体"/>
          <w:b/>
          <w:szCs w:val="22"/>
        </w:rPr>
      </w:pPr>
      <w:r>
        <w:rPr>
          <w:rFonts w:hint="eastAsia" w:ascii="宋体" w:hAnsi="宋体"/>
          <w:b/>
          <w:szCs w:val="22"/>
        </w:rPr>
        <w:t>三</w:t>
      </w:r>
      <w:r>
        <w:rPr>
          <w:rFonts w:ascii="宋体" w:hAnsi="宋体"/>
          <w:b/>
          <w:szCs w:val="22"/>
        </w:rPr>
        <w:t>、评审程序</w:t>
      </w:r>
    </w:p>
    <w:p w14:paraId="70A16598">
      <w:pPr>
        <w:autoSpaceDE w:val="0"/>
        <w:autoSpaceDN w:val="0"/>
        <w:adjustRightInd w:val="0"/>
        <w:spacing w:line="380" w:lineRule="exact"/>
        <w:ind w:firstLine="440" w:firstLineChars="200"/>
        <w:jc w:val="left"/>
        <w:rPr>
          <w:rFonts w:ascii="宋体" w:hAnsi="宋体"/>
          <w:szCs w:val="22"/>
        </w:rPr>
      </w:pPr>
      <w:r>
        <w:rPr>
          <w:rFonts w:ascii="宋体" w:hAnsi="宋体"/>
          <w:szCs w:val="22"/>
        </w:rPr>
        <w:t xml:space="preserve">1、推选评审委员会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14:paraId="7AC37040">
      <w:pPr>
        <w:autoSpaceDE w:val="0"/>
        <w:autoSpaceDN w:val="0"/>
        <w:adjustRightInd w:val="0"/>
        <w:spacing w:line="380" w:lineRule="exact"/>
        <w:ind w:firstLine="440" w:firstLineChars="200"/>
        <w:jc w:val="left"/>
        <w:rPr>
          <w:rFonts w:ascii="宋体" w:hAnsi="宋体"/>
          <w:szCs w:val="22"/>
        </w:rPr>
      </w:pPr>
      <w:r>
        <w:rPr>
          <w:rFonts w:ascii="宋体" w:hAnsi="宋体"/>
          <w:szCs w:val="22"/>
        </w:rPr>
        <w:t>2、</w:t>
      </w:r>
      <w:r>
        <w:rPr>
          <w:rFonts w:hint="eastAsia" w:ascii="宋体" w:hAnsi="宋体"/>
          <w:szCs w:val="22"/>
        </w:rPr>
        <w:t>本项目首先由采购代理机构对投标供应商的</w:t>
      </w:r>
      <w:r>
        <w:rPr>
          <w:rFonts w:ascii="宋体" w:hAnsi="宋体"/>
          <w:szCs w:val="22"/>
        </w:rPr>
        <w:t xml:space="preserve">资格进行审查，以确定投标供应商是否具备投标资格。 </w:t>
      </w:r>
    </w:p>
    <w:p w14:paraId="36B64727">
      <w:pPr>
        <w:autoSpaceDE w:val="0"/>
        <w:autoSpaceDN w:val="0"/>
        <w:adjustRightInd w:val="0"/>
        <w:spacing w:line="380" w:lineRule="exact"/>
        <w:ind w:firstLine="440" w:firstLineChars="200"/>
        <w:jc w:val="left"/>
        <w:rPr>
          <w:rFonts w:ascii="宋体" w:hAnsi="宋体"/>
          <w:szCs w:val="22"/>
        </w:rPr>
      </w:pPr>
      <w:r>
        <w:rPr>
          <w:rFonts w:ascii="宋体" w:hAnsi="宋体"/>
          <w:szCs w:val="22"/>
        </w:rPr>
        <w:t>3、</w:t>
      </w:r>
      <w:r>
        <w:rPr>
          <w:rFonts w:hint="eastAsia" w:ascii="宋体" w:hAnsi="宋体"/>
          <w:szCs w:val="22"/>
        </w:rPr>
        <w:t>由评审委员会</w:t>
      </w:r>
      <w:r>
        <w:rPr>
          <w:rFonts w:ascii="宋体" w:hAnsi="宋体"/>
          <w:szCs w:val="22"/>
        </w:rPr>
        <w:t>对各投标供应商的投标文件的有效性、完整性和响应程度进行审查，确定是否对采购文件作出实质性响应。</w:t>
      </w:r>
    </w:p>
    <w:p w14:paraId="09D47F69">
      <w:pPr>
        <w:autoSpaceDE w:val="0"/>
        <w:autoSpaceDN w:val="0"/>
        <w:adjustRightInd w:val="0"/>
        <w:spacing w:line="380" w:lineRule="exact"/>
        <w:ind w:firstLine="440" w:firstLineChars="200"/>
        <w:jc w:val="left"/>
        <w:rPr>
          <w:rFonts w:ascii="宋体" w:hAnsi="宋体"/>
          <w:szCs w:val="22"/>
        </w:rPr>
      </w:pPr>
      <w:r>
        <w:rPr>
          <w:rFonts w:ascii="宋体" w:hAnsi="宋体"/>
          <w:szCs w:val="22"/>
        </w:rPr>
        <w:t>4、</w:t>
      </w:r>
      <w:r>
        <w:rPr>
          <w:rFonts w:hint="eastAsia" w:ascii="宋体" w:hAnsi="宋体"/>
          <w:szCs w:val="22"/>
        </w:rPr>
        <w:t>评审委员会</w:t>
      </w:r>
      <w:r>
        <w:rPr>
          <w:rFonts w:ascii="宋体" w:hAnsi="宋体"/>
          <w:szCs w:val="22"/>
        </w:rPr>
        <w:t xml:space="preserve">按采购文件规定的评审办法和评审标准，依法独立对投标供应商投标文件进行评估、比较，并给予评价或打分。 </w:t>
      </w:r>
    </w:p>
    <w:p w14:paraId="3828834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4.1</w:t>
      </w:r>
      <w:r>
        <w:rPr>
          <w:rFonts w:ascii="宋体" w:hAnsi="宋体"/>
          <w:szCs w:val="22"/>
        </w:rPr>
        <w:t>“商务技术文件”评审。评标</w:t>
      </w:r>
      <w:r>
        <w:rPr>
          <w:rFonts w:hint="eastAsia" w:ascii="宋体" w:hAnsi="宋体"/>
          <w:szCs w:val="22"/>
        </w:rPr>
        <w:t>小组</w:t>
      </w:r>
      <w:r>
        <w:rPr>
          <w:rFonts w:ascii="宋体" w:hAnsi="宋体"/>
          <w:szCs w:val="22"/>
        </w:rPr>
        <w:t>根据评</w:t>
      </w:r>
      <w:r>
        <w:rPr>
          <w:rFonts w:hint="eastAsia" w:ascii="宋体" w:hAnsi="宋体"/>
          <w:szCs w:val="22"/>
        </w:rPr>
        <w:t>审</w:t>
      </w:r>
      <w:r>
        <w:rPr>
          <w:rFonts w:ascii="宋体" w:hAnsi="宋体"/>
          <w:szCs w:val="22"/>
        </w:rPr>
        <w:t>办法</w:t>
      </w:r>
      <w:r>
        <w:rPr>
          <w:rFonts w:hint="eastAsia" w:ascii="宋体" w:hAnsi="宋体"/>
          <w:szCs w:val="22"/>
        </w:rPr>
        <w:t>和</w:t>
      </w:r>
      <w:r>
        <w:rPr>
          <w:rFonts w:ascii="宋体" w:hAnsi="宋体"/>
          <w:szCs w:val="22"/>
        </w:rPr>
        <w:t xml:space="preserve">评分标准，对各投标供应商的“商务技术文件”进行评审并打分。 </w:t>
      </w:r>
    </w:p>
    <w:p w14:paraId="054069F3">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4.2</w:t>
      </w:r>
      <w:r>
        <w:rPr>
          <w:rFonts w:ascii="宋体" w:hAnsi="宋体"/>
          <w:szCs w:val="22"/>
        </w:rPr>
        <w:t xml:space="preserve">“商务技术文件”不合格的投标文件做无效标处理，不再进入后续所有的评审； </w:t>
      </w:r>
    </w:p>
    <w:p w14:paraId="132D4321">
      <w:pPr>
        <w:autoSpaceDE w:val="0"/>
        <w:autoSpaceDN w:val="0"/>
        <w:adjustRightInd w:val="0"/>
        <w:spacing w:line="380" w:lineRule="exact"/>
        <w:ind w:firstLine="440" w:firstLineChars="200"/>
        <w:jc w:val="left"/>
        <w:rPr>
          <w:rFonts w:ascii="宋体" w:hAnsi="宋体"/>
          <w:szCs w:val="22"/>
        </w:rPr>
      </w:pPr>
      <w:r>
        <w:rPr>
          <w:rFonts w:hint="eastAsia" w:ascii="宋体" w:hAnsi="宋体"/>
          <w:szCs w:val="22"/>
        </w:rPr>
        <w:t>4.3</w:t>
      </w:r>
      <w:r>
        <w:rPr>
          <w:rFonts w:ascii="宋体" w:hAnsi="宋体"/>
          <w:szCs w:val="22"/>
        </w:rPr>
        <w:t xml:space="preserve">“报价文件”评审。按招标文件的规定对各投标供应商的“报价文件”进行评审并按报价计分公式统一计算投标供应商的报价得分。 </w:t>
      </w:r>
    </w:p>
    <w:p w14:paraId="4A751723">
      <w:pPr>
        <w:autoSpaceDE w:val="0"/>
        <w:autoSpaceDN w:val="0"/>
        <w:adjustRightInd w:val="0"/>
        <w:spacing w:line="380" w:lineRule="exact"/>
        <w:ind w:firstLine="440" w:firstLineChars="20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14:paraId="090584DE">
      <w:pPr>
        <w:spacing w:line="380" w:lineRule="exact"/>
      </w:pPr>
      <w:r>
        <w:rPr>
          <w:rFonts w:hint="eastAsia" w:ascii="宋体" w:hAnsi="宋体"/>
          <w:szCs w:val="22"/>
        </w:rPr>
        <w:t xml:space="preserve">    </w:t>
      </w:r>
      <w:r>
        <w:rPr>
          <w:rFonts w:ascii="宋体" w:hAnsi="宋体"/>
          <w:szCs w:val="22"/>
        </w:rPr>
        <w:t>6、汇总、统计、核对、确认评审结果，并依据采购文件规定确定中标（成交）候选人排序名单，起草和签署评审报告。</w:t>
      </w:r>
    </w:p>
    <w:p w14:paraId="33C6E262">
      <w:pPr>
        <w:widowControl/>
        <w:spacing w:line="420" w:lineRule="exact"/>
        <w:jc w:val="center"/>
        <w:rPr>
          <w:rFonts w:ascii="宋体" w:hAnsi="宋体"/>
          <w:b/>
          <w:szCs w:val="22"/>
        </w:rPr>
      </w:pPr>
      <w:r>
        <w:br w:type="page"/>
      </w:r>
      <w:r>
        <w:rPr>
          <w:rFonts w:hint="eastAsia" w:ascii="宋体" w:hAnsi="宋体"/>
          <w:b/>
          <w:szCs w:val="22"/>
        </w:rPr>
        <w:t>四</w:t>
      </w:r>
      <w:r>
        <w:rPr>
          <w:rFonts w:ascii="宋体" w:hAnsi="宋体"/>
          <w:b/>
          <w:szCs w:val="22"/>
        </w:rPr>
        <w:t>、评分标准</w:t>
      </w:r>
    </w:p>
    <w:p w14:paraId="0023673B">
      <w:pPr>
        <w:spacing w:line="460" w:lineRule="atLeast"/>
        <w:ind w:left="442"/>
        <w:rPr>
          <w:rFonts w:ascii="宋体" w:hAnsi="宋体" w:cs="宋体"/>
          <w:b/>
          <w:kern w:val="0"/>
          <w:szCs w:val="22"/>
        </w:rPr>
      </w:pPr>
      <w:r>
        <w:rPr>
          <w:rFonts w:hint="eastAsia" w:ascii="宋体" w:hAnsi="宋体" w:cs="宋体"/>
          <w:b/>
          <w:kern w:val="0"/>
          <w:szCs w:val="22"/>
        </w:rPr>
        <w:t>1、</w:t>
      </w:r>
      <w:r>
        <w:rPr>
          <w:rFonts w:ascii="宋体" w:hAnsi="宋体" w:cs="宋体"/>
          <w:b/>
          <w:kern w:val="0"/>
          <w:szCs w:val="22"/>
        </w:rPr>
        <w:t>资信技术分（</w:t>
      </w:r>
      <w:r>
        <w:rPr>
          <w:rFonts w:hint="eastAsia" w:ascii="宋体" w:hAnsi="宋体" w:cs="宋体"/>
          <w:b/>
          <w:kern w:val="0"/>
          <w:szCs w:val="22"/>
          <w:lang w:val="en-US" w:eastAsia="zh-CN"/>
        </w:rPr>
        <w:t>80</w:t>
      </w:r>
      <w:r>
        <w:rPr>
          <w:rFonts w:ascii="宋体" w:hAnsi="宋体" w:cs="宋体"/>
          <w:b/>
          <w:kern w:val="0"/>
          <w:szCs w:val="22"/>
        </w:rPr>
        <w:t xml:space="preserve">分） </w:t>
      </w:r>
    </w:p>
    <w:tbl>
      <w:tblPr>
        <w:tblStyle w:val="32"/>
        <w:tblW w:w="9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456"/>
        <w:gridCol w:w="709"/>
        <w:gridCol w:w="6886"/>
      </w:tblGrid>
      <w:tr w14:paraId="3F17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671" w:type="dxa"/>
            <w:tcBorders>
              <w:tl2br w:val="nil"/>
              <w:tr2bl w:val="nil"/>
            </w:tcBorders>
          </w:tcPr>
          <w:p w14:paraId="69AB8B28">
            <w:pPr>
              <w:adjustRightInd w:val="0"/>
              <w:snapToGrid w:val="0"/>
              <w:spacing w:line="400" w:lineRule="exact"/>
              <w:jc w:val="center"/>
              <w:rPr>
                <w:rFonts w:ascii="宋体" w:hAnsi="宋体" w:cs="宋体"/>
                <w:b/>
              </w:rPr>
            </w:pPr>
            <w:r>
              <w:rPr>
                <w:rFonts w:hint="eastAsia" w:ascii="宋体" w:hAnsi="宋体" w:cs="宋体"/>
                <w:b/>
              </w:rPr>
              <w:t>序号</w:t>
            </w:r>
          </w:p>
        </w:tc>
        <w:tc>
          <w:tcPr>
            <w:tcW w:w="1456" w:type="dxa"/>
            <w:tcBorders>
              <w:tl2br w:val="nil"/>
              <w:tr2bl w:val="nil"/>
            </w:tcBorders>
          </w:tcPr>
          <w:p w14:paraId="0A6C0C6D">
            <w:pPr>
              <w:adjustRightInd w:val="0"/>
              <w:snapToGrid w:val="0"/>
              <w:spacing w:line="400" w:lineRule="exact"/>
              <w:jc w:val="center"/>
              <w:rPr>
                <w:rFonts w:ascii="宋体" w:hAnsi="宋体" w:cs="宋体"/>
                <w:b/>
              </w:rPr>
            </w:pPr>
            <w:r>
              <w:rPr>
                <w:rFonts w:hint="eastAsia" w:ascii="宋体" w:hAnsi="宋体" w:cs="宋体"/>
                <w:b/>
              </w:rPr>
              <w:t>评审内容</w:t>
            </w:r>
          </w:p>
        </w:tc>
        <w:tc>
          <w:tcPr>
            <w:tcW w:w="709" w:type="dxa"/>
            <w:tcBorders>
              <w:tl2br w:val="nil"/>
              <w:tr2bl w:val="nil"/>
            </w:tcBorders>
          </w:tcPr>
          <w:p w14:paraId="4672DF30">
            <w:pPr>
              <w:adjustRightInd w:val="0"/>
              <w:snapToGrid w:val="0"/>
              <w:spacing w:line="400" w:lineRule="exact"/>
              <w:jc w:val="center"/>
              <w:rPr>
                <w:rFonts w:ascii="宋体" w:hAnsi="宋体" w:cs="宋体"/>
                <w:b/>
              </w:rPr>
            </w:pPr>
            <w:r>
              <w:rPr>
                <w:rFonts w:hint="eastAsia" w:ascii="宋体" w:hAnsi="宋体" w:cs="宋体"/>
                <w:b/>
              </w:rPr>
              <w:t>分值</w:t>
            </w:r>
          </w:p>
        </w:tc>
        <w:tc>
          <w:tcPr>
            <w:tcW w:w="6886" w:type="dxa"/>
            <w:tcBorders>
              <w:tl2br w:val="nil"/>
              <w:tr2bl w:val="nil"/>
            </w:tcBorders>
          </w:tcPr>
          <w:p w14:paraId="7AFBB6EA">
            <w:pPr>
              <w:adjustRightInd w:val="0"/>
              <w:snapToGrid w:val="0"/>
              <w:spacing w:line="400" w:lineRule="exact"/>
              <w:jc w:val="center"/>
              <w:rPr>
                <w:rFonts w:ascii="宋体" w:hAnsi="宋体" w:cs="宋体"/>
                <w:b/>
              </w:rPr>
            </w:pPr>
            <w:r>
              <w:rPr>
                <w:rFonts w:hint="eastAsia" w:ascii="宋体" w:hAnsi="宋体" w:cs="宋体"/>
                <w:b/>
              </w:rPr>
              <w:t>评审标准</w:t>
            </w:r>
          </w:p>
        </w:tc>
      </w:tr>
      <w:tr w14:paraId="42D6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671" w:type="dxa"/>
            <w:tcBorders>
              <w:tl2br w:val="nil"/>
              <w:tr2bl w:val="nil"/>
            </w:tcBorders>
            <w:vAlign w:val="center"/>
          </w:tcPr>
          <w:p w14:paraId="64DBD142">
            <w:pPr>
              <w:adjustRightInd w:val="0"/>
              <w:snapToGrid w:val="0"/>
              <w:spacing w:line="360" w:lineRule="exact"/>
              <w:jc w:val="center"/>
              <w:rPr>
                <w:rFonts w:ascii="宋体" w:hAnsi="宋体" w:cs="宋体"/>
                <w:szCs w:val="22"/>
              </w:rPr>
            </w:pPr>
            <w:r>
              <w:rPr>
                <w:rFonts w:hint="eastAsia" w:ascii="宋体" w:hAnsi="宋体" w:cs="宋体"/>
                <w:szCs w:val="22"/>
              </w:rPr>
              <w:t>1</w:t>
            </w:r>
          </w:p>
        </w:tc>
        <w:tc>
          <w:tcPr>
            <w:tcW w:w="1456" w:type="dxa"/>
            <w:tcBorders>
              <w:tl2br w:val="nil"/>
              <w:tr2bl w:val="nil"/>
            </w:tcBorders>
            <w:vAlign w:val="center"/>
          </w:tcPr>
          <w:p w14:paraId="33796A3A">
            <w:pPr>
              <w:adjustRightInd w:val="0"/>
              <w:snapToGrid w:val="0"/>
              <w:spacing w:line="360" w:lineRule="exact"/>
              <w:jc w:val="center"/>
              <w:rPr>
                <w:rFonts w:ascii="宋体" w:hAnsi="宋体" w:cs="宋体"/>
                <w:color w:val="auto"/>
                <w:szCs w:val="22"/>
              </w:rPr>
            </w:pPr>
            <w:r>
              <w:rPr>
                <w:rFonts w:hint="eastAsia" w:ascii="宋体" w:hAnsi="宋体" w:cs="宋体"/>
                <w:color w:val="auto"/>
                <w:szCs w:val="22"/>
              </w:rPr>
              <w:t>企业的体系认证证书</w:t>
            </w:r>
          </w:p>
        </w:tc>
        <w:tc>
          <w:tcPr>
            <w:tcW w:w="709" w:type="dxa"/>
            <w:tcBorders>
              <w:tl2br w:val="nil"/>
              <w:tr2bl w:val="nil"/>
            </w:tcBorders>
            <w:vAlign w:val="center"/>
          </w:tcPr>
          <w:p w14:paraId="6C3412DE">
            <w:pPr>
              <w:adjustRightInd w:val="0"/>
              <w:snapToGrid w:val="0"/>
              <w:spacing w:line="360" w:lineRule="exact"/>
              <w:jc w:val="center"/>
              <w:rPr>
                <w:rFonts w:hint="eastAsia" w:ascii="宋体" w:hAnsi="宋体" w:eastAsia="宋体" w:cs="宋体"/>
                <w:color w:val="auto"/>
                <w:szCs w:val="22"/>
                <w:lang w:eastAsia="zh-CN"/>
              </w:rPr>
            </w:pPr>
            <w:r>
              <w:rPr>
                <w:rFonts w:hint="eastAsia" w:ascii="宋体" w:hAnsi="宋体" w:cs="宋体"/>
                <w:color w:val="auto"/>
                <w:szCs w:val="22"/>
                <w:lang w:val="en-US" w:eastAsia="zh-CN"/>
              </w:rPr>
              <w:t>3</w:t>
            </w:r>
          </w:p>
        </w:tc>
        <w:tc>
          <w:tcPr>
            <w:tcW w:w="6886" w:type="dxa"/>
            <w:tcBorders>
              <w:tl2br w:val="nil"/>
              <w:tr2bl w:val="nil"/>
            </w:tcBorders>
            <w:vAlign w:val="center"/>
          </w:tcPr>
          <w:p w14:paraId="5098EC39">
            <w:pPr>
              <w:pStyle w:val="19"/>
              <w:adjustRightInd w:val="0"/>
              <w:snapToGrid w:val="0"/>
              <w:spacing w:after="0" w:line="360" w:lineRule="exact"/>
              <w:ind w:left="0" w:leftChars="0"/>
              <w:rPr>
                <w:rFonts w:ascii="宋体" w:hAnsi="宋体" w:cs="宋体"/>
                <w:color w:val="auto"/>
              </w:rPr>
            </w:pPr>
            <w:r>
              <w:rPr>
                <w:rFonts w:hint="eastAsia" w:ascii="宋体" w:hAnsi="宋体" w:cs="宋体"/>
                <w:color w:val="auto"/>
              </w:rPr>
              <w:t>供应商具有质量管理体系认证、环境管理体系认证、职业健康安全管理体系认证证书，以上体系证书中每有一种得</w:t>
            </w:r>
            <w:r>
              <w:rPr>
                <w:rFonts w:hint="eastAsia" w:ascii="宋体" w:hAnsi="宋体" w:cs="宋体"/>
                <w:color w:val="auto"/>
                <w:lang w:val="en-US" w:eastAsia="zh-CN"/>
              </w:rPr>
              <w:t>1</w:t>
            </w:r>
            <w:r>
              <w:rPr>
                <w:rFonts w:hint="eastAsia" w:ascii="宋体" w:hAnsi="宋体" w:cs="宋体"/>
                <w:color w:val="auto"/>
              </w:rPr>
              <w:t>分，</w:t>
            </w:r>
            <w:r>
              <w:rPr>
                <w:rFonts w:hint="eastAsia" w:ascii="宋体" w:hAnsi="宋体" w:cs="宋体"/>
                <w:color w:val="auto"/>
                <w:lang w:eastAsia="zh-CN"/>
              </w:rPr>
              <w:t>本项最高</w:t>
            </w:r>
            <w:r>
              <w:rPr>
                <w:rFonts w:hint="eastAsia" w:ascii="宋体" w:hAnsi="宋体" w:cs="宋体"/>
                <w:color w:val="auto"/>
              </w:rPr>
              <w:t>得</w:t>
            </w:r>
            <w:r>
              <w:rPr>
                <w:rFonts w:hint="eastAsia" w:ascii="宋体" w:hAnsi="宋体" w:cs="宋体"/>
                <w:color w:val="auto"/>
                <w:lang w:val="en-US" w:eastAsia="zh-CN"/>
              </w:rPr>
              <w:t>3</w:t>
            </w:r>
            <w:r>
              <w:rPr>
                <w:rFonts w:hint="eastAsia" w:ascii="宋体" w:hAnsi="宋体" w:cs="宋体"/>
                <w:color w:val="auto"/>
              </w:rPr>
              <w:t>分。</w:t>
            </w:r>
          </w:p>
          <w:p w14:paraId="5AB7EC12">
            <w:pPr>
              <w:pStyle w:val="19"/>
              <w:adjustRightInd w:val="0"/>
              <w:snapToGrid w:val="0"/>
              <w:spacing w:after="0" w:line="360" w:lineRule="exact"/>
              <w:ind w:left="0" w:leftChars="0"/>
              <w:rPr>
                <w:rFonts w:ascii="宋体" w:hAnsi="宋体" w:cs="宋体"/>
                <w:color w:val="auto"/>
              </w:rPr>
            </w:pPr>
            <w:r>
              <w:rPr>
                <w:rFonts w:hint="eastAsia" w:ascii="宋体" w:hAnsi="宋体" w:cs="宋体"/>
                <w:color w:val="auto"/>
              </w:rPr>
              <w:t>提供有效期内的证书扫描件</w:t>
            </w:r>
            <w:r>
              <w:rPr>
                <w:rFonts w:hint="eastAsia" w:ascii="宋体" w:hAnsi="宋体" w:cs="宋体"/>
                <w:color w:val="auto"/>
                <w:lang w:val="en-US" w:eastAsia="zh-CN"/>
              </w:rPr>
              <w:t>和</w:t>
            </w:r>
            <w:r>
              <w:rPr>
                <w:rFonts w:hint="eastAsia" w:ascii="宋体" w:hAnsi="宋体" w:cs="宋体"/>
                <w:color w:val="auto"/>
              </w:rPr>
              <w:t>全国认证认可信息公共服务平台网站（http://www.cnca.gov.cn/）查询页面截图（认证内容包含</w:t>
            </w:r>
            <w:r>
              <w:rPr>
                <w:rFonts w:hint="eastAsia" w:ascii="宋体" w:hAnsi="宋体" w:cs="宋体"/>
                <w:color w:val="auto"/>
                <w:lang w:val="en-US" w:eastAsia="zh-CN"/>
              </w:rPr>
              <w:t>清扫保洁和绿化养护</w:t>
            </w:r>
            <w:r>
              <w:rPr>
                <w:rFonts w:hint="eastAsia" w:ascii="宋体" w:hAnsi="宋体" w:cs="宋体"/>
                <w:color w:val="auto"/>
              </w:rPr>
              <w:t>等相关内容</w:t>
            </w:r>
            <w:r>
              <w:rPr>
                <w:rFonts w:hint="eastAsia" w:ascii="宋体" w:hAnsi="宋体" w:cs="宋体"/>
                <w:color w:val="auto"/>
                <w:lang w:eastAsia="zh-CN"/>
              </w:rPr>
              <w:t>，</w:t>
            </w:r>
            <w:r>
              <w:rPr>
                <w:rFonts w:hint="eastAsia" w:ascii="宋体" w:hAnsi="宋体" w:cs="宋体"/>
                <w:color w:val="auto"/>
                <w:lang w:val="en-US" w:eastAsia="zh-CN"/>
              </w:rPr>
              <w:t>并</w:t>
            </w:r>
            <w:r>
              <w:rPr>
                <w:rFonts w:hint="eastAsia" w:ascii="宋体" w:hAnsi="宋体" w:cs="宋体"/>
                <w:color w:val="auto"/>
              </w:rPr>
              <w:t>加盖投标人电子签章），</w:t>
            </w:r>
            <w:r>
              <w:rPr>
                <w:rFonts w:hint="eastAsia" w:ascii="宋体" w:hAnsi="宋体" w:cs="宋体"/>
                <w:color w:val="auto"/>
                <w:lang w:val="en-US" w:eastAsia="zh-CN"/>
              </w:rPr>
              <w:t>否则</w:t>
            </w:r>
            <w:r>
              <w:rPr>
                <w:rFonts w:hint="eastAsia" w:ascii="宋体" w:hAnsi="宋体" w:cs="宋体"/>
                <w:color w:val="auto"/>
              </w:rPr>
              <w:t>不得分。</w:t>
            </w:r>
          </w:p>
        </w:tc>
      </w:tr>
      <w:tr w14:paraId="2A6A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9" w:hRule="atLeast"/>
          <w:jc w:val="center"/>
        </w:trPr>
        <w:tc>
          <w:tcPr>
            <w:tcW w:w="671" w:type="dxa"/>
            <w:tcBorders>
              <w:tl2br w:val="nil"/>
              <w:tr2bl w:val="nil"/>
            </w:tcBorders>
            <w:vAlign w:val="center"/>
          </w:tcPr>
          <w:p w14:paraId="1CE02F2A">
            <w:pPr>
              <w:adjustRightInd w:val="0"/>
              <w:snapToGrid w:val="0"/>
              <w:spacing w:line="360" w:lineRule="exact"/>
              <w:jc w:val="center"/>
              <w:rPr>
                <w:rFonts w:ascii="宋体" w:hAnsi="宋体"/>
                <w:szCs w:val="22"/>
              </w:rPr>
            </w:pPr>
            <w:r>
              <w:rPr>
                <w:rFonts w:hint="eastAsia" w:ascii="宋体" w:hAnsi="宋体"/>
                <w:szCs w:val="22"/>
              </w:rPr>
              <w:t>2</w:t>
            </w:r>
          </w:p>
        </w:tc>
        <w:tc>
          <w:tcPr>
            <w:tcW w:w="1456" w:type="dxa"/>
            <w:tcBorders>
              <w:tl2br w:val="nil"/>
              <w:tr2bl w:val="nil"/>
            </w:tcBorders>
            <w:vAlign w:val="center"/>
          </w:tcPr>
          <w:p w14:paraId="4EAE87A3">
            <w:pPr>
              <w:adjustRightInd w:val="0"/>
              <w:snapToGrid w:val="0"/>
              <w:spacing w:line="360" w:lineRule="exact"/>
              <w:jc w:val="center"/>
              <w:rPr>
                <w:rFonts w:ascii="宋体" w:hAnsi="宋体" w:cs="宋体"/>
                <w:color w:val="auto"/>
                <w:kern w:val="0"/>
                <w:szCs w:val="22"/>
                <w:highlight w:val="none"/>
              </w:rPr>
            </w:pPr>
            <w:r>
              <w:rPr>
                <w:rFonts w:hint="eastAsia" w:ascii="宋体" w:hAnsi="宋体" w:cs="宋体"/>
                <w:color w:val="auto"/>
                <w:szCs w:val="22"/>
                <w:highlight w:val="none"/>
              </w:rPr>
              <w:t>供应商的业绩</w:t>
            </w:r>
          </w:p>
        </w:tc>
        <w:tc>
          <w:tcPr>
            <w:tcW w:w="709" w:type="dxa"/>
            <w:tcBorders>
              <w:tl2br w:val="nil"/>
              <w:tr2bl w:val="nil"/>
            </w:tcBorders>
            <w:vAlign w:val="center"/>
          </w:tcPr>
          <w:p w14:paraId="38446DC4">
            <w:pPr>
              <w:adjustRightInd w:val="0"/>
              <w:snapToGrid w:val="0"/>
              <w:spacing w:line="360" w:lineRule="exact"/>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2</w:t>
            </w:r>
          </w:p>
        </w:tc>
        <w:tc>
          <w:tcPr>
            <w:tcW w:w="6886" w:type="dxa"/>
            <w:tcBorders>
              <w:tl2br w:val="nil"/>
              <w:tr2bl w:val="nil"/>
            </w:tcBorders>
          </w:tcPr>
          <w:p w14:paraId="3DD556E5">
            <w:pPr>
              <w:spacing w:line="360" w:lineRule="exact"/>
              <w:rPr>
                <w:rFonts w:hint="eastAsia" w:ascii="宋体" w:hAnsi="宋体"/>
                <w:color w:val="auto"/>
                <w:spacing w:val="-4"/>
                <w:kern w:val="0"/>
                <w:szCs w:val="22"/>
                <w:highlight w:val="none"/>
              </w:rPr>
            </w:pPr>
            <w:r>
              <w:rPr>
                <w:rFonts w:hint="eastAsia" w:ascii="宋体" w:hAnsi="宋体"/>
                <w:color w:val="auto"/>
                <w:spacing w:val="-4"/>
                <w:kern w:val="0"/>
                <w:szCs w:val="22"/>
                <w:highlight w:val="none"/>
              </w:rPr>
              <w:t>供应商自</w:t>
            </w:r>
            <w:r>
              <w:rPr>
                <w:color w:val="auto"/>
                <w:szCs w:val="22"/>
                <w:highlight w:val="none"/>
              </w:rPr>
              <w:t>20</w:t>
            </w:r>
            <w:r>
              <w:rPr>
                <w:rFonts w:hint="eastAsia"/>
                <w:color w:val="auto"/>
                <w:szCs w:val="22"/>
                <w:highlight w:val="none"/>
                <w:lang w:val="en-US" w:eastAsia="zh-CN"/>
              </w:rPr>
              <w:t>22</w:t>
            </w:r>
            <w:r>
              <w:rPr>
                <w:rFonts w:hint="eastAsia" w:ascii="宋体" w:hAnsi="宋体"/>
                <w:color w:val="auto"/>
                <w:spacing w:val="-4"/>
                <w:kern w:val="0"/>
                <w:szCs w:val="22"/>
                <w:highlight w:val="none"/>
              </w:rPr>
              <w:t>年1月1日（以合同签订时间为准）至今承接过农村或城镇（市）道路清扫保洁服务项目（不包括高速公路、小区、单位内部和物业保洁），每提供一个得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分，最高得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w:t>
            </w:r>
          </w:p>
          <w:p w14:paraId="09653DB7">
            <w:pPr>
              <w:spacing w:line="360" w:lineRule="exact"/>
              <w:rPr>
                <w:color w:val="auto"/>
              </w:rPr>
            </w:pPr>
            <w:r>
              <w:rPr>
                <w:rFonts w:hint="eastAsia" w:ascii="宋体" w:hAnsi="宋体"/>
                <w:color w:val="auto"/>
                <w:spacing w:val="-4"/>
                <w:kern w:val="0"/>
                <w:szCs w:val="22"/>
                <w:highlight w:val="none"/>
              </w:rPr>
              <w:t>供应商自</w:t>
            </w:r>
            <w:r>
              <w:rPr>
                <w:color w:val="auto"/>
                <w:szCs w:val="22"/>
                <w:highlight w:val="none"/>
              </w:rPr>
              <w:t>20</w:t>
            </w:r>
            <w:r>
              <w:rPr>
                <w:rFonts w:hint="eastAsia"/>
                <w:color w:val="auto"/>
                <w:szCs w:val="22"/>
                <w:highlight w:val="none"/>
                <w:lang w:val="en-US" w:eastAsia="zh-CN"/>
              </w:rPr>
              <w:t>22</w:t>
            </w:r>
            <w:r>
              <w:rPr>
                <w:rFonts w:hint="eastAsia" w:ascii="宋体" w:hAnsi="宋体"/>
                <w:color w:val="auto"/>
                <w:spacing w:val="-4"/>
                <w:kern w:val="0"/>
                <w:szCs w:val="22"/>
                <w:highlight w:val="none"/>
              </w:rPr>
              <w:t>年1月1日（以合同签订时间为准）至今承接过农村或城镇（市）</w:t>
            </w:r>
            <w:r>
              <w:rPr>
                <w:rFonts w:hint="eastAsia" w:ascii="宋体" w:hAnsi="宋体"/>
                <w:color w:val="auto"/>
                <w:spacing w:val="-4"/>
                <w:kern w:val="0"/>
                <w:szCs w:val="22"/>
                <w:highlight w:val="none"/>
                <w:lang w:val="en-US" w:eastAsia="zh-CN"/>
              </w:rPr>
              <w:t>绿化养护</w:t>
            </w:r>
            <w:r>
              <w:rPr>
                <w:rFonts w:hint="eastAsia" w:ascii="宋体" w:hAnsi="宋体"/>
                <w:color w:val="auto"/>
                <w:spacing w:val="-4"/>
                <w:kern w:val="0"/>
                <w:szCs w:val="22"/>
                <w:highlight w:val="none"/>
              </w:rPr>
              <w:t>服务项目（不包括高速公路、小区、单位内部和物业），每提供一个得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分，最高得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w:t>
            </w:r>
          </w:p>
          <w:p w14:paraId="43554CEB">
            <w:pPr>
              <w:spacing w:line="360" w:lineRule="exact"/>
              <w:rPr>
                <w:rFonts w:ascii="宋体" w:hAnsi="宋体"/>
                <w:bCs/>
                <w:color w:val="auto"/>
                <w:spacing w:val="-4"/>
                <w:kern w:val="0"/>
                <w:szCs w:val="22"/>
                <w:highlight w:val="none"/>
              </w:rPr>
            </w:pPr>
            <w:r>
              <w:rPr>
                <w:rFonts w:hint="eastAsia" w:ascii="宋体" w:hAnsi="宋体"/>
                <w:bCs/>
                <w:color w:val="auto"/>
                <w:spacing w:val="-4"/>
                <w:kern w:val="0"/>
                <w:szCs w:val="22"/>
                <w:highlight w:val="none"/>
              </w:rPr>
              <w:t>备注：①合同业绩须为本次投标人的业绩</w:t>
            </w:r>
            <w:r>
              <w:rPr>
                <w:rFonts w:hint="eastAsia" w:ascii="宋体" w:hAnsi="宋体"/>
                <w:color w:val="auto"/>
                <w:spacing w:val="-4"/>
                <w:kern w:val="0"/>
                <w:szCs w:val="22"/>
                <w:highlight w:val="none"/>
              </w:rPr>
              <w:t>（包含</w:t>
            </w:r>
            <w:r>
              <w:rPr>
                <w:rFonts w:hint="eastAsia" w:ascii="宋体" w:hAnsi="宋体"/>
                <w:bCs/>
                <w:color w:val="auto"/>
                <w:spacing w:val="-4"/>
                <w:kern w:val="0"/>
                <w:szCs w:val="22"/>
                <w:highlight w:val="none"/>
              </w:rPr>
              <w:t>年度续签合同</w:t>
            </w:r>
            <w:r>
              <w:rPr>
                <w:rFonts w:hint="eastAsia" w:ascii="宋体" w:hAnsi="宋体"/>
                <w:color w:val="auto"/>
                <w:spacing w:val="-4"/>
                <w:kern w:val="0"/>
                <w:szCs w:val="22"/>
                <w:highlight w:val="none"/>
              </w:rPr>
              <w:t>）</w:t>
            </w:r>
            <w:r>
              <w:rPr>
                <w:rFonts w:hint="eastAsia" w:ascii="宋体" w:hAnsi="宋体"/>
                <w:bCs/>
                <w:color w:val="auto"/>
                <w:spacing w:val="-4"/>
                <w:kern w:val="0"/>
                <w:szCs w:val="22"/>
                <w:highlight w:val="none"/>
              </w:rPr>
              <w:t>，投标人的独立法人子公司、参股公司的业绩均不予认可。</w:t>
            </w:r>
          </w:p>
          <w:p w14:paraId="61758BE6">
            <w:pPr>
              <w:adjustRightInd w:val="0"/>
              <w:snapToGrid w:val="0"/>
              <w:spacing w:line="360" w:lineRule="exact"/>
              <w:jc w:val="left"/>
              <w:rPr>
                <w:rFonts w:ascii="宋体" w:hAnsi="宋体"/>
                <w:bCs/>
                <w:color w:val="auto"/>
                <w:szCs w:val="22"/>
                <w:highlight w:val="none"/>
              </w:rPr>
            </w:pPr>
            <w:r>
              <w:rPr>
                <w:rFonts w:hint="eastAsia" w:ascii="宋体" w:hAnsi="宋体"/>
                <w:bCs/>
                <w:color w:val="auto"/>
                <w:szCs w:val="22"/>
                <w:highlight w:val="none"/>
              </w:rPr>
              <w:t>②投标文件中需提供合同清晰扫描件</w:t>
            </w:r>
            <w:r>
              <w:rPr>
                <w:rFonts w:hint="eastAsia" w:ascii="宋体" w:hAnsi="宋体" w:cs="宋体"/>
                <w:color w:val="auto"/>
                <w:szCs w:val="22"/>
                <w:highlight w:val="none"/>
              </w:rPr>
              <w:t>（加盖投标人电子签章）</w:t>
            </w:r>
            <w:r>
              <w:rPr>
                <w:rFonts w:hint="eastAsia" w:ascii="宋体" w:hAnsi="宋体"/>
                <w:bCs/>
                <w:color w:val="auto"/>
                <w:szCs w:val="22"/>
                <w:highlight w:val="none"/>
              </w:rPr>
              <w:t>，提供的扫描件模糊不清或不提供的不得分。</w:t>
            </w:r>
          </w:p>
        </w:tc>
      </w:tr>
      <w:tr w14:paraId="26D82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671" w:type="dxa"/>
            <w:tcBorders>
              <w:tl2br w:val="nil"/>
              <w:tr2bl w:val="nil"/>
            </w:tcBorders>
            <w:vAlign w:val="center"/>
          </w:tcPr>
          <w:p w14:paraId="6C9538AF">
            <w:pPr>
              <w:adjustRightInd w:val="0"/>
              <w:snapToGrid w:val="0"/>
              <w:spacing w:line="360" w:lineRule="exact"/>
              <w:jc w:val="center"/>
              <w:rPr>
                <w:rFonts w:ascii="宋体" w:hAnsi="宋体"/>
                <w:szCs w:val="22"/>
              </w:rPr>
            </w:pPr>
            <w:r>
              <w:rPr>
                <w:rFonts w:hint="eastAsia" w:ascii="宋体" w:hAnsi="宋体"/>
                <w:szCs w:val="22"/>
              </w:rPr>
              <w:t>3</w:t>
            </w:r>
          </w:p>
        </w:tc>
        <w:tc>
          <w:tcPr>
            <w:tcW w:w="1456" w:type="dxa"/>
            <w:tcBorders>
              <w:tl2br w:val="nil"/>
              <w:tr2bl w:val="nil"/>
            </w:tcBorders>
            <w:vAlign w:val="center"/>
          </w:tcPr>
          <w:p w14:paraId="68D8E675">
            <w:pPr>
              <w:adjustRightInd w:val="0"/>
              <w:snapToGrid w:val="0"/>
              <w:spacing w:line="360" w:lineRule="exact"/>
              <w:jc w:val="center"/>
              <w:rPr>
                <w:rFonts w:ascii="宋体" w:hAnsi="宋体" w:cs="宋体"/>
                <w:color w:val="auto"/>
                <w:szCs w:val="22"/>
                <w:highlight w:val="none"/>
              </w:rPr>
            </w:pPr>
            <w:r>
              <w:rPr>
                <w:rFonts w:hint="eastAsia" w:ascii="宋体" w:hAnsi="宋体"/>
                <w:color w:val="auto"/>
                <w:szCs w:val="21"/>
                <w:highlight w:val="none"/>
              </w:rPr>
              <w:t>项目负责人</w:t>
            </w:r>
            <w:r>
              <w:rPr>
                <w:rFonts w:hint="eastAsia" w:ascii="宋体" w:hAnsi="宋体" w:cs="宋体"/>
                <w:color w:val="auto"/>
                <w:kern w:val="0"/>
                <w:szCs w:val="21"/>
                <w:highlight w:val="none"/>
              </w:rPr>
              <w:t>能力</w:t>
            </w:r>
          </w:p>
        </w:tc>
        <w:tc>
          <w:tcPr>
            <w:tcW w:w="709" w:type="dxa"/>
            <w:tcBorders>
              <w:tl2br w:val="nil"/>
              <w:tr2bl w:val="nil"/>
            </w:tcBorders>
            <w:vAlign w:val="center"/>
          </w:tcPr>
          <w:p w14:paraId="05984828">
            <w:pPr>
              <w:adjustRightInd w:val="0"/>
              <w:snapToGrid w:val="0"/>
              <w:spacing w:line="360" w:lineRule="exact"/>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val="en-US" w:eastAsia="zh-CN"/>
              </w:rPr>
              <w:t>2</w:t>
            </w:r>
          </w:p>
        </w:tc>
        <w:tc>
          <w:tcPr>
            <w:tcW w:w="6886" w:type="dxa"/>
            <w:tcBorders>
              <w:tl2br w:val="nil"/>
              <w:tr2bl w:val="nil"/>
            </w:tcBorders>
            <w:vAlign w:val="top"/>
          </w:tcPr>
          <w:p w14:paraId="1624DBF9">
            <w:pPr>
              <w:pStyle w:val="79"/>
              <w:widowControl/>
              <w:adjustRightInd/>
              <w:spacing w:line="300" w:lineRule="auto"/>
              <w:jc w:val="both"/>
              <w:rPr>
                <w:rFonts w:hint="eastAsia" w:ascii="宋体" w:hAnsi="宋体"/>
                <w:bCs/>
                <w:color w:val="auto"/>
                <w:szCs w:val="22"/>
                <w:highlight w:val="none"/>
              </w:rPr>
            </w:pP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拟派项目负责人自20</w:t>
            </w:r>
            <w:r>
              <w:rPr>
                <w:rFonts w:hint="eastAsia" w:ascii="宋体" w:hAnsi="宋体"/>
                <w:color w:val="auto"/>
                <w:spacing w:val="-4"/>
                <w:kern w:val="0"/>
                <w:szCs w:val="22"/>
                <w:highlight w:val="none"/>
                <w:lang w:val="en-US" w:eastAsia="zh-CN"/>
              </w:rPr>
              <w:t>22</w:t>
            </w:r>
            <w:r>
              <w:rPr>
                <w:rFonts w:hint="eastAsia" w:ascii="宋体" w:hAnsi="宋体"/>
                <w:color w:val="auto"/>
                <w:spacing w:val="-4"/>
                <w:kern w:val="0"/>
                <w:szCs w:val="22"/>
                <w:highlight w:val="none"/>
              </w:rPr>
              <w:t>年1月1日（以合同签订时间为准）至今以项目负责人身份承担过农村或城镇（市）公共环境卫生保洁业绩的，每提供一个得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分，最高得</w:t>
            </w:r>
            <w:r>
              <w:rPr>
                <w:rFonts w:hint="eastAsia" w:ascii="宋体" w:hAnsi="宋体"/>
                <w:color w:val="auto"/>
                <w:spacing w:val="-4"/>
                <w:kern w:val="0"/>
                <w:szCs w:val="22"/>
                <w:highlight w:val="none"/>
                <w:lang w:val="en-US" w:eastAsia="zh-CN"/>
              </w:rPr>
              <w:t>1</w:t>
            </w:r>
            <w:r>
              <w:rPr>
                <w:rFonts w:hint="eastAsia" w:ascii="宋体" w:hAnsi="宋体"/>
                <w:color w:val="auto"/>
                <w:spacing w:val="-4"/>
                <w:kern w:val="0"/>
                <w:szCs w:val="22"/>
                <w:highlight w:val="none"/>
              </w:rPr>
              <w:t>分。备注：</w:t>
            </w:r>
            <w:r>
              <w:rPr>
                <w:rFonts w:hint="eastAsia" w:ascii="宋体" w:hAnsi="宋体"/>
                <w:bCs/>
                <w:color w:val="auto"/>
                <w:szCs w:val="22"/>
                <w:highlight w:val="none"/>
              </w:rPr>
              <w:t>投标文件中需提供合同清晰扫描件</w:t>
            </w:r>
            <w:r>
              <w:rPr>
                <w:rFonts w:hint="eastAsia" w:ascii="宋体" w:hAnsi="宋体" w:cs="宋体"/>
                <w:color w:val="auto"/>
                <w:szCs w:val="22"/>
                <w:highlight w:val="none"/>
              </w:rPr>
              <w:t>（加盖投标人电子签章）</w:t>
            </w:r>
            <w:r>
              <w:rPr>
                <w:rFonts w:hint="eastAsia" w:ascii="宋体" w:hAnsi="宋体"/>
                <w:color w:val="auto"/>
                <w:spacing w:val="-4"/>
                <w:kern w:val="0"/>
                <w:szCs w:val="22"/>
                <w:highlight w:val="none"/>
              </w:rPr>
              <w:t>，</w:t>
            </w:r>
            <w:r>
              <w:rPr>
                <w:rFonts w:hint="eastAsia" w:ascii="宋体" w:hAnsi="宋体"/>
                <w:color w:val="auto"/>
                <w:spacing w:val="-4"/>
                <w:kern w:val="0"/>
                <w:szCs w:val="22"/>
                <w:highlight w:val="none"/>
                <w:lang w:val="en-US" w:eastAsia="zh-CN"/>
              </w:rPr>
              <w:t>若</w:t>
            </w:r>
            <w:r>
              <w:rPr>
                <w:rFonts w:hint="eastAsia" w:ascii="宋体" w:hAnsi="宋体"/>
                <w:color w:val="auto"/>
                <w:spacing w:val="-4"/>
                <w:kern w:val="0"/>
                <w:szCs w:val="22"/>
                <w:highlight w:val="none"/>
              </w:rPr>
              <w:t>合同中未体现项目负责人的，</w:t>
            </w:r>
            <w:r>
              <w:rPr>
                <w:rFonts w:hint="eastAsia" w:ascii="宋体" w:hAnsi="宋体"/>
                <w:color w:val="auto"/>
                <w:spacing w:val="-4"/>
                <w:kern w:val="0"/>
                <w:szCs w:val="22"/>
                <w:highlight w:val="none"/>
                <w:lang w:val="en-US" w:eastAsia="zh-CN"/>
              </w:rPr>
              <w:t>则</w:t>
            </w:r>
            <w:r>
              <w:rPr>
                <w:rFonts w:hint="eastAsia" w:ascii="宋体" w:hAnsi="宋体"/>
                <w:color w:val="auto"/>
                <w:spacing w:val="-4"/>
                <w:kern w:val="0"/>
                <w:szCs w:val="22"/>
                <w:highlight w:val="none"/>
              </w:rPr>
              <w:t>提供能体现项目负责人信息的中标通知书或业主证明材料，</w:t>
            </w:r>
            <w:r>
              <w:rPr>
                <w:rFonts w:hint="eastAsia" w:ascii="宋体" w:hAnsi="宋体"/>
                <w:bCs/>
                <w:color w:val="auto"/>
                <w:szCs w:val="22"/>
                <w:highlight w:val="none"/>
              </w:rPr>
              <w:t>提供的扫描件模糊不清或不提供的不得分。</w:t>
            </w:r>
          </w:p>
          <w:p w14:paraId="1F7DD71B">
            <w:pPr>
              <w:pStyle w:val="79"/>
              <w:widowControl/>
              <w:adjustRightInd/>
              <w:spacing w:line="300" w:lineRule="auto"/>
              <w:jc w:val="both"/>
              <w:rPr>
                <w:rFonts w:ascii="宋体" w:hAnsi="宋体" w:eastAsia="宋体" w:cs="宋体"/>
                <w:color w:val="auto"/>
                <w:sz w:val="22"/>
                <w:szCs w:val="22"/>
                <w:highlight w:val="none"/>
              </w:rPr>
            </w:pPr>
            <w:r>
              <w:rPr>
                <w:rFonts w:hint="eastAsia" w:ascii="宋体" w:hAnsi="宋体" w:eastAsia="宋体"/>
                <w:bCs/>
                <w:color w:val="auto"/>
                <w:szCs w:val="22"/>
                <w:highlight w:val="none"/>
                <w:lang w:val="en-US" w:eastAsia="zh-CN"/>
              </w:rPr>
              <w:t>2、</w:t>
            </w:r>
            <w:r>
              <w:rPr>
                <w:rFonts w:hint="eastAsia" w:ascii="宋体" w:hAnsi="宋体" w:eastAsia="宋体" w:cs="宋体"/>
                <w:color w:val="auto"/>
                <w:sz w:val="22"/>
                <w:szCs w:val="22"/>
                <w:highlight w:val="none"/>
              </w:rPr>
              <w:t>项目负责人具备本科及以上学历的得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分；具备大专学历的得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分；本项最高</w:t>
            </w:r>
            <w:r>
              <w:rPr>
                <w:rFonts w:hint="eastAsia" w:ascii="宋体" w:hAnsi="宋体" w:eastAsia="宋体" w:cs="宋体"/>
                <w:color w:val="auto"/>
                <w:sz w:val="22"/>
                <w:szCs w:val="22"/>
                <w:highlight w:val="none"/>
                <w:lang w:val="en-US" w:eastAsia="zh-CN"/>
              </w:rPr>
              <w:t>得1</w:t>
            </w:r>
            <w:r>
              <w:rPr>
                <w:rFonts w:hint="eastAsia" w:ascii="宋体" w:hAnsi="宋体" w:eastAsia="宋体" w:cs="宋体"/>
                <w:color w:val="auto"/>
                <w:sz w:val="22"/>
                <w:szCs w:val="22"/>
                <w:highlight w:val="none"/>
              </w:rPr>
              <w:t>分。</w:t>
            </w:r>
          </w:p>
          <w:p w14:paraId="76F59A46">
            <w:pPr>
              <w:adjustRightInd w:val="0"/>
              <w:snapToGrid w:val="0"/>
              <w:spacing w:line="360" w:lineRule="exact"/>
              <w:jc w:val="left"/>
              <w:rPr>
                <w:rFonts w:ascii="宋体" w:hAnsi="宋体"/>
                <w:color w:val="auto"/>
                <w:spacing w:val="-4"/>
                <w:kern w:val="0"/>
                <w:szCs w:val="22"/>
                <w:highlight w:val="none"/>
              </w:rPr>
            </w:pPr>
            <w:r>
              <w:rPr>
                <w:rFonts w:hint="eastAsia" w:ascii="宋体" w:hAnsi="宋体" w:eastAsia="宋体" w:cs="宋体"/>
                <w:b/>
                <w:bCs/>
                <w:color w:val="auto"/>
                <w:kern w:val="2"/>
                <w:sz w:val="22"/>
                <w:szCs w:val="22"/>
                <w:highlight w:val="none"/>
              </w:rPr>
              <w:t>注：</w:t>
            </w:r>
            <w:r>
              <w:rPr>
                <w:rFonts w:hint="eastAsia"/>
                <w:color w:val="auto"/>
                <w:lang w:eastAsia="zh-CN"/>
              </w:rPr>
              <w:t>以上人员</w:t>
            </w:r>
            <w:r>
              <w:rPr>
                <w:rFonts w:hint="eastAsia"/>
                <w:color w:val="auto"/>
              </w:rPr>
              <w:t>须提供相关证书</w:t>
            </w:r>
            <w:r>
              <w:rPr>
                <w:rFonts w:hint="eastAsia" w:ascii="Times New Roman" w:hAnsi="Times New Roman" w:eastAsia="宋体" w:cs="Times New Roman"/>
                <w:color w:val="auto"/>
              </w:rPr>
              <w:t>及投标截止时间前在</w:t>
            </w:r>
            <w:r>
              <w:rPr>
                <w:rFonts w:hint="eastAsia" w:ascii="宋体" w:hAnsi="宋体" w:cs="宋体"/>
                <w:b w:val="0"/>
                <w:color w:val="auto"/>
                <w:szCs w:val="21"/>
              </w:rPr>
              <w:t>本单位</w:t>
            </w:r>
            <w:r>
              <w:rPr>
                <w:rFonts w:hint="eastAsia"/>
                <w:color w:val="auto"/>
              </w:rPr>
              <w:t>近</w:t>
            </w:r>
            <w:r>
              <w:rPr>
                <w:rFonts w:hint="eastAsia"/>
                <w:color w:val="auto"/>
                <w:lang w:eastAsia="zh-CN"/>
              </w:rPr>
              <w:t>三个月内</w:t>
            </w:r>
            <w:r>
              <w:rPr>
                <w:rFonts w:hint="eastAsia"/>
                <w:color w:val="auto"/>
              </w:rPr>
              <w:t>任意一个月</w:t>
            </w:r>
            <w:r>
              <w:rPr>
                <w:rFonts w:hint="eastAsia" w:ascii="宋体" w:hAnsi="宋体" w:cs="宋体"/>
                <w:b w:val="0"/>
                <w:color w:val="auto"/>
                <w:szCs w:val="21"/>
              </w:rPr>
              <w:t>缴纳社保证明</w:t>
            </w:r>
            <w:r>
              <w:rPr>
                <w:rFonts w:hint="eastAsia" w:ascii="宋体" w:hAnsi="宋体" w:cs="宋体"/>
                <w:b w:val="0"/>
                <w:color w:val="auto"/>
                <w:szCs w:val="21"/>
                <w:lang w:eastAsia="zh-CN"/>
              </w:rPr>
              <w:t>的</w:t>
            </w:r>
            <w:r>
              <w:rPr>
                <w:rFonts w:hint="eastAsia"/>
                <w:color w:val="auto"/>
                <w:lang w:eastAsia="zh-CN"/>
              </w:rPr>
              <w:t>扫描件</w:t>
            </w:r>
            <w:r>
              <w:rPr>
                <w:rFonts w:hint="eastAsia" w:ascii="宋体" w:hAnsi="宋体" w:cs="宋体"/>
                <w:b w:val="0"/>
                <w:color w:val="auto"/>
                <w:szCs w:val="21"/>
                <w:lang w:eastAsia="zh-CN"/>
              </w:rPr>
              <w:t>，</w:t>
            </w:r>
            <w:r>
              <w:rPr>
                <w:rFonts w:hint="eastAsia"/>
                <w:color w:val="auto"/>
              </w:rPr>
              <w:t>未提供的不得分。</w:t>
            </w:r>
          </w:p>
        </w:tc>
      </w:tr>
      <w:tr w14:paraId="55BE9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671" w:type="dxa"/>
            <w:tcBorders>
              <w:tl2br w:val="nil"/>
              <w:tr2bl w:val="nil"/>
            </w:tcBorders>
            <w:vAlign w:val="center"/>
          </w:tcPr>
          <w:p w14:paraId="42F5CB0E">
            <w:pPr>
              <w:adjustRightInd w:val="0"/>
              <w:snapToGrid w:val="0"/>
              <w:spacing w:line="360" w:lineRule="exact"/>
              <w:jc w:val="center"/>
              <w:rPr>
                <w:rFonts w:ascii="宋体" w:hAnsi="宋体"/>
                <w:szCs w:val="22"/>
              </w:rPr>
            </w:pPr>
            <w:r>
              <w:rPr>
                <w:rFonts w:ascii="宋体" w:hAnsi="宋体"/>
                <w:szCs w:val="22"/>
              </w:rPr>
              <w:t>4</w:t>
            </w:r>
          </w:p>
        </w:tc>
        <w:tc>
          <w:tcPr>
            <w:tcW w:w="1456" w:type="dxa"/>
            <w:tcBorders>
              <w:tl2br w:val="nil"/>
              <w:tr2bl w:val="nil"/>
            </w:tcBorders>
            <w:vAlign w:val="center"/>
          </w:tcPr>
          <w:p w14:paraId="0D90F5AF">
            <w:pPr>
              <w:adjustRightInd w:val="0"/>
              <w:snapToGrid w:val="0"/>
              <w:spacing w:line="360" w:lineRule="exact"/>
              <w:jc w:val="center"/>
              <w:rPr>
                <w:rFonts w:ascii="宋体" w:hAnsi="宋体" w:cs="宋体"/>
                <w:color w:val="auto"/>
                <w:szCs w:val="22"/>
                <w:highlight w:val="none"/>
              </w:rPr>
            </w:pPr>
            <w:r>
              <w:rPr>
                <w:rFonts w:hint="eastAsia" w:ascii="宋体" w:hAnsi="宋体"/>
                <w:color w:val="auto"/>
                <w:szCs w:val="21"/>
                <w:highlight w:val="none"/>
              </w:rPr>
              <w:t>项目</w:t>
            </w:r>
            <w:r>
              <w:rPr>
                <w:rFonts w:hint="eastAsia" w:ascii="宋体" w:hAnsi="宋体"/>
                <w:color w:val="auto"/>
                <w:szCs w:val="21"/>
                <w:highlight w:val="none"/>
                <w:lang w:val="en-US" w:eastAsia="zh-CN"/>
              </w:rPr>
              <w:t>管理人员</w:t>
            </w:r>
          </w:p>
        </w:tc>
        <w:tc>
          <w:tcPr>
            <w:tcW w:w="709" w:type="dxa"/>
            <w:tcBorders>
              <w:tl2br w:val="nil"/>
              <w:tr2bl w:val="nil"/>
            </w:tcBorders>
            <w:vAlign w:val="center"/>
          </w:tcPr>
          <w:p w14:paraId="1B257D90">
            <w:pPr>
              <w:adjustRightInd w:val="0"/>
              <w:snapToGrid w:val="0"/>
              <w:spacing w:line="360" w:lineRule="exac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2</w:t>
            </w:r>
          </w:p>
        </w:tc>
        <w:tc>
          <w:tcPr>
            <w:tcW w:w="6886" w:type="dxa"/>
            <w:tcBorders>
              <w:tl2br w:val="nil"/>
              <w:tr2bl w:val="nil"/>
            </w:tcBorders>
          </w:tcPr>
          <w:p w14:paraId="161CCC4F">
            <w:pPr>
              <w:adjustRightInd w:val="0"/>
              <w:snapToGrid w:val="0"/>
              <w:spacing w:line="420" w:lineRule="exact"/>
              <w:jc w:val="left"/>
              <w:rPr>
                <w:rFonts w:hint="eastAsia"/>
                <w:color w:val="auto"/>
                <w:lang w:val="en-US" w:eastAsia="zh-CN"/>
              </w:rPr>
            </w:pPr>
            <w:r>
              <w:rPr>
                <w:rFonts w:hint="eastAsia"/>
                <w:color w:val="auto"/>
                <w:lang w:val="en-US" w:eastAsia="zh-CN"/>
              </w:rPr>
              <w:t>1.技术人员有园林绿化相关专业的高级职称证书得1分，园林绿化相关专业中级职称的得0.5分。</w:t>
            </w:r>
            <w:r>
              <w:rPr>
                <w:rFonts w:hint="eastAsia"/>
                <w:color w:val="auto"/>
                <w:lang w:eastAsia="zh-CN"/>
              </w:rPr>
              <w:t>本项</w:t>
            </w:r>
            <w:r>
              <w:rPr>
                <w:rFonts w:hint="eastAsia"/>
                <w:color w:val="auto"/>
              </w:rPr>
              <w:t>最多得</w:t>
            </w:r>
            <w:r>
              <w:rPr>
                <w:rFonts w:hint="eastAsia"/>
                <w:color w:val="auto"/>
                <w:lang w:val="en-US" w:eastAsia="zh-CN"/>
              </w:rPr>
              <w:t>1</w:t>
            </w:r>
            <w:r>
              <w:rPr>
                <w:rFonts w:hint="eastAsia"/>
                <w:color w:val="auto"/>
              </w:rPr>
              <w:t>分。</w:t>
            </w:r>
          </w:p>
          <w:p w14:paraId="75175A98">
            <w:pPr>
              <w:widowControl/>
              <w:spacing w:line="300" w:lineRule="auto"/>
              <w:rPr>
                <w:rFonts w:hint="eastAsia"/>
                <w:color w:val="auto"/>
                <w:lang w:eastAsia="zh-CN"/>
              </w:rPr>
            </w:pPr>
            <w:r>
              <w:rPr>
                <w:rFonts w:hint="eastAsia"/>
                <w:color w:val="auto"/>
                <w:lang w:val="en-US" w:eastAsia="zh-CN"/>
              </w:rPr>
              <w:t>2.</w:t>
            </w:r>
            <w:bookmarkStart w:id="207" w:name="_GoBack"/>
            <w:bookmarkEnd w:id="207"/>
            <w:r>
              <w:rPr>
                <w:rFonts w:hint="eastAsia"/>
                <w:color w:val="auto"/>
              </w:rPr>
              <w:t>拟派其他人员中有</w:t>
            </w:r>
            <w:r>
              <w:rPr>
                <w:rFonts w:hint="eastAsia"/>
                <w:color w:val="auto"/>
                <w:lang w:val="en-US" w:eastAsia="zh-CN"/>
              </w:rPr>
              <w:t>政府相关部门颁发的绿化工的</w:t>
            </w:r>
            <w:r>
              <w:rPr>
                <w:rFonts w:hint="eastAsia"/>
                <w:color w:val="auto"/>
              </w:rPr>
              <w:t>，</w:t>
            </w:r>
            <w:r>
              <w:rPr>
                <w:rFonts w:hint="eastAsia"/>
                <w:color w:val="auto"/>
                <w:lang w:eastAsia="zh-CN"/>
              </w:rPr>
              <w:t>提供</w:t>
            </w:r>
            <w:r>
              <w:rPr>
                <w:rFonts w:hint="eastAsia"/>
                <w:color w:val="auto"/>
                <w:lang w:val="en-US" w:eastAsia="zh-CN"/>
              </w:rPr>
              <w:t>1名</w:t>
            </w:r>
            <w:r>
              <w:rPr>
                <w:rFonts w:hint="eastAsia"/>
                <w:color w:val="auto"/>
              </w:rPr>
              <w:t>得</w:t>
            </w:r>
            <w:r>
              <w:rPr>
                <w:rFonts w:hint="eastAsia"/>
                <w:color w:val="auto"/>
                <w:lang w:val="en-US" w:eastAsia="zh-CN"/>
              </w:rPr>
              <w:t>0.5</w:t>
            </w:r>
            <w:r>
              <w:rPr>
                <w:rFonts w:hint="eastAsia"/>
                <w:color w:val="auto"/>
              </w:rPr>
              <w:t>分</w:t>
            </w:r>
            <w:r>
              <w:rPr>
                <w:rFonts w:hint="eastAsia"/>
                <w:color w:val="auto"/>
                <w:lang w:eastAsia="zh-CN"/>
              </w:rPr>
              <w:t>，本项</w:t>
            </w:r>
            <w:r>
              <w:rPr>
                <w:rFonts w:hint="eastAsia"/>
                <w:color w:val="auto"/>
              </w:rPr>
              <w:t>最多得</w:t>
            </w:r>
            <w:r>
              <w:rPr>
                <w:rFonts w:hint="eastAsia"/>
                <w:color w:val="auto"/>
                <w:lang w:val="en-US" w:eastAsia="zh-CN"/>
              </w:rPr>
              <w:t>1</w:t>
            </w:r>
            <w:r>
              <w:rPr>
                <w:rFonts w:hint="eastAsia"/>
                <w:color w:val="auto"/>
              </w:rPr>
              <w:t>分</w:t>
            </w:r>
            <w:r>
              <w:rPr>
                <w:rFonts w:hint="eastAsia"/>
                <w:color w:val="auto"/>
                <w:lang w:eastAsia="zh-CN"/>
              </w:rPr>
              <w:t>。</w:t>
            </w:r>
          </w:p>
          <w:p w14:paraId="049297C1">
            <w:pPr>
              <w:pStyle w:val="2"/>
              <w:rPr>
                <w:color w:val="auto"/>
              </w:rPr>
            </w:pPr>
            <w:r>
              <w:rPr>
                <w:rFonts w:hint="eastAsia" w:ascii="宋体" w:hAnsi="宋体" w:eastAsia="宋体" w:cs="宋体"/>
                <w:b/>
                <w:bCs/>
                <w:color w:val="auto"/>
                <w:kern w:val="2"/>
                <w:sz w:val="22"/>
                <w:szCs w:val="22"/>
                <w:highlight w:val="none"/>
              </w:rPr>
              <w:t>注：</w:t>
            </w:r>
            <w:r>
              <w:rPr>
                <w:rFonts w:hint="eastAsia"/>
                <w:color w:val="auto"/>
                <w:lang w:eastAsia="zh-CN"/>
              </w:rPr>
              <w:t>以上人员</w:t>
            </w:r>
            <w:r>
              <w:rPr>
                <w:rFonts w:hint="eastAsia"/>
                <w:color w:val="auto"/>
              </w:rPr>
              <w:t>须提供相关证书</w:t>
            </w:r>
            <w:r>
              <w:rPr>
                <w:rFonts w:hint="eastAsia" w:ascii="Times New Roman" w:hAnsi="Times New Roman" w:eastAsia="宋体" w:cs="Times New Roman"/>
                <w:color w:val="auto"/>
              </w:rPr>
              <w:t>及投标截止时间前在</w:t>
            </w:r>
            <w:r>
              <w:rPr>
                <w:rFonts w:hint="eastAsia" w:ascii="宋体" w:hAnsi="宋体" w:cs="宋体"/>
                <w:b w:val="0"/>
                <w:color w:val="auto"/>
                <w:szCs w:val="21"/>
              </w:rPr>
              <w:t>本单位</w:t>
            </w:r>
            <w:r>
              <w:rPr>
                <w:rFonts w:hint="eastAsia"/>
                <w:color w:val="auto"/>
              </w:rPr>
              <w:t>近</w:t>
            </w:r>
            <w:r>
              <w:rPr>
                <w:rFonts w:hint="eastAsia"/>
                <w:color w:val="auto"/>
                <w:lang w:eastAsia="zh-CN"/>
              </w:rPr>
              <w:t>三个月内</w:t>
            </w:r>
            <w:r>
              <w:rPr>
                <w:rFonts w:hint="eastAsia"/>
                <w:color w:val="auto"/>
              </w:rPr>
              <w:t>任意一个月</w:t>
            </w:r>
            <w:r>
              <w:rPr>
                <w:rFonts w:hint="eastAsia" w:ascii="宋体" w:hAnsi="宋体" w:cs="宋体"/>
                <w:b w:val="0"/>
                <w:color w:val="auto"/>
                <w:szCs w:val="21"/>
              </w:rPr>
              <w:t>缴纳社保证明</w:t>
            </w:r>
            <w:r>
              <w:rPr>
                <w:rFonts w:hint="eastAsia" w:ascii="宋体" w:hAnsi="宋体" w:cs="宋体"/>
                <w:b w:val="0"/>
                <w:color w:val="auto"/>
                <w:szCs w:val="21"/>
                <w:lang w:eastAsia="zh-CN"/>
              </w:rPr>
              <w:t>的</w:t>
            </w:r>
            <w:r>
              <w:rPr>
                <w:rFonts w:hint="eastAsia"/>
                <w:color w:val="auto"/>
                <w:lang w:eastAsia="zh-CN"/>
              </w:rPr>
              <w:t>扫描件</w:t>
            </w:r>
            <w:r>
              <w:rPr>
                <w:rFonts w:hint="eastAsia" w:ascii="宋体" w:hAnsi="宋体" w:cs="宋体"/>
                <w:b w:val="0"/>
                <w:color w:val="auto"/>
                <w:szCs w:val="21"/>
                <w:lang w:eastAsia="zh-CN"/>
              </w:rPr>
              <w:t>，</w:t>
            </w:r>
            <w:r>
              <w:rPr>
                <w:rFonts w:hint="eastAsia"/>
                <w:color w:val="auto"/>
              </w:rPr>
              <w:t>未提供的不得分。</w:t>
            </w:r>
          </w:p>
        </w:tc>
      </w:tr>
      <w:tr w14:paraId="7045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71" w:type="dxa"/>
            <w:vMerge w:val="restart"/>
            <w:tcBorders>
              <w:tl2br w:val="nil"/>
              <w:tr2bl w:val="nil"/>
            </w:tcBorders>
            <w:vAlign w:val="center"/>
          </w:tcPr>
          <w:p w14:paraId="157B6BB7">
            <w:pPr>
              <w:adjustRightInd w:val="0"/>
              <w:snapToGrid w:val="0"/>
              <w:spacing w:line="360" w:lineRule="exact"/>
              <w:jc w:val="center"/>
              <w:rPr>
                <w:rFonts w:hint="eastAsia" w:ascii="宋体" w:hAnsi="宋体" w:eastAsia="宋体"/>
                <w:szCs w:val="22"/>
                <w:lang w:val="en-US" w:eastAsia="zh-CN"/>
              </w:rPr>
            </w:pPr>
            <w:r>
              <w:rPr>
                <w:rFonts w:hint="eastAsia" w:ascii="宋体" w:hAnsi="宋体"/>
                <w:szCs w:val="22"/>
                <w:lang w:val="en-US" w:eastAsia="zh-CN"/>
              </w:rPr>
              <w:t>5</w:t>
            </w:r>
          </w:p>
        </w:tc>
        <w:tc>
          <w:tcPr>
            <w:tcW w:w="1456" w:type="dxa"/>
            <w:vMerge w:val="restart"/>
            <w:tcBorders>
              <w:tl2br w:val="nil"/>
              <w:tr2bl w:val="nil"/>
            </w:tcBorders>
            <w:vAlign w:val="center"/>
          </w:tcPr>
          <w:p w14:paraId="203F8655">
            <w:pPr>
              <w:adjustRightInd w:val="0"/>
              <w:snapToGrid w:val="0"/>
              <w:spacing w:line="360" w:lineRule="exact"/>
              <w:jc w:val="center"/>
              <w:rPr>
                <w:rFonts w:hint="eastAsia" w:ascii="宋体" w:hAnsi="宋体"/>
                <w:szCs w:val="21"/>
                <w:highlight w:val="none"/>
              </w:rPr>
            </w:pPr>
            <w:r>
              <w:rPr>
                <w:rFonts w:hint="eastAsia" w:ascii="宋体" w:hAnsi="宋体" w:eastAsia="宋体" w:cs="宋体"/>
                <w:b w:val="0"/>
                <w:bCs w:val="0"/>
                <w:snapToGrid w:val="0"/>
                <w:color w:val="000000"/>
                <w:sz w:val="22"/>
                <w:szCs w:val="22"/>
              </w:rPr>
              <w:t>机械设备</w:t>
            </w:r>
          </w:p>
        </w:tc>
        <w:tc>
          <w:tcPr>
            <w:tcW w:w="709" w:type="dxa"/>
            <w:vMerge w:val="restart"/>
            <w:tcBorders>
              <w:tl2br w:val="nil"/>
              <w:tr2bl w:val="nil"/>
            </w:tcBorders>
            <w:vAlign w:val="center"/>
          </w:tcPr>
          <w:p w14:paraId="4A49D088">
            <w:pPr>
              <w:adjustRightInd w:val="0"/>
              <w:snapToGrid w:val="0"/>
              <w:spacing w:line="360" w:lineRule="exact"/>
              <w:jc w:val="center"/>
              <w:rPr>
                <w:rFonts w:hint="default" w:ascii="宋体" w:hAnsi="宋体" w:cs="宋体"/>
                <w:szCs w:val="22"/>
                <w:highlight w:val="none"/>
                <w:lang w:val="en-US" w:eastAsia="zh-CN"/>
              </w:rPr>
            </w:pPr>
            <w:r>
              <w:rPr>
                <w:rFonts w:hint="eastAsia" w:ascii="宋体" w:hAnsi="宋体" w:cs="宋体"/>
                <w:szCs w:val="22"/>
                <w:highlight w:val="none"/>
                <w:lang w:val="en-US" w:eastAsia="zh-CN"/>
              </w:rPr>
              <w:t>6</w:t>
            </w:r>
          </w:p>
        </w:tc>
        <w:tc>
          <w:tcPr>
            <w:tcW w:w="6886" w:type="dxa"/>
            <w:tcBorders>
              <w:tl2br w:val="nil"/>
              <w:tr2bl w:val="nil"/>
            </w:tcBorders>
          </w:tcPr>
          <w:p w14:paraId="7A950778">
            <w:pPr>
              <w:adjustRightInd w:val="0"/>
              <w:snapToGrid w:val="0"/>
              <w:spacing w:line="360" w:lineRule="exact"/>
              <w:jc w:val="left"/>
              <w:rPr>
                <w:rFonts w:hint="eastAsia" w:eastAsia="宋体"/>
                <w:lang w:eastAsia="zh-CN"/>
              </w:rPr>
            </w:pPr>
            <w:r>
              <w:rPr>
                <w:rFonts w:hint="eastAsia" w:ascii="宋体" w:hAnsi="宋体" w:eastAsia="宋体" w:cs="宋体"/>
                <w:b w:val="0"/>
                <w:bCs w:val="0"/>
                <w:snapToGrid w:val="0"/>
                <w:color w:val="000000"/>
                <w:sz w:val="22"/>
                <w:szCs w:val="22"/>
              </w:rPr>
              <w:t>投标供应商</w:t>
            </w:r>
            <w:r>
              <w:rPr>
                <w:rFonts w:hint="eastAsia" w:ascii="宋体" w:hAnsi="宋体" w:cs="宋体"/>
                <w:b w:val="0"/>
                <w:bCs w:val="0"/>
                <w:snapToGrid w:val="0"/>
                <w:color w:val="000000"/>
                <w:sz w:val="22"/>
                <w:szCs w:val="22"/>
                <w:lang w:eastAsia="zh-CN"/>
              </w:rPr>
              <w:t>需</w:t>
            </w:r>
            <w:r>
              <w:rPr>
                <w:rFonts w:hint="eastAsia" w:ascii="宋体" w:hAnsi="宋体" w:eastAsia="宋体" w:cs="宋体"/>
                <w:b w:val="0"/>
                <w:bCs w:val="0"/>
                <w:snapToGrid w:val="0"/>
                <w:color w:val="000000"/>
                <w:sz w:val="22"/>
                <w:szCs w:val="22"/>
              </w:rPr>
              <w:t>投入</w:t>
            </w:r>
            <w:r>
              <w:rPr>
                <w:rFonts w:hint="eastAsia" w:ascii="宋体" w:hAnsi="宋体" w:eastAsia="宋体" w:cs="宋体"/>
                <w:b w:val="0"/>
                <w:bCs w:val="0"/>
                <w:snapToGrid w:val="0"/>
                <w:color w:val="000000"/>
                <w:sz w:val="22"/>
                <w:szCs w:val="22"/>
                <w:lang w:val="en-US" w:eastAsia="zh-CN"/>
              </w:rPr>
              <w:t>自有6</w:t>
            </w:r>
            <w:r>
              <w:rPr>
                <w:rFonts w:hint="eastAsia" w:ascii="宋体" w:hAnsi="宋体" w:eastAsia="宋体" w:cs="宋体"/>
                <w:b w:val="0"/>
                <w:bCs w:val="0"/>
                <w:snapToGrid w:val="0"/>
                <w:color w:val="000000"/>
                <w:sz w:val="22"/>
                <w:szCs w:val="22"/>
              </w:rPr>
              <w:t>辆电动三轮垃圾收集清运车</w:t>
            </w:r>
            <w:r>
              <w:rPr>
                <w:rFonts w:hint="eastAsia" w:ascii="宋体" w:hAnsi="宋体" w:eastAsia="宋体" w:cs="宋体"/>
                <w:b w:val="0"/>
                <w:bCs w:val="0"/>
                <w:snapToGrid w:val="0"/>
                <w:color w:val="000000"/>
                <w:sz w:val="22"/>
                <w:szCs w:val="22"/>
                <w:lang w:eastAsia="zh-CN"/>
              </w:rPr>
              <w:t>，</w:t>
            </w:r>
            <w:r>
              <w:rPr>
                <w:rFonts w:hint="eastAsia" w:ascii="宋体" w:hAnsi="宋体" w:eastAsia="宋体" w:cs="宋体"/>
                <w:b w:val="0"/>
                <w:bCs w:val="0"/>
                <w:snapToGrid w:val="0"/>
                <w:color w:val="000000"/>
                <w:sz w:val="22"/>
                <w:szCs w:val="22"/>
                <w:lang w:val="en-US" w:eastAsia="zh-CN"/>
              </w:rPr>
              <w:t>每多1辆得</w:t>
            </w:r>
            <w:r>
              <w:rPr>
                <w:rFonts w:hint="eastAsia" w:ascii="宋体" w:hAnsi="宋体" w:cs="宋体"/>
                <w:b w:val="0"/>
                <w:bCs w:val="0"/>
                <w:snapToGrid w:val="0"/>
                <w:color w:val="000000"/>
                <w:sz w:val="22"/>
                <w:szCs w:val="22"/>
                <w:lang w:val="en-US" w:eastAsia="zh-CN"/>
              </w:rPr>
              <w:t>1</w:t>
            </w:r>
            <w:r>
              <w:rPr>
                <w:rFonts w:hint="eastAsia" w:ascii="宋体" w:hAnsi="宋体" w:eastAsia="宋体" w:cs="宋体"/>
                <w:b w:val="0"/>
                <w:bCs w:val="0"/>
                <w:snapToGrid w:val="0"/>
                <w:color w:val="000000"/>
                <w:sz w:val="22"/>
                <w:szCs w:val="22"/>
                <w:lang w:val="en-US" w:eastAsia="zh-CN"/>
              </w:rPr>
              <w:t>分，最多</w:t>
            </w:r>
            <w:r>
              <w:rPr>
                <w:rFonts w:hint="eastAsia" w:ascii="宋体" w:hAnsi="宋体" w:eastAsia="宋体" w:cs="宋体"/>
                <w:b w:val="0"/>
                <w:bCs w:val="0"/>
                <w:snapToGrid w:val="0"/>
                <w:color w:val="000000"/>
                <w:sz w:val="22"/>
                <w:szCs w:val="22"/>
              </w:rPr>
              <w:t>得</w:t>
            </w:r>
            <w:r>
              <w:rPr>
                <w:rFonts w:hint="eastAsia" w:ascii="宋体" w:hAnsi="宋体" w:cs="宋体"/>
                <w:b w:val="0"/>
                <w:bCs w:val="0"/>
                <w:snapToGrid w:val="0"/>
                <w:color w:val="000000"/>
                <w:sz w:val="22"/>
                <w:szCs w:val="22"/>
                <w:lang w:val="en-US" w:eastAsia="zh-CN"/>
              </w:rPr>
              <w:t>2</w:t>
            </w:r>
            <w:r>
              <w:rPr>
                <w:rFonts w:hint="eastAsia" w:ascii="宋体" w:hAnsi="宋体" w:eastAsia="宋体" w:cs="宋体"/>
                <w:b w:val="0"/>
                <w:bCs w:val="0"/>
                <w:snapToGrid w:val="0"/>
                <w:color w:val="000000"/>
                <w:sz w:val="22"/>
                <w:szCs w:val="22"/>
              </w:rPr>
              <w:t>分</w:t>
            </w:r>
            <w:r>
              <w:rPr>
                <w:rFonts w:hint="eastAsia" w:ascii="宋体" w:hAnsi="宋体" w:eastAsia="宋体" w:cs="宋体"/>
                <w:b w:val="0"/>
                <w:bCs w:val="0"/>
                <w:snapToGrid w:val="0"/>
                <w:color w:val="000000"/>
                <w:sz w:val="22"/>
                <w:szCs w:val="22"/>
                <w:lang w:eastAsia="zh-CN"/>
              </w:rPr>
              <w:t>；</w:t>
            </w:r>
          </w:p>
        </w:tc>
      </w:tr>
      <w:tr w14:paraId="7B0E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71" w:type="dxa"/>
            <w:vMerge w:val="continue"/>
            <w:tcBorders>
              <w:tl2br w:val="nil"/>
              <w:tr2bl w:val="nil"/>
            </w:tcBorders>
            <w:vAlign w:val="center"/>
          </w:tcPr>
          <w:p w14:paraId="2C9C6A2E">
            <w:pPr>
              <w:adjustRightInd w:val="0"/>
              <w:snapToGrid w:val="0"/>
              <w:spacing w:line="360" w:lineRule="exact"/>
              <w:jc w:val="center"/>
              <w:rPr>
                <w:rFonts w:ascii="宋体" w:hAnsi="宋体"/>
                <w:szCs w:val="22"/>
              </w:rPr>
            </w:pPr>
          </w:p>
        </w:tc>
        <w:tc>
          <w:tcPr>
            <w:tcW w:w="1456" w:type="dxa"/>
            <w:vMerge w:val="continue"/>
            <w:tcBorders>
              <w:tl2br w:val="nil"/>
              <w:tr2bl w:val="nil"/>
            </w:tcBorders>
            <w:vAlign w:val="center"/>
          </w:tcPr>
          <w:p w14:paraId="55A8415C">
            <w:pPr>
              <w:adjustRightInd w:val="0"/>
              <w:snapToGrid w:val="0"/>
              <w:spacing w:line="360" w:lineRule="exact"/>
              <w:jc w:val="center"/>
              <w:rPr>
                <w:rFonts w:hint="eastAsia" w:ascii="宋体" w:hAnsi="宋体"/>
                <w:szCs w:val="21"/>
                <w:highlight w:val="none"/>
              </w:rPr>
            </w:pPr>
          </w:p>
        </w:tc>
        <w:tc>
          <w:tcPr>
            <w:tcW w:w="709" w:type="dxa"/>
            <w:vMerge w:val="continue"/>
            <w:tcBorders>
              <w:tl2br w:val="nil"/>
              <w:tr2bl w:val="nil"/>
            </w:tcBorders>
            <w:vAlign w:val="center"/>
          </w:tcPr>
          <w:p w14:paraId="6713469C">
            <w:pPr>
              <w:adjustRightInd w:val="0"/>
              <w:snapToGrid w:val="0"/>
              <w:spacing w:line="360" w:lineRule="exact"/>
              <w:jc w:val="center"/>
              <w:rPr>
                <w:rFonts w:hint="eastAsia" w:ascii="宋体" w:hAnsi="宋体" w:cs="宋体"/>
                <w:szCs w:val="22"/>
                <w:highlight w:val="none"/>
                <w:lang w:val="en-US" w:eastAsia="zh-CN"/>
              </w:rPr>
            </w:pPr>
          </w:p>
        </w:tc>
        <w:tc>
          <w:tcPr>
            <w:tcW w:w="6886" w:type="dxa"/>
            <w:tcBorders>
              <w:tl2br w:val="nil"/>
              <w:tr2bl w:val="nil"/>
            </w:tcBorders>
          </w:tcPr>
          <w:p w14:paraId="1C8BC838">
            <w:pPr>
              <w:adjustRightInd w:val="0"/>
              <w:snapToGrid w:val="0"/>
              <w:spacing w:line="360" w:lineRule="exact"/>
              <w:jc w:val="left"/>
              <w:rPr>
                <w:rFonts w:hint="eastAsia" w:ascii="宋体" w:hAnsi="宋体" w:eastAsia="宋体"/>
                <w:spacing w:val="-4"/>
                <w:kern w:val="0"/>
                <w:szCs w:val="22"/>
                <w:highlight w:val="none"/>
                <w:lang w:eastAsia="zh-CN"/>
              </w:rPr>
            </w:pPr>
            <w:r>
              <w:rPr>
                <w:rFonts w:hint="eastAsia" w:ascii="宋体" w:hAnsi="宋体" w:eastAsia="宋体" w:cs="宋体"/>
                <w:b w:val="0"/>
                <w:bCs w:val="0"/>
                <w:snapToGrid w:val="0"/>
                <w:color w:val="000000"/>
                <w:sz w:val="22"/>
                <w:szCs w:val="22"/>
              </w:rPr>
              <w:t>投标供应商</w:t>
            </w:r>
            <w:r>
              <w:rPr>
                <w:rFonts w:hint="eastAsia" w:ascii="宋体" w:hAnsi="宋体" w:cs="宋体"/>
                <w:b w:val="0"/>
                <w:bCs w:val="0"/>
                <w:snapToGrid w:val="0"/>
                <w:color w:val="000000"/>
                <w:sz w:val="22"/>
                <w:szCs w:val="22"/>
                <w:lang w:eastAsia="zh-CN"/>
              </w:rPr>
              <w:t>需</w:t>
            </w:r>
            <w:r>
              <w:rPr>
                <w:rFonts w:hint="eastAsia" w:ascii="宋体" w:hAnsi="宋体" w:eastAsia="宋体" w:cs="宋体"/>
                <w:b w:val="0"/>
                <w:bCs w:val="0"/>
                <w:snapToGrid w:val="0"/>
                <w:color w:val="000000"/>
                <w:sz w:val="22"/>
                <w:szCs w:val="22"/>
              </w:rPr>
              <w:t>投入自有</w:t>
            </w:r>
            <w:r>
              <w:rPr>
                <w:rFonts w:hint="eastAsia" w:ascii="宋体" w:hAnsi="宋体" w:eastAsia="宋体" w:cs="宋体"/>
                <w:b w:val="0"/>
                <w:bCs w:val="0"/>
                <w:snapToGrid w:val="0"/>
                <w:color w:val="000000"/>
                <w:sz w:val="22"/>
                <w:szCs w:val="22"/>
                <w:lang w:val="en-US" w:eastAsia="zh-CN"/>
              </w:rPr>
              <w:t>2</w:t>
            </w:r>
            <w:r>
              <w:rPr>
                <w:rFonts w:hint="eastAsia" w:ascii="宋体" w:hAnsi="宋体" w:eastAsia="宋体" w:cs="宋体"/>
                <w:b w:val="0"/>
                <w:bCs w:val="0"/>
                <w:snapToGrid w:val="0"/>
                <w:color w:val="000000"/>
                <w:sz w:val="22"/>
                <w:szCs w:val="22"/>
              </w:rPr>
              <w:t>辆垃圾桶清洗车</w:t>
            </w:r>
            <w:r>
              <w:rPr>
                <w:rFonts w:hint="eastAsia" w:ascii="宋体" w:hAnsi="宋体" w:eastAsia="宋体" w:cs="宋体"/>
                <w:b w:val="0"/>
                <w:bCs w:val="0"/>
                <w:snapToGrid w:val="0"/>
                <w:color w:val="000000"/>
                <w:sz w:val="22"/>
                <w:szCs w:val="22"/>
                <w:lang w:eastAsia="zh-CN"/>
              </w:rPr>
              <w:t>，</w:t>
            </w:r>
            <w:r>
              <w:rPr>
                <w:rFonts w:hint="eastAsia" w:ascii="宋体" w:hAnsi="宋体" w:eastAsia="宋体" w:cs="宋体"/>
                <w:b w:val="0"/>
                <w:bCs w:val="0"/>
                <w:snapToGrid w:val="0"/>
                <w:color w:val="000000"/>
                <w:sz w:val="22"/>
                <w:szCs w:val="22"/>
                <w:lang w:val="en-US" w:eastAsia="zh-CN"/>
              </w:rPr>
              <w:t>每多1辆得</w:t>
            </w:r>
            <w:r>
              <w:rPr>
                <w:rFonts w:hint="eastAsia" w:ascii="宋体" w:hAnsi="宋体" w:cs="宋体"/>
                <w:b w:val="0"/>
                <w:bCs w:val="0"/>
                <w:snapToGrid w:val="0"/>
                <w:color w:val="000000"/>
                <w:sz w:val="22"/>
                <w:szCs w:val="22"/>
                <w:lang w:val="en-US" w:eastAsia="zh-CN"/>
              </w:rPr>
              <w:t>1</w:t>
            </w:r>
            <w:r>
              <w:rPr>
                <w:rFonts w:hint="eastAsia" w:ascii="宋体" w:hAnsi="宋体" w:eastAsia="宋体" w:cs="宋体"/>
                <w:b w:val="0"/>
                <w:bCs w:val="0"/>
                <w:snapToGrid w:val="0"/>
                <w:color w:val="000000"/>
                <w:sz w:val="22"/>
                <w:szCs w:val="22"/>
                <w:lang w:val="en-US" w:eastAsia="zh-CN"/>
              </w:rPr>
              <w:t>分，最多</w:t>
            </w:r>
            <w:r>
              <w:rPr>
                <w:rFonts w:hint="eastAsia" w:ascii="宋体" w:hAnsi="宋体" w:eastAsia="宋体" w:cs="宋体"/>
                <w:b w:val="0"/>
                <w:bCs w:val="0"/>
                <w:snapToGrid w:val="0"/>
                <w:color w:val="000000"/>
                <w:sz w:val="22"/>
                <w:szCs w:val="22"/>
              </w:rPr>
              <w:t>得</w:t>
            </w:r>
            <w:r>
              <w:rPr>
                <w:rFonts w:hint="eastAsia" w:ascii="宋体" w:hAnsi="宋体" w:cs="宋体"/>
                <w:b w:val="0"/>
                <w:bCs w:val="0"/>
                <w:snapToGrid w:val="0"/>
                <w:color w:val="000000"/>
                <w:sz w:val="22"/>
                <w:szCs w:val="22"/>
                <w:lang w:val="en-US" w:eastAsia="zh-CN"/>
              </w:rPr>
              <w:t>2</w:t>
            </w:r>
            <w:r>
              <w:rPr>
                <w:rFonts w:hint="eastAsia" w:ascii="宋体" w:hAnsi="宋体" w:eastAsia="宋体" w:cs="宋体"/>
                <w:b w:val="0"/>
                <w:bCs w:val="0"/>
                <w:snapToGrid w:val="0"/>
                <w:color w:val="000000"/>
                <w:sz w:val="22"/>
                <w:szCs w:val="22"/>
              </w:rPr>
              <w:t>分</w:t>
            </w:r>
            <w:r>
              <w:rPr>
                <w:rFonts w:hint="eastAsia" w:ascii="宋体" w:hAnsi="宋体" w:eastAsia="宋体" w:cs="宋体"/>
                <w:b w:val="0"/>
                <w:bCs w:val="0"/>
                <w:snapToGrid w:val="0"/>
                <w:color w:val="000000"/>
                <w:sz w:val="22"/>
                <w:szCs w:val="22"/>
                <w:lang w:eastAsia="zh-CN"/>
              </w:rPr>
              <w:t>；</w:t>
            </w:r>
          </w:p>
        </w:tc>
      </w:tr>
      <w:tr w14:paraId="30C1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71" w:type="dxa"/>
            <w:vMerge w:val="continue"/>
            <w:tcBorders>
              <w:tl2br w:val="nil"/>
              <w:tr2bl w:val="nil"/>
            </w:tcBorders>
            <w:vAlign w:val="center"/>
          </w:tcPr>
          <w:p w14:paraId="0592ED66">
            <w:pPr>
              <w:adjustRightInd w:val="0"/>
              <w:snapToGrid w:val="0"/>
              <w:spacing w:line="360" w:lineRule="exact"/>
              <w:jc w:val="center"/>
              <w:rPr>
                <w:rFonts w:ascii="宋体" w:hAnsi="宋体"/>
                <w:szCs w:val="22"/>
              </w:rPr>
            </w:pPr>
          </w:p>
        </w:tc>
        <w:tc>
          <w:tcPr>
            <w:tcW w:w="1456" w:type="dxa"/>
            <w:vMerge w:val="continue"/>
            <w:tcBorders>
              <w:tl2br w:val="nil"/>
              <w:tr2bl w:val="nil"/>
            </w:tcBorders>
            <w:vAlign w:val="center"/>
          </w:tcPr>
          <w:p w14:paraId="6F888C5D">
            <w:pPr>
              <w:adjustRightInd w:val="0"/>
              <w:snapToGrid w:val="0"/>
              <w:spacing w:line="360" w:lineRule="exact"/>
              <w:jc w:val="center"/>
              <w:rPr>
                <w:rFonts w:hint="eastAsia" w:ascii="宋体" w:hAnsi="宋体"/>
                <w:szCs w:val="21"/>
                <w:highlight w:val="none"/>
              </w:rPr>
            </w:pPr>
          </w:p>
        </w:tc>
        <w:tc>
          <w:tcPr>
            <w:tcW w:w="709" w:type="dxa"/>
            <w:vMerge w:val="continue"/>
            <w:tcBorders>
              <w:tl2br w:val="nil"/>
              <w:tr2bl w:val="nil"/>
            </w:tcBorders>
            <w:vAlign w:val="center"/>
          </w:tcPr>
          <w:p w14:paraId="77963B2A">
            <w:pPr>
              <w:adjustRightInd w:val="0"/>
              <w:snapToGrid w:val="0"/>
              <w:spacing w:line="360" w:lineRule="exact"/>
              <w:jc w:val="center"/>
              <w:rPr>
                <w:rFonts w:hint="eastAsia" w:ascii="宋体" w:hAnsi="宋体" w:cs="宋体"/>
                <w:szCs w:val="22"/>
                <w:highlight w:val="none"/>
                <w:lang w:val="en-US" w:eastAsia="zh-CN"/>
              </w:rPr>
            </w:pPr>
          </w:p>
        </w:tc>
        <w:tc>
          <w:tcPr>
            <w:tcW w:w="6886" w:type="dxa"/>
            <w:tcBorders>
              <w:tl2br w:val="nil"/>
              <w:tr2bl w:val="nil"/>
            </w:tcBorders>
          </w:tcPr>
          <w:p w14:paraId="670E53E8">
            <w:pPr>
              <w:adjustRightInd w:val="0"/>
              <w:snapToGrid w:val="0"/>
              <w:spacing w:line="360" w:lineRule="exact"/>
              <w:jc w:val="left"/>
              <w:rPr>
                <w:rFonts w:hint="eastAsia" w:ascii="宋体" w:hAnsi="宋体"/>
                <w:spacing w:val="-4"/>
                <w:kern w:val="0"/>
                <w:szCs w:val="22"/>
                <w:highlight w:val="none"/>
              </w:rPr>
            </w:pPr>
            <w:r>
              <w:rPr>
                <w:rFonts w:hint="eastAsia" w:ascii="宋体" w:hAnsi="宋体" w:eastAsia="宋体" w:cs="宋体"/>
                <w:b w:val="0"/>
                <w:bCs w:val="0"/>
                <w:snapToGrid w:val="0"/>
                <w:color w:val="000000"/>
                <w:sz w:val="22"/>
                <w:szCs w:val="22"/>
              </w:rPr>
              <w:t>投标供应商</w:t>
            </w:r>
            <w:r>
              <w:rPr>
                <w:rFonts w:hint="eastAsia" w:ascii="宋体" w:hAnsi="宋体" w:cs="宋体"/>
                <w:b w:val="0"/>
                <w:bCs w:val="0"/>
                <w:snapToGrid w:val="0"/>
                <w:color w:val="000000"/>
                <w:sz w:val="22"/>
                <w:szCs w:val="22"/>
                <w:lang w:eastAsia="zh-CN"/>
              </w:rPr>
              <w:t>需</w:t>
            </w:r>
            <w:r>
              <w:rPr>
                <w:rFonts w:hint="eastAsia" w:ascii="宋体" w:hAnsi="宋体" w:eastAsia="宋体" w:cs="宋体"/>
                <w:b w:val="0"/>
                <w:bCs w:val="0"/>
                <w:snapToGrid w:val="0"/>
                <w:color w:val="000000"/>
                <w:sz w:val="22"/>
                <w:szCs w:val="22"/>
              </w:rPr>
              <w:t>投入自有</w:t>
            </w:r>
            <w:r>
              <w:rPr>
                <w:rFonts w:hint="eastAsia" w:ascii="宋体" w:hAnsi="宋体" w:cs="宋体"/>
                <w:b w:val="0"/>
                <w:bCs w:val="0"/>
                <w:snapToGrid w:val="0"/>
                <w:color w:val="000000"/>
                <w:sz w:val="22"/>
                <w:szCs w:val="22"/>
                <w:lang w:val="en-US" w:eastAsia="zh-CN"/>
              </w:rPr>
              <w:t>3</w:t>
            </w:r>
            <w:r>
              <w:rPr>
                <w:rFonts w:hint="eastAsia" w:ascii="宋体" w:hAnsi="宋体" w:eastAsia="宋体" w:cs="宋体"/>
                <w:b w:val="0"/>
                <w:bCs w:val="0"/>
                <w:snapToGrid w:val="0"/>
                <w:color w:val="000000"/>
                <w:sz w:val="22"/>
                <w:szCs w:val="22"/>
                <w:lang w:val="en-US" w:eastAsia="zh-CN"/>
              </w:rPr>
              <w:t>艘</w:t>
            </w:r>
            <w:r>
              <w:rPr>
                <w:rFonts w:hint="eastAsia" w:ascii="宋体" w:hAnsi="宋体" w:eastAsia="宋体" w:cs="宋体"/>
                <w:b w:val="0"/>
                <w:bCs w:val="0"/>
                <w:snapToGrid w:val="0"/>
                <w:color w:val="000000"/>
                <w:sz w:val="22"/>
                <w:szCs w:val="22"/>
              </w:rPr>
              <w:t>河道保洁船</w:t>
            </w:r>
            <w:r>
              <w:rPr>
                <w:rFonts w:hint="eastAsia" w:ascii="宋体" w:hAnsi="宋体" w:eastAsia="宋体" w:cs="宋体"/>
                <w:b w:val="0"/>
                <w:bCs w:val="0"/>
                <w:snapToGrid w:val="0"/>
                <w:color w:val="000000"/>
                <w:sz w:val="22"/>
                <w:szCs w:val="22"/>
                <w:lang w:val="en-US" w:eastAsia="zh-CN"/>
              </w:rPr>
              <w:t>，每多1艘得</w:t>
            </w:r>
            <w:r>
              <w:rPr>
                <w:rFonts w:hint="eastAsia" w:ascii="宋体" w:hAnsi="宋体" w:cs="宋体"/>
                <w:b w:val="0"/>
                <w:bCs w:val="0"/>
                <w:snapToGrid w:val="0"/>
                <w:color w:val="000000"/>
                <w:sz w:val="22"/>
                <w:szCs w:val="22"/>
                <w:lang w:val="en-US" w:eastAsia="zh-CN"/>
              </w:rPr>
              <w:t>2</w:t>
            </w:r>
            <w:r>
              <w:rPr>
                <w:rFonts w:hint="eastAsia" w:ascii="宋体" w:hAnsi="宋体" w:eastAsia="宋体" w:cs="宋体"/>
                <w:b w:val="0"/>
                <w:bCs w:val="0"/>
                <w:snapToGrid w:val="0"/>
                <w:color w:val="000000"/>
                <w:sz w:val="22"/>
                <w:szCs w:val="22"/>
                <w:lang w:val="en-US" w:eastAsia="zh-CN"/>
              </w:rPr>
              <w:t>分，最多得</w:t>
            </w:r>
            <w:r>
              <w:rPr>
                <w:rFonts w:hint="eastAsia" w:ascii="宋体" w:hAnsi="宋体" w:cs="宋体"/>
                <w:b w:val="0"/>
                <w:bCs w:val="0"/>
                <w:snapToGrid w:val="0"/>
                <w:color w:val="000000"/>
                <w:sz w:val="22"/>
                <w:szCs w:val="22"/>
                <w:lang w:val="en-US" w:eastAsia="zh-CN"/>
              </w:rPr>
              <w:t>2</w:t>
            </w:r>
            <w:r>
              <w:rPr>
                <w:rFonts w:hint="eastAsia" w:ascii="宋体" w:hAnsi="宋体" w:eastAsia="宋体" w:cs="宋体"/>
                <w:b w:val="0"/>
                <w:bCs w:val="0"/>
                <w:snapToGrid w:val="0"/>
                <w:color w:val="000000"/>
                <w:sz w:val="22"/>
                <w:szCs w:val="22"/>
                <w:lang w:val="en-US" w:eastAsia="zh-CN"/>
              </w:rPr>
              <w:t>分；</w:t>
            </w:r>
          </w:p>
        </w:tc>
      </w:tr>
      <w:tr w14:paraId="3A06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71" w:type="dxa"/>
            <w:vMerge w:val="continue"/>
            <w:tcBorders>
              <w:tl2br w:val="nil"/>
              <w:tr2bl w:val="nil"/>
            </w:tcBorders>
            <w:vAlign w:val="center"/>
          </w:tcPr>
          <w:p w14:paraId="6A059BE0">
            <w:pPr>
              <w:adjustRightInd w:val="0"/>
              <w:snapToGrid w:val="0"/>
              <w:spacing w:line="360" w:lineRule="exact"/>
              <w:jc w:val="center"/>
              <w:rPr>
                <w:rFonts w:ascii="宋体" w:hAnsi="宋体"/>
                <w:szCs w:val="22"/>
              </w:rPr>
            </w:pPr>
          </w:p>
        </w:tc>
        <w:tc>
          <w:tcPr>
            <w:tcW w:w="1456" w:type="dxa"/>
            <w:vMerge w:val="continue"/>
            <w:tcBorders>
              <w:tl2br w:val="nil"/>
              <w:tr2bl w:val="nil"/>
            </w:tcBorders>
            <w:vAlign w:val="center"/>
          </w:tcPr>
          <w:p w14:paraId="5494BDB5">
            <w:pPr>
              <w:adjustRightInd w:val="0"/>
              <w:snapToGrid w:val="0"/>
              <w:spacing w:line="360" w:lineRule="exact"/>
              <w:jc w:val="center"/>
              <w:rPr>
                <w:rFonts w:hint="eastAsia" w:ascii="宋体" w:hAnsi="宋体"/>
                <w:szCs w:val="21"/>
                <w:highlight w:val="none"/>
              </w:rPr>
            </w:pPr>
          </w:p>
        </w:tc>
        <w:tc>
          <w:tcPr>
            <w:tcW w:w="709" w:type="dxa"/>
            <w:vMerge w:val="continue"/>
            <w:tcBorders>
              <w:tl2br w:val="nil"/>
              <w:tr2bl w:val="nil"/>
            </w:tcBorders>
            <w:vAlign w:val="center"/>
          </w:tcPr>
          <w:p w14:paraId="3A6FA87A">
            <w:pPr>
              <w:adjustRightInd w:val="0"/>
              <w:snapToGrid w:val="0"/>
              <w:spacing w:line="360" w:lineRule="exact"/>
              <w:jc w:val="center"/>
              <w:rPr>
                <w:rFonts w:hint="eastAsia" w:ascii="宋体" w:hAnsi="宋体" w:cs="宋体"/>
                <w:szCs w:val="22"/>
                <w:highlight w:val="none"/>
                <w:lang w:val="en-US" w:eastAsia="zh-CN"/>
              </w:rPr>
            </w:pPr>
          </w:p>
        </w:tc>
        <w:tc>
          <w:tcPr>
            <w:tcW w:w="6886" w:type="dxa"/>
            <w:tcBorders>
              <w:tl2br w:val="nil"/>
              <w:tr2bl w:val="nil"/>
            </w:tcBorders>
          </w:tcPr>
          <w:p w14:paraId="0D804023">
            <w:pPr>
              <w:adjustRightInd w:val="0"/>
              <w:snapToGrid w:val="0"/>
              <w:spacing w:line="360" w:lineRule="exact"/>
              <w:jc w:val="left"/>
              <w:rPr>
                <w:rFonts w:hint="eastAsia" w:ascii="宋体" w:hAnsi="宋体"/>
                <w:b w:val="0"/>
                <w:bCs w:val="0"/>
                <w:color w:val="000000"/>
                <w:szCs w:val="22"/>
                <w:highlight w:val="none"/>
              </w:rPr>
            </w:pPr>
            <w:r>
              <w:rPr>
                <w:rFonts w:hint="eastAsia" w:ascii="宋体" w:hAnsi="宋体"/>
                <w:b w:val="0"/>
                <w:bCs w:val="0"/>
                <w:color w:val="000000"/>
                <w:szCs w:val="22"/>
                <w:highlight w:val="none"/>
              </w:rPr>
              <w:t>本项目要求车辆、船只投入的最低数量要求，车辆、船只持有形式可以自有已上牌(指投标供应商自行购置，包括分公司或全资子公司购置)或现已租赁或承诺中标后购买或承诺中标后租赁。</w:t>
            </w:r>
          </w:p>
          <w:p w14:paraId="04E00430">
            <w:pPr>
              <w:pStyle w:val="2"/>
              <w:rPr>
                <w:rFonts w:hint="default" w:eastAsia="宋体"/>
                <w:lang w:val="en-US" w:eastAsia="zh-CN"/>
              </w:rPr>
            </w:pPr>
            <w:r>
              <w:rPr>
                <w:rFonts w:hint="eastAsia" w:ascii="宋体" w:hAnsi="宋体"/>
                <w:b w:val="0"/>
                <w:bCs w:val="0"/>
                <w:color w:val="000000"/>
                <w:szCs w:val="22"/>
                <w:highlight w:val="none"/>
                <w:lang w:val="en-US" w:eastAsia="zh-CN"/>
              </w:rPr>
              <w:t>注：需提供证明并加盖电子签章。</w:t>
            </w:r>
          </w:p>
        </w:tc>
      </w:tr>
      <w:tr w14:paraId="1D7E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671" w:type="dxa"/>
            <w:tcBorders>
              <w:tl2br w:val="nil"/>
              <w:tr2bl w:val="nil"/>
            </w:tcBorders>
            <w:vAlign w:val="center"/>
          </w:tcPr>
          <w:p w14:paraId="0424938A">
            <w:pPr>
              <w:adjustRightInd w:val="0"/>
              <w:snapToGrid w:val="0"/>
              <w:spacing w:line="360" w:lineRule="exact"/>
              <w:jc w:val="center"/>
              <w:rPr>
                <w:rFonts w:hint="eastAsia" w:ascii="宋体" w:hAnsi="宋体" w:eastAsia="宋体" w:cs="宋体"/>
                <w:szCs w:val="22"/>
                <w:lang w:eastAsia="zh-CN"/>
              </w:rPr>
            </w:pPr>
            <w:r>
              <w:rPr>
                <w:rFonts w:hint="eastAsia" w:ascii="宋体" w:hAnsi="宋体" w:cs="宋体"/>
                <w:szCs w:val="22"/>
                <w:lang w:val="en-US" w:eastAsia="zh-CN"/>
              </w:rPr>
              <w:t>6</w:t>
            </w:r>
          </w:p>
        </w:tc>
        <w:tc>
          <w:tcPr>
            <w:tcW w:w="1456" w:type="dxa"/>
            <w:tcBorders>
              <w:tl2br w:val="nil"/>
              <w:tr2bl w:val="nil"/>
            </w:tcBorders>
            <w:vAlign w:val="center"/>
          </w:tcPr>
          <w:p w14:paraId="417C5392">
            <w:pPr>
              <w:adjustRightInd w:val="0"/>
              <w:snapToGrid w:val="0"/>
              <w:spacing w:line="360" w:lineRule="exact"/>
              <w:jc w:val="center"/>
              <w:rPr>
                <w:rFonts w:ascii="宋体" w:hAnsi="宋体" w:cs="宋体"/>
                <w:szCs w:val="22"/>
              </w:rPr>
            </w:pPr>
            <w:r>
              <w:rPr>
                <w:rFonts w:hint="eastAsia" w:ascii="宋体" w:hAnsi="宋体" w:eastAsia="宋体" w:cs="宋体"/>
                <w:b w:val="0"/>
                <w:bCs w:val="0"/>
                <w:sz w:val="22"/>
                <w:szCs w:val="22"/>
                <w:lang w:val="en-US" w:eastAsia="zh-CN"/>
              </w:rPr>
              <w:t>供应商</w:t>
            </w:r>
            <w:r>
              <w:rPr>
                <w:rFonts w:hint="eastAsia" w:ascii="宋体" w:hAnsi="宋体" w:eastAsia="宋体" w:cs="宋体"/>
                <w:b w:val="0"/>
                <w:bCs w:val="0"/>
                <w:sz w:val="22"/>
                <w:szCs w:val="22"/>
              </w:rPr>
              <w:t>内部管理</w:t>
            </w:r>
            <w:r>
              <w:rPr>
                <w:rFonts w:hint="eastAsia" w:ascii="宋体" w:hAnsi="宋体" w:eastAsia="宋体" w:cs="宋体"/>
                <w:b w:val="0"/>
                <w:bCs w:val="0"/>
                <w:sz w:val="22"/>
                <w:szCs w:val="22"/>
                <w:lang w:val="en-US" w:eastAsia="zh-CN"/>
              </w:rPr>
              <w:t>制度</w:t>
            </w:r>
          </w:p>
        </w:tc>
        <w:tc>
          <w:tcPr>
            <w:tcW w:w="709" w:type="dxa"/>
            <w:tcBorders>
              <w:tl2br w:val="nil"/>
              <w:tr2bl w:val="nil"/>
            </w:tcBorders>
            <w:vAlign w:val="center"/>
          </w:tcPr>
          <w:p w14:paraId="347EE2B2">
            <w:pPr>
              <w:adjustRightInd w:val="0"/>
              <w:snapToGrid w:val="0"/>
              <w:spacing w:line="360" w:lineRule="exact"/>
              <w:jc w:val="center"/>
              <w:rPr>
                <w:rFonts w:hint="eastAsia" w:ascii="宋体" w:hAnsi="宋体" w:eastAsia="宋体" w:cs="宋体"/>
                <w:szCs w:val="22"/>
                <w:lang w:eastAsia="zh-CN"/>
              </w:rPr>
            </w:pPr>
            <w:r>
              <w:rPr>
                <w:rFonts w:hint="eastAsia" w:ascii="宋体" w:hAnsi="宋体" w:cs="宋体"/>
                <w:szCs w:val="22"/>
                <w:lang w:val="en-US" w:eastAsia="zh-CN"/>
              </w:rPr>
              <w:t>6</w:t>
            </w:r>
          </w:p>
        </w:tc>
        <w:tc>
          <w:tcPr>
            <w:tcW w:w="6886" w:type="dxa"/>
            <w:tcBorders>
              <w:tl2br w:val="nil"/>
              <w:tr2bl w:val="nil"/>
            </w:tcBorders>
          </w:tcPr>
          <w:p w14:paraId="50BD45F5">
            <w:pPr>
              <w:adjustRightInd w:val="0"/>
              <w:snapToGrid w:val="0"/>
              <w:spacing w:line="360" w:lineRule="exact"/>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根据投标供应商的内部管理制度，包含但不仅限于人事及职工保障制度、财务管理制度、人员考核制度、奖惩制度的完整性、先进性、科学性等情况</w:t>
            </w:r>
            <w:r>
              <w:rPr>
                <w:rFonts w:hint="eastAsia" w:ascii="宋体" w:hAnsi="宋体" w:cs="宋体"/>
                <w:b w:val="0"/>
                <w:bCs w:val="0"/>
                <w:sz w:val="22"/>
                <w:szCs w:val="22"/>
                <w:lang w:val="en-US" w:eastAsia="zh-CN"/>
              </w:rPr>
              <w:t>进行</w:t>
            </w:r>
            <w:r>
              <w:rPr>
                <w:rFonts w:hint="eastAsia" w:ascii="宋体" w:hAnsi="宋体" w:eastAsia="宋体" w:cs="宋体"/>
                <w:b w:val="0"/>
                <w:bCs w:val="0"/>
                <w:sz w:val="22"/>
                <w:szCs w:val="22"/>
                <w:lang w:val="en-US" w:eastAsia="zh-CN"/>
              </w:rPr>
              <w:t>综合打分，</w:t>
            </w:r>
            <w:r>
              <w:rPr>
                <w:rFonts w:hint="eastAsia" w:ascii="宋体" w:hAnsi="宋体" w:cs="宋体"/>
                <w:b w:val="0"/>
                <w:bCs w:val="0"/>
                <w:sz w:val="22"/>
                <w:szCs w:val="22"/>
                <w:lang w:val="en-US" w:eastAsia="zh-CN"/>
              </w:rPr>
              <w:t>0-6分</w:t>
            </w:r>
            <w:r>
              <w:rPr>
                <w:rFonts w:hint="eastAsia" w:ascii="宋体" w:hAnsi="宋体" w:eastAsia="宋体" w:cs="宋体"/>
                <w:b w:val="0"/>
                <w:bCs w:val="0"/>
                <w:sz w:val="22"/>
                <w:szCs w:val="22"/>
                <w:lang w:val="en-US" w:eastAsia="zh-CN"/>
              </w:rPr>
              <w:t>。</w:t>
            </w:r>
          </w:p>
          <w:p w14:paraId="046C1555">
            <w:pPr>
              <w:pStyle w:val="2"/>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内部管理制度科学合理，各项制度非常完整、先进、科学的得6分；</w:t>
            </w:r>
          </w:p>
          <w:p w14:paraId="16047EFD">
            <w:pPr>
              <w:pStyle w:val="3"/>
              <w:ind w:left="0" w:leftChars="0" w:firstLine="0" w:firstLineChars="0"/>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内部管理制度较科学合理，各项制度较完整、先进、科学的得4分；</w:t>
            </w:r>
          </w:p>
          <w:p w14:paraId="7DEDE1B4">
            <w:pPr>
              <w:pStyle w:val="4"/>
              <w:ind w:left="0" w:leftChars="0" w:firstLine="0" w:firstLineChars="0"/>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有内部管理制度，各项制度一般得3分；</w:t>
            </w:r>
          </w:p>
          <w:p w14:paraId="0E5AAEB0">
            <w:pPr>
              <w:rPr>
                <w:rFonts w:hint="default"/>
                <w:lang w:val="en-US"/>
              </w:rPr>
            </w:pPr>
            <w:r>
              <w:rPr>
                <w:rFonts w:hint="eastAsia" w:ascii="宋体" w:hAnsi="宋体" w:cs="宋体"/>
                <w:b w:val="0"/>
                <w:bCs w:val="0"/>
                <w:sz w:val="22"/>
                <w:szCs w:val="22"/>
                <w:lang w:val="en-US" w:eastAsia="zh-CN"/>
              </w:rPr>
              <w:t>未提供不得分。</w:t>
            </w:r>
          </w:p>
        </w:tc>
      </w:tr>
      <w:tr w14:paraId="5CD0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4" w:hRule="atLeast"/>
          <w:jc w:val="center"/>
        </w:trPr>
        <w:tc>
          <w:tcPr>
            <w:tcW w:w="671" w:type="dxa"/>
            <w:tcBorders>
              <w:tl2br w:val="nil"/>
              <w:tr2bl w:val="nil"/>
            </w:tcBorders>
            <w:vAlign w:val="center"/>
          </w:tcPr>
          <w:p w14:paraId="67FE9BD5">
            <w:pPr>
              <w:adjustRightInd w:val="0"/>
              <w:snapToGrid w:val="0"/>
              <w:spacing w:line="360" w:lineRule="exact"/>
              <w:jc w:val="center"/>
              <w:rPr>
                <w:rFonts w:ascii="宋体" w:hAnsi="宋体" w:cs="宋体"/>
                <w:szCs w:val="22"/>
              </w:rPr>
            </w:pPr>
            <w:r>
              <w:rPr>
                <w:rFonts w:ascii="宋体" w:hAnsi="宋体" w:cs="宋体"/>
                <w:szCs w:val="22"/>
              </w:rPr>
              <w:t>7</w:t>
            </w:r>
          </w:p>
        </w:tc>
        <w:tc>
          <w:tcPr>
            <w:tcW w:w="1456" w:type="dxa"/>
            <w:tcBorders>
              <w:tl2br w:val="nil"/>
              <w:tr2bl w:val="nil"/>
            </w:tcBorders>
            <w:vAlign w:val="center"/>
          </w:tcPr>
          <w:p w14:paraId="0AAC4AC7">
            <w:pPr>
              <w:adjustRightInd w:val="0"/>
              <w:snapToGrid w:val="0"/>
              <w:spacing w:line="360" w:lineRule="exact"/>
              <w:jc w:val="center"/>
              <w:rPr>
                <w:rFonts w:hint="eastAsia" w:ascii="宋体" w:hAnsi="宋体" w:eastAsia="宋体" w:cs="宋体"/>
                <w:szCs w:val="22"/>
                <w:lang w:eastAsia="zh-CN"/>
              </w:rPr>
            </w:pPr>
            <w:r>
              <w:rPr>
                <w:rFonts w:hint="eastAsia" w:ascii="宋体" w:hAnsi="宋体" w:eastAsia="宋体" w:cs="宋体"/>
                <w:b w:val="0"/>
                <w:bCs w:val="0"/>
                <w:sz w:val="22"/>
                <w:szCs w:val="22"/>
              </w:rPr>
              <w:t>项目进场交接计划与承诺</w:t>
            </w:r>
            <w:r>
              <w:rPr>
                <w:rFonts w:hint="eastAsia" w:ascii="宋体" w:hAnsi="宋体" w:cs="宋体"/>
                <w:b w:val="0"/>
                <w:bCs w:val="0"/>
                <w:sz w:val="22"/>
                <w:szCs w:val="22"/>
                <w:lang w:eastAsia="zh-CN"/>
              </w:rPr>
              <w:t>（保洁及绿化养护）</w:t>
            </w:r>
          </w:p>
        </w:tc>
        <w:tc>
          <w:tcPr>
            <w:tcW w:w="709" w:type="dxa"/>
            <w:tcBorders>
              <w:tl2br w:val="nil"/>
              <w:tr2bl w:val="nil"/>
            </w:tcBorders>
            <w:vAlign w:val="center"/>
          </w:tcPr>
          <w:p w14:paraId="52CBFCFC">
            <w:pPr>
              <w:adjustRightInd w:val="0"/>
              <w:snapToGrid w:val="0"/>
              <w:spacing w:line="360" w:lineRule="exact"/>
              <w:jc w:val="center"/>
              <w:rPr>
                <w:rFonts w:hint="eastAsia" w:ascii="宋体" w:hAnsi="宋体" w:eastAsia="宋体" w:cs="宋体"/>
                <w:szCs w:val="22"/>
                <w:lang w:eastAsia="zh-CN"/>
              </w:rPr>
            </w:pPr>
            <w:r>
              <w:rPr>
                <w:rFonts w:hint="eastAsia" w:ascii="宋体" w:hAnsi="宋体" w:cs="宋体"/>
                <w:szCs w:val="22"/>
                <w:lang w:val="en-US" w:eastAsia="zh-CN"/>
              </w:rPr>
              <w:t>5</w:t>
            </w:r>
          </w:p>
        </w:tc>
        <w:tc>
          <w:tcPr>
            <w:tcW w:w="6886" w:type="dxa"/>
            <w:tcBorders>
              <w:tl2br w:val="nil"/>
              <w:tr2bl w:val="nil"/>
            </w:tcBorders>
          </w:tcPr>
          <w:p w14:paraId="2A75782A">
            <w:pPr>
              <w:adjustRightInd w:val="0"/>
              <w:snapToGrid w:val="0"/>
              <w:spacing w:line="360" w:lineRule="exact"/>
              <w:jc w:val="left"/>
              <w:rPr>
                <w:rFonts w:hint="eastAsia"/>
                <w:lang w:eastAsia="zh-CN"/>
              </w:rPr>
            </w:pPr>
            <w:r>
              <w:rPr>
                <w:rFonts w:hint="eastAsia"/>
                <w:lang w:val="en-US" w:eastAsia="zh-CN"/>
              </w:rPr>
              <w:t>根据</w:t>
            </w:r>
            <w:r>
              <w:rPr>
                <w:rFonts w:hint="eastAsia"/>
              </w:rPr>
              <w:t>投标供应商提出的为确保项目顺利交接和平稳过渡所采取的各项措施与承诺，包括</w:t>
            </w:r>
            <w:r>
              <w:rPr>
                <w:rFonts w:hint="eastAsia"/>
                <w:lang w:val="en-US" w:eastAsia="zh-CN"/>
              </w:rPr>
              <w:t>但不限于</w:t>
            </w:r>
            <w:r>
              <w:rPr>
                <w:rFonts w:hint="eastAsia"/>
              </w:rPr>
              <w:t>中标后项目所需人员的来源说明、人员到位时间的承诺、</w:t>
            </w:r>
            <w:r>
              <w:rPr>
                <w:rFonts w:hint="eastAsia"/>
                <w:lang w:val="en-US" w:eastAsia="zh-CN"/>
              </w:rPr>
              <w:t>车辆船只</w:t>
            </w:r>
            <w:r>
              <w:rPr>
                <w:rFonts w:hint="eastAsia"/>
              </w:rPr>
              <w:t>到位承诺等</w:t>
            </w:r>
            <w:r>
              <w:rPr>
                <w:rFonts w:hint="eastAsia"/>
                <w:lang w:val="en-US" w:eastAsia="zh-CN"/>
              </w:rPr>
              <w:t>情况进行综合</w:t>
            </w:r>
            <w:r>
              <w:rPr>
                <w:rFonts w:hint="eastAsia"/>
              </w:rPr>
              <w:t>打分</w:t>
            </w:r>
            <w:r>
              <w:rPr>
                <w:rFonts w:hint="eastAsia"/>
                <w:lang w:eastAsia="zh-CN"/>
              </w:rPr>
              <w:t>，</w:t>
            </w:r>
            <w:r>
              <w:rPr>
                <w:rFonts w:hint="eastAsia"/>
                <w:lang w:val="en-US" w:eastAsia="zh-CN"/>
              </w:rPr>
              <w:t>得0-5</w:t>
            </w:r>
            <w:r>
              <w:rPr>
                <w:rFonts w:hint="eastAsia"/>
              </w:rPr>
              <w:t>分</w:t>
            </w:r>
            <w:r>
              <w:rPr>
                <w:rFonts w:hint="eastAsia"/>
                <w:lang w:eastAsia="zh-CN"/>
              </w:rPr>
              <w:t>。</w:t>
            </w:r>
          </w:p>
          <w:p w14:paraId="1241A53C">
            <w:pPr>
              <w:pStyle w:val="2"/>
              <w:rPr>
                <w:rFonts w:hint="eastAsia"/>
                <w:lang w:val="en-US" w:eastAsia="zh-CN"/>
              </w:rPr>
            </w:pPr>
            <w:r>
              <w:rPr>
                <w:rFonts w:hint="eastAsia"/>
                <w:lang w:eastAsia="zh-CN"/>
              </w:rPr>
              <w:t>各项措施与承诺科学合理，计划严谨，完全符合采购要求，能够保障项目顺利交接的得</w:t>
            </w:r>
            <w:r>
              <w:rPr>
                <w:rFonts w:hint="eastAsia"/>
                <w:lang w:val="en-US" w:eastAsia="zh-CN"/>
              </w:rPr>
              <w:t>5分；</w:t>
            </w:r>
          </w:p>
          <w:p w14:paraId="69CD0EE0">
            <w:pPr>
              <w:pStyle w:val="2"/>
              <w:rPr>
                <w:rFonts w:hint="eastAsia"/>
                <w:lang w:val="en-US" w:eastAsia="zh-CN"/>
              </w:rPr>
            </w:pPr>
            <w:r>
              <w:rPr>
                <w:rFonts w:hint="eastAsia"/>
                <w:lang w:eastAsia="zh-CN"/>
              </w:rPr>
              <w:t>各项措施与承诺较科学合理，计划较严谨，基本符合采购要求，能够保障项目较顺利交接的得</w:t>
            </w:r>
            <w:r>
              <w:rPr>
                <w:rFonts w:hint="eastAsia"/>
                <w:lang w:val="en-US" w:eastAsia="zh-CN"/>
              </w:rPr>
              <w:t>4分；</w:t>
            </w:r>
          </w:p>
          <w:p w14:paraId="59FA0103">
            <w:pPr>
              <w:pStyle w:val="3"/>
              <w:ind w:left="0" w:leftChars="0" w:firstLine="0" w:firstLineChars="0"/>
              <w:rPr>
                <w:rFonts w:hint="eastAsia"/>
                <w:lang w:val="en-US" w:eastAsia="zh-CN"/>
              </w:rPr>
            </w:pPr>
            <w:r>
              <w:rPr>
                <w:rFonts w:hint="eastAsia"/>
                <w:lang w:val="en-US" w:eastAsia="zh-CN"/>
              </w:rPr>
              <w:t>有提供计划及承诺，但各项措施与承诺有偏离，偏离采购要求的得3分；</w:t>
            </w:r>
          </w:p>
          <w:p w14:paraId="40509646">
            <w:pPr>
              <w:pStyle w:val="4"/>
              <w:ind w:left="0" w:leftChars="0" w:firstLine="0" w:firstLineChars="0"/>
              <w:rPr>
                <w:rFonts w:hint="default"/>
                <w:lang w:val="en-US"/>
              </w:rPr>
            </w:pPr>
            <w:r>
              <w:rPr>
                <w:rFonts w:hint="eastAsia"/>
                <w:lang w:val="en-US" w:eastAsia="zh-CN"/>
              </w:rPr>
              <w:t>未提供不得分。</w:t>
            </w:r>
          </w:p>
        </w:tc>
      </w:tr>
      <w:tr w14:paraId="25F1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7" w:hRule="atLeast"/>
          <w:jc w:val="center"/>
        </w:trPr>
        <w:tc>
          <w:tcPr>
            <w:tcW w:w="671" w:type="dxa"/>
            <w:vMerge w:val="restart"/>
            <w:tcBorders>
              <w:tl2br w:val="nil"/>
              <w:tr2bl w:val="nil"/>
            </w:tcBorders>
            <w:vAlign w:val="center"/>
          </w:tcPr>
          <w:p w14:paraId="2B4F50EB">
            <w:pPr>
              <w:adjustRightInd w:val="0"/>
              <w:snapToGrid w:val="0"/>
              <w:spacing w:line="360" w:lineRule="exact"/>
              <w:jc w:val="center"/>
              <w:rPr>
                <w:rFonts w:ascii="宋体" w:hAnsi="宋体" w:cs="宋体"/>
                <w:szCs w:val="22"/>
              </w:rPr>
            </w:pPr>
            <w:r>
              <w:rPr>
                <w:rFonts w:ascii="宋体" w:hAnsi="宋体" w:cs="宋体"/>
                <w:szCs w:val="22"/>
              </w:rPr>
              <w:t>8</w:t>
            </w:r>
          </w:p>
        </w:tc>
        <w:tc>
          <w:tcPr>
            <w:tcW w:w="1456" w:type="dxa"/>
            <w:vMerge w:val="restart"/>
            <w:tcBorders>
              <w:tl2br w:val="nil"/>
              <w:tr2bl w:val="nil"/>
            </w:tcBorders>
            <w:vAlign w:val="center"/>
          </w:tcPr>
          <w:p w14:paraId="20F5A082">
            <w:pPr>
              <w:adjustRightInd w:val="0"/>
              <w:snapToGrid w:val="0"/>
              <w:spacing w:line="360" w:lineRule="exact"/>
              <w:jc w:val="center"/>
              <w:rPr>
                <w:rFonts w:ascii="宋体" w:hAnsi="宋体" w:cs="宋体"/>
                <w:szCs w:val="22"/>
              </w:rPr>
            </w:pPr>
            <w:r>
              <w:rPr>
                <w:rFonts w:hint="eastAsia" w:ascii="宋体" w:hAnsi="宋体" w:eastAsia="宋体" w:cs="宋体"/>
                <w:b w:val="0"/>
                <w:bCs w:val="0"/>
                <w:snapToGrid w:val="0"/>
                <w:sz w:val="22"/>
                <w:szCs w:val="22"/>
              </w:rPr>
              <w:t>现状调查与问题剖析</w:t>
            </w:r>
            <w:r>
              <w:rPr>
                <w:rFonts w:hint="eastAsia" w:ascii="宋体" w:hAnsi="宋体" w:cs="宋体"/>
                <w:b w:val="0"/>
                <w:bCs w:val="0"/>
                <w:sz w:val="22"/>
                <w:szCs w:val="22"/>
                <w:lang w:eastAsia="zh-CN"/>
              </w:rPr>
              <w:t>（保洁及绿化养护）</w:t>
            </w:r>
          </w:p>
        </w:tc>
        <w:tc>
          <w:tcPr>
            <w:tcW w:w="709" w:type="dxa"/>
            <w:vMerge w:val="restart"/>
            <w:tcBorders>
              <w:tl2br w:val="nil"/>
              <w:tr2bl w:val="nil"/>
            </w:tcBorders>
            <w:vAlign w:val="center"/>
          </w:tcPr>
          <w:p w14:paraId="138560E4">
            <w:pPr>
              <w:adjustRightInd w:val="0"/>
              <w:snapToGrid w:val="0"/>
              <w:spacing w:line="360" w:lineRule="exact"/>
              <w:jc w:val="center"/>
              <w:rPr>
                <w:rFonts w:hint="default" w:ascii="宋体" w:hAnsi="宋体" w:eastAsia="宋体" w:cs="宋体"/>
                <w:szCs w:val="22"/>
                <w:lang w:val="en-US" w:eastAsia="zh-CN"/>
              </w:rPr>
            </w:pPr>
            <w:r>
              <w:rPr>
                <w:rFonts w:hint="eastAsia" w:ascii="宋体" w:hAnsi="宋体" w:cs="宋体"/>
                <w:szCs w:val="22"/>
                <w:lang w:val="en-US" w:eastAsia="zh-CN"/>
              </w:rPr>
              <w:t>10</w:t>
            </w:r>
          </w:p>
        </w:tc>
        <w:tc>
          <w:tcPr>
            <w:tcW w:w="6886" w:type="dxa"/>
            <w:tcBorders>
              <w:tl2br w:val="nil"/>
              <w:tr2bl w:val="nil"/>
            </w:tcBorders>
          </w:tcPr>
          <w:p w14:paraId="1F62CC10">
            <w:pPr>
              <w:adjustRightInd w:val="0"/>
              <w:snapToGrid w:val="0"/>
              <w:spacing w:line="360" w:lineRule="exact"/>
              <w:jc w:val="left"/>
              <w:rPr>
                <w:rFonts w:hint="eastAsia" w:ascii="宋体" w:hAnsi="宋体" w:cs="宋体"/>
                <w:b w:val="0"/>
                <w:bCs w:val="0"/>
                <w:snapToGrid w:val="0"/>
                <w:sz w:val="22"/>
                <w:szCs w:val="22"/>
                <w:lang w:val="en-US" w:eastAsia="zh-CN"/>
              </w:rPr>
            </w:pPr>
            <w:r>
              <w:rPr>
                <w:rFonts w:hint="eastAsia" w:ascii="宋体" w:hAnsi="宋体" w:eastAsia="宋体" w:cs="宋体"/>
                <w:b w:val="0"/>
                <w:bCs w:val="0"/>
                <w:snapToGrid w:val="0"/>
                <w:sz w:val="22"/>
                <w:szCs w:val="22"/>
              </w:rPr>
              <w:t>根据投标供应商对项目范围内</w:t>
            </w:r>
            <w:r>
              <w:rPr>
                <w:rFonts w:hint="eastAsia" w:ascii="宋体" w:hAnsi="宋体" w:eastAsia="宋体" w:cs="宋体"/>
                <w:b w:val="0"/>
                <w:bCs w:val="0"/>
                <w:snapToGrid w:val="0"/>
                <w:sz w:val="22"/>
                <w:szCs w:val="22"/>
                <w:lang w:val="en-US" w:eastAsia="zh-CN"/>
              </w:rPr>
              <w:t>保洁</w:t>
            </w:r>
            <w:r>
              <w:rPr>
                <w:rFonts w:hint="eastAsia" w:ascii="宋体" w:hAnsi="宋体" w:cs="宋体"/>
                <w:b w:val="0"/>
                <w:bCs w:val="0"/>
                <w:snapToGrid w:val="0"/>
                <w:sz w:val="22"/>
                <w:szCs w:val="22"/>
                <w:lang w:val="en-US" w:eastAsia="zh-CN"/>
              </w:rPr>
              <w:t>及绿化养护</w:t>
            </w:r>
            <w:r>
              <w:rPr>
                <w:rFonts w:hint="eastAsia" w:ascii="宋体" w:hAnsi="宋体" w:eastAsia="宋体" w:cs="宋体"/>
                <w:b w:val="0"/>
                <w:bCs w:val="0"/>
                <w:snapToGrid w:val="0"/>
                <w:sz w:val="22"/>
                <w:szCs w:val="22"/>
                <w:lang w:val="en-US" w:eastAsia="zh-CN"/>
              </w:rPr>
              <w:t>服务</w:t>
            </w:r>
            <w:r>
              <w:rPr>
                <w:rFonts w:hint="eastAsia" w:ascii="宋体" w:hAnsi="宋体" w:eastAsia="宋体" w:cs="宋体"/>
                <w:b w:val="0"/>
                <w:bCs w:val="0"/>
                <w:snapToGrid w:val="0"/>
                <w:sz w:val="22"/>
                <w:szCs w:val="22"/>
              </w:rPr>
              <w:t>的现状情况、存在的问题和</w:t>
            </w:r>
            <w:r>
              <w:rPr>
                <w:rFonts w:hint="eastAsia" w:ascii="宋体" w:hAnsi="宋体" w:eastAsia="宋体" w:cs="宋体"/>
                <w:b w:val="0"/>
                <w:bCs w:val="0"/>
                <w:snapToGrid w:val="0"/>
                <w:sz w:val="22"/>
                <w:szCs w:val="22"/>
                <w:lang w:val="en-US" w:eastAsia="zh-CN"/>
              </w:rPr>
              <w:t>项目实施</w:t>
            </w:r>
            <w:r>
              <w:rPr>
                <w:rFonts w:hint="eastAsia" w:ascii="宋体" w:hAnsi="宋体" w:eastAsia="宋体" w:cs="宋体"/>
                <w:b w:val="0"/>
                <w:bCs w:val="0"/>
                <w:snapToGrid w:val="0"/>
                <w:sz w:val="22"/>
                <w:szCs w:val="22"/>
              </w:rPr>
              <w:t>难点</w:t>
            </w:r>
            <w:r>
              <w:rPr>
                <w:rFonts w:hint="eastAsia" w:ascii="宋体" w:hAnsi="宋体" w:eastAsia="宋体" w:cs="宋体"/>
                <w:b w:val="0"/>
                <w:bCs w:val="0"/>
                <w:snapToGrid w:val="0"/>
                <w:sz w:val="22"/>
                <w:szCs w:val="22"/>
                <w:lang w:val="en-US" w:eastAsia="zh-CN"/>
              </w:rPr>
              <w:t>要点</w:t>
            </w:r>
            <w:r>
              <w:rPr>
                <w:rFonts w:hint="eastAsia" w:ascii="宋体" w:hAnsi="宋体" w:eastAsia="宋体" w:cs="宋体"/>
                <w:b w:val="0"/>
                <w:bCs w:val="0"/>
                <w:snapToGrid w:val="0"/>
                <w:sz w:val="22"/>
                <w:szCs w:val="22"/>
              </w:rPr>
              <w:t>等问题</w:t>
            </w:r>
            <w:r>
              <w:rPr>
                <w:rFonts w:hint="eastAsia" w:ascii="宋体" w:hAnsi="宋体" w:eastAsia="宋体" w:cs="宋体"/>
                <w:b w:val="0"/>
                <w:bCs w:val="0"/>
                <w:snapToGrid w:val="0"/>
                <w:sz w:val="22"/>
                <w:szCs w:val="22"/>
                <w:lang w:val="en-US" w:eastAsia="zh-CN"/>
              </w:rPr>
              <w:t>分析情况</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napToGrid w:val="0"/>
                <w:sz w:val="22"/>
                <w:szCs w:val="22"/>
                <w:lang w:val="en-US" w:eastAsia="zh-CN"/>
              </w:rPr>
              <w:t>0-5分；</w:t>
            </w:r>
          </w:p>
          <w:p w14:paraId="0D6A24FE">
            <w:pPr>
              <w:pStyle w:val="2"/>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有经过实地考察研究，结合藻溪镇地域特点，分析情况科学合理，符合采购要求的得5分；</w:t>
            </w:r>
          </w:p>
          <w:p w14:paraId="270F03B6">
            <w:pPr>
              <w:pStyle w:val="3"/>
              <w:ind w:left="0" w:leftChars="0" w:firstLine="0" w:firstLineChars="0"/>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未经过实地考察研究，分析情况科学稍微偏离，基本符合采购要求的得4分；</w:t>
            </w:r>
          </w:p>
          <w:p w14:paraId="3E716FC8">
            <w:pPr>
              <w:pStyle w:val="4"/>
              <w:ind w:left="0" w:leftChars="0" w:firstLine="0" w:firstLineChars="0"/>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有提供情况分析，但完全偏离采购要求的得3分；</w:t>
            </w:r>
          </w:p>
          <w:p w14:paraId="7100EE75">
            <w:pPr>
              <w:rPr>
                <w:rFonts w:hint="default"/>
                <w:lang w:val="en-US"/>
              </w:rPr>
            </w:pPr>
            <w:r>
              <w:rPr>
                <w:rFonts w:hint="eastAsia" w:ascii="宋体" w:hAnsi="宋体" w:cs="宋体"/>
                <w:b w:val="0"/>
                <w:bCs w:val="0"/>
                <w:snapToGrid w:val="0"/>
                <w:sz w:val="22"/>
                <w:szCs w:val="22"/>
                <w:lang w:val="en-US" w:eastAsia="zh-CN"/>
              </w:rPr>
              <w:t>未提供不得分。</w:t>
            </w:r>
          </w:p>
        </w:tc>
      </w:tr>
      <w:tr w14:paraId="7F73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671" w:type="dxa"/>
            <w:vMerge w:val="continue"/>
            <w:tcBorders>
              <w:tl2br w:val="nil"/>
              <w:tr2bl w:val="nil"/>
            </w:tcBorders>
            <w:vAlign w:val="center"/>
          </w:tcPr>
          <w:p w14:paraId="3047C616">
            <w:pPr>
              <w:adjustRightInd w:val="0"/>
              <w:snapToGrid w:val="0"/>
              <w:spacing w:line="360" w:lineRule="exact"/>
              <w:jc w:val="center"/>
              <w:rPr>
                <w:rFonts w:ascii="宋体" w:hAnsi="宋体" w:cs="宋体"/>
                <w:szCs w:val="22"/>
              </w:rPr>
            </w:pPr>
          </w:p>
        </w:tc>
        <w:tc>
          <w:tcPr>
            <w:tcW w:w="1456" w:type="dxa"/>
            <w:vMerge w:val="continue"/>
            <w:tcBorders>
              <w:tl2br w:val="nil"/>
              <w:tr2bl w:val="nil"/>
            </w:tcBorders>
            <w:vAlign w:val="center"/>
          </w:tcPr>
          <w:p w14:paraId="7F6930D0">
            <w:pPr>
              <w:adjustRightInd w:val="0"/>
              <w:snapToGrid w:val="0"/>
              <w:spacing w:line="360" w:lineRule="exact"/>
              <w:jc w:val="center"/>
              <w:rPr>
                <w:rFonts w:hint="eastAsia" w:ascii="宋体" w:hAnsi="宋体" w:eastAsia="宋体" w:cs="宋体"/>
                <w:b w:val="0"/>
                <w:bCs w:val="0"/>
                <w:snapToGrid w:val="0"/>
                <w:sz w:val="22"/>
                <w:szCs w:val="22"/>
              </w:rPr>
            </w:pPr>
          </w:p>
        </w:tc>
        <w:tc>
          <w:tcPr>
            <w:tcW w:w="709" w:type="dxa"/>
            <w:vMerge w:val="continue"/>
            <w:tcBorders>
              <w:tl2br w:val="nil"/>
              <w:tr2bl w:val="nil"/>
            </w:tcBorders>
            <w:vAlign w:val="center"/>
          </w:tcPr>
          <w:p w14:paraId="636FFA27">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tcPr>
          <w:p w14:paraId="731455A9">
            <w:pPr>
              <w:adjustRightInd w:val="0"/>
              <w:snapToGrid w:val="0"/>
              <w:spacing w:line="360" w:lineRule="exact"/>
              <w:jc w:val="left"/>
              <w:rPr>
                <w:rFonts w:hint="eastAsia" w:ascii="宋体" w:hAnsi="宋体" w:eastAsia="宋体" w:cs="宋体"/>
                <w:b w:val="0"/>
                <w:bCs w:val="0"/>
                <w:snapToGrid w:val="0"/>
                <w:sz w:val="22"/>
                <w:szCs w:val="22"/>
                <w:lang w:eastAsia="zh-CN"/>
              </w:rPr>
            </w:pPr>
            <w:r>
              <w:rPr>
                <w:rFonts w:hint="eastAsia" w:ascii="宋体" w:hAnsi="宋体" w:eastAsia="宋体" w:cs="宋体"/>
                <w:b w:val="0"/>
                <w:bCs w:val="0"/>
                <w:snapToGrid w:val="0"/>
                <w:sz w:val="22"/>
                <w:szCs w:val="22"/>
                <w:lang w:val="en-US" w:eastAsia="zh-CN"/>
              </w:rPr>
              <w:t>根据投标供应商针对上述存在的问题和项目实施难点要点</w:t>
            </w:r>
            <w:r>
              <w:rPr>
                <w:rFonts w:hint="eastAsia" w:ascii="宋体" w:hAnsi="宋体" w:eastAsia="宋体" w:cs="宋体"/>
                <w:b w:val="0"/>
                <w:bCs w:val="0"/>
                <w:snapToGrid w:val="0"/>
                <w:sz w:val="22"/>
                <w:szCs w:val="22"/>
              </w:rPr>
              <w:t>提出</w:t>
            </w:r>
            <w:r>
              <w:rPr>
                <w:rFonts w:hint="eastAsia" w:ascii="宋体" w:hAnsi="宋体" w:eastAsia="宋体" w:cs="宋体"/>
                <w:b w:val="0"/>
                <w:bCs w:val="0"/>
                <w:snapToGrid w:val="0"/>
                <w:sz w:val="22"/>
                <w:szCs w:val="22"/>
                <w:lang w:val="en-US" w:eastAsia="zh-CN"/>
              </w:rPr>
              <w:t>的解决方案</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w:t>
            </w:r>
            <w:r>
              <w:rPr>
                <w:rFonts w:hint="eastAsia" w:ascii="宋体" w:hAnsi="宋体" w:eastAsia="宋体" w:cs="宋体"/>
                <w:b w:val="0"/>
                <w:bCs w:val="0"/>
                <w:snapToGrid w:val="0"/>
                <w:sz w:val="22"/>
                <w:szCs w:val="22"/>
              </w:rPr>
              <w:t>打分</w:t>
            </w:r>
            <w:r>
              <w:rPr>
                <w:rFonts w:hint="eastAsia" w:ascii="宋体" w:hAnsi="宋体" w:eastAsia="宋体" w:cs="宋体"/>
                <w:b w:val="0"/>
                <w:bCs w:val="0"/>
                <w:snapToGrid w:val="0"/>
                <w:sz w:val="22"/>
                <w:szCs w:val="22"/>
                <w:lang w:eastAsia="zh-CN"/>
              </w:rPr>
              <w:t>，</w:t>
            </w:r>
            <w:r>
              <w:rPr>
                <w:rFonts w:hint="eastAsia" w:ascii="宋体" w:hAnsi="宋体" w:eastAsia="宋体" w:cs="宋体"/>
                <w:b w:val="0"/>
                <w:bCs w:val="0"/>
                <w:snapToGrid w:val="0"/>
                <w:sz w:val="22"/>
                <w:szCs w:val="22"/>
                <w:lang w:val="en-US" w:eastAsia="zh-CN"/>
              </w:rPr>
              <w:t>得0-</w:t>
            </w:r>
            <w:r>
              <w:rPr>
                <w:rFonts w:hint="eastAsia" w:ascii="宋体" w:hAnsi="宋体" w:cs="宋体"/>
                <w:b w:val="0"/>
                <w:bCs w:val="0"/>
                <w:snapToGrid w:val="0"/>
                <w:sz w:val="22"/>
                <w:szCs w:val="22"/>
                <w:lang w:val="en-US" w:eastAsia="zh-CN"/>
              </w:rPr>
              <w:t>5</w:t>
            </w:r>
            <w:r>
              <w:rPr>
                <w:rFonts w:hint="eastAsia" w:ascii="宋体" w:hAnsi="宋体" w:eastAsia="宋体" w:cs="宋体"/>
                <w:b w:val="0"/>
                <w:bCs w:val="0"/>
                <w:snapToGrid w:val="0"/>
                <w:sz w:val="22"/>
                <w:szCs w:val="22"/>
              </w:rPr>
              <w:t>分</w:t>
            </w:r>
            <w:r>
              <w:rPr>
                <w:rFonts w:hint="eastAsia" w:ascii="宋体" w:hAnsi="宋体" w:eastAsia="宋体" w:cs="宋体"/>
                <w:b w:val="0"/>
                <w:bCs w:val="0"/>
                <w:snapToGrid w:val="0"/>
                <w:sz w:val="22"/>
                <w:szCs w:val="22"/>
                <w:lang w:eastAsia="zh-CN"/>
              </w:rPr>
              <w:t>。</w:t>
            </w:r>
          </w:p>
          <w:p w14:paraId="626EA854">
            <w:pPr>
              <w:pStyle w:val="2"/>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eastAsia="zh-CN"/>
              </w:rPr>
              <w:t>解决方案结合实际情况并科学合理，全面符合采购要求的得</w:t>
            </w:r>
            <w:r>
              <w:rPr>
                <w:rFonts w:hint="eastAsia" w:ascii="宋体" w:hAnsi="宋体" w:cs="宋体"/>
                <w:b w:val="0"/>
                <w:bCs w:val="0"/>
                <w:snapToGrid w:val="0"/>
                <w:sz w:val="22"/>
                <w:szCs w:val="22"/>
                <w:lang w:val="en-US" w:eastAsia="zh-CN"/>
              </w:rPr>
              <w:t>5分；</w:t>
            </w:r>
          </w:p>
          <w:p w14:paraId="28194F93">
            <w:pPr>
              <w:pStyle w:val="3"/>
              <w:ind w:left="0" w:leftChars="0" w:firstLine="0" w:firstLineChars="0"/>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解决方案较科学合理，基本符合采购要求的得4分；</w:t>
            </w:r>
          </w:p>
          <w:p w14:paraId="69A6A17A">
            <w:pPr>
              <w:pStyle w:val="4"/>
              <w:ind w:left="0" w:leftChars="0" w:firstLine="0" w:firstLineChars="0"/>
              <w:rPr>
                <w:rFonts w:hint="eastAsia" w:ascii="宋体" w:hAnsi="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解决方案有偏离的得3分；</w:t>
            </w:r>
          </w:p>
          <w:p w14:paraId="3B39AF1F">
            <w:pPr>
              <w:rPr>
                <w:rFonts w:hint="default"/>
                <w:lang w:val="en-US"/>
              </w:rPr>
            </w:pPr>
            <w:r>
              <w:rPr>
                <w:rFonts w:hint="eastAsia" w:ascii="宋体" w:hAnsi="宋体" w:cs="宋体"/>
                <w:b w:val="0"/>
                <w:bCs w:val="0"/>
                <w:snapToGrid w:val="0"/>
                <w:sz w:val="22"/>
                <w:szCs w:val="22"/>
                <w:lang w:val="en-US" w:eastAsia="zh-CN"/>
              </w:rPr>
              <w:t>未提供不得分。</w:t>
            </w:r>
          </w:p>
        </w:tc>
      </w:tr>
      <w:tr w14:paraId="4C40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1" w:type="dxa"/>
            <w:vMerge w:val="restart"/>
            <w:tcBorders>
              <w:tl2br w:val="nil"/>
              <w:tr2bl w:val="nil"/>
            </w:tcBorders>
            <w:vAlign w:val="center"/>
          </w:tcPr>
          <w:p w14:paraId="179D260C">
            <w:pPr>
              <w:adjustRightInd w:val="0"/>
              <w:snapToGrid w:val="0"/>
              <w:spacing w:line="360" w:lineRule="exact"/>
              <w:jc w:val="center"/>
              <w:rPr>
                <w:rFonts w:ascii="宋体" w:hAnsi="宋体" w:cs="宋体"/>
                <w:szCs w:val="22"/>
              </w:rPr>
            </w:pPr>
            <w:r>
              <w:rPr>
                <w:rFonts w:ascii="宋体" w:hAnsi="宋体" w:cs="宋体"/>
                <w:szCs w:val="22"/>
              </w:rPr>
              <w:t>9</w:t>
            </w:r>
          </w:p>
        </w:tc>
        <w:tc>
          <w:tcPr>
            <w:tcW w:w="1456" w:type="dxa"/>
            <w:vMerge w:val="restart"/>
            <w:tcBorders>
              <w:tl2br w:val="nil"/>
              <w:tr2bl w:val="nil"/>
            </w:tcBorders>
            <w:vAlign w:val="center"/>
          </w:tcPr>
          <w:p w14:paraId="431CD6E0">
            <w:pPr>
              <w:adjustRightInd w:val="0"/>
              <w:snapToGrid w:val="0"/>
              <w:spacing w:line="360" w:lineRule="exact"/>
              <w:jc w:val="center"/>
              <w:rPr>
                <w:rFonts w:ascii="宋体" w:hAnsi="宋体" w:cs="宋体"/>
                <w:szCs w:val="22"/>
              </w:rPr>
            </w:pPr>
            <w:r>
              <w:rPr>
                <w:rFonts w:hint="eastAsia" w:ascii="宋体" w:hAnsi="宋体" w:eastAsia="宋体" w:cs="宋体"/>
                <w:b w:val="0"/>
                <w:bCs w:val="0"/>
                <w:sz w:val="22"/>
                <w:szCs w:val="22"/>
              </w:rPr>
              <w:t>作业规范与质量标准</w:t>
            </w:r>
            <w:r>
              <w:rPr>
                <w:rFonts w:hint="eastAsia" w:ascii="宋体" w:hAnsi="宋体" w:cs="宋体"/>
                <w:b w:val="0"/>
                <w:bCs w:val="0"/>
                <w:sz w:val="22"/>
                <w:szCs w:val="22"/>
                <w:lang w:eastAsia="zh-CN"/>
              </w:rPr>
              <w:t>（保洁及绿化养护）</w:t>
            </w:r>
          </w:p>
        </w:tc>
        <w:tc>
          <w:tcPr>
            <w:tcW w:w="709" w:type="dxa"/>
            <w:vMerge w:val="restart"/>
            <w:tcBorders>
              <w:tl2br w:val="nil"/>
              <w:tr2bl w:val="nil"/>
            </w:tcBorders>
            <w:vAlign w:val="center"/>
          </w:tcPr>
          <w:p w14:paraId="77C42B16">
            <w:pPr>
              <w:adjustRightInd w:val="0"/>
              <w:snapToGrid w:val="0"/>
              <w:spacing w:line="360" w:lineRule="exact"/>
              <w:jc w:val="center"/>
              <w:rPr>
                <w:rFonts w:hint="default" w:ascii="宋体" w:hAnsi="宋体" w:eastAsia="宋体" w:cs="宋体"/>
                <w:szCs w:val="22"/>
                <w:lang w:val="en-US" w:eastAsia="zh-CN"/>
              </w:rPr>
            </w:pPr>
            <w:r>
              <w:rPr>
                <w:rFonts w:hint="eastAsia" w:ascii="宋体" w:hAnsi="宋体" w:cs="宋体"/>
                <w:szCs w:val="22"/>
                <w:lang w:val="en-US" w:eastAsia="zh-CN"/>
              </w:rPr>
              <w:t>15</w:t>
            </w:r>
          </w:p>
        </w:tc>
        <w:tc>
          <w:tcPr>
            <w:tcW w:w="6886" w:type="dxa"/>
            <w:tcBorders>
              <w:tl2br w:val="nil"/>
              <w:tr2bl w:val="nil"/>
            </w:tcBorders>
            <w:vAlign w:val="center"/>
          </w:tcPr>
          <w:p w14:paraId="152593B1">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rPr>
                <w:rFonts w:ascii="宋体" w:hAnsi="宋体" w:cs="宋体"/>
                <w:szCs w:val="22"/>
              </w:rPr>
            </w:pPr>
            <w:r>
              <w:rPr>
                <w:rFonts w:hint="eastAsia" w:ascii="宋体" w:hAnsi="宋体" w:eastAsia="宋体" w:cs="宋体"/>
                <w:b w:val="0"/>
                <w:bCs w:val="0"/>
                <w:snapToGrid w:val="0"/>
                <w:sz w:val="22"/>
                <w:szCs w:val="22"/>
                <w:lang w:val="en-US" w:eastAsia="zh-CN"/>
              </w:rPr>
              <w:t>根据</w:t>
            </w:r>
            <w:r>
              <w:rPr>
                <w:rFonts w:hint="eastAsia" w:ascii="宋体" w:hAnsi="宋体" w:eastAsia="宋体" w:cs="宋体"/>
                <w:b w:val="0"/>
                <w:bCs w:val="0"/>
                <w:snapToGrid w:val="0"/>
                <w:sz w:val="22"/>
                <w:szCs w:val="22"/>
              </w:rPr>
              <w:t>投标供应商针对本项目的</w:t>
            </w:r>
            <w:r>
              <w:rPr>
                <w:rFonts w:hint="eastAsia" w:ascii="宋体" w:hAnsi="宋体" w:eastAsia="宋体" w:cs="宋体"/>
                <w:b w:val="0"/>
                <w:bCs w:val="0"/>
                <w:snapToGrid w:val="0"/>
                <w:sz w:val="22"/>
                <w:szCs w:val="22"/>
                <w:lang w:val="en-US" w:eastAsia="zh-CN"/>
              </w:rPr>
              <w:t>要求和</w:t>
            </w:r>
            <w:r>
              <w:rPr>
                <w:rFonts w:hint="eastAsia" w:ascii="宋体" w:hAnsi="宋体" w:eastAsia="宋体" w:cs="宋体"/>
                <w:b w:val="0"/>
                <w:bCs w:val="0"/>
                <w:snapToGrid w:val="0"/>
                <w:sz w:val="22"/>
                <w:szCs w:val="22"/>
              </w:rPr>
              <w:t>特点</w:t>
            </w:r>
            <w:r>
              <w:rPr>
                <w:rFonts w:hint="eastAsia" w:ascii="宋体" w:hAnsi="宋体" w:eastAsia="宋体" w:cs="宋体"/>
                <w:b w:val="0"/>
                <w:bCs w:val="0"/>
                <w:snapToGrid w:val="0"/>
                <w:sz w:val="22"/>
                <w:szCs w:val="22"/>
                <w:lang w:val="en-US" w:eastAsia="zh-CN"/>
              </w:rPr>
              <w:t>制定</w:t>
            </w:r>
            <w:r>
              <w:rPr>
                <w:rFonts w:hint="eastAsia" w:ascii="宋体" w:hAnsi="宋体" w:eastAsia="宋体" w:cs="宋体"/>
                <w:b w:val="0"/>
                <w:bCs w:val="0"/>
                <w:snapToGrid w:val="0"/>
                <w:sz w:val="22"/>
                <w:szCs w:val="22"/>
              </w:rPr>
              <w:t>的清扫保洁</w:t>
            </w:r>
            <w:r>
              <w:rPr>
                <w:rFonts w:hint="eastAsia" w:ascii="宋体" w:hAnsi="宋体" w:cs="宋体"/>
                <w:b w:val="0"/>
                <w:bCs w:val="0"/>
                <w:snapToGrid w:val="0"/>
                <w:sz w:val="22"/>
                <w:szCs w:val="22"/>
                <w:lang w:val="en-US" w:eastAsia="zh-CN"/>
              </w:rPr>
              <w:t>及绿化养护</w:t>
            </w:r>
            <w:r>
              <w:rPr>
                <w:rFonts w:hint="eastAsia" w:ascii="宋体" w:hAnsi="宋体" w:eastAsia="宋体" w:cs="宋体"/>
                <w:b w:val="0"/>
                <w:bCs w:val="0"/>
                <w:snapToGrid w:val="0"/>
                <w:sz w:val="22"/>
                <w:szCs w:val="22"/>
              </w:rPr>
              <w:t>作业规范与质量标准</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z w:val="22"/>
                <w:szCs w:val="22"/>
                <w:lang w:val="en-US" w:eastAsia="zh-CN"/>
              </w:rPr>
              <w:t>评分范围（3、2、1、0分）</w:t>
            </w:r>
          </w:p>
        </w:tc>
      </w:tr>
      <w:tr w14:paraId="56C8E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1" w:type="dxa"/>
            <w:vMerge w:val="continue"/>
            <w:tcBorders>
              <w:tl2br w:val="nil"/>
              <w:tr2bl w:val="nil"/>
            </w:tcBorders>
            <w:vAlign w:val="center"/>
          </w:tcPr>
          <w:p w14:paraId="7AD0CAF7">
            <w:pPr>
              <w:adjustRightInd w:val="0"/>
              <w:snapToGrid w:val="0"/>
              <w:spacing w:line="360" w:lineRule="exact"/>
              <w:jc w:val="center"/>
              <w:rPr>
                <w:rFonts w:ascii="宋体" w:hAnsi="宋体" w:cs="宋体"/>
                <w:szCs w:val="22"/>
              </w:rPr>
            </w:pPr>
          </w:p>
        </w:tc>
        <w:tc>
          <w:tcPr>
            <w:tcW w:w="1456" w:type="dxa"/>
            <w:vMerge w:val="continue"/>
            <w:tcBorders>
              <w:tl2br w:val="nil"/>
              <w:tr2bl w:val="nil"/>
            </w:tcBorders>
            <w:vAlign w:val="center"/>
          </w:tcPr>
          <w:p w14:paraId="2EAB75C0">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6FE63B19">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2362E338">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snapToGrid w:val="0"/>
                <w:sz w:val="22"/>
                <w:szCs w:val="22"/>
                <w:lang w:val="en-US" w:eastAsia="zh-CN"/>
              </w:rPr>
              <w:t>根据</w:t>
            </w:r>
            <w:r>
              <w:rPr>
                <w:rFonts w:hint="eastAsia" w:ascii="宋体" w:hAnsi="宋体" w:eastAsia="宋体" w:cs="宋体"/>
                <w:b w:val="0"/>
                <w:bCs w:val="0"/>
                <w:snapToGrid w:val="0"/>
                <w:sz w:val="22"/>
                <w:szCs w:val="22"/>
              </w:rPr>
              <w:t>投标供应商针对本项目的要求和特点制定的垃圾收集与清运作业规范与质量标准</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z w:val="22"/>
                <w:szCs w:val="22"/>
                <w:lang w:val="en-US" w:eastAsia="zh-CN"/>
              </w:rPr>
              <w:t>评分范围（3、2、1、0分）</w:t>
            </w:r>
          </w:p>
        </w:tc>
      </w:tr>
      <w:tr w14:paraId="7D23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1" w:type="dxa"/>
            <w:vMerge w:val="continue"/>
            <w:tcBorders>
              <w:tl2br w:val="nil"/>
              <w:tr2bl w:val="nil"/>
            </w:tcBorders>
            <w:vAlign w:val="center"/>
          </w:tcPr>
          <w:p w14:paraId="3061CF88">
            <w:pPr>
              <w:adjustRightInd w:val="0"/>
              <w:snapToGrid w:val="0"/>
              <w:spacing w:line="360" w:lineRule="exact"/>
              <w:jc w:val="center"/>
              <w:rPr>
                <w:rFonts w:ascii="宋体" w:hAnsi="宋体" w:cs="宋体"/>
                <w:szCs w:val="22"/>
              </w:rPr>
            </w:pPr>
          </w:p>
        </w:tc>
        <w:tc>
          <w:tcPr>
            <w:tcW w:w="1456" w:type="dxa"/>
            <w:vMerge w:val="continue"/>
            <w:tcBorders>
              <w:tl2br w:val="nil"/>
              <w:tr2bl w:val="nil"/>
            </w:tcBorders>
            <w:vAlign w:val="center"/>
          </w:tcPr>
          <w:p w14:paraId="06DA4E5C">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57BFC824">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509F3F83">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snapToGrid w:val="0"/>
                <w:sz w:val="22"/>
                <w:szCs w:val="22"/>
                <w:lang w:val="en-US" w:eastAsia="zh-CN"/>
              </w:rPr>
              <w:t>根据</w:t>
            </w:r>
            <w:r>
              <w:rPr>
                <w:rFonts w:hint="eastAsia" w:ascii="宋体" w:hAnsi="宋体" w:eastAsia="宋体" w:cs="宋体"/>
                <w:b w:val="0"/>
                <w:bCs w:val="0"/>
                <w:snapToGrid w:val="0"/>
                <w:sz w:val="22"/>
                <w:szCs w:val="22"/>
              </w:rPr>
              <w:t>投标供应商针对本项目的要求和特点制定的公共环卫设施的清洗保洁与“牛皮癣”清理作业规范与质量标准</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z w:val="22"/>
                <w:szCs w:val="22"/>
                <w:lang w:val="en-US" w:eastAsia="zh-CN"/>
              </w:rPr>
              <w:t>评分范围（3、2、1、0分）</w:t>
            </w:r>
          </w:p>
        </w:tc>
      </w:tr>
      <w:tr w14:paraId="05756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1" w:type="dxa"/>
            <w:vMerge w:val="continue"/>
            <w:tcBorders>
              <w:tl2br w:val="nil"/>
              <w:tr2bl w:val="nil"/>
            </w:tcBorders>
            <w:vAlign w:val="center"/>
          </w:tcPr>
          <w:p w14:paraId="2B8A2595">
            <w:pPr>
              <w:adjustRightInd w:val="0"/>
              <w:snapToGrid w:val="0"/>
              <w:spacing w:line="360" w:lineRule="exact"/>
              <w:jc w:val="center"/>
              <w:rPr>
                <w:rFonts w:ascii="宋体" w:hAnsi="宋体" w:cs="宋体"/>
                <w:szCs w:val="22"/>
              </w:rPr>
            </w:pPr>
          </w:p>
        </w:tc>
        <w:tc>
          <w:tcPr>
            <w:tcW w:w="1456" w:type="dxa"/>
            <w:vMerge w:val="continue"/>
            <w:tcBorders>
              <w:tl2br w:val="nil"/>
              <w:tr2bl w:val="nil"/>
            </w:tcBorders>
            <w:vAlign w:val="center"/>
          </w:tcPr>
          <w:p w14:paraId="06CDC7BF">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30C14277">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2CA237DA">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snapToGrid w:val="0"/>
                <w:sz w:val="22"/>
                <w:szCs w:val="22"/>
                <w:lang w:val="en-US" w:eastAsia="zh-CN"/>
              </w:rPr>
              <w:t>根据</w:t>
            </w:r>
            <w:r>
              <w:rPr>
                <w:rFonts w:hint="eastAsia" w:ascii="宋体" w:hAnsi="宋体" w:eastAsia="宋体" w:cs="宋体"/>
                <w:b w:val="0"/>
                <w:bCs w:val="0"/>
                <w:snapToGrid w:val="0"/>
                <w:sz w:val="22"/>
                <w:szCs w:val="22"/>
              </w:rPr>
              <w:t>投标供应商针对本项目的要求和特点制定的道路</w:t>
            </w:r>
            <w:r>
              <w:rPr>
                <w:rFonts w:hint="eastAsia" w:ascii="宋体" w:hAnsi="宋体" w:cs="宋体"/>
                <w:b w:val="0"/>
                <w:bCs w:val="0"/>
                <w:snapToGrid w:val="0"/>
                <w:sz w:val="22"/>
                <w:szCs w:val="22"/>
                <w:lang w:val="en-US" w:eastAsia="zh-CN"/>
              </w:rPr>
              <w:t>扫洒</w:t>
            </w:r>
            <w:r>
              <w:rPr>
                <w:rFonts w:hint="eastAsia" w:ascii="宋体" w:hAnsi="宋体" w:eastAsia="宋体" w:cs="宋体"/>
                <w:b w:val="0"/>
                <w:bCs w:val="0"/>
                <w:snapToGrid w:val="0"/>
                <w:sz w:val="22"/>
                <w:szCs w:val="22"/>
              </w:rPr>
              <w:t>作业规范与质量标准</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z w:val="22"/>
                <w:szCs w:val="22"/>
                <w:lang w:val="en-US" w:eastAsia="zh-CN"/>
              </w:rPr>
              <w:t>评分范围（3、2、1、0分）</w:t>
            </w:r>
          </w:p>
        </w:tc>
      </w:tr>
      <w:tr w14:paraId="3198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1" w:type="dxa"/>
            <w:vMerge w:val="continue"/>
            <w:tcBorders>
              <w:tl2br w:val="nil"/>
              <w:tr2bl w:val="nil"/>
            </w:tcBorders>
            <w:vAlign w:val="center"/>
          </w:tcPr>
          <w:p w14:paraId="3DE6C566">
            <w:pPr>
              <w:adjustRightInd w:val="0"/>
              <w:snapToGrid w:val="0"/>
              <w:spacing w:line="360" w:lineRule="exact"/>
              <w:jc w:val="center"/>
              <w:rPr>
                <w:rFonts w:ascii="宋体" w:hAnsi="宋体" w:cs="宋体"/>
                <w:szCs w:val="22"/>
              </w:rPr>
            </w:pPr>
          </w:p>
        </w:tc>
        <w:tc>
          <w:tcPr>
            <w:tcW w:w="1456" w:type="dxa"/>
            <w:vMerge w:val="continue"/>
            <w:tcBorders>
              <w:tl2br w:val="nil"/>
              <w:tr2bl w:val="nil"/>
            </w:tcBorders>
            <w:vAlign w:val="center"/>
          </w:tcPr>
          <w:p w14:paraId="368D4580">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6F475111">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419D57A1">
            <w:pPr>
              <w:keepNext w:val="0"/>
              <w:keepLines w:val="0"/>
              <w:pageBreakBefore w:val="0"/>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snapToGrid w:val="0"/>
                <w:sz w:val="22"/>
                <w:szCs w:val="22"/>
                <w:lang w:val="en-US" w:eastAsia="zh-CN"/>
              </w:rPr>
              <w:t>根据</w:t>
            </w:r>
            <w:r>
              <w:rPr>
                <w:rFonts w:hint="eastAsia" w:ascii="宋体" w:hAnsi="宋体" w:eastAsia="宋体" w:cs="宋体"/>
                <w:b w:val="0"/>
                <w:bCs w:val="0"/>
                <w:snapToGrid w:val="0"/>
                <w:sz w:val="22"/>
                <w:szCs w:val="22"/>
              </w:rPr>
              <w:t>投标供应商针对本项目的要求和特点制定的应急作业规范与质量标准</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napToGrid w:val="0"/>
                <w:sz w:val="22"/>
                <w:szCs w:val="22"/>
                <w:lang w:val="en-US" w:eastAsia="zh-CN"/>
              </w:rPr>
              <w:t>综合打分，</w:t>
            </w:r>
            <w:r>
              <w:rPr>
                <w:rFonts w:hint="eastAsia" w:ascii="宋体" w:hAnsi="宋体" w:cs="宋体"/>
                <w:b w:val="0"/>
                <w:bCs w:val="0"/>
                <w:sz w:val="22"/>
                <w:szCs w:val="22"/>
                <w:lang w:val="en-US" w:eastAsia="zh-CN"/>
              </w:rPr>
              <w:t>评分范围（3、2、1、0分）</w:t>
            </w:r>
          </w:p>
        </w:tc>
      </w:tr>
      <w:tr w14:paraId="46A0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restart"/>
            <w:tcBorders>
              <w:tl2br w:val="nil"/>
              <w:tr2bl w:val="nil"/>
            </w:tcBorders>
            <w:vAlign w:val="center"/>
          </w:tcPr>
          <w:p w14:paraId="6920B18B">
            <w:pPr>
              <w:adjustRightInd w:val="0"/>
              <w:snapToGrid w:val="0"/>
              <w:spacing w:line="360" w:lineRule="exact"/>
              <w:jc w:val="center"/>
              <w:rPr>
                <w:rFonts w:hint="default" w:ascii="宋体" w:hAnsi="宋体" w:eastAsia="宋体" w:cs="宋体"/>
                <w:szCs w:val="22"/>
                <w:lang w:val="en-US" w:eastAsia="zh-CN"/>
              </w:rPr>
            </w:pPr>
            <w:r>
              <w:rPr>
                <w:rFonts w:hint="eastAsia" w:ascii="宋体" w:hAnsi="宋体" w:cs="宋体"/>
                <w:szCs w:val="22"/>
                <w:lang w:val="en-US" w:eastAsia="zh-CN"/>
              </w:rPr>
              <w:t>10</w:t>
            </w:r>
          </w:p>
        </w:tc>
        <w:tc>
          <w:tcPr>
            <w:tcW w:w="1456" w:type="dxa"/>
            <w:vMerge w:val="restart"/>
            <w:tcBorders>
              <w:tl2br w:val="nil"/>
              <w:tr2bl w:val="nil"/>
            </w:tcBorders>
            <w:vAlign w:val="center"/>
          </w:tcPr>
          <w:p w14:paraId="12AC407C">
            <w:pPr>
              <w:adjustRightInd w:val="0"/>
              <w:snapToGrid w:val="0"/>
              <w:spacing w:line="360" w:lineRule="exact"/>
              <w:jc w:val="center"/>
              <w:rPr>
                <w:rFonts w:ascii="宋体" w:hAnsi="宋体" w:cs="宋体"/>
                <w:szCs w:val="22"/>
              </w:rPr>
            </w:pPr>
            <w:r>
              <w:rPr>
                <w:rFonts w:hint="eastAsia" w:ascii="宋体" w:hAnsi="宋体" w:eastAsia="宋体" w:cs="宋体"/>
                <w:b w:val="0"/>
                <w:bCs w:val="0"/>
                <w:sz w:val="22"/>
                <w:szCs w:val="22"/>
              </w:rPr>
              <w:t>垃圾清扫清扫和巡回保洁作业方案</w:t>
            </w:r>
          </w:p>
        </w:tc>
        <w:tc>
          <w:tcPr>
            <w:tcW w:w="709" w:type="dxa"/>
            <w:vMerge w:val="restart"/>
            <w:tcBorders>
              <w:tl2br w:val="nil"/>
              <w:tr2bl w:val="nil"/>
            </w:tcBorders>
            <w:vAlign w:val="center"/>
          </w:tcPr>
          <w:p w14:paraId="7C68D7DA">
            <w:pPr>
              <w:adjustRightInd w:val="0"/>
              <w:snapToGrid w:val="0"/>
              <w:spacing w:line="360" w:lineRule="exact"/>
              <w:jc w:val="center"/>
              <w:rPr>
                <w:rFonts w:hint="default" w:ascii="宋体" w:hAnsi="宋体" w:eastAsia="宋体" w:cs="宋体"/>
                <w:szCs w:val="22"/>
                <w:lang w:val="en-US" w:eastAsia="zh-CN"/>
              </w:rPr>
            </w:pPr>
            <w:r>
              <w:rPr>
                <w:rFonts w:hint="eastAsia" w:ascii="宋体" w:hAnsi="宋体" w:cs="宋体"/>
                <w:szCs w:val="22"/>
                <w:lang w:val="en-US" w:eastAsia="zh-CN"/>
              </w:rPr>
              <w:t>20</w:t>
            </w:r>
          </w:p>
        </w:tc>
        <w:tc>
          <w:tcPr>
            <w:tcW w:w="6886" w:type="dxa"/>
            <w:tcBorders>
              <w:tl2br w:val="nil"/>
              <w:tr2bl w:val="nil"/>
            </w:tcBorders>
            <w:vAlign w:val="center"/>
          </w:tcPr>
          <w:p w14:paraId="0263B3C3">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ascii="宋体" w:hAnsi="宋体" w:cs="宋体"/>
                <w:szCs w:val="22"/>
              </w:rPr>
            </w:pPr>
            <w:r>
              <w:rPr>
                <w:rFonts w:hint="eastAsia" w:ascii="宋体" w:hAnsi="宋体" w:eastAsia="宋体" w:cs="宋体"/>
                <w:b w:val="0"/>
                <w:bCs w:val="0"/>
                <w:color w:val="000000"/>
                <w:sz w:val="22"/>
                <w:szCs w:val="22"/>
                <w:lang w:val="en-US" w:eastAsia="zh-CN"/>
              </w:rPr>
              <w:t>根据投标供应商针对本项目的区域工作量制定的人员及机械配置方案</w:t>
            </w:r>
            <w:r>
              <w:rPr>
                <w:rFonts w:hint="eastAsia" w:ascii="宋体" w:hAnsi="宋体" w:cs="宋体"/>
                <w:b w:val="0"/>
                <w:bCs w:val="0"/>
                <w:color w:val="000000"/>
                <w:sz w:val="22"/>
                <w:szCs w:val="22"/>
                <w:lang w:val="en-US" w:eastAsia="zh-CN"/>
              </w:rPr>
              <w:t>进行</w:t>
            </w:r>
            <w:r>
              <w:rPr>
                <w:rFonts w:hint="eastAsia" w:ascii="宋体" w:hAnsi="宋体" w:eastAsia="宋体" w:cs="宋体"/>
                <w:b w:val="0"/>
                <w:bCs w:val="0"/>
                <w:color w:val="000000"/>
                <w:sz w:val="22"/>
                <w:szCs w:val="22"/>
                <w:lang w:val="en-US" w:eastAsia="zh-CN"/>
              </w:rPr>
              <w:t>综合打分，</w:t>
            </w:r>
            <w:r>
              <w:rPr>
                <w:rFonts w:hint="eastAsia" w:ascii="宋体" w:hAnsi="宋体" w:cs="宋体"/>
                <w:b w:val="0"/>
                <w:bCs w:val="0"/>
                <w:sz w:val="22"/>
                <w:szCs w:val="22"/>
                <w:lang w:val="en-US" w:eastAsia="zh-CN"/>
              </w:rPr>
              <w:t>评分范围（4、3、2、1、0分）</w:t>
            </w:r>
          </w:p>
        </w:tc>
      </w:tr>
      <w:tr w14:paraId="3BC1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46078D3D">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tcPr>
          <w:p w14:paraId="4FDCA2EB">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7AE89416">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52B776AB">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color w:val="000000"/>
                <w:sz w:val="22"/>
                <w:szCs w:val="22"/>
                <w:lang w:val="en-US" w:eastAsia="zh-CN"/>
              </w:rPr>
              <w:t>根据投标供应商针对本项目的保洁方式、清扫线路、公共设施清洗、洒水作业方案</w:t>
            </w:r>
            <w:r>
              <w:rPr>
                <w:rFonts w:hint="eastAsia" w:ascii="宋体" w:hAnsi="宋体" w:cs="宋体"/>
                <w:b w:val="0"/>
                <w:bCs w:val="0"/>
                <w:color w:val="000000"/>
                <w:sz w:val="22"/>
                <w:szCs w:val="22"/>
                <w:lang w:val="en-US" w:eastAsia="zh-CN"/>
              </w:rPr>
              <w:t>进行</w:t>
            </w:r>
            <w:r>
              <w:rPr>
                <w:rFonts w:hint="eastAsia" w:ascii="宋体" w:hAnsi="宋体" w:eastAsia="宋体" w:cs="宋体"/>
                <w:b w:val="0"/>
                <w:bCs w:val="0"/>
                <w:color w:val="000000"/>
                <w:sz w:val="22"/>
                <w:szCs w:val="22"/>
                <w:lang w:val="en-US" w:eastAsia="zh-CN"/>
              </w:rPr>
              <w:t>综合打分，</w:t>
            </w:r>
            <w:r>
              <w:rPr>
                <w:rFonts w:hint="eastAsia" w:ascii="宋体" w:hAnsi="宋体" w:cs="宋体"/>
                <w:b w:val="0"/>
                <w:bCs w:val="0"/>
                <w:sz w:val="22"/>
                <w:szCs w:val="22"/>
                <w:lang w:val="en-US" w:eastAsia="zh-CN"/>
              </w:rPr>
              <w:t>评分范围（4、3、2、1、0分）</w:t>
            </w:r>
          </w:p>
        </w:tc>
      </w:tr>
      <w:tr w14:paraId="7F0AA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71CA301D">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tcPr>
          <w:p w14:paraId="03DB127D">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23BA0CBC">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2B71E3C3">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根据投标供应商针对本项目的垃圾收集及清运</w:t>
            </w:r>
            <w:r>
              <w:rPr>
                <w:rFonts w:hint="eastAsia" w:ascii="宋体" w:hAnsi="宋体" w:cs="宋体"/>
                <w:b w:val="0"/>
                <w:bCs w:val="0"/>
                <w:color w:val="000000"/>
                <w:sz w:val="22"/>
                <w:szCs w:val="22"/>
                <w:highlight w:val="none"/>
                <w:lang w:val="en-US" w:eastAsia="zh-CN"/>
              </w:rPr>
              <w:t>：</w:t>
            </w:r>
            <w:r>
              <w:rPr>
                <w:rFonts w:hint="eastAsia" w:ascii="宋体" w:hAnsi="宋体" w:cs="宋体"/>
                <w:szCs w:val="22"/>
                <w:highlight w:val="none"/>
              </w:rPr>
              <w:t>内容详尽程度、</w:t>
            </w:r>
            <w:r>
              <w:rPr>
                <w:rFonts w:hint="eastAsia" w:ascii="宋体" w:hAnsi="宋体" w:cs="宋体"/>
                <w:szCs w:val="22"/>
                <w:highlight w:val="none"/>
                <w:lang w:bidi="zh-CN"/>
              </w:rPr>
              <w:t>创新性、合理性、可行性</w:t>
            </w:r>
            <w:r>
              <w:rPr>
                <w:rFonts w:hint="eastAsia" w:ascii="宋体" w:hAnsi="宋体" w:cs="宋体"/>
                <w:szCs w:val="22"/>
                <w:highlight w:val="none"/>
                <w:lang w:val="en-US" w:bidi="zh-CN"/>
              </w:rPr>
              <w:t>进行综合打分，</w:t>
            </w:r>
            <w:r>
              <w:rPr>
                <w:rFonts w:hint="eastAsia" w:ascii="宋体" w:hAnsi="宋体" w:cs="宋体"/>
                <w:b w:val="0"/>
                <w:bCs w:val="0"/>
                <w:sz w:val="22"/>
                <w:szCs w:val="22"/>
                <w:lang w:val="en-US" w:eastAsia="zh-CN"/>
              </w:rPr>
              <w:t>评分范围（3、2、1、0分）</w:t>
            </w:r>
          </w:p>
        </w:tc>
      </w:tr>
      <w:tr w14:paraId="03D3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25854F6D">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tcPr>
          <w:p w14:paraId="14D7D425">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4F0C253D">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1FBDE243">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根据投标供应商针对本项目的</w:t>
            </w:r>
            <w:r>
              <w:rPr>
                <w:rFonts w:hint="eastAsia" w:ascii="宋体" w:hAnsi="宋体" w:cs="宋体"/>
                <w:szCs w:val="22"/>
                <w:highlight w:val="none"/>
              </w:rPr>
              <w:t>垃圾分类方案（包括易腐垃圾、可回收垃圾、工业垃圾、零星垃圾等）：内容详尽程度、</w:t>
            </w:r>
            <w:r>
              <w:rPr>
                <w:rFonts w:hint="eastAsia" w:ascii="宋体" w:hAnsi="宋体" w:cs="宋体"/>
                <w:szCs w:val="22"/>
                <w:highlight w:val="none"/>
                <w:lang w:bidi="zh-CN"/>
              </w:rPr>
              <w:t>合理性、可行性</w:t>
            </w:r>
            <w:r>
              <w:rPr>
                <w:rFonts w:hint="eastAsia" w:ascii="宋体" w:hAnsi="宋体" w:cs="宋体"/>
                <w:szCs w:val="22"/>
                <w:highlight w:val="none"/>
                <w:lang w:val="en-US" w:bidi="zh-CN"/>
              </w:rPr>
              <w:t>进行综合打分，</w:t>
            </w:r>
            <w:r>
              <w:rPr>
                <w:rFonts w:hint="eastAsia" w:ascii="宋体" w:hAnsi="宋体" w:cs="宋体"/>
                <w:b w:val="0"/>
                <w:bCs w:val="0"/>
                <w:sz w:val="22"/>
                <w:szCs w:val="22"/>
                <w:lang w:val="en-US" w:eastAsia="zh-CN"/>
              </w:rPr>
              <w:t>评分范围（3、2、1、0分）</w:t>
            </w:r>
          </w:p>
        </w:tc>
      </w:tr>
      <w:tr w14:paraId="0877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1BE7B692">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tcPr>
          <w:p w14:paraId="065E531F">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7BF407F3">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79218F01">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color w:val="000000"/>
                <w:sz w:val="22"/>
                <w:szCs w:val="22"/>
                <w:lang w:val="en-US" w:eastAsia="zh-CN"/>
              </w:rPr>
              <w:t>根据投标供应商</w:t>
            </w:r>
            <w:r>
              <w:rPr>
                <w:rFonts w:hint="eastAsia" w:ascii="宋体" w:hAnsi="宋体" w:eastAsia="宋体" w:cs="宋体"/>
                <w:b w:val="0"/>
                <w:bCs w:val="0"/>
                <w:color w:val="000000"/>
                <w:sz w:val="22"/>
                <w:szCs w:val="22"/>
                <w:highlight w:val="none"/>
                <w:lang w:val="en-US" w:eastAsia="zh-CN"/>
              </w:rPr>
              <w:t>针对本项目</w:t>
            </w:r>
            <w:r>
              <w:rPr>
                <w:rFonts w:hint="eastAsia" w:ascii="宋体" w:hAnsi="宋体" w:eastAsia="宋体" w:cs="宋体"/>
                <w:b w:val="0"/>
                <w:bCs w:val="0"/>
                <w:color w:val="000000"/>
                <w:sz w:val="22"/>
                <w:szCs w:val="22"/>
                <w:lang w:val="en-US" w:eastAsia="zh-CN"/>
              </w:rPr>
              <w:t>提供的</w:t>
            </w:r>
            <w:r>
              <w:rPr>
                <w:rFonts w:hint="eastAsia" w:ascii="宋体" w:hAnsi="宋体" w:eastAsia="宋体" w:cs="宋体"/>
                <w:b w:val="0"/>
                <w:bCs w:val="0"/>
                <w:snapToGrid w:val="0"/>
                <w:sz w:val="22"/>
                <w:szCs w:val="22"/>
              </w:rPr>
              <w:t>无主垃圾的日常管理及处理方案</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color w:val="000000"/>
                <w:sz w:val="22"/>
                <w:szCs w:val="22"/>
                <w:lang w:val="en-US" w:eastAsia="zh-CN"/>
              </w:rPr>
              <w:t>综合打分，</w:t>
            </w:r>
            <w:r>
              <w:rPr>
                <w:rFonts w:hint="eastAsia" w:ascii="宋体" w:hAnsi="宋体" w:cs="宋体"/>
                <w:b w:val="0"/>
                <w:bCs w:val="0"/>
                <w:sz w:val="22"/>
                <w:szCs w:val="22"/>
                <w:lang w:val="en-US" w:eastAsia="zh-CN"/>
              </w:rPr>
              <w:t>评分范围（3、2、1、0分）</w:t>
            </w:r>
          </w:p>
        </w:tc>
      </w:tr>
      <w:tr w14:paraId="2E2F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11DA8B94">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tcPr>
          <w:p w14:paraId="22096A3A">
            <w:pPr>
              <w:adjustRightInd w:val="0"/>
              <w:snapToGrid w:val="0"/>
              <w:spacing w:line="360" w:lineRule="exact"/>
              <w:jc w:val="center"/>
              <w:rPr>
                <w:rFonts w:hint="eastAsia" w:ascii="宋体" w:hAnsi="宋体" w:eastAsia="宋体" w:cs="宋体"/>
                <w:b w:val="0"/>
                <w:bCs w:val="0"/>
                <w:sz w:val="22"/>
                <w:szCs w:val="22"/>
              </w:rPr>
            </w:pPr>
          </w:p>
        </w:tc>
        <w:tc>
          <w:tcPr>
            <w:tcW w:w="709" w:type="dxa"/>
            <w:vMerge w:val="continue"/>
            <w:tcBorders>
              <w:tl2br w:val="nil"/>
              <w:tr2bl w:val="nil"/>
            </w:tcBorders>
            <w:vAlign w:val="center"/>
          </w:tcPr>
          <w:p w14:paraId="385860E9">
            <w:pPr>
              <w:adjustRightInd w:val="0"/>
              <w:snapToGrid w:val="0"/>
              <w:spacing w:line="360" w:lineRule="exact"/>
              <w:jc w:val="center"/>
              <w:rPr>
                <w:rFonts w:hint="eastAsia" w:ascii="宋体" w:hAnsi="宋体" w:cs="宋体"/>
                <w:szCs w:val="22"/>
                <w:lang w:val="en-US" w:eastAsia="zh-CN"/>
              </w:rPr>
            </w:pPr>
          </w:p>
        </w:tc>
        <w:tc>
          <w:tcPr>
            <w:tcW w:w="6886" w:type="dxa"/>
            <w:tcBorders>
              <w:tl2br w:val="nil"/>
              <w:tr2bl w:val="nil"/>
            </w:tcBorders>
            <w:vAlign w:val="center"/>
          </w:tcPr>
          <w:p w14:paraId="63736E33">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cs="宋体"/>
                <w:szCs w:val="22"/>
              </w:rPr>
            </w:pPr>
            <w:r>
              <w:rPr>
                <w:rFonts w:hint="eastAsia" w:ascii="宋体" w:hAnsi="宋体" w:eastAsia="宋体" w:cs="宋体"/>
                <w:b w:val="0"/>
                <w:bCs w:val="0"/>
                <w:color w:val="000000"/>
                <w:sz w:val="22"/>
                <w:szCs w:val="22"/>
                <w:lang w:val="en-US" w:eastAsia="zh-CN"/>
              </w:rPr>
              <w:t>根据投标供应商</w:t>
            </w:r>
            <w:r>
              <w:rPr>
                <w:rFonts w:hint="eastAsia" w:ascii="宋体" w:hAnsi="宋体" w:eastAsia="宋体" w:cs="宋体"/>
                <w:b w:val="0"/>
                <w:bCs w:val="0"/>
                <w:color w:val="000000"/>
                <w:sz w:val="22"/>
                <w:szCs w:val="22"/>
                <w:highlight w:val="none"/>
                <w:lang w:val="en-US" w:eastAsia="zh-CN"/>
              </w:rPr>
              <w:t>针对本项目</w:t>
            </w:r>
            <w:r>
              <w:rPr>
                <w:rFonts w:hint="eastAsia" w:ascii="宋体" w:hAnsi="宋体" w:eastAsia="宋体" w:cs="宋体"/>
                <w:b w:val="0"/>
                <w:bCs w:val="0"/>
                <w:color w:val="000000"/>
                <w:sz w:val="22"/>
                <w:szCs w:val="22"/>
                <w:lang w:val="en-US" w:eastAsia="zh-CN"/>
              </w:rPr>
              <w:t>提供的保洁时段排的合理性</w:t>
            </w:r>
            <w:r>
              <w:rPr>
                <w:rFonts w:hint="eastAsia" w:ascii="宋体" w:hAnsi="宋体" w:cs="宋体"/>
                <w:b w:val="0"/>
                <w:bCs w:val="0"/>
                <w:color w:val="000000"/>
                <w:sz w:val="22"/>
                <w:szCs w:val="22"/>
                <w:lang w:val="en-US" w:eastAsia="zh-CN"/>
              </w:rPr>
              <w:t>进行</w:t>
            </w:r>
            <w:r>
              <w:rPr>
                <w:rFonts w:hint="eastAsia" w:ascii="宋体" w:hAnsi="宋体" w:eastAsia="宋体" w:cs="宋体"/>
                <w:b w:val="0"/>
                <w:bCs w:val="0"/>
                <w:color w:val="000000"/>
                <w:sz w:val="22"/>
                <w:szCs w:val="22"/>
                <w:lang w:val="en-US" w:eastAsia="zh-CN"/>
              </w:rPr>
              <w:t>综合打分，</w:t>
            </w:r>
            <w:r>
              <w:rPr>
                <w:rFonts w:hint="eastAsia" w:ascii="宋体" w:hAnsi="宋体" w:cs="宋体"/>
                <w:b w:val="0"/>
                <w:bCs w:val="0"/>
                <w:sz w:val="22"/>
                <w:szCs w:val="22"/>
                <w:lang w:val="en-US" w:eastAsia="zh-CN"/>
              </w:rPr>
              <w:t>评分范围（3、2、1、0分）</w:t>
            </w:r>
          </w:p>
        </w:tc>
      </w:tr>
      <w:tr w14:paraId="7C4E3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restart"/>
            <w:tcBorders>
              <w:tl2br w:val="nil"/>
              <w:tr2bl w:val="nil"/>
            </w:tcBorders>
            <w:vAlign w:val="center"/>
          </w:tcPr>
          <w:p w14:paraId="2686F8A8">
            <w:pPr>
              <w:adjustRightInd w:val="0"/>
              <w:snapToGrid w:val="0"/>
              <w:spacing w:line="360" w:lineRule="exact"/>
              <w:jc w:val="center"/>
              <w:rPr>
                <w:rFonts w:hint="default" w:ascii="宋体" w:hAnsi="宋体" w:eastAsia="宋体" w:cs="宋体"/>
                <w:szCs w:val="22"/>
                <w:lang w:val="en-US" w:eastAsia="zh-CN"/>
              </w:rPr>
            </w:pPr>
            <w:r>
              <w:rPr>
                <w:rFonts w:hint="eastAsia" w:ascii="宋体" w:hAnsi="宋体" w:cs="宋体"/>
                <w:szCs w:val="22"/>
                <w:lang w:val="en-US" w:eastAsia="zh-CN"/>
              </w:rPr>
              <w:t>11</w:t>
            </w:r>
          </w:p>
        </w:tc>
        <w:tc>
          <w:tcPr>
            <w:tcW w:w="1456" w:type="dxa"/>
            <w:vMerge w:val="restart"/>
            <w:tcBorders>
              <w:tl2br w:val="nil"/>
              <w:tr2bl w:val="nil"/>
            </w:tcBorders>
            <w:vAlign w:val="center"/>
          </w:tcPr>
          <w:p w14:paraId="44DB33F0">
            <w:pPr>
              <w:adjustRightInd w:val="0"/>
              <w:snapToGrid w:val="0"/>
              <w:spacing w:line="360" w:lineRule="exact"/>
              <w:jc w:val="center"/>
              <w:rPr>
                <w:rFonts w:hint="default" w:ascii="宋体" w:hAnsi="宋体" w:eastAsia="宋体" w:cs="宋体"/>
                <w:b w:val="0"/>
                <w:bCs w:val="0"/>
                <w:snapToGrid w:val="0"/>
                <w:sz w:val="22"/>
                <w:szCs w:val="22"/>
                <w:lang w:val="en-US" w:eastAsia="zh-CN"/>
              </w:rPr>
            </w:pPr>
            <w:r>
              <w:rPr>
                <w:rFonts w:hint="eastAsia" w:ascii="宋体" w:hAnsi="宋体" w:cs="宋体"/>
                <w:b w:val="0"/>
                <w:bCs w:val="0"/>
                <w:snapToGrid w:val="0"/>
                <w:sz w:val="22"/>
                <w:szCs w:val="22"/>
                <w:lang w:val="en-US" w:eastAsia="zh-CN"/>
              </w:rPr>
              <w:t>安全作业方案</w:t>
            </w:r>
          </w:p>
        </w:tc>
        <w:tc>
          <w:tcPr>
            <w:tcW w:w="709" w:type="dxa"/>
            <w:vMerge w:val="restart"/>
            <w:tcBorders>
              <w:tl2br w:val="nil"/>
              <w:tr2bl w:val="nil"/>
            </w:tcBorders>
            <w:vAlign w:val="center"/>
          </w:tcPr>
          <w:p w14:paraId="3C541B55">
            <w:pPr>
              <w:widowControl/>
              <w:autoSpaceDE w:val="0"/>
              <w:autoSpaceDN w:val="0"/>
              <w:adjustRightInd w:val="0"/>
              <w:spacing w:line="360" w:lineRule="exact"/>
              <w:jc w:val="center"/>
              <w:textAlignment w:val="bottom"/>
              <w:rPr>
                <w:rFonts w:hint="default" w:ascii="宋体" w:hAnsi="宋体" w:cs="宋体"/>
                <w:szCs w:val="22"/>
                <w:lang w:val="en-US" w:eastAsia="zh-CN"/>
              </w:rPr>
            </w:pPr>
            <w:r>
              <w:rPr>
                <w:rFonts w:hint="eastAsia" w:ascii="宋体" w:hAnsi="宋体" w:cs="宋体"/>
                <w:szCs w:val="22"/>
                <w:lang w:val="en-US" w:eastAsia="zh-CN"/>
              </w:rPr>
              <w:t>6</w:t>
            </w:r>
          </w:p>
        </w:tc>
        <w:tc>
          <w:tcPr>
            <w:tcW w:w="6886" w:type="dxa"/>
            <w:tcBorders>
              <w:tl2br w:val="nil"/>
              <w:tr2bl w:val="nil"/>
            </w:tcBorders>
            <w:vAlign w:val="top"/>
          </w:tcPr>
          <w:p w14:paraId="0CF32285">
            <w:pPr>
              <w:adjustRightInd w:val="0"/>
              <w:snapToGrid w:val="0"/>
              <w:spacing w:line="360" w:lineRule="exact"/>
              <w:jc w:val="left"/>
              <w:rPr>
                <w:rFonts w:hint="default" w:ascii="宋体" w:hAnsi="宋体" w:eastAsia="宋体" w:cs="宋体"/>
                <w:kern w:val="2"/>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rPr>
              <w:t>根据投标供应商提供</w:t>
            </w:r>
            <w:r>
              <w:rPr>
                <w:rFonts w:hint="eastAsia" w:ascii="宋体" w:hAnsi="宋体" w:cs="宋体"/>
                <w:bCs/>
                <w:szCs w:val="22"/>
                <w:highlight w:val="none"/>
              </w:rPr>
              <w:t>安全作业（包括但不限于车辆安全、人员安全、作业安全等）培训计划和培训内容：</w:t>
            </w:r>
            <w:r>
              <w:rPr>
                <w:rFonts w:hint="eastAsia" w:ascii="宋体" w:hAnsi="宋体" w:cs="宋体"/>
                <w:szCs w:val="22"/>
                <w:highlight w:val="none"/>
              </w:rPr>
              <w:t>内容详尽程度、</w:t>
            </w:r>
            <w:r>
              <w:rPr>
                <w:rFonts w:hint="eastAsia" w:ascii="宋体" w:hAnsi="宋体" w:cs="宋体"/>
                <w:szCs w:val="22"/>
                <w:highlight w:val="none"/>
                <w:lang w:bidi="zh-CN"/>
              </w:rPr>
              <w:t>合理性、可行性</w:t>
            </w:r>
            <w:r>
              <w:rPr>
                <w:rFonts w:hint="eastAsia" w:ascii="宋体" w:hAnsi="宋体" w:cs="宋体"/>
                <w:szCs w:val="22"/>
                <w:highlight w:val="none"/>
                <w:lang w:val="en-US" w:bidi="zh-CN"/>
              </w:rPr>
              <w:t>进行综合打分，</w:t>
            </w:r>
            <w:r>
              <w:rPr>
                <w:rFonts w:hint="eastAsia" w:ascii="宋体" w:hAnsi="宋体" w:cs="宋体"/>
                <w:b w:val="0"/>
                <w:bCs w:val="0"/>
                <w:sz w:val="22"/>
                <w:szCs w:val="22"/>
                <w:lang w:val="en-US" w:eastAsia="zh-CN"/>
              </w:rPr>
              <w:t>评分范围（3、2、1、0分）</w:t>
            </w:r>
          </w:p>
        </w:tc>
      </w:tr>
      <w:tr w14:paraId="24534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vMerge w:val="continue"/>
            <w:tcBorders>
              <w:tl2br w:val="nil"/>
              <w:tr2bl w:val="nil"/>
            </w:tcBorders>
            <w:vAlign w:val="center"/>
          </w:tcPr>
          <w:p w14:paraId="0ED6E7AE">
            <w:pPr>
              <w:adjustRightInd w:val="0"/>
              <w:snapToGrid w:val="0"/>
              <w:spacing w:line="360" w:lineRule="exact"/>
              <w:jc w:val="center"/>
              <w:rPr>
                <w:rFonts w:hint="eastAsia" w:ascii="宋体" w:hAnsi="宋体" w:cs="宋体"/>
                <w:szCs w:val="22"/>
                <w:lang w:val="en-US" w:eastAsia="zh-CN"/>
              </w:rPr>
            </w:pPr>
          </w:p>
        </w:tc>
        <w:tc>
          <w:tcPr>
            <w:tcW w:w="1456" w:type="dxa"/>
            <w:vMerge w:val="continue"/>
            <w:tcBorders>
              <w:tl2br w:val="nil"/>
              <w:tr2bl w:val="nil"/>
            </w:tcBorders>
            <w:vAlign w:val="center"/>
          </w:tcPr>
          <w:p w14:paraId="0FC3D6C6">
            <w:pPr>
              <w:adjustRightInd w:val="0"/>
              <w:snapToGrid w:val="0"/>
              <w:spacing w:line="360" w:lineRule="exact"/>
              <w:jc w:val="center"/>
              <w:rPr>
                <w:rFonts w:hint="eastAsia" w:ascii="宋体" w:hAnsi="宋体" w:eastAsia="宋体" w:cs="宋体"/>
                <w:b w:val="0"/>
                <w:bCs w:val="0"/>
                <w:snapToGrid w:val="0"/>
                <w:sz w:val="22"/>
                <w:szCs w:val="22"/>
                <w:lang w:val="en-US" w:eastAsia="zh-CN"/>
              </w:rPr>
            </w:pPr>
          </w:p>
        </w:tc>
        <w:tc>
          <w:tcPr>
            <w:tcW w:w="709" w:type="dxa"/>
            <w:vMerge w:val="continue"/>
            <w:tcBorders>
              <w:tl2br w:val="nil"/>
              <w:tr2bl w:val="nil"/>
            </w:tcBorders>
            <w:vAlign w:val="center"/>
          </w:tcPr>
          <w:p w14:paraId="02103A89">
            <w:pPr>
              <w:widowControl/>
              <w:autoSpaceDE w:val="0"/>
              <w:autoSpaceDN w:val="0"/>
              <w:adjustRightInd w:val="0"/>
              <w:spacing w:line="360" w:lineRule="exact"/>
              <w:jc w:val="center"/>
              <w:textAlignment w:val="bottom"/>
              <w:rPr>
                <w:rFonts w:hint="default" w:ascii="宋体" w:hAnsi="宋体" w:cs="宋体"/>
                <w:szCs w:val="22"/>
                <w:lang w:val="en-US" w:eastAsia="zh-CN"/>
              </w:rPr>
            </w:pPr>
          </w:p>
        </w:tc>
        <w:tc>
          <w:tcPr>
            <w:tcW w:w="6886" w:type="dxa"/>
            <w:tcBorders>
              <w:tl2br w:val="nil"/>
              <w:tr2bl w:val="nil"/>
            </w:tcBorders>
            <w:vAlign w:val="center"/>
          </w:tcPr>
          <w:p w14:paraId="7CF415BE">
            <w:pPr>
              <w:adjustRightInd w:val="0"/>
              <w:snapToGrid w:val="0"/>
              <w:spacing w:line="360" w:lineRule="exact"/>
              <w:jc w:val="left"/>
              <w:rPr>
                <w:rFonts w:hint="eastAsia" w:ascii="宋体" w:hAnsi="宋体" w:eastAsia="宋体" w:cs="宋体"/>
                <w:bCs/>
                <w:kern w:val="2"/>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rPr>
              <w:t>根据投标供应商提供</w:t>
            </w:r>
            <w:r>
              <w:rPr>
                <w:rFonts w:hint="eastAsia" w:ascii="宋体" w:hAnsi="宋体" w:cs="宋体"/>
                <w:bCs/>
                <w:szCs w:val="22"/>
                <w:highlight w:val="none"/>
              </w:rPr>
              <w:t>安全作业保障方案：</w:t>
            </w:r>
            <w:r>
              <w:rPr>
                <w:rFonts w:hint="eastAsia" w:ascii="宋体" w:hAnsi="宋体" w:cs="宋体"/>
                <w:szCs w:val="22"/>
                <w:highlight w:val="none"/>
              </w:rPr>
              <w:t>内容详尽程度、</w:t>
            </w:r>
            <w:r>
              <w:rPr>
                <w:rFonts w:hint="eastAsia" w:ascii="宋体" w:hAnsi="宋体" w:cs="宋体"/>
                <w:szCs w:val="22"/>
                <w:highlight w:val="none"/>
                <w:lang w:bidi="zh-CN"/>
              </w:rPr>
              <w:t>合理性、可行性</w:t>
            </w:r>
            <w:r>
              <w:rPr>
                <w:rFonts w:hint="eastAsia" w:ascii="宋体" w:hAnsi="宋体" w:cs="宋体"/>
                <w:szCs w:val="22"/>
                <w:highlight w:val="none"/>
                <w:lang w:val="en-US" w:bidi="zh-CN"/>
              </w:rPr>
              <w:t>进行综合打分，</w:t>
            </w:r>
            <w:r>
              <w:rPr>
                <w:rFonts w:hint="eastAsia" w:ascii="宋体" w:hAnsi="宋体" w:cs="宋体"/>
                <w:b w:val="0"/>
                <w:bCs w:val="0"/>
                <w:sz w:val="22"/>
                <w:szCs w:val="22"/>
                <w:lang w:val="en-US" w:eastAsia="zh-CN"/>
              </w:rPr>
              <w:t>评分范围（3、2、1、0分）</w:t>
            </w:r>
          </w:p>
        </w:tc>
      </w:tr>
      <w:tr w14:paraId="16B26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71" w:type="dxa"/>
            <w:tcBorders>
              <w:tl2br w:val="nil"/>
              <w:tr2bl w:val="nil"/>
            </w:tcBorders>
            <w:vAlign w:val="center"/>
          </w:tcPr>
          <w:p w14:paraId="78A8C1BF">
            <w:pPr>
              <w:adjustRightInd w:val="0"/>
              <w:snapToGrid w:val="0"/>
              <w:spacing w:line="360" w:lineRule="exact"/>
              <w:jc w:val="center"/>
              <w:rPr>
                <w:rFonts w:hint="eastAsia" w:ascii="宋体" w:hAnsi="宋体" w:eastAsia="宋体" w:cs="宋体"/>
                <w:szCs w:val="22"/>
                <w:lang w:eastAsia="zh-CN"/>
              </w:rPr>
            </w:pPr>
            <w:r>
              <w:rPr>
                <w:rFonts w:hint="eastAsia" w:ascii="宋体" w:hAnsi="宋体" w:cs="宋体"/>
                <w:szCs w:val="22"/>
              </w:rPr>
              <w:t>1</w:t>
            </w:r>
            <w:r>
              <w:rPr>
                <w:rFonts w:hint="eastAsia" w:ascii="宋体" w:hAnsi="宋体" w:cs="宋体"/>
                <w:szCs w:val="22"/>
                <w:lang w:val="en-US" w:eastAsia="zh-CN"/>
              </w:rPr>
              <w:t>2</w:t>
            </w:r>
          </w:p>
        </w:tc>
        <w:tc>
          <w:tcPr>
            <w:tcW w:w="1456" w:type="dxa"/>
            <w:tcBorders>
              <w:tl2br w:val="nil"/>
              <w:tr2bl w:val="nil"/>
            </w:tcBorders>
            <w:vAlign w:val="center"/>
          </w:tcPr>
          <w:p w14:paraId="0F942268">
            <w:pPr>
              <w:adjustRightInd w:val="0"/>
              <w:snapToGrid w:val="0"/>
              <w:spacing w:line="360" w:lineRule="exact"/>
              <w:jc w:val="center"/>
              <w:rPr>
                <w:rFonts w:ascii="宋体" w:hAnsi="宋体" w:cs="宋体"/>
                <w:szCs w:val="22"/>
              </w:rPr>
            </w:pPr>
            <w:r>
              <w:rPr>
                <w:rFonts w:hint="eastAsia" w:ascii="宋体" w:hAnsi="宋体" w:eastAsia="宋体" w:cs="宋体"/>
                <w:b w:val="0"/>
                <w:bCs w:val="0"/>
                <w:snapToGrid w:val="0"/>
                <w:sz w:val="22"/>
                <w:szCs w:val="22"/>
                <w:lang w:val="en-US" w:eastAsia="zh-CN"/>
              </w:rPr>
              <w:t>应急处理方案</w:t>
            </w:r>
          </w:p>
        </w:tc>
        <w:tc>
          <w:tcPr>
            <w:tcW w:w="709" w:type="dxa"/>
            <w:tcBorders>
              <w:tl2br w:val="nil"/>
              <w:tr2bl w:val="nil"/>
            </w:tcBorders>
            <w:vAlign w:val="center"/>
          </w:tcPr>
          <w:p w14:paraId="36E60DC5">
            <w:pPr>
              <w:widowControl/>
              <w:autoSpaceDE w:val="0"/>
              <w:autoSpaceDN w:val="0"/>
              <w:adjustRightInd w:val="0"/>
              <w:spacing w:line="360" w:lineRule="exact"/>
              <w:jc w:val="center"/>
              <w:textAlignment w:val="bottom"/>
              <w:rPr>
                <w:rFonts w:hint="eastAsia" w:ascii="宋体" w:hAnsi="宋体" w:eastAsia="宋体" w:cs="宋体"/>
                <w:szCs w:val="22"/>
                <w:lang w:eastAsia="zh-CN"/>
              </w:rPr>
            </w:pPr>
            <w:r>
              <w:rPr>
                <w:rFonts w:hint="eastAsia" w:ascii="宋体" w:hAnsi="宋体" w:cs="宋体"/>
                <w:szCs w:val="22"/>
                <w:lang w:val="en-US" w:eastAsia="zh-CN"/>
              </w:rPr>
              <w:t>3</w:t>
            </w:r>
          </w:p>
        </w:tc>
        <w:tc>
          <w:tcPr>
            <w:tcW w:w="6886" w:type="dxa"/>
            <w:tcBorders>
              <w:tl2br w:val="nil"/>
              <w:tr2bl w:val="nil"/>
            </w:tcBorders>
            <w:vAlign w:val="top"/>
          </w:tcPr>
          <w:p w14:paraId="6D9A8ED3">
            <w:pPr>
              <w:widowControl/>
              <w:autoSpaceDE w:val="0"/>
              <w:autoSpaceDN w:val="0"/>
              <w:adjustRightInd w:val="0"/>
              <w:spacing w:line="360" w:lineRule="exact"/>
              <w:textAlignment w:val="bottom"/>
              <w:rPr>
                <w:rFonts w:ascii="宋体" w:hAnsi="宋体" w:cs="宋体"/>
                <w:szCs w:val="22"/>
              </w:rPr>
            </w:pPr>
            <w:r>
              <w:rPr>
                <w:rFonts w:hint="eastAsia" w:ascii="宋体" w:hAnsi="宋体" w:eastAsia="宋体" w:cs="宋体"/>
                <w:b w:val="0"/>
                <w:bCs w:val="0"/>
                <w:sz w:val="22"/>
                <w:szCs w:val="22"/>
                <w:lang w:val="en-US" w:eastAsia="zh-CN"/>
              </w:rPr>
              <w:t>根据投标供应商</w:t>
            </w:r>
            <w:r>
              <w:rPr>
                <w:rFonts w:hint="eastAsia" w:ascii="宋体" w:hAnsi="宋体" w:eastAsia="宋体" w:cs="宋体"/>
                <w:b w:val="0"/>
                <w:bCs w:val="0"/>
                <w:snapToGrid w:val="0"/>
                <w:sz w:val="22"/>
                <w:szCs w:val="22"/>
              </w:rPr>
              <w:t>制定的突击保障任务、节日及突发事件的处理方案</w:t>
            </w:r>
            <w:r>
              <w:rPr>
                <w:rFonts w:hint="eastAsia" w:ascii="宋体" w:hAnsi="宋体" w:cs="宋体"/>
                <w:b w:val="0"/>
                <w:bCs w:val="0"/>
                <w:snapToGrid w:val="0"/>
                <w:sz w:val="22"/>
                <w:szCs w:val="22"/>
                <w:lang w:val="en-US" w:eastAsia="zh-CN"/>
              </w:rPr>
              <w:t>进行</w:t>
            </w:r>
            <w:r>
              <w:rPr>
                <w:rFonts w:hint="eastAsia" w:ascii="宋体" w:hAnsi="宋体" w:eastAsia="宋体" w:cs="宋体"/>
                <w:b w:val="0"/>
                <w:bCs w:val="0"/>
                <w:sz w:val="22"/>
                <w:szCs w:val="22"/>
                <w:lang w:val="en-US" w:eastAsia="zh-CN"/>
              </w:rPr>
              <w:t>综合</w:t>
            </w:r>
            <w:r>
              <w:rPr>
                <w:rFonts w:hint="eastAsia" w:ascii="宋体" w:hAnsi="宋体" w:eastAsia="宋体" w:cs="宋体"/>
                <w:b w:val="0"/>
                <w:bCs w:val="0"/>
                <w:sz w:val="22"/>
                <w:szCs w:val="22"/>
              </w:rPr>
              <w:t>打分</w:t>
            </w:r>
            <w:r>
              <w:rPr>
                <w:rFonts w:hint="eastAsia" w:ascii="宋体" w:hAnsi="宋体" w:eastAsia="宋体" w:cs="宋体"/>
                <w:b w:val="0"/>
                <w:bCs w:val="0"/>
                <w:sz w:val="22"/>
                <w:szCs w:val="22"/>
                <w:lang w:eastAsia="zh-CN"/>
              </w:rPr>
              <w:t>，</w:t>
            </w:r>
            <w:r>
              <w:rPr>
                <w:rFonts w:hint="eastAsia" w:ascii="宋体" w:hAnsi="宋体" w:cs="宋体"/>
                <w:b w:val="0"/>
                <w:bCs w:val="0"/>
                <w:sz w:val="22"/>
                <w:szCs w:val="22"/>
                <w:lang w:val="en-US" w:eastAsia="zh-CN"/>
              </w:rPr>
              <w:t>评分范围（3、2、1、0分）</w:t>
            </w:r>
          </w:p>
        </w:tc>
      </w:tr>
    </w:tbl>
    <w:p w14:paraId="17F66EA0">
      <w:pPr>
        <w:pStyle w:val="2"/>
      </w:pPr>
    </w:p>
    <w:p w14:paraId="3DA51C39">
      <w:pPr>
        <w:spacing w:line="460" w:lineRule="atLeast"/>
        <w:ind w:left="442"/>
        <w:rPr>
          <w:rFonts w:ascii="宋体" w:hAnsi="宋体" w:cs="宋体"/>
          <w:b/>
          <w:kern w:val="0"/>
          <w:szCs w:val="22"/>
        </w:rPr>
      </w:pPr>
      <w:r>
        <w:rPr>
          <w:rFonts w:hint="eastAsia" w:ascii="宋体" w:hAnsi="宋体" w:cs="宋体"/>
          <w:b/>
          <w:kern w:val="0"/>
          <w:szCs w:val="22"/>
        </w:rPr>
        <w:t>2、报价评分</w:t>
      </w:r>
      <w:r>
        <w:rPr>
          <w:rFonts w:hint="eastAsia" w:ascii="宋体" w:hAnsi="宋体" w:cs="宋体"/>
          <w:b/>
          <w:color w:val="000000" w:themeColor="text1"/>
          <w:kern w:val="0"/>
          <w:szCs w:val="22"/>
          <w14:textFill>
            <w14:solidFill>
              <w14:schemeClr w14:val="tx1"/>
            </w14:solidFill>
          </w14:textFill>
        </w:rPr>
        <w:t>（</w:t>
      </w:r>
      <w:r>
        <w:rPr>
          <w:rFonts w:hint="eastAsia" w:ascii="宋体" w:hAnsi="宋体" w:cs="宋体"/>
          <w:b/>
          <w:color w:val="000000" w:themeColor="text1"/>
          <w:kern w:val="0"/>
          <w:szCs w:val="22"/>
          <w:lang w:val="en-US" w:eastAsia="zh-CN"/>
          <w14:textFill>
            <w14:solidFill>
              <w14:schemeClr w14:val="tx1"/>
            </w14:solidFill>
          </w14:textFill>
        </w:rPr>
        <w:t>20</w:t>
      </w:r>
      <w:r>
        <w:rPr>
          <w:rFonts w:hint="eastAsia" w:ascii="宋体" w:hAnsi="宋体" w:cs="宋体"/>
          <w:b/>
          <w:color w:val="000000" w:themeColor="text1"/>
          <w:kern w:val="0"/>
          <w:szCs w:val="22"/>
          <w14:textFill>
            <w14:solidFill>
              <w14:schemeClr w14:val="tx1"/>
            </w14:solidFill>
          </w14:textFill>
        </w:rPr>
        <w:t>分）</w:t>
      </w:r>
    </w:p>
    <w:p w14:paraId="02387E45">
      <w:pPr>
        <w:autoSpaceDE w:val="0"/>
        <w:autoSpaceDN w:val="0"/>
        <w:adjustRightInd w:val="0"/>
        <w:spacing w:line="420" w:lineRule="exact"/>
        <w:ind w:firstLine="440" w:firstLineChars="200"/>
        <w:jc w:val="left"/>
        <w:rPr>
          <w:rFonts w:ascii="宋体" w:hAnsi="宋体"/>
        </w:rPr>
      </w:pPr>
      <w:r>
        <w:rPr>
          <w:rFonts w:hint="eastAsia" w:ascii="宋体" w:hAnsi="宋体"/>
        </w:rPr>
        <w:t>2.1、投标价格的合理性：分析投标价格是否合理，投标价格范围是否完整，有否重大错漏项。投标价格分计算方法：满足《招标文件》要求且投标价格最低的有效投标报价为评标基准价，其价格分为</w:t>
      </w:r>
      <w:r>
        <w:rPr>
          <w:rFonts w:hint="eastAsia" w:ascii="宋体" w:hAnsi="宋体"/>
          <w:lang w:val="en-US" w:eastAsia="zh-CN"/>
        </w:rPr>
        <w:t>20</w:t>
      </w:r>
      <w:r>
        <w:rPr>
          <w:rFonts w:hint="eastAsia" w:ascii="宋体" w:hAnsi="宋体"/>
        </w:rPr>
        <w:t>分（即价格权值为</w:t>
      </w:r>
      <w:r>
        <w:rPr>
          <w:rFonts w:hint="eastAsia" w:ascii="宋体" w:hAnsi="宋体"/>
          <w:lang w:val="en-US" w:eastAsia="zh-CN"/>
        </w:rPr>
        <w:t>20</w:t>
      </w:r>
      <w:r>
        <w:rPr>
          <w:rFonts w:ascii="宋体" w:hAnsi="宋体"/>
        </w:rPr>
        <w:t>%</w:t>
      </w:r>
      <w:r>
        <w:rPr>
          <w:rFonts w:hint="eastAsia" w:ascii="宋体" w:hAnsi="宋体"/>
        </w:rPr>
        <w:t>）。其他投标供应商的价格分统一按照下列公式计算（精确到小数点后二位）：投标报价得分</w:t>
      </w:r>
      <w:r>
        <w:rPr>
          <w:rFonts w:ascii="宋体" w:hAnsi="宋体"/>
        </w:rPr>
        <w:t>=</w:t>
      </w:r>
      <w:r>
        <w:rPr>
          <w:rFonts w:hint="eastAsia" w:ascii="宋体" w:hAnsi="宋体"/>
        </w:rPr>
        <w:t>（评标基准价／投标报价）</w:t>
      </w:r>
      <w:r>
        <w:rPr>
          <w:rFonts w:ascii="宋体" w:hAnsi="宋体"/>
        </w:rPr>
        <w:t>×</w:t>
      </w:r>
      <w:r>
        <w:rPr>
          <w:rFonts w:hint="eastAsia" w:ascii="宋体" w:hAnsi="宋体"/>
          <w:lang w:val="en-US" w:eastAsia="zh-CN"/>
        </w:rPr>
        <w:t>2</w:t>
      </w:r>
      <w:r>
        <w:rPr>
          <w:rFonts w:ascii="宋体" w:hAnsi="宋体"/>
        </w:rPr>
        <w:t>0%×100</w:t>
      </w:r>
      <w:r>
        <w:rPr>
          <w:rFonts w:hint="eastAsia" w:ascii="宋体" w:hAnsi="宋体"/>
        </w:rPr>
        <w:t>。</w:t>
      </w:r>
    </w:p>
    <w:p w14:paraId="0DF7F37B">
      <w:pPr>
        <w:pStyle w:val="20"/>
        <w:spacing w:line="420" w:lineRule="exact"/>
        <w:ind w:firstLine="440" w:firstLineChars="200"/>
        <w:rPr>
          <w:rFonts w:hAnsi="宋体" w:cs="宋体"/>
          <w:b/>
        </w:rPr>
      </w:pPr>
      <w:r>
        <w:rPr>
          <w:rFonts w:hint="eastAsia" w:hAnsi="宋体"/>
        </w:rPr>
        <w:t>2.2、</w:t>
      </w:r>
      <w:r>
        <w:rPr>
          <w:rFonts w:hint="eastAsia" w:hAnsi="宋体"/>
          <w:b/>
          <w:szCs w:val="21"/>
        </w:rPr>
        <w:t>本项目专门面向小型、微型企业采购，不再执行价格评审优惠的扶持政策。</w:t>
      </w:r>
    </w:p>
    <w:p w14:paraId="7C4467BA">
      <w:pPr>
        <w:spacing w:line="420" w:lineRule="exact"/>
      </w:pPr>
      <w:r>
        <w:rPr>
          <w:rFonts w:hint="eastAsia"/>
        </w:rPr>
        <w:t xml:space="preserve">    2.3、评标委员会认为供应商的报价明显低于其他通过符合性审查供应商的报价，有可能影响产品质量或服务质量或者不能诚信履约的，将要求其在评标现场合理的时间内提供书面说明，必要时提交相关证明材料；供应商不能证明其报价合理性的，将会作为无效投标处理。</w:t>
      </w:r>
    </w:p>
    <w:p w14:paraId="04CCAD7F">
      <w:pPr>
        <w:spacing w:line="420" w:lineRule="exact"/>
        <w:rPr>
          <w:rFonts w:ascii="宋体" w:hAnsi="宋体" w:cs="宋体"/>
          <w:b/>
          <w:kern w:val="0"/>
          <w:szCs w:val="22"/>
        </w:rPr>
      </w:pPr>
    </w:p>
    <w:p w14:paraId="674C5009">
      <w:pPr>
        <w:spacing w:line="420" w:lineRule="exact"/>
        <w:rPr>
          <w:rFonts w:ascii="宋体" w:hAnsi="宋体" w:cs="宋体"/>
          <w:b/>
          <w:kern w:val="0"/>
          <w:szCs w:val="22"/>
        </w:rPr>
      </w:pPr>
      <w:r>
        <w:rPr>
          <w:rFonts w:hint="eastAsia" w:ascii="宋体" w:hAnsi="宋体" w:cs="宋体"/>
          <w:b/>
          <w:kern w:val="0"/>
          <w:szCs w:val="22"/>
        </w:rPr>
        <w:t>3、说明</w:t>
      </w:r>
    </w:p>
    <w:p w14:paraId="75A74EA5">
      <w:pPr>
        <w:spacing w:line="420" w:lineRule="exact"/>
      </w:pPr>
      <w:r>
        <w:rPr>
          <w:rFonts w:hint="eastAsia"/>
        </w:rPr>
        <w:t xml:space="preserve">    3.1、每个供应商最终得分=资信技术部分分值（所有评标委员会成员打分的算术平均值）＋商务报价部分分值。</w:t>
      </w:r>
    </w:p>
    <w:p w14:paraId="2E8106EE">
      <w:pPr>
        <w:spacing w:line="420" w:lineRule="exact"/>
      </w:pPr>
      <w:r>
        <w:rPr>
          <w:rFonts w:hint="eastAsia"/>
        </w:rPr>
        <w:t xml:space="preserve">    3.2、评标委员会推荐得分最高的供应商为预中标供应商（如果得分相同则按报价从低到高顺序依次推荐为预中标供应商）；如果得分相同，以报价低的优先；报价也相同，以抽签决定，并编写采购报告。</w:t>
      </w:r>
    </w:p>
    <w:p w14:paraId="26F39D06">
      <w:pPr>
        <w:spacing w:line="420" w:lineRule="exact"/>
      </w:pPr>
      <w:r>
        <w:rPr>
          <w:rFonts w:hint="eastAsia"/>
        </w:rPr>
        <w:t>3、所有分值计算保留小数点后二位，小数点后三位四舍五入。</w:t>
      </w:r>
    </w:p>
    <w:p w14:paraId="6ADBAA5F">
      <w:pPr>
        <w:spacing w:line="420" w:lineRule="exact"/>
      </w:pPr>
      <w:r>
        <w:rPr>
          <w:rFonts w:hint="eastAsia"/>
        </w:rPr>
        <w:t>4、评标过程中遇到特殊情况，由评标委员会遵循公平、公正原则，采取投票方式按照少数服从多数原则决定。</w:t>
      </w:r>
    </w:p>
    <w:p w14:paraId="0823EB63">
      <w:pPr>
        <w:spacing w:line="420" w:lineRule="exact"/>
      </w:pPr>
      <w:r>
        <w:rPr>
          <w:rFonts w:hint="eastAsia"/>
        </w:rPr>
        <w:t>参见本采购文件第三部分：“供应商须知” 中的相关内容，未尽事宜按有关法律规定处理。</w:t>
      </w:r>
    </w:p>
    <w:sectPr>
      <w:pgSz w:w="11906" w:h="16838"/>
      <w:pgMar w:top="1191" w:right="1191" w:bottom="119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4BE0">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73E6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CC12">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76D91">
                          <w:pPr>
                            <w:pStyle w:val="2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C76D91">
                    <w:pPr>
                      <w:pStyle w:val="2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E94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0C02"/>
    <w:multiLevelType w:val="singleLevel"/>
    <w:tmpl w:val="82BA0C02"/>
    <w:lvl w:ilvl="0" w:tentative="0">
      <w:start w:val="2"/>
      <w:numFmt w:val="decimal"/>
      <w:suff w:val="nothing"/>
      <w:lvlText w:val="%1、"/>
      <w:lvlJc w:val="left"/>
    </w:lvl>
  </w:abstractNum>
  <w:abstractNum w:abstractNumId="1">
    <w:nsid w:val="BFB1BF95"/>
    <w:multiLevelType w:val="singleLevel"/>
    <w:tmpl w:val="BFB1BF95"/>
    <w:lvl w:ilvl="0" w:tentative="0">
      <w:start w:val="2"/>
      <w:numFmt w:val="chineseCounting"/>
      <w:suff w:val="nothing"/>
      <w:lvlText w:val="%1、"/>
      <w:lvlJc w:val="left"/>
      <w:rPr>
        <w:rFonts w:hint="eastAsia"/>
      </w:rPr>
    </w:lvl>
  </w:abstractNum>
  <w:abstractNum w:abstractNumId="2">
    <w:nsid w:val="D807007E"/>
    <w:multiLevelType w:val="singleLevel"/>
    <w:tmpl w:val="D807007E"/>
    <w:lvl w:ilvl="0" w:tentative="0">
      <w:start w:val="2"/>
      <w:numFmt w:val="chineseCounting"/>
      <w:suff w:val="space"/>
      <w:lvlText w:val="第%1部分"/>
      <w:lvlJc w:val="left"/>
      <w:rPr>
        <w:rFonts w:hint="eastAsia"/>
      </w:rPr>
    </w:lvl>
  </w:abstractNum>
  <w:abstractNum w:abstractNumId="3">
    <w:nsid w:val="D9BB0673"/>
    <w:multiLevelType w:val="singleLevel"/>
    <w:tmpl w:val="D9BB0673"/>
    <w:lvl w:ilvl="0" w:tentative="0">
      <w:start w:val="1"/>
      <w:numFmt w:val="bullet"/>
      <w:lvlText w:val=""/>
      <w:lvlJc w:val="left"/>
      <w:pPr>
        <w:ind w:left="420" w:hanging="420"/>
      </w:pPr>
      <w:rPr>
        <w:rFonts w:hint="default" w:ascii="Wingdings" w:hAnsi="Wingdings"/>
      </w:rPr>
    </w:lvl>
  </w:abstractNum>
  <w:abstractNum w:abstractNumId="4">
    <w:nsid w:val="E008DAE0"/>
    <w:multiLevelType w:val="singleLevel"/>
    <w:tmpl w:val="E008DAE0"/>
    <w:lvl w:ilvl="0" w:tentative="0">
      <w:start w:val="5"/>
      <w:numFmt w:val="chineseCounting"/>
      <w:suff w:val="nothing"/>
      <w:lvlText w:val="%1、"/>
      <w:lvlJc w:val="left"/>
      <w:rPr>
        <w:rFonts w:hint="eastAsia"/>
      </w:rPr>
    </w:lvl>
  </w:abstractNum>
  <w:abstractNum w:abstractNumId="5">
    <w:nsid w:val="17BD99DB"/>
    <w:multiLevelType w:val="singleLevel"/>
    <w:tmpl w:val="17BD99DB"/>
    <w:lvl w:ilvl="0" w:tentative="0">
      <w:start w:val="11"/>
      <w:numFmt w:val="chineseCounting"/>
      <w:suff w:val="nothing"/>
      <w:lvlText w:val="%1、"/>
      <w:lvlJc w:val="left"/>
      <w:rPr>
        <w:rFonts w:hint="eastAsia"/>
      </w:rPr>
    </w:lvl>
  </w:abstractNum>
  <w:abstractNum w:abstractNumId="6">
    <w:nsid w:val="1F3FB859"/>
    <w:multiLevelType w:val="singleLevel"/>
    <w:tmpl w:val="1F3FB859"/>
    <w:lvl w:ilvl="0" w:tentative="0">
      <w:start w:val="1"/>
      <w:numFmt w:val="decimal"/>
      <w:suff w:val="nothing"/>
      <w:lvlText w:val="（%1）"/>
      <w:lvlJc w:val="left"/>
    </w:lvl>
  </w:abstractNum>
  <w:abstractNum w:abstractNumId="7">
    <w:nsid w:val="46E1C02E"/>
    <w:multiLevelType w:val="singleLevel"/>
    <w:tmpl w:val="46E1C02E"/>
    <w:lvl w:ilvl="0" w:tentative="0">
      <w:start w:val="4"/>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DBA98A"/>
    <w:multiLevelType w:val="multilevel"/>
    <w:tmpl w:val="5BDBA98A"/>
    <w:lvl w:ilvl="0" w:tentative="0">
      <w:start w:val="0"/>
      <w:numFmt w:val="none"/>
      <w:lvlText w:val=""/>
      <w:lvlJc w:val="left"/>
      <w:pPr>
        <w:tabs>
          <w:tab w:val="left" w:pos="360"/>
        </w:tabs>
      </w:pPr>
    </w:lvl>
    <w:lvl w:ilvl="1" w:tentative="0">
      <w:start w:val="0"/>
      <w:numFmt w:val="decimal"/>
      <w:lvlText w:val=""/>
      <w:lvlJc w:val="left"/>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lvlText w:val=""/>
      <w:lvlJc w:val="left"/>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decimal"/>
      <w:lvlText w:val="%65536D"/>
      <w:lvlJc w:val="left"/>
    </w:lvl>
    <w:lvl w:ilvl="8" w:tentative="0">
      <w:start w:val="0"/>
      <w:numFmt w:val="decimal"/>
      <w:lvlText w:val=""/>
      <w:lvlJc w:val="left"/>
    </w:lvl>
  </w:abstractNum>
  <w:abstractNum w:abstractNumId="11">
    <w:nsid w:val="5BDBA9C3"/>
    <w:multiLevelType w:val="multilevel"/>
    <w:tmpl w:val="5BDBA9C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B1E0B80"/>
    <w:multiLevelType w:val="singleLevel"/>
    <w:tmpl w:val="6B1E0B80"/>
    <w:lvl w:ilvl="0" w:tentative="0">
      <w:start w:val="2"/>
      <w:numFmt w:val="chineseCounting"/>
      <w:suff w:val="nothing"/>
      <w:lvlText w:val="（%1）"/>
      <w:lvlJc w:val="left"/>
      <w:rPr>
        <w:rFonts w:hint="eastAsia"/>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12"/>
  </w:num>
  <w:num w:numId="9">
    <w:abstractNumId w:val="11"/>
  </w:num>
  <w:num w:numId="10">
    <w:abstractNumId w:val="1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EE"/>
    <w:rsid w:val="000001DB"/>
    <w:rsid w:val="000012DB"/>
    <w:rsid w:val="00001F65"/>
    <w:rsid w:val="0000318A"/>
    <w:rsid w:val="000038B0"/>
    <w:rsid w:val="00003A81"/>
    <w:rsid w:val="000044E1"/>
    <w:rsid w:val="00013722"/>
    <w:rsid w:val="0001383E"/>
    <w:rsid w:val="0001393F"/>
    <w:rsid w:val="00021FF7"/>
    <w:rsid w:val="00045001"/>
    <w:rsid w:val="0005216E"/>
    <w:rsid w:val="000536C0"/>
    <w:rsid w:val="00054138"/>
    <w:rsid w:val="00055FF9"/>
    <w:rsid w:val="00061294"/>
    <w:rsid w:val="00062480"/>
    <w:rsid w:val="00064384"/>
    <w:rsid w:val="00065B68"/>
    <w:rsid w:val="00065EDC"/>
    <w:rsid w:val="00066EA5"/>
    <w:rsid w:val="0007012A"/>
    <w:rsid w:val="000745B1"/>
    <w:rsid w:val="00080C03"/>
    <w:rsid w:val="00081B3D"/>
    <w:rsid w:val="000825B9"/>
    <w:rsid w:val="00084BD6"/>
    <w:rsid w:val="00084D68"/>
    <w:rsid w:val="00085327"/>
    <w:rsid w:val="0008779A"/>
    <w:rsid w:val="00096BC6"/>
    <w:rsid w:val="000A24E2"/>
    <w:rsid w:val="000B3C7D"/>
    <w:rsid w:val="000C0C74"/>
    <w:rsid w:val="000C373D"/>
    <w:rsid w:val="000C388E"/>
    <w:rsid w:val="000D6AB7"/>
    <w:rsid w:val="000F308D"/>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6B81"/>
    <w:rsid w:val="00127446"/>
    <w:rsid w:val="00132038"/>
    <w:rsid w:val="001379BC"/>
    <w:rsid w:val="0014230D"/>
    <w:rsid w:val="0014393F"/>
    <w:rsid w:val="00144213"/>
    <w:rsid w:val="00145D07"/>
    <w:rsid w:val="00147FED"/>
    <w:rsid w:val="0015083C"/>
    <w:rsid w:val="001529AB"/>
    <w:rsid w:val="00156259"/>
    <w:rsid w:val="00156685"/>
    <w:rsid w:val="00157605"/>
    <w:rsid w:val="001605B3"/>
    <w:rsid w:val="00162F5F"/>
    <w:rsid w:val="001632A9"/>
    <w:rsid w:val="0016666F"/>
    <w:rsid w:val="00167422"/>
    <w:rsid w:val="00175963"/>
    <w:rsid w:val="00180A75"/>
    <w:rsid w:val="00184761"/>
    <w:rsid w:val="0018729E"/>
    <w:rsid w:val="001905DF"/>
    <w:rsid w:val="00192FD4"/>
    <w:rsid w:val="00197336"/>
    <w:rsid w:val="00197578"/>
    <w:rsid w:val="001A2AB6"/>
    <w:rsid w:val="001B19C0"/>
    <w:rsid w:val="001B37A5"/>
    <w:rsid w:val="001B4517"/>
    <w:rsid w:val="001C1111"/>
    <w:rsid w:val="001C3B7D"/>
    <w:rsid w:val="001C429C"/>
    <w:rsid w:val="001C5484"/>
    <w:rsid w:val="001D03EB"/>
    <w:rsid w:val="001D6640"/>
    <w:rsid w:val="001D7122"/>
    <w:rsid w:val="001E0F98"/>
    <w:rsid w:val="001E439B"/>
    <w:rsid w:val="001E4713"/>
    <w:rsid w:val="001F5B8A"/>
    <w:rsid w:val="002003D1"/>
    <w:rsid w:val="00205A36"/>
    <w:rsid w:val="00212EC8"/>
    <w:rsid w:val="0021454A"/>
    <w:rsid w:val="0021595B"/>
    <w:rsid w:val="002171FB"/>
    <w:rsid w:val="0022484F"/>
    <w:rsid w:val="00230A22"/>
    <w:rsid w:val="00233DD1"/>
    <w:rsid w:val="00234DB3"/>
    <w:rsid w:val="002362BB"/>
    <w:rsid w:val="00241F7B"/>
    <w:rsid w:val="00242971"/>
    <w:rsid w:val="00242AB4"/>
    <w:rsid w:val="00244D2D"/>
    <w:rsid w:val="00245133"/>
    <w:rsid w:val="002475D2"/>
    <w:rsid w:val="00253A36"/>
    <w:rsid w:val="00254616"/>
    <w:rsid w:val="00254BDE"/>
    <w:rsid w:val="00257669"/>
    <w:rsid w:val="00260451"/>
    <w:rsid w:val="002629EC"/>
    <w:rsid w:val="00263336"/>
    <w:rsid w:val="0026568A"/>
    <w:rsid w:val="0026662D"/>
    <w:rsid w:val="0027082F"/>
    <w:rsid w:val="00273CEF"/>
    <w:rsid w:val="002746F0"/>
    <w:rsid w:val="00275D53"/>
    <w:rsid w:val="002818B9"/>
    <w:rsid w:val="00282035"/>
    <w:rsid w:val="00284D8E"/>
    <w:rsid w:val="00284E37"/>
    <w:rsid w:val="00286AAC"/>
    <w:rsid w:val="00290C67"/>
    <w:rsid w:val="00292ABA"/>
    <w:rsid w:val="0029765C"/>
    <w:rsid w:val="002A38B7"/>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40F9"/>
    <w:rsid w:val="002D4D4B"/>
    <w:rsid w:val="002E2BB7"/>
    <w:rsid w:val="002E6001"/>
    <w:rsid w:val="002E6698"/>
    <w:rsid w:val="002E687A"/>
    <w:rsid w:val="002E75B3"/>
    <w:rsid w:val="002E782B"/>
    <w:rsid w:val="002F178A"/>
    <w:rsid w:val="002F3408"/>
    <w:rsid w:val="002F4252"/>
    <w:rsid w:val="002F6631"/>
    <w:rsid w:val="00301E99"/>
    <w:rsid w:val="0030208F"/>
    <w:rsid w:val="003039AA"/>
    <w:rsid w:val="003054BA"/>
    <w:rsid w:val="003079FE"/>
    <w:rsid w:val="003110DA"/>
    <w:rsid w:val="00311DFE"/>
    <w:rsid w:val="00313AD5"/>
    <w:rsid w:val="00315763"/>
    <w:rsid w:val="00316D5C"/>
    <w:rsid w:val="00317270"/>
    <w:rsid w:val="00320719"/>
    <w:rsid w:val="003219C5"/>
    <w:rsid w:val="00325CBE"/>
    <w:rsid w:val="00326D7B"/>
    <w:rsid w:val="00327255"/>
    <w:rsid w:val="003306B8"/>
    <w:rsid w:val="00332B34"/>
    <w:rsid w:val="00333352"/>
    <w:rsid w:val="003345D6"/>
    <w:rsid w:val="003368EE"/>
    <w:rsid w:val="00337A29"/>
    <w:rsid w:val="00343B49"/>
    <w:rsid w:val="00343E7B"/>
    <w:rsid w:val="00345DBB"/>
    <w:rsid w:val="00354560"/>
    <w:rsid w:val="003560E0"/>
    <w:rsid w:val="00361451"/>
    <w:rsid w:val="003668E4"/>
    <w:rsid w:val="0037053F"/>
    <w:rsid w:val="00383AF8"/>
    <w:rsid w:val="00384ECA"/>
    <w:rsid w:val="00385B73"/>
    <w:rsid w:val="003916B3"/>
    <w:rsid w:val="00392D77"/>
    <w:rsid w:val="00393EF4"/>
    <w:rsid w:val="00394716"/>
    <w:rsid w:val="003A17C1"/>
    <w:rsid w:val="003A1B62"/>
    <w:rsid w:val="003A1F54"/>
    <w:rsid w:val="003A7410"/>
    <w:rsid w:val="003B0BDE"/>
    <w:rsid w:val="003B300D"/>
    <w:rsid w:val="003B5027"/>
    <w:rsid w:val="003B67A4"/>
    <w:rsid w:val="003B6E32"/>
    <w:rsid w:val="003C2F21"/>
    <w:rsid w:val="003C5F94"/>
    <w:rsid w:val="003C6885"/>
    <w:rsid w:val="003C7F78"/>
    <w:rsid w:val="003D0D5B"/>
    <w:rsid w:val="003E0188"/>
    <w:rsid w:val="003E3178"/>
    <w:rsid w:val="003E343F"/>
    <w:rsid w:val="003E4453"/>
    <w:rsid w:val="003E67E1"/>
    <w:rsid w:val="003F0911"/>
    <w:rsid w:val="003F1AFB"/>
    <w:rsid w:val="003F68D4"/>
    <w:rsid w:val="003F6ADD"/>
    <w:rsid w:val="003F7161"/>
    <w:rsid w:val="003F73E7"/>
    <w:rsid w:val="00401C39"/>
    <w:rsid w:val="004037B3"/>
    <w:rsid w:val="00403EA5"/>
    <w:rsid w:val="004049B5"/>
    <w:rsid w:val="00405E38"/>
    <w:rsid w:val="0041072A"/>
    <w:rsid w:val="0041146F"/>
    <w:rsid w:val="004165FC"/>
    <w:rsid w:val="0041691B"/>
    <w:rsid w:val="00420B05"/>
    <w:rsid w:val="004227FC"/>
    <w:rsid w:val="004252AC"/>
    <w:rsid w:val="00425302"/>
    <w:rsid w:val="0042755D"/>
    <w:rsid w:val="00427902"/>
    <w:rsid w:val="00432070"/>
    <w:rsid w:val="0043478F"/>
    <w:rsid w:val="004353C2"/>
    <w:rsid w:val="004431B7"/>
    <w:rsid w:val="00445CEF"/>
    <w:rsid w:val="00446D8A"/>
    <w:rsid w:val="00447740"/>
    <w:rsid w:val="00450BA4"/>
    <w:rsid w:val="004524D7"/>
    <w:rsid w:val="00457075"/>
    <w:rsid w:val="00462CD2"/>
    <w:rsid w:val="004642C8"/>
    <w:rsid w:val="00465681"/>
    <w:rsid w:val="00465FC0"/>
    <w:rsid w:val="004707EE"/>
    <w:rsid w:val="00473FCB"/>
    <w:rsid w:val="004744EC"/>
    <w:rsid w:val="004753DA"/>
    <w:rsid w:val="0047649F"/>
    <w:rsid w:val="00476AB2"/>
    <w:rsid w:val="004858E6"/>
    <w:rsid w:val="00490A42"/>
    <w:rsid w:val="00490DB5"/>
    <w:rsid w:val="00492ADD"/>
    <w:rsid w:val="00494767"/>
    <w:rsid w:val="00497207"/>
    <w:rsid w:val="00497990"/>
    <w:rsid w:val="004A1E6E"/>
    <w:rsid w:val="004A3535"/>
    <w:rsid w:val="004A5250"/>
    <w:rsid w:val="004A6344"/>
    <w:rsid w:val="004A66FC"/>
    <w:rsid w:val="004B1998"/>
    <w:rsid w:val="004B49EE"/>
    <w:rsid w:val="004B71B7"/>
    <w:rsid w:val="004C0704"/>
    <w:rsid w:val="004C2D82"/>
    <w:rsid w:val="004C3238"/>
    <w:rsid w:val="004D1E8D"/>
    <w:rsid w:val="004D220C"/>
    <w:rsid w:val="004D35B8"/>
    <w:rsid w:val="004D4FB9"/>
    <w:rsid w:val="004D637D"/>
    <w:rsid w:val="004D6D27"/>
    <w:rsid w:val="004E08F3"/>
    <w:rsid w:val="004E3E96"/>
    <w:rsid w:val="004E7610"/>
    <w:rsid w:val="004F255F"/>
    <w:rsid w:val="004F3A46"/>
    <w:rsid w:val="004F453E"/>
    <w:rsid w:val="004F60D1"/>
    <w:rsid w:val="004F7EC8"/>
    <w:rsid w:val="0050005D"/>
    <w:rsid w:val="00510685"/>
    <w:rsid w:val="00515660"/>
    <w:rsid w:val="00516024"/>
    <w:rsid w:val="00531A3D"/>
    <w:rsid w:val="00535660"/>
    <w:rsid w:val="005414A5"/>
    <w:rsid w:val="005425D3"/>
    <w:rsid w:val="00547959"/>
    <w:rsid w:val="00547A1A"/>
    <w:rsid w:val="005507A4"/>
    <w:rsid w:val="005535ED"/>
    <w:rsid w:val="0055474A"/>
    <w:rsid w:val="00566A88"/>
    <w:rsid w:val="00567BA4"/>
    <w:rsid w:val="005725E9"/>
    <w:rsid w:val="00574AEF"/>
    <w:rsid w:val="005846CD"/>
    <w:rsid w:val="0059592D"/>
    <w:rsid w:val="005B4A1A"/>
    <w:rsid w:val="005B58BB"/>
    <w:rsid w:val="005C6BCC"/>
    <w:rsid w:val="005C6DAF"/>
    <w:rsid w:val="005C7BD8"/>
    <w:rsid w:val="005D18E9"/>
    <w:rsid w:val="005E0465"/>
    <w:rsid w:val="005E1BF9"/>
    <w:rsid w:val="005E1D0A"/>
    <w:rsid w:val="005E45E2"/>
    <w:rsid w:val="005E67C5"/>
    <w:rsid w:val="005F2CDE"/>
    <w:rsid w:val="005F4001"/>
    <w:rsid w:val="005F4887"/>
    <w:rsid w:val="005F561B"/>
    <w:rsid w:val="005F6AA0"/>
    <w:rsid w:val="0060032D"/>
    <w:rsid w:val="006041BD"/>
    <w:rsid w:val="006051CB"/>
    <w:rsid w:val="00607DEC"/>
    <w:rsid w:val="00612012"/>
    <w:rsid w:val="00614621"/>
    <w:rsid w:val="006200C0"/>
    <w:rsid w:val="006237E5"/>
    <w:rsid w:val="00633C2B"/>
    <w:rsid w:val="00633E55"/>
    <w:rsid w:val="00635C95"/>
    <w:rsid w:val="00637400"/>
    <w:rsid w:val="00640608"/>
    <w:rsid w:val="006428F1"/>
    <w:rsid w:val="00655592"/>
    <w:rsid w:val="0066122B"/>
    <w:rsid w:val="00661AD6"/>
    <w:rsid w:val="00667760"/>
    <w:rsid w:val="00673E94"/>
    <w:rsid w:val="00675676"/>
    <w:rsid w:val="0068415B"/>
    <w:rsid w:val="00684623"/>
    <w:rsid w:val="00684E07"/>
    <w:rsid w:val="00685FA1"/>
    <w:rsid w:val="006A005F"/>
    <w:rsid w:val="006A26AE"/>
    <w:rsid w:val="006A45E8"/>
    <w:rsid w:val="006A6593"/>
    <w:rsid w:val="006A6669"/>
    <w:rsid w:val="006B1850"/>
    <w:rsid w:val="006B2FDF"/>
    <w:rsid w:val="006B3BD4"/>
    <w:rsid w:val="006B7A80"/>
    <w:rsid w:val="006C1B54"/>
    <w:rsid w:val="006C545F"/>
    <w:rsid w:val="006D20CB"/>
    <w:rsid w:val="006D4AC5"/>
    <w:rsid w:val="006D54AA"/>
    <w:rsid w:val="006D5F3C"/>
    <w:rsid w:val="006D6D4E"/>
    <w:rsid w:val="006E017D"/>
    <w:rsid w:val="006E308C"/>
    <w:rsid w:val="006E43BB"/>
    <w:rsid w:val="006E7813"/>
    <w:rsid w:val="006F0317"/>
    <w:rsid w:val="006F4FA7"/>
    <w:rsid w:val="00701A7E"/>
    <w:rsid w:val="00704905"/>
    <w:rsid w:val="0071389F"/>
    <w:rsid w:val="007147F9"/>
    <w:rsid w:val="007155EC"/>
    <w:rsid w:val="00723469"/>
    <w:rsid w:val="007237BD"/>
    <w:rsid w:val="0072502E"/>
    <w:rsid w:val="007331E0"/>
    <w:rsid w:val="00734693"/>
    <w:rsid w:val="00740CFE"/>
    <w:rsid w:val="00741475"/>
    <w:rsid w:val="007435E0"/>
    <w:rsid w:val="0074696D"/>
    <w:rsid w:val="007518E4"/>
    <w:rsid w:val="00754816"/>
    <w:rsid w:val="0075554D"/>
    <w:rsid w:val="00755D55"/>
    <w:rsid w:val="00757882"/>
    <w:rsid w:val="00781FB8"/>
    <w:rsid w:val="0079067F"/>
    <w:rsid w:val="00794610"/>
    <w:rsid w:val="00796AF2"/>
    <w:rsid w:val="007A347A"/>
    <w:rsid w:val="007A3978"/>
    <w:rsid w:val="007A59E7"/>
    <w:rsid w:val="007B3EFC"/>
    <w:rsid w:val="007B4252"/>
    <w:rsid w:val="007B5F7A"/>
    <w:rsid w:val="007C4CE3"/>
    <w:rsid w:val="007C5921"/>
    <w:rsid w:val="007C6CA6"/>
    <w:rsid w:val="007C6DDC"/>
    <w:rsid w:val="007E379B"/>
    <w:rsid w:val="007E547F"/>
    <w:rsid w:val="007E7B27"/>
    <w:rsid w:val="007F018A"/>
    <w:rsid w:val="007F0563"/>
    <w:rsid w:val="007F142B"/>
    <w:rsid w:val="007F5FE7"/>
    <w:rsid w:val="008023BD"/>
    <w:rsid w:val="00804E56"/>
    <w:rsid w:val="00814A00"/>
    <w:rsid w:val="00820DE6"/>
    <w:rsid w:val="0082184F"/>
    <w:rsid w:val="008219D3"/>
    <w:rsid w:val="0082300E"/>
    <w:rsid w:val="00823D18"/>
    <w:rsid w:val="0082541D"/>
    <w:rsid w:val="0084476F"/>
    <w:rsid w:val="00844E52"/>
    <w:rsid w:val="00846A0C"/>
    <w:rsid w:val="00851098"/>
    <w:rsid w:val="00851E41"/>
    <w:rsid w:val="00852BA3"/>
    <w:rsid w:val="0085372D"/>
    <w:rsid w:val="00864452"/>
    <w:rsid w:val="00865276"/>
    <w:rsid w:val="0086782A"/>
    <w:rsid w:val="00867C2F"/>
    <w:rsid w:val="008705DF"/>
    <w:rsid w:val="008743E1"/>
    <w:rsid w:val="0088331A"/>
    <w:rsid w:val="00884138"/>
    <w:rsid w:val="00886562"/>
    <w:rsid w:val="0089084E"/>
    <w:rsid w:val="0089094D"/>
    <w:rsid w:val="00891E9E"/>
    <w:rsid w:val="00897AF9"/>
    <w:rsid w:val="008A0318"/>
    <w:rsid w:val="008A4FCC"/>
    <w:rsid w:val="008A506C"/>
    <w:rsid w:val="008A5222"/>
    <w:rsid w:val="008A5F78"/>
    <w:rsid w:val="008A6461"/>
    <w:rsid w:val="008A6E0F"/>
    <w:rsid w:val="008B134C"/>
    <w:rsid w:val="008B28C5"/>
    <w:rsid w:val="008B7BBA"/>
    <w:rsid w:val="008C21DC"/>
    <w:rsid w:val="008C2519"/>
    <w:rsid w:val="008C427F"/>
    <w:rsid w:val="008C5262"/>
    <w:rsid w:val="008D22DD"/>
    <w:rsid w:val="008D51D9"/>
    <w:rsid w:val="008E0808"/>
    <w:rsid w:val="008E08DB"/>
    <w:rsid w:val="008E09A9"/>
    <w:rsid w:val="008E0E51"/>
    <w:rsid w:val="008E10BC"/>
    <w:rsid w:val="008E2626"/>
    <w:rsid w:val="008E60BB"/>
    <w:rsid w:val="008F00EC"/>
    <w:rsid w:val="008F0C1C"/>
    <w:rsid w:val="008F103F"/>
    <w:rsid w:val="008F6FD9"/>
    <w:rsid w:val="0090136C"/>
    <w:rsid w:val="00905A9C"/>
    <w:rsid w:val="00906E0B"/>
    <w:rsid w:val="009100F8"/>
    <w:rsid w:val="00913A7A"/>
    <w:rsid w:val="00916DF3"/>
    <w:rsid w:val="00926E58"/>
    <w:rsid w:val="00932F2B"/>
    <w:rsid w:val="0094161D"/>
    <w:rsid w:val="00945CB2"/>
    <w:rsid w:val="0094624C"/>
    <w:rsid w:val="00946956"/>
    <w:rsid w:val="00951C97"/>
    <w:rsid w:val="0095286A"/>
    <w:rsid w:val="009536A1"/>
    <w:rsid w:val="00955B4A"/>
    <w:rsid w:val="00957213"/>
    <w:rsid w:val="009578FE"/>
    <w:rsid w:val="0096095C"/>
    <w:rsid w:val="00961369"/>
    <w:rsid w:val="00964F79"/>
    <w:rsid w:val="00971171"/>
    <w:rsid w:val="00972423"/>
    <w:rsid w:val="0097407B"/>
    <w:rsid w:val="00975C1B"/>
    <w:rsid w:val="0097626D"/>
    <w:rsid w:val="00981843"/>
    <w:rsid w:val="0098533B"/>
    <w:rsid w:val="00987FBE"/>
    <w:rsid w:val="00994CF1"/>
    <w:rsid w:val="009A0895"/>
    <w:rsid w:val="009A721E"/>
    <w:rsid w:val="009A76E9"/>
    <w:rsid w:val="009B32DA"/>
    <w:rsid w:val="009B3DC1"/>
    <w:rsid w:val="009B68EB"/>
    <w:rsid w:val="009B758E"/>
    <w:rsid w:val="009C1621"/>
    <w:rsid w:val="009C5D4C"/>
    <w:rsid w:val="009D53A5"/>
    <w:rsid w:val="009D71EC"/>
    <w:rsid w:val="009E2681"/>
    <w:rsid w:val="009E382B"/>
    <w:rsid w:val="009E534B"/>
    <w:rsid w:val="009E69BD"/>
    <w:rsid w:val="009E6B89"/>
    <w:rsid w:val="009F0F15"/>
    <w:rsid w:val="009F114D"/>
    <w:rsid w:val="009F1C79"/>
    <w:rsid w:val="009F2E4B"/>
    <w:rsid w:val="00A04D9B"/>
    <w:rsid w:val="00A0576F"/>
    <w:rsid w:val="00A1149B"/>
    <w:rsid w:val="00A209FF"/>
    <w:rsid w:val="00A2677E"/>
    <w:rsid w:val="00A273D4"/>
    <w:rsid w:val="00A31B08"/>
    <w:rsid w:val="00A31F35"/>
    <w:rsid w:val="00A43B08"/>
    <w:rsid w:val="00A45010"/>
    <w:rsid w:val="00A47264"/>
    <w:rsid w:val="00A47EEE"/>
    <w:rsid w:val="00A506AC"/>
    <w:rsid w:val="00A53722"/>
    <w:rsid w:val="00A62B67"/>
    <w:rsid w:val="00A711FB"/>
    <w:rsid w:val="00A733A7"/>
    <w:rsid w:val="00A73EFE"/>
    <w:rsid w:val="00A73F7D"/>
    <w:rsid w:val="00A80FB6"/>
    <w:rsid w:val="00A82525"/>
    <w:rsid w:val="00A84804"/>
    <w:rsid w:val="00A855E7"/>
    <w:rsid w:val="00A9139D"/>
    <w:rsid w:val="00A9195B"/>
    <w:rsid w:val="00A925F1"/>
    <w:rsid w:val="00A93481"/>
    <w:rsid w:val="00A95085"/>
    <w:rsid w:val="00AA3F13"/>
    <w:rsid w:val="00AA6991"/>
    <w:rsid w:val="00AB2CD3"/>
    <w:rsid w:val="00AB3D8D"/>
    <w:rsid w:val="00AB5396"/>
    <w:rsid w:val="00AB56C3"/>
    <w:rsid w:val="00AC2C23"/>
    <w:rsid w:val="00AC4A1B"/>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1AF"/>
    <w:rsid w:val="00B365D3"/>
    <w:rsid w:val="00B37865"/>
    <w:rsid w:val="00B40F7B"/>
    <w:rsid w:val="00B41971"/>
    <w:rsid w:val="00B42C07"/>
    <w:rsid w:val="00B45FC4"/>
    <w:rsid w:val="00B470A9"/>
    <w:rsid w:val="00B55A9F"/>
    <w:rsid w:val="00B56432"/>
    <w:rsid w:val="00B56696"/>
    <w:rsid w:val="00B66920"/>
    <w:rsid w:val="00B66CD9"/>
    <w:rsid w:val="00B727A4"/>
    <w:rsid w:val="00B7287D"/>
    <w:rsid w:val="00B73030"/>
    <w:rsid w:val="00B73707"/>
    <w:rsid w:val="00B742AD"/>
    <w:rsid w:val="00B747F6"/>
    <w:rsid w:val="00B76444"/>
    <w:rsid w:val="00B87FF8"/>
    <w:rsid w:val="00B93BD9"/>
    <w:rsid w:val="00B948BE"/>
    <w:rsid w:val="00B960F5"/>
    <w:rsid w:val="00BA59AB"/>
    <w:rsid w:val="00BB0D50"/>
    <w:rsid w:val="00BB2401"/>
    <w:rsid w:val="00BB6882"/>
    <w:rsid w:val="00BB6E54"/>
    <w:rsid w:val="00BC16CD"/>
    <w:rsid w:val="00BC47D9"/>
    <w:rsid w:val="00BC4868"/>
    <w:rsid w:val="00BC5688"/>
    <w:rsid w:val="00BC7766"/>
    <w:rsid w:val="00BD1941"/>
    <w:rsid w:val="00BD1B35"/>
    <w:rsid w:val="00BD2E4C"/>
    <w:rsid w:val="00BD689A"/>
    <w:rsid w:val="00BD71BC"/>
    <w:rsid w:val="00BE0BA8"/>
    <w:rsid w:val="00BF1ADE"/>
    <w:rsid w:val="00BF1CFF"/>
    <w:rsid w:val="00BF30FE"/>
    <w:rsid w:val="00BF41AD"/>
    <w:rsid w:val="00BF5D0D"/>
    <w:rsid w:val="00BF7702"/>
    <w:rsid w:val="00C0394C"/>
    <w:rsid w:val="00C06B67"/>
    <w:rsid w:val="00C076C9"/>
    <w:rsid w:val="00C1081B"/>
    <w:rsid w:val="00C116F4"/>
    <w:rsid w:val="00C11A58"/>
    <w:rsid w:val="00C13033"/>
    <w:rsid w:val="00C15623"/>
    <w:rsid w:val="00C15B52"/>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0D96"/>
    <w:rsid w:val="00C50E9A"/>
    <w:rsid w:val="00C5311B"/>
    <w:rsid w:val="00C55672"/>
    <w:rsid w:val="00C57CF5"/>
    <w:rsid w:val="00C60709"/>
    <w:rsid w:val="00C6154E"/>
    <w:rsid w:val="00C64215"/>
    <w:rsid w:val="00C659ED"/>
    <w:rsid w:val="00C65FFB"/>
    <w:rsid w:val="00C72078"/>
    <w:rsid w:val="00C751EE"/>
    <w:rsid w:val="00C75E5F"/>
    <w:rsid w:val="00C7799C"/>
    <w:rsid w:val="00C84A59"/>
    <w:rsid w:val="00C84E19"/>
    <w:rsid w:val="00C90A2C"/>
    <w:rsid w:val="00C93802"/>
    <w:rsid w:val="00C96227"/>
    <w:rsid w:val="00C96CFC"/>
    <w:rsid w:val="00C97416"/>
    <w:rsid w:val="00CA39A1"/>
    <w:rsid w:val="00CA4EE8"/>
    <w:rsid w:val="00CA53D4"/>
    <w:rsid w:val="00CA63BF"/>
    <w:rsid w:val="00CB0DDD"/>
    <w:rsid w:val="00CB7751"/>
    <w:rsid w:val="00CC1FDE"/>
    <w:rsid w:val="00CC47F0"/>
    <w:rsid w:val="00CC50F7"/>
    <w:rsid w:val="00CD09D3"/>
    <w:rsid w:val="00CD12DF"/>
    <w:rsid w:val="00CD4A19"/>
    <w:rsid w:val="00CE2D60"/>
    <w:rsid w:val="00CE2EEA"/>
    <w:rsid w:val="00CE455E"/>
    <w:rsid w:val="00CF5503"/>
    <w:rsid w:val="00CF7F8F"/>
    <w:rsid w:val="00D02224"/>
    <w:rsid w:val="00D0392F"/>
    <w:rsid w:val="00D04E40"/>
    <w:rsid w:val="00D06F9E"/>
    <w:rsid w:val="00D124E1"/>
    <w:rsid w:val="00D12D82"/>
    <w:rsid w:val="00D131A8"/>
    <w:rsid w:val="00D2133F"/>
    <w:rsid w:val="00D21B35"/>
    <w:rsid w:val="00D273D6"/>
    <w:rsid w:val="00D315B2"/>
    <w:rsid w:val="00D347A3"/>
    <w:rsid w:val="00D34D8F"/>
    <w:rsid w:val="00D356CD"/>
    <w:rsid w:val="00D357FF"/>
    <w:rsid w:val="00D360E7"/>
    <w:rsid w:val="00D40A49"/>
    <w:rsid w:val="00D40D69"/>
    <w:rsid w:val="00D427FF"/>
    <w:rsid w:val="00D461B0"/>
    <w:rsid w:val="00D4634B"/>
    <w:rsid w:val="00D47F80"/>
    <w:rsid w:val="00D54B39"/>
    <w:rsid w:val="00D54F8C"/>
    <w:rsid w:val="00D5573E"/>
    <w:rsid w:val="00D5622D"/>
    <w:rsid w:val="00D56343"/>
    <w:rsid w:val="00D60B1D"/>
    <w:rsid w:val="00D60C9C"/>
    <w:rsid w:val="00D626B7"/>
    <w:rsid w:val="00D6760B"/>
    <w:rsid w:val="00D7471E"/>
    <w:rsid w:val="00D75C82"/>
    <w:rsid w:val="00D76841"/>
    <w:rsid w:val="00D773DE"/>
    <w:rsid w:val="00D773F7"/>
    <w:rsid w:val="00D92ADD"/>
    <w:rsid w:val="00D95DF1"/>
    <w:rsid w:val="00D9711E"/>
    <w:rsid w:val="00DA0AF8"/>
    <w:rsid w:val="00DA0C90"/>
    <w:rsid w:val="00DA2B5D"/>
    <w:rsid w:val="00DA766F"/>
    <w:rsid w:val="00DB21FA"/>
    <w:rsid w:val="00DB4609"/>
    <w:rsid w:val="00DB6898"/>
    <w:rsid w:val="00DB690B"/>
    <w:rsid w:val="00DC0549"/>
    <w:rsid w:val="00DC0F4E"/>
    <w:rsid w:val="00DC159B"/>
    <w:rsid w:val="00DC3195"/>
    <w:rsid w:val="00DC3BD5"/>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EA8"/>
    <w:rsid w:val="00E06901"/>
    <w:rsid w:val="00E221EB"/>
    <w:rsid w:val="00E22DCE"/>
    <w:rsid w:val="00E257E9"/>
    <w:rsid w:val="00E34CB9"/>
    <w:rsid w:val="00E35DDA"/>
    <w:rsid w:val="00E3733F"/>
    <w:rsid w:val="00E3763D"/>
    <w:rsid w:val="00E37FA6"/>
    <w:rsid w:val="00E413AA"/>
    <w:rsid w:val="00E44125"/>
    <w:rsid w:val="00E47388"/>
    <w:rsid w:val="00E54474"/>
    <w:rsid w:val="00E54A82"/>
    <w:rsid w:val="00E55D2A"/>
    <w:rsid w:val="00E55E60"/>
    <w:rsid w:val="00E62467"/>
    <w:rsid w:val="00E62FA7"/>
    <w:rsid w:val="00E63042"/>
    <w:rsid w:val="00E63D41"/>
    <w:rsid w:val="00E64512"/>
    <w:rsid w:val="00E65366"/>
    <w:rsid w:val="00E76951"/>
    <w:rsid w:val="00E77846"/>
    <w:rsid w:val="00E77F17"/>
    <w:rsid w:val="00E850A4"/>
    <w:rsid w:val="00E92BA1"/>
    <w:rsid w:val="00E94F27"/>
    <w:rsid w:val="00E95347"/>
    <w:rsid w:val="00E97384"/>
    <w:rsid w:val="00EA34B2"/>
    <w:rsid w:val="00EA45EE"/>
    <w:rsid w:val="00EA4BD5"/>
    <w:rsid w:val="00EB1E78"/>
    <w:rsid w:val="00EB47B8"/>
    <w:rsid w:val="00EC1864"/>
    <w:rsid w:val="00ED2F54"/>
    <w:rsid w:val="00ED6110"/>
    <w:rsid w:val="00EE26F6"/>
    <w:rsid w:val="00EE484D"/>
    <w:rsid w:val="00EE6949"/>
    <w:rsid w:val="00EF29A9"/>
    <w:rsid w:val="00EF4ECD"/>
    <w:rsid w:val="00F0240C"/>
    <w:rsid w:val="00F03E27"/>
    <w:rsid w:val="00F06C0A"/>
    <w:rsid w:val="00F12576"/>
    <w:rsid w:val="00F15FE9"/>
    <w:rsid w:val="00F17C99"/>
    <w:rsid w:val="00F22EFA"/>
    <w:rsid w:val="00F25666"/>
    <w:rsid w:val="00F2742C"/>
    <w:rsid w:val="00F3345D"/>
    <w:rsid w:val="00F35323"/>
    <w:rsid w:val="00F50EB2"/>
    <w:rsid w:val="00F51B3D"/>
    <w:rsid w:val="00F55A53"/>
    <w:rsid w:val="00F57C3D"/>
    <w:rsid w:val="00F60D10"/>
    <w:rsid w:val="00F6103B"/>
    <w:rsid w:val="00F61C7A"/>
    <w:rsid w:val="00F673B4"/>
    <w:rsid w:val="00F67EA6"/>
    <w:rsid w:val="00F70E9B"/>
    <w:rsid w:val="00F73E9E"/>
    <w:rsid w:val="00F752ED"/>
    <w:rsid w:val="00F770DA"/>
    <w:rsid w:val="00F80059"/>
    <w:rsid w:val="00F816CD"/>
    <w:rsid w:val="00F82378"/>
    <w:rsid w:val="00F84290"/>
    <w:rsid w:val="00F87248"/>
    <w:rsid w:val="00F90AC9"/>
    <w:rsid w:val="00F9307B"/>
    <w:rsid w:val="00F961C6"/>
    <w:rsid w:val="00FA104A"/>
    <w:rsid w:val="00FA1AF1"/>
    <w:rsid w:val="00FA1B6B"/>
    <w:rsid w:val="00FA6C5E"/>
    <w:rsid w:val="00FB1C44"/>
    <w:rsid w:val="00FB1E0A"/>
    <w:rsid w:val="00FB6A3D"/>
    <w:rsid w:val="00FB6D18"/>
    <w:rsid w:val="00FC0BF0"/>
    <w:rsid w:val="00FC1360"/>
    <w:rsid w:val="00FC22BF"/>
    <w:rsid w:val="00FC2D41"/>
    <w:rsid w:val="00FC5749"/>
    <w:rsid w:val="00FD1AB7"/>
    <w:rsid w:val="00FD2D45"/>
    <w:rsid w:val="00FD2E08"/>
    <w:rsid w:val="00FE4042"/>
    <w:rsid w:val="00FE60FB"/>
    <w:rsid w:val="00FE704A"/>
    <w:rsid w:val="00FE7F66"/>
    <w:rsid w:val="00FF07CE"/>
    <w:rsid w:val="00FF0C88"/>
    <w:rsid w:val="00FF103D"/>
    <w:rsid w:val="00FF64D6"/>
    <w:rsid w:val="00FF783D"/>
    <w:rsid w:val="014D3B43"/>
    <w:rsid w:val="06113EC5"/>
    <w:rsid w:val="06DF2215"/>
    <w:rsid w:val="07634BF4"/>
    <w:rsid w:val="07E74A05"/>
    <w:rsid w:val="0870581B"/>
    <w:rsid w:val="092E2FE0"/>
    <w:rsid w:val="0A041232"/>
    <w:rsid w:val="0B1A3357"/>
    <w:rsid w:val="0D1019D5"/>
    <w:rsid w:val="0F1D7D7F"/>
    <w:rsid w:val="0F307AB2"/>
    <w:rsid w:val="11641C95"/>
    <w:rsid w:val="11A16A45"/>
    <w:rsid w:val="11CB0ABE"/>
    <w:rsid w:val="142D2812"/>
    <w:rsid w:val="17DB07D7"/>
    <w:rsid w:val="18864849"/>
    <w:rsid w:val="1A4C776A"/>
    <w:rsid w:val="1AD734D7"/>
    <w:rsid w:val="1C9B0535"/>
    <w:rsid w:val="1E161E6D"/>
    <w:rsid w:val="20120B0E"/>
    <w:rsid w:val="207A74F6"/>
    <w:rsid w:val="22AE0FC2"/>
    <w:rsid w:val="23FC3FAF"/>
    <w:rsid w:val="2449417A"/>
    <w:rsid w:val="24D2593E"/>
    <w:rsid w:val="25DD1A71"/>
    <w:rsid w:val="26E01966"/>
    <w:rsid w:val="27702CEA"/>
    <w:rsid w:val="281751BE"/>
    <w:rsid w:val="29F00112"/>
    <w:rsid w:val="2BFD3EF3"/>
    <w:rsid w:val="2CAD4FB1"/>
    <w:rsid w:val="2DD41AF8"/>
    <w:rsid w:val="307373A7"/>
    <w:rsid w:val="36A55028"/>
    <w:rsid w:val="3905309B"/>
    <w:rsid w:val="3CC341D6"/>
    <w:rsid w:val="410B71F0"/>
    <w:rsid w:val="439D4A0F"/>
    <w:rsid w:val="442C7152"/>
    <w:rsid w:val="468123C6"/>
    <w:rsid w:val="498D72D3"/>
    <w:rsid w:val="49B20AE8"/>
    <w:rsid w:val="4E76287F"/>
    <w:rsid w:val="551E34D6"/>
    <w:rsid w:val="5AFD6421"/>
    <w:rsid w:val="5DA12EF6"/>
    <w:rsid w:val="5EFC6633"/>
    <w:rsid w:val="5F0C4705"/>
    <w:rsid w:val="60C03070"/>
    <w:rsid w:val="613A1697"/>
    <w:rsid w:val="626B0816"/>
    <w:rsid w:val="62A236E4"/>
    <w:rsid w:val="634B328C"/>
    <w:rsid w:val="67C41CBB"/>
    <w:rsid w:val="67FB3202"/>
    <w:rsid w:val="68A651CB"/>
    <w:rsid w:val="6A6652AB"/>
    <w:rsid w:val="6F6D12D7"/>
    <w:rsid w:val="713428AF"/>
    <w:rsid w:val="71540D6E"/>
    <w:rsid w:val="71BB412E"/>
    <w:rsid w:val="7288382F"/>
    <w:rsid w:val="72A70371"/>
    <w:rsid w:val="78540E39"/>
    <w:rsid w:val="78D83818"/>
    <w:rsid w:val="7A432F13"/>
    <w:rsid w:val="7A984DC2"/>
    <w:rsid w:val="7EA8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2"/>
      <w:szCs w:val="20"/>
      <w:lang w:val="en-US" w:eastAsia="zh-CN" w:bidi="ar-SA"/>
    </w:rPr>
  </w:style>
  <w:style w:type="paragraph" w:styleId="5">
    <w:name w:val="heading 1"/>
    <w:basedOn w:val="1"/>
    <w:next w:val="1"/>
    <w:link w:val="44"/>
    <w:qFormat/>
    <w:uiPriority w:val="0"/>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6">
    <w:name w:val="heading 2"/>
    <w:basedOn w:val="1"/>
    <w:next w:val="1"/>
    <w:link w:val="45"/>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7">
    <w:name w:val="heading 3"/>
    <w:basedOn w:val="1"/>
    <w:next w:val="1"/>
    <w:link w:val="54"/>
    <w:unhideWhenUsed/>
    <w:qFormat/>
    <w:uiPriority w:val="0"/>
    <w:pPr>
      <w:keepNext/>
      <w:keepLines/>
      <w:spacing w:before="120" w:after="120" w:line="360" w:lineRule="auto"/>
      <w:outlineLvl w:val="2"/>
    </w:pPr>
    <w:rPr>
      <w:b/>
      <w:bCs/>
      <w:sz w:val="24"/>
      <w:szCs w:val="32"/>
    </w:rPr>
  </w:style>
  <w:style w:type="paragraph" w:styleId="8">
    <w:name w:val="heading 4"/>
    <w:basedOn w:val="1"/>
    <w:next w:val="9"/>
    <w:link w:val="60"/>
    <w:qFormat/>
    <w:uiPriority w:val="0"/>
    <w:pPr>
      <w:keepNext/>
      <w:keepLines/>
      <w:tabs>
        <w:tab w:val="left" w:pos="864"/>
      </w:tabs>
      <w:spacing w:before="120" w:after="120" w:line="360" w:lineRule="auto"/>
      <w:outlineLvl w:val="3"/>
    </w:pPr>
    <w:rPr>
      <w:rFonts w:ascii="Arial" w:hAnsi="Arial" w:eastAsia="黑体"/>
      <w:sz w:val="24"/>
    </w:rPr>
  </w:style>
  <w:style w:type="paragraph" w:styleId="10">
    <w:name w:val="heading 5"/>
    <w:basedOn w:val="1"/>
    <w:next w:val="9"/>
    <w:link w:val="61"/>
    <w:qFormat/>
    <w:uiPriority w:val="9"/>
    <w:pPr>
      <w:keepNext/>
      <w:keepLines/>
      <w:tabs>
        <w:tab w:val="left" w:pos="1008"/>
      </w:tabs>
      <w:spacing w:before="120" w:after="120" w:line="360" w:lineRule="auto"/>
      <w:outlineLvl w:val="4"/>
    </w:pPr>
    <w:rPr>
      <w:rFonts w:ascii="Calibri" w:hAnsi="Calibri"/>
      <w:i/>
      <w:sz w:val="24"/>
    </w:rPr>
  </w:style>
  <w:style w:type="paragraph" w:styleId="11">
    <w:name w:val="heading 6"/>
    <w:basedOn w:val="1"/>
    <w:next w:val="9"/>
    <w:link w:val="62"/>
    <w:qFormat/>
    <w:uiPriority w:val="9"/>
    <w:pPr>
      <w:keepNext/>
      <w:keepLines/>
      <w:tabs>
        <w:tab w:val="left" w:pos="1152"/>
      </w:tabs>
      <w:spacing w:before="240" w:after="64" w:line="319" w:lineRule="auto"/>
      <w:outlineLvl w:val="5"/>
    </w:pPr>
    <w:rPr>
      <w:rFonts w:ascii="Arial" w:hAnsi="Arial" w:eastAsia="黑体"/>
      <w:b/>
      <w:sz w:val="24"/>
    </w:rPr>
  </w:style>
  <w:style w:type="paragraph" w:styleId="12">
    <w:name w:val="heading 7"/>
    <w:basedOn w:val="1"/>
    <w:next w:val="9"/>
    <w:link w:val="63"/>
    <w:qFormat/>
    <w:uiPriority w:val="0"/>
    <w:pPr>
      <w:keepNext/>
      <w:keepLines/>
      <w:tabs>
        <w:tab w:val="left" w:pos="1296"/>
      </w:tabs>
      <w:spacing w:before="240" w:after="64" w:line="319" w:lineRule="auto"/>
      <w:outlineLvl w:val="6"/>
    </w:pPr>
    <w:rPr>
      <w:rFonts w:ascii="Calibri" w:hAnsi="Calibri"/>
      <w:b/>
      <w:sz w:val="24"/>
    </w:rPr>
  </w:style>
  <w:style w:type="paragraph" w:styleId="13">
    <w:name w:val="heading 8"/>
    <w:basedOn w:val="1"/>
    <w:next w:val="9"/>
    <w:link w:val="64"/>
    <w:qFormat/>
    <w:uiPriority w:val="0"/>
    <w:pPr>
      <w:keepNext/>
      <w:keepLines/>
      <w:tabs>
        <w:tab w:val="left" w:pos="1440"/>
      </w:tabs>
      <w:spacing w:before="240" w:after="64" w:line="319" w:lineRule="auto"/>
      <w:outlineLvl w:val="7"/>
    </w:pPr>
    <w:rPr>
      <w:rFonts w:ascii="Arial" w:hAnsi="Arial" w:eastAsia="黑体"/>
      <w:sz w:val="24"/>
    </w:rPr>
  </w:style>
  <w:style w:type="paragraph" w:styleId="14">
    <w:name w:val="heading 9"/>
    <w:basedOn w:val="1"/>
    <w:next w:val="9"/>
    <w:link w:val="65"/>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unhideWhenUsed/>
    <w:qFormat/>
    <w:uiPriority w:val="99"/>
    <w:pPr>
      <w:spacing w:after="120"/>
    </w:pPr>
  </w:style>
  <w:style w:type="paragraph" w:styleId="3">
    <w:name w:val="Body Text First Indent"/>
    <w:basedOn w:val="2"/>
    <w:next w:val="4"/>
    <w:link w:val="55"/>
    <w:unhideWhenUsed/>
    <w:qFormat/>
    <w:uiPriority w:val="0"/>
    <w:pPr>
      <w:ind w:firstLine="420" w:firstLineChars="100"/>
    </w:pPr>
  </w:style>
  <w:style w:type="paragraph" w:styleId="4">
    <w:name w:val="toc 6"/>
    <w:basedOn w:val="1"/>
    <w:next w:val="1"/>
    <w:autoRedefine/>
    <w:unhideWhenUsed/>
    <w:qFormat/>
    <w:uiPriority w:val="0"/>
    <w:pPr>
      <w:ind w:left="2100" w:leftChars="1000"/>
    </w:pPr>
  </w:style>
  <w:style w:type="paragraph" w:styleId="9">
    <w:name w:val="Normal Indent"/>
    <w:basedOn w:val="1"/>
    <w:link w:val="76"/>
    <w:unhideWhenUsed/>
    <w:qFormat/>
    <w:uiPriority w:val="0"/>
    <w:pPr>
      <w:ind w:firstLine="420" w:firstLineChars="200"/>
    </w:pPr>
    <w:rPr>
      <w:rFonts w:asciiTheme="minorHAnsi" w:hAnsiTheme="minorHAnsi" w:eastAsiaTheme="minorEastAsia" w:cstheme="minorBidi"/>
      <w:szCs w:val="22"/>
    </w:rPr>
  </w:style>
  <w:style w:type="paragraph" w:styleId="15">
    <w:name w:val="caption"/>
    <w:basedOn w:val="1"/>
    <w:next w:val="1"/>
    <w:qFormat/>
    <w:uiPriority w:val="0"/>
    <w:pPr>
      <w:widowControl/>
      <w:spacing w:before="120" w:after="120"/>
      <w:jc w:val="left"/>
    </w:pPr>
    <w:rPr>
      <w:rFonts w:ascii="Calibri" w:hAnsi="Calibri"/>
      <w:b/>
      <w:bCs/>
      <w:kern w:val="0"/>
      <w:sz w:val="20"/>
    </w:rPr>
  </w:style>
  <w:style w:type="paragraph" w:styleId="16">
    <w:name w:val="Document Map"/>
    <w:basedOn w:val="1"/>
    <w:link w:val="77"/>
    <w:unhideWhenUsed/>
    <w:qFormat/>
    <w:uiPriority w:val="99"/>
    <w:pPr>
      <w:widowControl/>
      <w:adjustRightInd w:val="0"/>
      <w:snapToGrid w:val="0"/>
      <w:spacing w:after="200"/>
      <w:jc w:val="left"/>
    </w:pPr>
    <w:rPr>
      <w:rFonts w:ascii="宋体" w:hAnsi="Tahoma" w:eastAsiaTheme="minorEastAsia" w:cstheme="minorBidi"/>
      <w:sz w:val="18"/>
      <w:szCs w:val="18"/>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92"/>
    <w:unhideWhenUsed/>
    <w:qFormat/>
    <w:uiPriority w:val="0"/>
    <w:pPr>
      <w:widowControl/>
      <w:adjustRightInd w:val="0"/>
      <w:snapToGrid w:val="0"/>
      <w:spacing w:after="200"/>
      <w:jc w:val="left"/>
    </w:pPr>
    <w:rPr>
      <w:rFonts w:ascii="Tahoma" w:hAnsi="Tahoma" w:eastAsia="微软雅黑"/>
      <w:kern w:val="0"/>
      <w:szCs w:val="22"/>
    </w:rPr>
  </w:style>
  <w:style w:type="paragraph" w:styleId="19">
    <w:name w:val="Body Text Indent"/>
    <w:basedOn w:val="1"/>
    <w:next w:val="1"/>
    <w:link w:val="57"/>
    <w:unhideWhenUsed/>
    <w:qFormat/>
    <w:uiPriority w:val="99"/>
    <w:pPr>
      <w:spacing w:after="120"/>
      <w:ind w:left="420" w:leftChars="200"/>
    </w:pPr>
    <w:rPr>
      <w:rFonts w:asciiTheme="minorHAnsi" w:hAnsiTheme="minorHAnsi" w:eastAsiaTheme="minorEastAsia" w:cstheme="minorBidi"/>
      <w:szCs w:val="22"/>
    </w:rPr>
  </w:style>
  <w:style w:type="paragraph" w:styleId="20">
    <w:name w:val="Plain Text"/>
    <w:basedOn w:val="1"/>
    <w:next w:val="21"/>
    <w:link w:val="56"/>
    <w:qFormat/>
    <w:uiPriority w:val="0"/>
    <w:rPr>
      <w:rFonts w:ascii="宋体" w:hAnsi="Courier New" w:eastAsiaTheme="minorEastAsia" w:cstheme="minorBidi"/>
      <w:szCs w:val="22"/>
    </w:rPr>
  </w:style>
  <w:style w:type="paragraph" w:styleId="21">
    <w:name w:val="toc 2"/>
    <w:basedOn w:val="1"/>
    <w:next w:val="1"/>
    <w:autoRedefine/>
    <w:semiHidden/>
    <w:unhideWhenUsed/>
    <w:qFormat/>
    <w:uiPriority w:val="0"/>
    <w:pPr>
      <w:ind w:left="420" w:leftChars="200"/>
    </w:pPr>
  </w:style>
  <w:style w:type="paragraph" w:styleId="22">
    <w:name w:val="Date"/>
    <w:basedOn w:val="1"/>
    <w:next w:val="1"/>
    <w:link w:val="48"/>
    <w:qFormat/>
    <w:uiPriority w:val="0"/>
    <w:pPr>
      <w:ind w:left="100" w:leftChars="2500"/>
    </w:pPr>
    <w:rPr>
      <w:rFonts w:asciiTheme="minorHAnsi" w:hAnsiTheme="minorHAnsi" w:eastAsiaTheme="minorEastAsia" w:cstheme="minorBidi"/>
      <w:color w:val="000000"/>
      <w:sz w:val="24"/>
      <w:szCs w:val="24"/>
    </w:rPr>
  </w:style>
  <w:style w:type="paragraph" w:styleId="23">
    <w:name w:val="Body Text Indent 2"/>
    <w:basedOn w:val="1"/>
    <w:link w:val="66"/>
    <w:qFormat/>
    <w:uiPriority w:val="0"/>
    <w:pPr>
      <w:spacing w:after="120" w:line="480" w:lineRule="auto"/>
      <w:ind w:left="420" w:leftChars="200"/>
    </w:pPr>
    <w:rPr>
      <w:rFonts w:asciiTheme="minorHAnsi" w:hAnsiTheme="minorHAnsi" w:eastAsiaTheme="minorEastAsia" w:cstheme="minorBidi"/>
      <w:szCs w:val="22"/>
    </w:rPr>
  </w:style>
  <w:style w:type="paragraph" w:styleId="24">
    <w:name w:val="Balloon Text"/>
    <w:basedOn w:val="1"/>
    <w:link w:val="51"/>
    <w:semiHidden/>
    <w:unhideWhenUsed/>
    <w:qFormat/>
    <w:uiPriority w:val="0"/>
    <w:rPr>
      <w:sz w:val="18"/>
      <w:szCs w:val="18"/>
    </w:rPr>
  </w:style>
  <w:style w:type="paragraph" w:styleId="25">
    <w:name w:val="footer"/>
    <w:basedOn w:val="1"/>
    <w:link w:val="43"/>
    <w:unhideWhenUsed/>
    <w:qFormat/>
    <w:uiPriority w:val="99"/>
    <w:pPr>
      <w:tabs>
        <w:tab w:val="center" w:pos="4153"/>
        <w:tab w:val="right" w:pos="8306"/>
      </w:tabs>
      <w:snapToGrid w:val="0"/>
      <w:jc w:val="left"/>
    </w:pPr>
    <w:rPr>
      <w:sz w:val="18"/>
      <w:szCs w:val="18"/>
    </w:rPr>
  </w:style>
  <w:style w:type="paragraph" w:styleId="2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spacing w:before="120" w:after="120"/>
      <w:jc w:val="left"/>
    </w:pPr>
    <w:rPr>
      <w:b/>
      <w:bCs/>
      <w:caps/>
      <w:sz w:val="20"/>
    </w:rPr>
  </w:style>
  <w:style w:type="paragraph" w:styleId="28">
    <w:name w:val="Subtitle"/>
    <w:basedOn w:val="1"/>
    <w:next w:val="1"/>
    <w:link w:val="74"/>
    <w:qFormat/>
    <w:uiPriority w:val="11"/>
    <w:pPr>
      <w:widowControl/>
      <w:adjustRightInd w:val="0"/>
      <w:snapToGrid w:val="0"/>
      <w:spacing w:before="240" w:after="60" w:line="312" w:lineRule="auto"/>
      <w:jc w:val="center"/>
      <w:outlineLvl w:val="1"/>
    </w:pPr>
    <w:rPr>
      <w:rFonts w:ascii="Cambria" w:hAnsi="Cambria" w:eastAsiaTheme="minorEastAsia" w:cstheme="minorBidi"/>
      <w:b/>
      <w:bCs/>
      <w:kern w:val="28"/>
      <w:sz w:val="32"/>
      <w:szCs w:val="32"/>
    </w:rPr>
  </w:style>
  <w:style w:type="paragraph" w:styleId="29">
    <w:name w:val="Body Text Indent 3"/>
    <w:basedOn w:val="1"/>
    <w:link w:val="46"/>
    <w:qFormat/>
    <w:uiPriority w:val="0"/>
    <w:pPr>
      <w:autoSpaceDE w:val="0"/>
      <w:autoSpaceDN w:val="0"/>
      <w:spacing w:line="400" w:lineRule="atLeast"/>
      <w:ind w:firstLine="443" w:firstLineChars="200"/>
      <w:textAlignment w:val="bottom"/>
    </w:pPr>
    <w:rPr>
      <w:rFonts w:eastAsia="黑体" w:asciiTheme="minorHAnsi" w:hAnsiTheme="minorHAnsi" w:cstheme="minorBidi"/>
      <w:color w:val="000000"/>
      <w:sz w:val="24"/>
      <w:szCs w:val="22"/>
    </w:rPr>
  </w:style>
  <w:style w:type="paragraph" w:styleId="30">
    <w:name w:val="Normal (Web)"/>
    <w:basedOn w:val="1"/>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1">
    <w:name w:val="Title"/>
    <w:basedOn w:val="1"/>
    <w:next w:val="1"/>
    <w:link w:val="50"/>
    <w:qFormat/>
    <w:uiPriority w:val="10"/>
    <w:pPr>
      <w:spacing w:before="240" w:after="60"/>
      <w:jc w:val="center"/>
      <w:outlineLvl w:val="0"/>
    </w:pPr>
    <w:rPr>
      <w:rFonts w:asciiTheme="majorHAnsi" w:hAnsiTheme="majorHAnsi" w:cstheme="majorBidi"/>
      <w:b/>
      <w:bCs/>
      <w:sz w:val="32"/>
      <w:szCs w:val="32"/>
    </w:rPr>
  </w:style>
  <w:style w:type="table" w:styleId="33">
    <w:name w:val="Table Grid"/>
    <w:basedOn w:val="3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eastAsia="宋体"/>
      <w:b/>
      <w:bCs/>
      <w:kern w:val="2"/>
      <w:sz w:val="21"/>
      <w:szCs w:val="24"/>
      <w:lang w:val="en-US" w:eastAsia="zh-CN" w:bidi="ar-SA"/>
    </w:rPr>
  </w:style>
  <w:style w:type="character" w:styleId="36">
    <w:name w:val="page number"/>
    <w:basedOn w:val="34"/>
    <w:qFormat/>
    <w:uiPriority w:val="0"/>
    <w:rPr>
      <w:rFonts w:ascii="宋体" w:cs="Times New Roman"/>
      <w:sz w:val="18"/>
      <w:szCs w:val="18"/>
    </w:rPr>
  </w:style>
  <w:style w:type="character" w:styleId="37">
    <w:name w:val="FollowedHyperlink"/>
    <w:basedOn w:val="34"/>
    <w:unhideWhenUsed/>
    <w:qFormat/>
    <w:uiPriority w:val="99"/>
    <w:rPr>
      <w:rFonts w:ascii="宋体"/>
      <w:color w:val="333333"/>
      <w:sz w:val="18"/>
      <w:szCs w:val="18"/>
      <w:u w:val="none"/>
    </w:rPr>
  </w:style>
  <w:style w:type="character" w:styleId="38">
    <w:name w:val="Emphasis"/>
    <w:qFormat/>
    <w:uiPriority w:val="0"/>
    <w:rPr>
      <w:rFonts w:eastAsia="宋体"/>
      <w:kern w:val="2"/>
      <w:sz w:val="21"/>
      <w:szCs w:val="24"/>
      <w:lang w:val="en-US" w:eastAsia="zh-CN" w:bidi="ar-SA"/>
    </w:rPr>
  </w:style>
  <w:style w:type="character" w:styleId="39">
    <w:name w:val="Hyperlink"/>
    <w:basedOn w:val="34"/>
    <w:qFormat/>
    <w:uiPriority w:val="0"/>
    <w:rPr>
      <w:rFonts w:ascii="宋体"/>
      <w:color w:val="333333"/>
      <w:sz w:val="18"/>
      <w:szCs w:val="18"/>
      <w:u w:val="none"/>
    </w:rPr>
  </w:style>
  <w:style w:type="character" w:styleId="40">
    <w:name w:val="annotation reference"/>
    <w:unhideWhenUsed/>
    <w:qFormat/>
    <w:uiPriority w:val="0"/>
    <w:rPr>
      <w:sz w:val="21"/>
      <w:szCs w:val="21"/>
    </w:rPr>
  </w:style>
  <w:style w:type="character" w:styleId="41">
    <w:name w:val="HTML Sample"/>
    <w:basedOn w:val="34"/>
    <w:semiHidden/>
    <w:unhideWhenUsed/>
    <w:qFormat/>
    <w:uiPriority w:val="99"/>
    <w:rPr>
      <w:rFonts w:ascii="Courier New" w:hAnsi="Courier New"/>
    </w:rPr>
  </w:style>
  <w:style w:type="character" w:customStyle="1" w:styleId="42">
    <w:name w:val="页眉 字符"/>
    <w:basedOn w:val="34"/>
    <w:link w:val="26"/>
    <w:qFormat/>
    <w:uiPriority w:val="99"/>
    <w:rPr>
      <w:sz w:val="18"/>
      <w:szCs w:val="18"/>
    </w:rPr>
  </w:style>
  <w:style w:type="character" w:customStyle="1" w:styleId="43">
    <w:name w:val="页脚 字符"/>
    <w:basedOn w:val="34"/>
    <w:link w:val="25"/>
    <w:qFormat/>
    <w:uiPriority w:val="99"/>
    <w:rPr>
      <w:sz w:val="18"/>
      <w:szCs w:val="18"/>
    </w:rPr>
  </w:style>
  <w:style w:type="character" w:customStyle="1" w:styleId="44">
    <w:name w:val="标题 1 字符"/>
    <w:basedOn w:val="34"/>
    <w:link w:val="5"/>
    <w:qFormat/>
    <w:uiPriority w:val="0"/>
    <w:rPr>
      <w:rFonts w:ascii="黑体" w:hAnsi="Times New Roman" w:cs="Times New Roman" w:eastAsiaTheme="majorEastAsia"/>
      <w:b/>
      <w:spacing w:val="24"/>
      <w:kern w:val="44"/>
      <w:sz w:val="36"/>
      <w:szCs w:val="20"/>
    </w:rPr>
  </w:style>
  <w:style w:type="character" w:customStyle="1" w:styleId="45">
    <w:name w:val="标题 2 字符"/>
    <w:basedOn w:val="34"/>
    <w:link w:val="6"/>
    <w:qFormat/>
    <w:uiPriority w:val="0"/>
    <w:rPr>
      <w:rFonts w:ascii="Times New Roman" w:hAnsi="Times New Roman" w:eastAsia="黑体" w:cs="Times New Roman"/>
      <w:kern w:val="0"/>
      <w:sz w:val="30"/>
      <w:szCs w:val="20"/>
    </w:rPr>
  </w:style>
  <w:style w:type="character" w:customStyle="1" w:styleId="46">
    <w:name w:val="正文文本缩进 3 字符"/>
    <w:link w:val="29"/>
    <w:qFormat/>
    <w:uiPriority w:val="0"/>
    <w:rPr>
      <w:rFonts w:eastAsia="黑体"/>
      <w:color w:val="000000"/>
      <w:sz w:val="24"/>
    </w:rPr>
  </w:style>
  <w:style w:type="character" w:customStyle="1" w:styleId="47">
    <w:name w:val="正文文本缩进 3 Char1"/>
    <w:basedOn w:val="34"/>
    <w:semiHidden/>
    <w:qFormat/>
    <w:uiPriority w:val="99"/>
    <w:rPr>
      <w:rFonts w:ascii="Times New Roman" w:hAnsi="Times New Roman" w:eastAsia="宋体" w:cs="Times New Roman"/>
      <w:sz w:val="16"/>
      <w:szCs w:val="16"/>
    </w:rPr>
  </w:style>
  <w:style w:type="character" w:customStyle="1" w:styleId="48">
    <w:name w:val="日期 字符"/>
    <w:link w:val="22"/>
    <w:qFormat/>
    <w:uiPriority w:val="0"/>
    <w:rPr>
      <w:color w:val="000000"/>
      <w:sz w:val="24"/>
      <w:szCs w:val="24"/>
    </w:rPr>
  </w:style>
  <w:style w:type="character" w:customStyle="1" w:styleId="49">
    <w:name w:val="日期 Char1"/>
    <w:basedOn w:val="34"/>
    <w:semiHidden/>
    <w:qFormat/>
    <w:uiPriority w:val="99"/>
    <w:rPr>
      <w:rFonts w:ascii="Times New Roman" w:hAnsi="Times New Roman" w:eastAsia="宋体" w:cs="Times New Roman"/>
      <w:szCs w:val="20"/>
    </w:rPr>
  </w:style>
  <w:style w:type="character" w:customStyle="1" w:styleId="50">
    <w:name w:val="标题 字符"/>
    <w:basedOn w:val="34"/>
    <w:link w:val="31"/>
    <w:qFormat/>
    <w:uiPriority w:val="10"/>
    <w:rPr>
      <w:rFonts w:eastAsia="宋体" w:asciiTheme="majorHAnsi" w:hAnsiTheme="majorHAnsi" w:cstheme="majorBidi"/>
      <w:b/>
      <w:bCs/>
      <w:sz w:val="32"/>
      <w:szCs w:val="32"/>
    </w:rPr>
  </w:style>
  <w:style w:type="character" w:customStyle="1" w:styleId="51">
    <w:name w:val="批注框文本 字符"/>
    <w:basedOn w:val="34"/>
    <w:link w:val="24"/>
    <w:semiHidden/>
    <w:qFormat/>
    <w:uiPriority w:val="99"/>
    <w:rPr>
      <w:rFonts w:ascii="Times New Roman" w:hAnsi="Times New Roman" w:eastAsia="宋体" w:cs="Times New Roman"/>
      <w:sz w:val="18"/>
      <w:szCs w:val="18"/>
    </w:rPr>
  </w:style>
  <w:style w:type="paragraph" w:customStyle="1" w:styleId="52">
    <w:name w:val="表格文字"/>
    <w:basedOn w:val="20"/>
    <w:next w:val="2"/>
    <w:qFormat/>
    <w:uiPriority w:val="0"/>
    <w:pPr>
      <w:adjustRightInd w:val="0"/>
      <w:spacing w:line="420" w:lineRule="atLeast"/>
      <w:textAlignment w:val="baseline"/>
    </w:pPr>
    <w:rPr>
      <w:rFonts w:ascii="Calibri" w:hAnsi="Calibri"/>
      <w:szCs w:val="24"/>
    </w:rPr>
  </w:style>
  <w:style w:type="character" w:customStyle="1" w:styleId="53">
    <w:name w:val="正文文本 字符"/>
    <w:basedOn w:val="34"/>
    <w:link w:val="2"/>
    <w:semiHidden/>
    <w:qFormat/>
    <w:uiPriority w:val="99"/>
    <w:rPr>
      <w:rFonts w:ascii="Times New Roman" w:hAnsi="Times New Roman" w:eastAsia="宋体" w:cs="Times New Roman"/>
      <w:szCs w:val="20"/>
    </w:rPr>
  </w:style>
  <w:style w:type="character" w:customStyle="1" w:styleId="54">
    <w:name w:val="标题 3 字符"/>
    <w:basedOn w:val="34"/>
    <w:link w:val="7"/>
    <w:qFormat/>
    <w:uiPriority w:val="0"/>
    <w:rPr>
      <w:rFonts w:ascii="Times New Roman" w:hAnsi="Times New Roman" w:eastAsia="宋体" w:cs="Times New Roman"/>
      <w:b/>
      <w:bCs/>
      <w:sz w:val="24"/>
      <w:szCs w:val="32"/>
    </w:rPr>
  </w:style>
  <w:style w:type="character" w:customStyle="1" w:styleId="55">
    <w:name w:val="正文文本首行缩进 字符"/>
    <w:basedOn w:val="53"/>
    <w:link w:val="3"/>
    <w:semiHidden/>
    <w:qFormat/>
    <w:uiPriority w:val="99"/>
    <w:rPr>
      <w:rFonts w:ascii="Times New Roman" w:hAnsi="Times New Roman" w:eastAsia="宋体" w:cs="Times New Roman"/>
      <w:szCs w:val="20"/>
    </w:rPr>
  </w:style>
  <w:style w:type="character" w:customStyle="1" w:styleId="56">
    <w:name w:val="纯文本 字符1"/>
    <w:link w:val="20"/>
    <w:qFormat/>
    <w:uiPriority w:val="0"/>
    <w:rPr>
      <w:rFonts w:ascii="宋体" w:hAnsi="Courier New"/>
    </w:rPr>
  </w:style>
  <w:style w:type="character" w:customStyle="1" w:styleId="57">
    <w:name w:val="正文文本缩进 字符"/>
    <w:link w:val="19"/>
    <w:qFormat/>
    <w:uiPriority w:val="99"/>
  </w:style>
  <w:style w:type="character" w:customStyle="1" w:styleId="58">
    <w:name w:val="纯文本 Char1"/>
    <w:basedOn w:val="34"/>
    <w:semiHidden/>
    <w:qFormat/>
    <w:uiPriority w:val="0"/>
    <w:rPr>
      <w:rFonts w:ascii="宋体" w:hAnsi="Courier New" w:eastAsia="宋体" w:cs="Courier New"/>
      <w:szCs w:val="21"/>
    </w:rPr>
  </w:style>
  <w:style w:type="character" w:customStyle="1" w:styleId="59">
    <w:name w:val="正文文本缩进 Char1"/>
    <w:basedOn w:val="34"/>
    <w:semiHidden/>
    <w:qFormat/>
    <w:uiPriority w:val="99"/>
    <w:rPr>
      <w:rFonts w:ascii="Times New Roman" w:hAnsi="Times New Roman" w:eastAsia="宋体" w:cs="Times New Roman"/>
      <w:szCs w:val="20"/>
    </w:rPr>
  </w:style>
  <w:style w:type="character" w:customStyle="1" w:styleId="60">
    <w:name w:val="标题 4 字符"/>
    <w:basedOn w:val="34"/>
    <w:link w:val="8"/>
    <w:qFormat/>
    <w:uiPriority w:val="0"/>
    <w:rPr>
      <w:rFonts w:ascii="Arial" w:hAnsi="Arial" w:eastAsia="黑体" w:cs="Times New Roman"/>
      <w:sz w:val="24"/>
      <w:szCs w:val="20"/>
    </w:rPr>
  </w:style>
  <w:style w:type="character" w:customStyle="1" w:styleId="61">
    <w:name w:val="标题 5 字符"/>
    <w:basedOn w:val="34"/>
    <w:link w:val="10"/>
    <w:qFormat/>
    <w:uiPriority w:val="9"/>
    <w:rPr>
      <w:rFonts w:ascii="Calibri" w:hAnsi="Calibri" w:eastAsia="宋体" w:cs="Times New Roman"/>
      <w:i/>
      <w:sz w:val="24"/>
      <w:szCs w:val="20"/>
    </w:rPr>
  </w:style>
  <w:style w:type="character" w:customStyle="1" w:styleId="62">
    <w:name w:val="标题 6 字符"/>
    <w:basedOn w:val="34"/>
    <w:link w:val="11"/>
    <w:qFormat/>
    <w:uiPriority w:val="9"/>
    <w:rPr>
      <w:rFonts w:ascii="Arial" w:hAnsi="Arial" w:eastAsia="黑体" w:cs="Times New Roman"/>
      <w:b/>
      <w:sz w:val="24"/>
      <w:szCs w:val="20"/>
    </w:rPr>
  </w:style>
  <w:style w:type="character" w:customStyle="1" w:styleId="63">
    <w:name w:val="标题 7 字符"/>
    <w:basedOn w:val="34"/>
    <w:link w:val="12"/>
    <w:qFormat/>
    <w:uiPriority w:val="0"/>
    <w:rPr>
      <w:rFonts w:ascii="Calibri" w:hAnsi="Calibri" w:eastAsia="宋体" w:cs="Times New Roman"/>
      <w:b/>
      <w:sz w:val="24"/>
      <w:szCs w:val="20"/>
    </w:rPr>
  </w:style>
  <w:style w:type="character" w:customStyle="1" w:styleId="64">
    <w:name w:val="标题 8 字符"/>
    <w:basedOn w:val="34"/>
    <w:link w:val="13"/>
    <w:qFormat/>
    <w:uiPriority w:val="0"/>
    <w:rPr>
      <w:rFonts w:ascii="Arial" w:hAnsi="Arial" w:eastAsia="黑体" w:cs="Times New Roman"/>
      <w:sz w:val="24"/>
      <w:szCs w:val="20"/>
    </w:rPr>
  </w:style>
  <w:style w:type="character" w:customStyle="1" w:styleId="65">
    <w:name w:val="标题 9 字符"/>
    <w:basedOn w:val="34"/>
    <w:link w:val="14"/>
    <w:qFormat/>
    <w:uiPriority w:val="0"/>
    <w:rPr>
      <w:rFonts w:ascii="Arial" w:hAnsi="Arial" w:eastAsia="黑体" w:cs="Times New Roman"/>
      <w:sz w:val="24"/>
      <w:szCs w:val="20"/>
    </w:rPr>
  </w:style>
  <w:style w:type="character" w:customStyle="1" w:styleId="66">
    <w:name w:val="正文文本缩进 2 字符"/>
    <w:link w:val="23"/>
    <w:qFormat/>
    <w:uiPriority w:val="0"/>
  </w:style>
  <w:style w:type="character" w:customStyle="1" w:styleId="67">
    <w:name w:val="列表段落 字符"/>
    <w:link w:val="68"/>
    <w:qFormat/>
    <w:uiPriority w:val="0"/>
    <w:rPr>
      <w:rFonts w:ascii="Calibri" w:hAnsi="Calibri"/>
    </w:rPr>
  </w:style>
  <w:style w:type="paragraph" w:styleId="68">
    <w:name w:val="List Paragraph"/>
    <w:basedOn w:val="1"/>
    <w:link w:val="67"/>
    <w:qFormat/>
    <w:uiPriority w:val="0"/>
    <w:pPr>
      <w:ind w:firstLine="420" w:firstLineChars="200"/>
    </w:pPr>
    <w:rPr>
      <w:rFonts w:ascii="Calibri" w:hAnsi="Calibri" w:eastAsiaTheme="minorEastAsia" w:cstheme="minorBidi"/>
      <w:szCs w:val="22"/>
    </w:rPr>
  </w:style>
  <w:style w:type="character" w:customStyle="1" w:styleId="69">
    <w:name w:val="正文文本缩进 2 Char1"/>
    <w:semiHidden/>
    <w:qFormat/>
    <w:uiPriority w:val="99"/>
    <w:rPr>
      <w:kern w:val="2"/>
      <w:sz w:val="21"/>
    </w:rPr>
  </w:style>
  <w:style w:type="character" w:customStyle="1" w:styleId="70">
    <w:name w:val="纯文本 Char2"/>
    <w:semiHidden/>
    <w:qFormat/>
    <w:uiPriority w:val="0"/>
    <w:rPr>
      <w:rFonts w:ascii="宋体" w:hAnsi="Courier New" w:eastAsia="宋体"/>
      <w:kern w:val="2"/>
      <w:sz w:val="21"/>
      <w:szCs w:val="21"/>
      <w:lang w:val="en-US" w:eastAsia="zh-CN" w:bidi="ar-SA"/>
    </w:rPr>
  </w:style>
  <w:style w:type="character" w:customStyle="1" w:styleId="71">
    <w:name w:val="标题 1 Char1"/>
    <w:qFormat/>
    <w:uiPriority w:val="0"/>
    <w:rPr>
      <w:rFonts w:ascii="Times New Roman" w:hAnsi="Times New Roman" w:eastAsia="宋体"/>
      <w:b/>
      <w:bCs/>
      <w:kern w:val="44"/>
      <w:sz w:val="44"/>
      <w:szCs w:val="44"/>
      <w:lang w:val="en-US" w:eastAsia="zh-CN" w:bidi="ar-SA"/>
    </w:rPr>
  </w:style>
  <w:style w:type="character" w:customStyle="1" w:styleId="72">
    <w:name w:val="bigtitle1"/>
    <w:qFormat/>
    <w:uiPriority w:val="0"/>
    <w:rPr>
      <w:sz w:val="28"/>
      <w:szCs w:val="28"/>
    </w:rPr>
  </w:style>
  <w:style w:type="character" w:customStyle="1" w:styleId="73">
    <w:name w:val="Char Char19"/>
    <w:qFormat/>
    <w:uiPriority w:val="0"/>
    <w:rPr>
      <w:kern w:val="2"/>
      <w:sz w:val="18"/>
      <w:szCs w:val="18"/>
    </w:rPr>
  </w:style>
  <w:style w:type="character" w:customStyle="1" w:styleId="74">
    <w:name w:val="副标题 字符"/>
    <w:link w:val="28"/>
    <w:qFormat/>
    <w:uiPriority w:val="11"/>
    <w:rPr>
      <w:rFonts w:ascii="Cambria" w:hAnsi="Cambria"/>
      <w:b/>
      <w:bCs/>
      <w:kern w:val="28"/>
      <w:sz w:val="32"/>
      <w:szCs w:val="32"/>
    </w:rPr>
  </w:style>
  <w:style w:type="character" w:customStyle="1" w:styleId="75">
    <w:name w:val="Char Char25"/>
    <w:qFormat/>
    <w:uiPriority w:val="0"/>
    <w:rPr>
      <w:kern w:val="2"/>
      <w:sz w:val="18"/>
      <w:szCs w:val="18"/>
    </w:rPr>
  </w:style>
  <w:style w:type="character" w:customStyle="1" w:styleId="76">
    <w:name w:val="正文缩进 字符"/>
    <w:link w:val="9"/>
    <w:qFormat/>
    <w:uiPriority w:val="0"/>
  </w:style>
  <w:style w:type="character" w:customStyle="1" w:styleId="77">
    <w:name w:val="文档结构图 字符"/>
    <w:link w:val="16"/>
    <w:qFormat/>
    <w:uiPriority w:val="99"/>
    <w:rPr>
      <w:rFonts w:ascii="宋体" w:hAnsi="Tahoma"/>
      <w:sz w:val="18"/>
      <w:szCs w:val="18"/>
    </w:rPr>
  </w:style>
  <w:style w:type="character" w:customStyle="1" w:styleId="78">
    <w:name w:val="Section Head Char"/>
    <w:qFormat/>
    <w:uiPriority w:val="0"/>
    <w:rPr>
      <w:rFonts w:ascii="黑体" w:eastAsia="黑体"/>
      <w:spacing w:val="24"/>
      <w:kern w:val="44"/>
      <w:sz w:val="32"/>
      <w:lang w:val="en-US" w:eastAsia="zh-CN"/>
    </w:rPr>
  </w:style>
  <w:style w:type="paragraph" w:customStyle="1" w:styleId="79">
    <w:name w:val="Default"/>
    <w:next w:val="80"/>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80">
    <w:name w:val="TOC 71"/>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81">
    <w:name w:val="Char Char51"/>
    <w:basedOn w:val="1"/>
    <w:qFormat/>
    <w:uiPriority w:val="0"/>
    <w:rPr>
      <w:rFonts w:ascii="Calibri" w:hAnsi="Calibri"/>
    </w:rPr>
  </w:style>
  <w:style w:type="paragraph" w:customStyle="1" w:styleId="82">
    <w:name w:val="itemli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3">
    <w:name w:val="正文文本缩进 2 Char2"/>
    <w:basedOn w:val="34"/>
    <w:semiHidden/>
    <w:qFormat/>
    <w:uiPriority w:val="99"/>
    <w:rPr>
      <w:rFonts w:ascii="Times New Roman" w:hAnsi="Times New Roman" w:eastAsia="宋体" w:cs="Times New Roman"/>
      <w:szCs w:val="20"/>
    </w:rPr>
  </w:style>
  <w:style w:type="paragraph" w:customStyle="1" w:styleId="84">
    <w:name w:val="默认段落字体 Para Char Char Char Char Char Char Char"/>
    <w:basedOn w:val="16"/>
    <w:qFormat/>
    <w:uiPriority w:val="0"/>
    <w:pPr>
      <w:spacing w:line="436" w:lineRule="exact"/>
      <w:ind w:left="357"/>
      <w:outlineLvl w:val="3"/>
    </w:pPr>
  </w:style>
  <w:style w:type="paragraph" w:customStyle="1" w:styleId="85">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86">
    <w:name w:val="Char Char3"/>
    <w:basedOn w:val="1"/>
    <w:qFormat/>
    <w:uiPriority w:val="0"/>
    <w:rPr>
      <w:rFonts w:ascii="Tahoma" w:hAnsi="Tahoma"/>
      <w:sz w:val="24"/>
    </w:rPr>
  </w:style>
  <w:style w:type="paragraph" w:customStyle="1" w:styleId="8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88">
    <w:name w:val="_Style 3"/>
    <w:basedOn w:val="1"/>
    <w:next w:val="1"/>
    <w:qFormat/>
    <w:uiPriority w:val="0"/>
    <w:pPr>
      <w:pBdr>
        <w:top w:val="single" w:color="auto" w:sz="6" w:space="1"/>
      </w:pBdr>
      <w:jc w:val="center"/>
    </w:pPr>
    <w:rPr>
      <w:rFonts w:ascii="Arial" w:hAnsi="Calibri"/>
      <w:vanish/>
      <w:sz w:val="16"/>
    </w:rPr>
  </w:style>
  <w:style w:type="paragraph" w:customStyle="1" w:styleId="89">
    <w:name w:val="tabletext"/>
    <w:basedOn w:val="1"/>
    <w:qFormat/>
    <w:uiPriority w:val="0"/>
    <w:pPr>
      <w:widowControl/>
      <w:snapToGrid w:val="0"/>
      <w:spacing w:before="80" w:after="80"/>
      <w:jc w:val="left"/>
    </w:pPr>
    <w:rPr>
      <w:rFonts w:ascii="Arial" w:hAnsi="Arial" w:cs="Arial"/>
      <w:kern w:val="0"/>
      <w:sz w:val="18"/>
      <w:szCs w:val="18"/>
    </w:rPr>
  </w:style>
  <w:style w:type="character" w:customStyle="1" w:styleId="90">
    <w:name w:val="文档结构图 Char1"/>
    <w:basedOn w:val="34"/>
    <w:semiHidden/>
    <w:qFormat/>
    <w:uiPriority w:val="99"/>
    <w:rPr>
      <w:rFonts w:ascii="宋体" w:hAnsi="Times New Roman" w:eastAsia="宋体" w:cs="Times New Roman"/>
      <w:sz w:val="18"/>
      <w:szCs w:val="18"/>
    </w:rPr>
  </w:style>
  <w:style w:type="paragraph" w:customStyle="1" w:styleId="91">
    <w:name w:val="Table Description"/>
    <w:basedOn w:val="1"/>
    <w:qFormat/>
    <w:uiPriority w:val="0"/>
    <w:pPr>
      <w:ind w:left="1701"/>
    </w:pPr>
    <w:rPr>
      <w:rFonts w:ascii="Calibri" w:hAnsi="Calibri"/>
    </w:rPr>
  </w:style>
  <w:style w:type="character" w:customStyle="1" w:styleId="92">
    <w:name w:val="批注文字 字符"/>
    <w:basedOn w:val="34"/>
    <w:link w:val="18"/>
    <w:qFormat/>
    <w:uiPriority w:val="0"/>
    <w:rPr>
      <w:rFonts w:ascii="Tahoma" w:hAnsi="Tahoma" w:eastAsia="微软雅黑" w:cs="Times New Roman"/>
      <w:kern w:val="0"/>
      <w:sz w:val="22"/>
    </w:rPr>
  </w:style>
  <w:style w:type="paragraph" w:customStyle="1" w:styleId="93">
    <w:name w:val="Char Char31"/>
    <w:basedOn w:val="1"/>
    <w:qFormat/>
    <w:uiPriority w:val="0"/>
    <w:rPr>
      <w:rFonts w:ascii="Tahoma" w:hAnsi="Tahoma"/>
      <w:sz w:val="24"/>
    </w:rPr>
  </w:style>
  <w:style w:type="paragraph" w:customStyle="1" w:styleId="94">
    <w:name w:val="Char Char5"/>
    <w:basedOn w:val="1"/>
    <w:qFormat/>
    <w:uiPriority w:val="0"/>
    <w:rPr>
      <w:rFonts w:ascii="Calibri" w:hAnsi="Calibri"/>
    </w:rPr>
  </w:style>
  <w:style w:type="paragraph" w:customStyle="1" w:styleId="95">
    <w:name w:val="Figure Description"/>
    <w:basedOn w:val="1"/>
    <w:qFormat/>
    <w:uiPriority w:val="0"/>
    <w:pPr>
      <w:ind w:left="1701"/>
    </w:pPr>
    <w:rPr>
      <w:rFonts w:ascii="Calibri" w:hAnsi="Calibri"/>
    </w:rPr>
  </w:style>
  <w:style w:type="character" w:customStyle="1" w:styleId="96">
    <w:name w:val="副标题 Char1"/>
    <w:basedOn w:val="34"/>
    <w:qFormat/>
    <w:uiPriority w:val="11"/>
    <w:rPr>
      <w:rFonts w:eastAsia="宋体" w:asciiTheme="majorHAnsi" w:hAnsiTheme="majorHAnsi" w:cstheme="majorBidi"/>
      <w:b/>
      <w:bCs/>
      <w:kern w:val="28"/>
      <w:sz w:val="32"/>
      <w:szCs w:val="32"/>
    </w:rPr>
  </w:style>
  <w:style w:type="paragraph" w:customStyle="1" w:styleId="97">
    <w:name w:val="DB4CB73DC6DE4D1C91CC9795A5C1FE49"/>
    <w:qFormat/>
    <w:uiPriority w:val="0"/>
    <w:pPr>
      <w:spacing w:after="200" w:line="276" w:lineRule="auto"/>
    </w:pPr>
    <w:rPr>
      <w:rFonts w:ascii="Calibri" w:hAnsi="Calibri" w:eastAsia="宋体" w:cs="Times New Roman"/>
      <w:kern w:val="0"/>
      <w:sz w:val="22"/>
      <w:szCs w:val="22"/>
      <w:lang w:val="en-US" w:eastAsia="en-US" w:bidi="ar-SA"/>
    </w:rPr>
  </w:style>
  <w:style w:type="paragraph" w:customStyle="1" w:styleId="98">
    <w:name w:val="纯文本1"/>
    <w:basedOn w:val="85"/>
    <w:qFormat/>
    <w:uiPriority w:val="0"/>
    <w:pPr>
      <w:widowControl/>
      <w:jc w:val="left"/>
    </w:pPr>
    <w:rPr>
      <w:rFonts w:ascii="宋体" w:hAnsi="Courier New"/>
    </w:rPr>
  </w:style>
  <w:style w:type="paragraph" w:customStyle="1" w:styleId="99">
    <w:name w:val="_Style 9"/>
    <w:basedOn w:val="1"/>
    <w:qFormat/>
    <w:uiPriority w:val="0"/>
  </w:style>
  <w:style w:type="paragraph" w:customStyle="1" w:styleId="100">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
    <w:name w:val="_Style 2"/>
    <w:basedOn w:val="1"/>
    <w:next w:val="1"/>
    <w:qFormat/>
    <w:uiPriority w:val="0"/>
    <w:pPr>
      <w:pBdr>
        <w:bottom w:val="single" w:color="auto" w:sz="6" w:space="1"/>
      </w:pBdr>
      <w:jc w:val="center"/>
    </w:pPr>
    <w:rPr>
      <w:rFonts w:ascii="Arial" w:hAnsi="Calibri"/>
      <w:vanish/>
      <w:sz w:val="16"/>
    </w:rPr>
  </w:style>
  <w:style w:type="paragraph" w:customStyle="1" w:styleId="102">
    <w:name w:val="Char Char Char Char Char Char Char Char Char1 Char"/>
    <w:basedOn w:val="1"/>
    <w:qFormat/>
    <w:uiPriority w:val="0"/>
    <w:rPr>
      <w:rFonts w:ascii="Calibri" w:hAnsi="Calibri"/>
    </w:rPr>
  </w:style>
  <w:style w:type="paragraph" w:customStyle="1" w:styleId="103">
    <w:name w:val="Char Char Char Char Char Char Char Char Char1 Char1"/>
    <w:basedOn w:val="1"/>
    <w:qFormat/>
    <w:uiPriority w:val="0"/>
    <w:rPr>
      <w:rFonts w:ascii="Calibri" w:hAnsi="Calibri"/>
    </w:rPr>
  </w:style>
  <w:style w:type="paragraph" w:customStyle="1" w:styleId="104">
    <w:name w:val="列出段落1"/>
    <w:basedOn w:val="1"/>
    <w:qFormat/>
    <w:uiPriority w:val="0"/>
    <w:pPr>
      <w:ind w:firstLine="420" w:firstLineChars="200"/>
    </w:pPr>
    <w:rPr>
      <w:rFonts w:ascii="Calibri" w:hAnsi="Calibri"/>
      <w:kern w:val="0"/>
      <w:szCs w:val="21"/>
    </w:rPr>
  </w:style>
  <w:style w:type="paragraph" w:customStyle="1" w:styleId="10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kern w:val="0"/>
      <w:sz w:val="20"/>
      <w:szCs w:val="28"/>
      <w:lang w:val="en-US" w:eastAsia="zh-CN" w:bidi="ar-SA"/>
    </w:rPr>
  </w:style>
  <w:style w:type="character" w:customStyle="1" w:styleId="106">
    <w:name w:val="Char Char191"/>
    <w:qFormat/>
    <w:uiPriority w:val="0"/>
    <w:rPr>
      <w:kern w:val="2"/>
      <w:sz w:val="18"/>
      <w:szCs w:val="18"/>
    </w:rPr>
  </w:style>
  <w:style w:type="character" w:customStyle="1" w:styleId="107">
    <w:name w:val="Char Char251"/>
    <w:qFormat/>
    <w:uiPriority w:val="0"/>
    <w:rPr>
      <w:kern w:val="2"/>
      <w:sz w:val="18"/>
      <w:szCs w:val="18"/>
    </w:rPr>
  </w:style>
  <w:style w:type="paragraph" w:customStyle="1" w:styleId="108">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09">
    <w:name w:val="纯文本2"/>
    <w:basedOn w:val="108"/>
    <w:qFormat/>
    <w:uiPriority w:val="0"/>
    <w:pPr>
      <w:widowControl/>
      <w:jc w:val="left"/>
    </w:pPr>
    <w:rPr>
      <w:rFonts w:ascii="宋体" w:hAnsi="Courier New"/>
    </w:rPr>
  </w:style>
  <w:style w:type="paragraph" w:customStyle="1" w:styleId="110">
    <w:name w:val="列出段落2"/>
    <w:basedOn w:val="1"/>
    <w:qFormat/>
    <w:uiPriority w:val="0"/>
    <w:pPr>
      <w:ind w:firstLine="420" w:firstLineChars="200"/>
    </w:pPr>
    <w:rPr>
      <w:rFonts w:ascii="Calibri" w:hAnsi="Calibri"/>
      <w:kern w:val="0"/>
      <w:sz w:val="21"/>
      <w:szCs w:val="21"/>
    </w:rPr>
  </w:style>
  <w:style w:type="paragraph" w:customStyle="1" w:styleId="111">
    <w:name w:val="列出段落3"/>
    <w:basedOn w:val="1"/>
    <w:qFormat/>
    <w:uiPriority w:val="0"/>
    <w:pPr>
      <w:ind w:firstLine="420" w:firstLineChars="200"/>
    </w:pPr>
    <w:rPr>
      <w:rFonts w:ascii="Calibri" w:hAnsi="Calibri" w:cs="新宋体"/>
      <w:sz w:val="21"/>
      <w:szCs w:val="22"/>
    </w:rPr>
  </w:style>
  <w:style w:type="character" w:customStyle="1" w:styleId="112">
    <w:name w:val="纯文本 字符"/>
    <w:qFormat/>
    <w:uiPriority w:val="0"/>
    <w:rPr>
      <w:rFonts w:ascii="宋体" w:hAnsi="Courier New" w:eastAsia="宋体"/>
      <w:kern w:val="2"/>
      <w:sz w:val="21"/>
      <w:lang w:val="en-US" w:eastAsia="zh-CN" w:bidi="ar-SA"/>
    </w:rPr>
  </w:style>
  <w:style w:type="paragraph" w:customStyle="1" w:styleId="113">
    <w:name w:val="正文3"/>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14">
    <w:name w:val="纯文本3"/>
    <w:basedOn w:val="113"/>
    <w:qFormat/>
    <w:uiPriority w:val="0"/>
    <w:pPr>
      <w:widowControl/>
      <w:jc w:val="left"/>
    </w:pPr>
    <w:rPr>
      <w:rFonts w:ascii="宋体" w:hAnsi="Courier New"/>
    </w:rPr>
  </w:style>
  <w:style w:type="character" w:customStyle="1" w:styleId="115">
    <w:name w:val="页眉 Char2"/>
    <w:qFormat/>
    <w:uiPriority w:val="99"/>
    <w:rPr>
      <w:kern w:val="2"/>
      <w:sz w:val="18"/>
      <w:szCs w:val="18"/>
    </w:rPr>
  </w:style>
  <w:style w:type="character" w:customStyle="1" w:styleId="116">
    <w:name w:val="font101"/>
    <w:basedOn w:val="34"/>
    <w:qFormat/>
    <w:uiPriority w:val="0"/>
    <w:rPr>
      <w:rFonts w:hint="eastAsia" w:ascii="新宋体" w:hAnsi="新宋体" w:eastAsia="新宋体" w:cs="新宋体"/>
      <w:color w:val="000000"/>
      <w:sz w:val="20"/>
      <w:szCs w:val="20"/>
      <w:u w:val="none"/>
    </w:rPr>
  </w:style>
  <w:style w:type="paragraph" w:customStyle="1" w:styleId="117">
    <w:name w:val=" Char Char1"/>
    <w:basedOn w:val="16"/>
    <w:qFormat/>
    <w:uiPriority w:val="0"/>
    <w:rPr>
      <w:rFonts w:ascii="Yu Mincho Light" w:hAnsi="Yu Mincho Light" w:eastAsia="宋体" w:cs="Times New Roman"/>
      <w:sz w:val="24"/>
    </w:rPr>
  </w:style>
  <w:style w:type="character" w:customStyle="1" w:styleId="118">
    <w:name w:val="font81"/>
    <w:basedOn w:val="34"/>
    <w:qFormat/>
    <w:uiPriority w:val="0"/>
    <w:rPr>
      <w:rFonts w:hint="default" w:ascii="Arial" w:hAnsi="Arial" w:eastAsia="宋体" w:cs="Arial"/>
      <w:color w:val="000000"/>
      <w:sz w:val="20"/>
      <w:szCs w:val="20"/>
      <w:u w:val="none"/>
    </w:rPr>
  </w:style>
  <w:style w:type="character" w:customStyle="1" w:styleId="119">
    <w:name w:val="font31"/>
    <w:basedOn w:val="34"/>
    <w:qFormat/>
    <w:uiPriority w:val="0"/>
    <w:rPr>
      <w:rFonts w:hint="eastAsia" w:ascii="宋体" w:hAnsi="宋体" w:eastAsia="宋体" w:cs="宋体"/>
      <w:color w:val="000000"/>
      <w:sz w:val="24"/>
      <w:szCs w:val="24"/>
      <w:u w:val="none"/>
    </w:rPr>
  </w:style>
  <w:style w:type="character" w:customStyle="1" w:styleId="120">
    <w:name w:val="font41"/>
    <w:basedOn w:val="34"/>
    <w:qFormat/>
    <w:uiPriority w:val="0"/>
    <w:rPr>
      <w:rFonts w:hint="default" w:ascii="Arial" w:hAnsi="Arial" w:eastAsia="宋体" w:cs="Arial"/>
      <w:color w:val="000000"/>
      <w:sz w:val="20"/>
      <w:szCs w:val="20"/>
      <w:u w:val="none"/>
    </w:rPr>
  </w:style>
  <w:style w:type="character" w:customStyle="1" w:styleId="121">
    <w:name w:val="font21"/>
    <w:basedOn w:val="34"/>
    <w:qFormat/>
    <w:uiPriority w:val="0"/>
    <w:rPr>
      <w:rFonts w:hint="default" w:ascii="仿宋_GB2312" w:hAnsi="Times New Roman" w:eastAsia="仿宋_GB2312" w:cs="仿宋_GB2312"/>
      <w:color w:val="000000"/>
      <w:sz w:val="24"/>
      <w:szCs w:val="24"/>
      <w:u w:val="none"/>
    </w:rPr>
  </w:style>
  <w:style w:type="character" w:customStyle="1" w:styleId="122">
    <w:name w:val="font11"/>
    <w:basedOn w:val="34"/>
    <w:qFormat/>
    <w:uiPriority w:val="0"/>
    <w:rPr>
      <w:rFonts w:hint="eastAsia" w:ascii="宋体" w:hAnsi="宋体" w:eastAsia="宋体" w:cs="宋体"/>
      <w:color w:val="000000"/>
      <w:sz w:val="24"/>
      <w:szCs w:val="24"/>
      <w:u w:val="none"/>
    </w:rPr>
  </w:style>
  <w:style w:type="paragraph" w:customStyle="1" w:styleId="123">
    <w:name w:val="表格"/>
    <w:qFormat/>
    <w:uiPriority w:val="0"/>
    <w:rPr>
      <w:rFonts w:ascii="Calibri" w:hAnsi="Calibri" w:eastAsia="宋体" w:cs="Times New Roman"/>
      <w:kern w:val="2"/>
      <w:sz w:val="15"/>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浙江东瓯</Company>
  <Pages>90</Pages>
  <Words>8042</Words>
  <Characters>8697</Characters>
  <Lines>513</Lines>
  <Paragraphs>144</Paragraphs>
  <TotalTime>19</TotalTime>
  <ScaleCrop>false</ScaleCrop>
  <LinksUpToDate>false</LinksUpToDate>
  <CharactersWithSpaces>8943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2020-09-12T13:20:00Z</dcterms:created>
  <dc:creator>ouyang128</dc:creator>
  <cp:lastModifiedBy>白白在家卖现货，卖一个少一个</cp:lastModifiedBy>
  <cp:lastPrinted>2025-02-06T02:34:00Z</cp:lastPrinted>
  <dcterms:modified xsi:type="dcterms:W3CDTF">2025-02-06T08:55:44Z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675B2273D2564BE0ABA7F43D9B075D5F_13</vt:lpwstr>
  </property>
  <property fmtid="{D5CDD505-2E9C-101B-9397-08002B2CF9AE}" pid="4" name="KSOTemplateDocerSaveRecord">
    <vt:lpwstr>eyJoZGlkIjoiYWNiZWFjYjcxNWYxN2NkN2Q3MWZlMTMxY2ViOGY5OTUiLCJ1c2VySWQiOiI4Mzg4NDM4ODIifQ==</vt:lpwstr>
  </property>
</Properties>
</file>